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仿宋_GB2312" w:eastAsia="方正小标宋简体" w:cs="方正仿宋_GB2312"/>
          <w:b/>
          <w:bCs/>
          <w:sz w:val="44"/>
          <w:szCs w:val="44"/>
        </w:rPr>
      </w:pPr>
      <w:bookmarkStart w:id="16" w:name="_GoBack"/>
      <w:bookmarkEnd w:id="16"/>
      <w:r>
        <w:rPr>
          <w:rFonts w:hint="eastAsia" w:ascii="方正小标宋简体" w:hAnsi="宋体" w:eastAsia="方正小标宋简体" w:cs="宋体"/>
          <w:b/>
          <w:bCs/>
          <w:sz w:val="44"/>
          <w:szCs w:val="44"/>
        </w:rPr>
        <w:t>深圳市盐田区</w:t>
      </w:r>
      <w:r>
        <w:rPr>
          <w:rFonts w:hint="eastAsia" w:ascii="方正小标宋简体" w:hAnsi="___WRD_EMBED_SUB_38" w:eastAsia="方正小标宋简体" w:cs="___WRD_EMBED_SUB_38"/>
          <w:b/>
          <w:bCs/>
          <w:sz w:val="44"/>
          <w:szCs w:val="44"/>
        </w:rPr>
        <w:t>人</w:t>
      </w:r>
      <w:r>
        <w:rPr>
          <w:rFonts w:hint="eastAsia" w:ascii="方正小标宋简体" w:hAnsi="宋体" w:eastAsia="方正小标宋简体" w:cs="宋体"/>
          <w:b/>
          <w:bCs/>
          <w:sz w:val="44"/>
          <w:szCs w:val="44"/>
        </w:rPr>
        <w:t>力资源大楼物业管理</w:t>
      </w:r>
      <w:r>
        <w:rPr>
          <w:rFonts w:hint="eastAsia" w:ascii="方正小标宋简体" w:hAnsi="___WRD_EMBED_SUB_38" w:eastAsia="方正小标宋简体" w:cs="___WRD_EMBED_SUB_38"/>
          <w:b/>
          <w:bCs/>
          <w:sz w:val="44"/>
          <w:szCs w:val="44"/>
        </w:rPr>
        <w:t>服务项目</w:t>
      </w:r>
    </w:p>
    <w:p>
      <w:pPr>
        <w:jc w:val="center"/>
        <w:rPr>
          <w:rFonts w:ascii="方正小标宋简体" w:hAnsi="方正仿宋_GB2312" w:eastAsia="方正小标宋简体" w:cs="方正仿宋_GB2312"/>
          <w:sz w:val="44"/>
          <w:szCs w:val="44"/>
        </w:rPr>
      </w:pPr>
    </w:p>
    <w:p>
      <w:pPr>
        <w:jc w:val="center"/>
        <w:rPr>
          <w:rFonts w:ascii="方正小标宋简体" w:hAnsi="方正仿宋_GB2312" w:eastAsia="方正小标宋简体" w:cs="方正仿宋_GB2312"/>
          <w:sz w:val="44"/>
          <w:szCs w:val="44"/>
        </w:rPr>
      </w:pPr>
    </w:p>
    <w:p>
      <w:pPr>
        <w:jc w:val="center"/>
        <w:rPr>
          <w:rFonts w:ascii="方正小标宋简体" w:hAnsi="方正仿宋_GB2312" w:eastAsia="方正小标宋简体" w:cs="方正仿宋_GB2312"/>
          <w:sz w:val="44"/>
          <w:szCs w:val="44"/>
        </w:rPr>
      </w:pPr>
    </w:p>
    <w:p>
      <w:pPr>
        <w:jc w:val="center"/>
        <w:rPr>
          <w:rFonts w:ascii="方正仿宋_GB2312" w:hAnsi="方正仿宋_GB2312" w:eastAsia="方正仿宋_GB2312" w:cs="方正仿宋_GB2312"/>
          <w:b/>
          <w:bCs/>
          <w:sz w:val="44"/>
          <w:szCs w:val="44"/>
        </w:rPr>
      </w:pPr>
      <w:r>
        <w:rPr>
          <w:rFonts w:hint="eastAsia" w:ascii="方正小标宋简体" w:hAnsi="方正仿宋_GB2312" w:eastAsia="方正小标宋简体" w:cs="方正仿宋_GB2312"/>
          <w:b/>
          <w:bCs/>
          <w:sz w:val="44"/>
          <w:szCs w:val="44"/>
        </w:rPr>
        <w:t>招标文件</w:t>
      </w:r>
      <w:r>
        <w:rPr>
          <w:rFonts w:hint="eastAsia" w:ascii="方正仿宋_GB2312" w:hAnsi="方正仿宋_GB2312" w:eastAsia="方正仿宋_GB2312" w:cs="方正仿宋_GB2312"/>
          <w:b/>
          <w:bCs/>
          <w:sz w:val="44"/>
          <w:szCs w:val="44"/>
        </w:rPr>
        <w:br w:type="page"/>
      </w:r>
    </w:p>
    <w:p>
      <w:pPr>
        <w:jc w:val="center"/>
        <w:rPr>
          <w:rFonts w:ascii="黑体" w:hAnsi="黑体" w:eastAsia="黑体" w:cs="黑体"/>
          <w:sz w:val="32"/>
          <w:szCs w:val="32"/>
        </w:rPr>
      </w:pPr>
      <w:r>
        <w:rPr>
          <w:rFonts w:hint="eastAsia" w:ascii="黑体" w:hAnsi="黑体" w:eastAsia="黑体" w:cs="黑体"/>
          <w:sz w:val="32"/>
          <w:szCs w:val="32"/>
        </w:rPr>
        <w:t>项目招标信息</w:t>
      </w:r>
    </w:p>
    <w:p>
      <w:pPr>
        <w:widowControl/>
        <w:jc w:val="left"/>
        <w:rPr>
          <w:rFonts w:ascii="方正仿宋_GB2312" w:hAnsi="方正仿宋_GB2312" w:eastAsia="方正仿宋_GB2312" w:cs="___WRD_EMBED_SUB_38"/>
          <w:sz w:val="28"/>
          <w:szCs w:val="28"/>
        </w:rPr>
      </w:pPr>
      <w:r>
        <w:rPr>
          <w:rFonts w:hint="eastAsia" w:ascii="方正仿宋_GB2312" w:hAnsi="方正仿宋_GB2312" w:eastAsia="方正仿宋_GB2312" w:cs="___WRD_EMBED_SUB_38"/>
          <w:sz w:val="28"/>
          <w:szCs w:val="28"/>
        </w:rPr>
        <w:t>项目名称：深圳市盐田区人力资源大楼物业管理服务项目(不含一楼商铺)</w:t>
      </w:r>
    </w:p>
    <w:p>
      <w:pPr>
        <w:widowControl/>
        <w:jc w:val="left"/>
        <w:rPr>
          <w:rFonts w:ascii="方正仿宋_GB2312" w:hAnsi="方正仿宋_GB2312" w:eastAsia="方正仿宋_GB2312" w:cs="___WRD_EMBED_SUB_38"/>
          <w:sz w:val="28"/>
          <w:szCs w:val="28"/>
        </w:rPr>
      </w:pPr>
      <w:r>
        <w:rPr>
          <w:rFonts w:hint="eastAsia" w:ascii="方正仿宋_GB2312" w:hAnsi="方正仿宋_GB2312" w:eastAsia="方正仿宋_GB2312" w:cs="___WRD_EMBED_SUB_38"/>
          <w:sz w:val="28"/>
          <w:szCs w:val="28"/>
        </w:rPr>
        <w:t>项目预算（人民币）：</w:t>
      </w:r>
      <w:r>
        <w:rPr>
          <w:rFonts w:hint="eastAsia" w:ascii="宋体" w:hAnsi="宋体" w:eastAsia="宋体" w:cs="宋体"/>
          <w:sz w:val="28"/>
          <w:szCs w:val="28"/>
        </w:rPr>
        <w:t>57</w:t>
      </w:r>
      <w:r>
        <w:rPr>
          <w:rFonts w:hint="eastAsia" w:ascii="方正仿宋_GB2312" w:hAnsi="方正仿宋_GB2312" w:eastAsia="方正仿宋_GB2312" w:cs="___WRD_EMBED_SUB_38"/>
          <w:sz w:val="28"/>
          <w:szCs w:val="28"/>
        </w:rPr>
        <w:t>万元</w:t>
      </w:r>
    </w:p>
    <w:p>
      <w:pPr>
        <w:widowControl/>
        <w:jc w:val="left"/>
        <w:rPr>
          <w:rFonts w:ascii="方正仿宋_GB2312" w:hAnsi="方正仿宋_GB2312" w:eastAsia="方正仿宋_GB2312" w:cs="___WRD_EMBED_SUB_38"/>
          <w:sz w:val="28"/>
          <w:szCs w:val="28"/>
        </w:rPr>
      </w:pPr>
      <w:r>
        <w:rPr>
          <w:rFonts w:hint="eastAsia" w:ascii="方正仿宋_GB2312" w:hAnsi="方正仿宋_GB2312" w:eastAsia="方正仿宋_GB2312" w:cs="___WRD_EMBED_SUB_38"/>
          <w:sz w:val="28"/>
          <w:szCs w:val="28"/>
        </w:rPr>
        <w:t>项目类型：服务类</w:t>
      </w:r>
    </w:p>
    <w:p>
      <w:pPr>
        <w:widowControl/>
        <w:jc w:val="left"/>
        <w:rPr>
          <w:rFonts w:ascii="方正仿宋_GB2312" w:hAnsi="方正仿宋_GB2312" w:eastAsia="方正仿宋_GB2312" w:cs="___WRD_EMBED_SUB_38"/>
          <w:sz w:val="28"/>
          <w:szCs w:val="28"/>
        </w:rPr>
      </w:pPr>
      <w:r>
        <w:rPr>
          <w:rFonts w:hint="eastAsia" w:ascii="方正仿宋_GB2312" w:hAnsi="方正仿宋_GB2312" w:eastAsia="方正仿宋_GB2312" w:cs="___WRD_EMBED_SUB_38"/>
          <w:sz w:val="28"/>
          <w:szCs w:val="28"/>
        </w:rPr>
        <w:t>采购方式：公开招标</w:t>
      </w:r>
    </w:p>
    <w:p>
      <w:pP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评标方法：综合评标法（新价格分算法）</w:t>
      </w:r>
    </w:p>
    <w:p>
      <w:pPr>
        <w:widowControl/>
        <w:jc w:val="left"/>
        <w:rPr>
          <w:rFonts w:ascii="方正仿宋_GB2312" w:hAnsi="方正仿宋_GB2312" w:eastAsia="方正仿宋_GB2312" w:cs="方正仿宋_GB2312"/>
          <w:color w:val="FF0000"/>
          <w:sz w:val="28"/>
          <w:szCs w:val="28"/>
        </w:rPr>
      </w:pPr>
    </w:p>
    <w:p>
      <w:pPr>
        <w:widowControl/>
        <w:jc w:val="left"/>
        <w:rPr>
          <w:rFonts w:ascii="方正仿宋_GB2312" w:hAnsi="方正仿宋_GB2312" w:eastAsia="方正仿宋_GB2312" w:cs="方正仿宋_GB2312"/>
          <w:b/>
          <w:sz w:val="28"/>
          <w:szCs w:val="28"/>
        </w:rPr>
      </w:pPr>
      <w:r>
        <w:rPr>
          <w:rFonts w:ascii="方正仿宋_GB2312" w:hAnsi="方正仿宋_GB2312" w:eastAsia="方正仿宋_GB2312" w:cs="方正仿宋_GB2312"/>
          <w:b/>
          <w:sz w:val="28"/>
          <w:szCs w:val="28"/>
        </w:rPr>
        <w:br w:type="page"/>
      </w:r>
    </w:p>
    <w:p>
      <w:pPr>
        <w:rPr>
          <w:rFonts w:ascii="方正仿宋_GB2312" w:hAnsi="方正仿宋_GB2312" w:eastAsia="方正仿宋_GB2312" w:cs="方正仿宋_GB2312"/>
          <w:b/>
          <w:sz w:val="28"/>
          <w:szCs w:val="28"/>
        </w:rPr>
      </w:pP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一、项目基本情况</w:t>
      </w:r>
    </w:p>
    <w:p>
      <w:pPr>
        <w:ind w:firstLine="420" w:firstLineChars="200"/>
        <w:rPr>
          <w:rFonts w:ascii="宋体" w:hAnsi="宋体" w:eastAsia="宋体" w:cs="宋体"/>
          <w:szCs w:val="21"/>
        </w:rPr>
      </w:pPr>
      <w:r>
        <w:rPr>
          <w:rFonts w:hint="eastAsia" w:ascii="宋体" w:hAnsi="宋体" w:eastAsia="宋体" w:cs="宋体"/>
          <w:szCs w:val="21"/>
        </w:rPr>
        <w:t>深圳市盐田区人力资源大楼位于深圳市盐田区深盐路2158号，是集人力资源培训、人才招聘及行政办公于一体的综合性办公场所。占地面积约2000㎡，建筑面积约7000㎡，建筑楼宇1栋，共8层，大厦内设发电机、水电、消防监控设施等，配有2部电梯及室外机动车停车位（不对外）。</w:t>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二、项目技术要求及服务内容</w:t>
      </w:r>
    </w:p>
    <w:p>
      <w:pPr>
        <w:ind w:firstLine="420" w:firstLineChars="200"/>
        <w:rPr>
          <w:rFonts w:ascii="宋体" w:hAnsi="宋体" w:eastAsia="宋体" w:cs="宋体"/>
          <w:szCs w:val="21"/>
        </w:rPr>
      </w:pPr>
      <w:r>
        <w:rPr>
          <w:rFonts w:hint="eastAsia" w:ascii="宋体" w:hAnsi="宋体" w:eastAsia="宋体" w:cs="宋体"/>
          <w:szCs w:val="21"/>
        </w:rPr>
        <w:t>负责盐田区劳动关系公共服务中心办公楼（不含一楼商铺）的24小时安保服务、内部安全服务、房屋建筑本体的维修养护和管理、机（水）电设备的维护保养及维修、电梯维护保养、生活水池清洗、化粪池清理、卫生保洁及垃圾清理、停车场管理及停车场设备维护服务等（详见《附件1：盐田区人力资源大楼物业管理服务项目需求书》）</w:t>
      </w:r>
      <w:r>
        <w:rPr>
          <w:rFonts w:hint="eastAsia" w:ascii="宋体" w:hAnsi="宋体" w:eastAsia="宋体" w:cs="宋体"/>
          <w:color w:val="000000" w:themeColor="text1"/>
          <w:szCs w:val="21"/>
        </w:rPr>
        <w:t>。</w:t>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三、甲方的权利和义务</w:t>
      </w:r>
    </w:p>
    <w:p>
      <w:pPr>
        <w:ind w:firstLine="420" w:firstLineChars="200"/>
        <w:rPr>
          <w:rFonts w:ascii="宋体" w:hAnsi="宋体" w:eastAsia="宋体" w:cs="宋体"/>
          <w:szCs w:val="21"/>
        </w:rPr>
      </w:pPr>
      <w:r>
        <w:rPr>
          <w:rFonts w:hint="eastAsia" w:ascii="宋体" w:hAnsi="宋体" w:eastAsia="宋体" w:cs="宋体"/>
          <w:szCs w:val="21"/>
        </w:rPr>
        <w:t>1、对乙方的管理服务实施监督检查。有权要求乙方对违反服务承诺的事项进行限期整改；有权要求乙方采纳甲方提出的合理要求；有权对乙方不称职的员工提出撤换，乙方应撤换并提供合格工作人员，如造成重大经济损失或管理失误，经区政府物业管理主管部门认定，甲方有权终止合同。</w:t>
      </w:r>
    </w:p>
    <w:p>
      <w:pPr>
        <w:ind w:firstLine="420" w:firstLineChars="200"/>
        <w:rPr>
          <w:rFonts w:ascii="宋体" w:hAnsi="宋体" w:eastAsia="宋体" w:cs="宋体"/>
          <w:szCs w:val="21"/>
        </w:rPr>
      </w:pPr>
      <w:r>
        <w:rPr>
          <w:rFonts w:hint="eastAsia" w:ascii="宋体" w:hAnsi="宋体" w:eastAsia="宋体" w:cs="宋体"/>
          <w:szCs w:val="21"/>
        </w:rPr>
        <w:t>2、有权要求乙方按双方约定的管理标准提供物业管理服务。</w:t>
      </w:r>
    </w:p>
    <w:p>
      <w:pPr>
        <w:ind w:firstLine="420" w:firstLineChars="200"/>
        <w:rPr>
          <w:rFonts w:ascii="宋体" w:hAnsi="宋体" w:eastAsia="宋体" w:cs="宋体"/>
          <w:szCs w:val="21"/>
        </w:rPr>
      </w:pPr>
      <w:r>
        <w:rPr>
          <w:rFonts w:hint="eastAsia" w:ascii="宋体" w:hAnsi="宋体" w:eastAsia="宋体" w:cs="宋体"/>
          <w:szCs w:val="21"/>
        </w:rPr>
        <w:t>3、委托乙方对违反物业管理法规政策及甲方管理制度的行为进行处理，包括责令停止违章行为、要求赔偿经济损失及支付违约金。</w:t>
      </w:r>
    </w:p>
    <w:p>
      <w:pPr>
        <w:ind w:firstLine="420" w:firstLineChars="200"/>
        <w:rPr>
          <w:rFonts w:ascii="宋体" w:hAnsi="宋体" w:eastAsia="宋体" w:cs="宋体"/>
          <w:szCs w:val="21"/>
        </w:rPr>
      </w:pPr>
      <w:r>
        <w:rPr>
          <w:rFonts w:hint="eastAsia" w:ascii="宋体" w:hAnsi="宋体" w:eastAsia="宋体" w:cs="宋体"/>
          <w:szCs w:val="21"/>
        </w:rPr>
        <w:t>4、大楼物业内岗亭、道闸、设备设施专用工具、各类门牌、各类标识指示牌、垃圾中转站均由甲方提供，乙方协助安装。</w:t>
      </w:r>
    </w:p>
    <w:p>
      <w:pPr>
        <w:ind w:firstLine="420" w:firstLineChars="200"/>
        <w:rPr>
          <w:rFonts w:ascii="宋体" w:hAnsi="宋体" w:eastAsia="宋体" w:cs="宋体"/>
          <w:szCs w:val="21"/>
        </w:rPr>
      </w:pPr>
      <w:r>
        <w:rPr>
          <w:rFonts w:hint="eastAsia" w:ascii="宋体" w:hAnsi="宋体" w:eastAsia="宋体" w:cs="宋体"/>
          <w:szCs w:val="21"/>
        </w:rPr>
        <w:t>5、甲方负责配备符合国家要求的、符合本物业安全管理功能的完好设施设备，如消防设备及消防器材、监控设备设施及器材；并承担根据实际需要而增加、更新或改造消防设备设施、监控设备设施等的相关费用。</w:t>
      </w:r>
    </w:p>
    <w:p>
      <w:pPr>
        <w:ind w:firstLine="420" w:firstLineChars="200"/>
        <w:rPr>
          <w:rFonts w:ascii="宋体" w:hAnsi="宋体" w:eastAsia="宋体" w:cs="宋体"/>
          <w:szCs w:val="21"/>
        </w:rPr>
      </w:pPr>
      <w:r>
        <w:rPr>
          <w:rFonts w:hint="eastAsia" w:ascii="宋体" w:hAnsi="宋体" w:eastAsia="宋体" w:cs="宋体"/>
          <w:szCs w:val="21"/>
        </w:rPr>
        <w:t>6、甲方负责承担建筑物及配套设施设备的保险费用和公众责任保险费用，以及相关保险事务。</w:t>
      </w:r>
    </w:p>
    <w:p>
      <w:pPr>
        <w:ind w:firstLine="420" w:firstLineChars="200"/>
        <w:rPr>
          <w:rFonts w:ascii="宋体" w:hAnsi="宋体" w:eastAsia="宋体" w:cs="宋体"/>
          <w:szCs w:val="21"/>
        </w:rPr>
      </w:pPr>
      <w:r>
        <w:rPr>
          <w:rFonts w:hint="eastAsia" w:ascii="宋体" w:hAnsi="宋体" w:eastAsia="宋体" w:cs="宋体"/>
          <w:szCs w:val="21"/>
        </w:rPr>
        <w:t>7、甲方在合同生效之日起无偿向乙方提供必要的管理用房、仓库及维修场所。</w:t>
      </w:r>
    </w:p>
    <w:p>
      <w:pPr>
        <w:ind w:firstLine="420" w:firstLineChars="200"/>
        <w:rPr>
          <w:rFonts w:ascii="宋体" w:hAnsi="宋体" w:eastAsia="宋体" w:cs="宋体"/>
          <w:szCs w:val="21"/>
        </w:rPr>
      </w:pPr>
      <w:r>
        <w:rPr>
          <w:rFonts w:hint="eastAsia" w:ascii="宋体" w:hAnsi="宋体" w:eastAsia="宋体" w:cs="宋体"/>
          <w:szCs w:val="21"/>
        </w:rPr>
        <w:t>8、甲方在合同生效之日起三十日内按规定向乙方提供本物业所有的物业及物业档案、资料（工程建设竣工资料），并在乙方管理期满时予以收回。</w:t>
      </w:r>
    </w:p>
    <w:p>
      <w:pPr>
        <w:ind w:firstLine="420" w:firstLineChars="200"/>
        <w:rPr>
          <w:rFonts w:ascii="宋体" w:hAnsi="宋体" w:eastAsia="宋体" w:cs="宋体"/>
          <w:szCs w:val="21"/>
        </w:rPr>
      </w:pPr>
      <w:r>
        <w:rPr>
          <w:rFonts w:hint="eastAsia" w:ascii="宋体" w:hAnsi="宋体" w:eastAsia="宋体" w:cs="宋体"/>
          <w:szCs w:val="21"/>
        </w:rPr>
        <w:t>9、不得干涉乙方依法或依本合同规定内容所进行的管理和经营活动。</w:t>
      </w:r>
    </w:p>
    <w:p>
      <w:pPr>
        <w:ind w:firstLine="420" w:firstLineChars="200"/>
        <w:rPr>
          <w:rFonts w:ascii="宋体" w:hAnsi="宋体" w:eastAsia="宋体" w:cs="宋体"/>
          <w:szCs w:val="21"/>
        </w:rPr>
      </w:pPr>
      <w:r>
        <w:rPr>
          <w:rFonts w:hint="eastAsia" w:ascii="宋体" w:hAnsi="宋体" w:eastAsia="宋体" w:cs="宋体"/>
          <w:szCs w:val="21"/>
        </w:rPr>
        <w:t>10、如果甲方对乙方提供的物业管理服务质量有问题或不满意时，甲方有权利向乙方反馈，并提出整改意见，同时乙方应采取有效措施给予纠正、预防、并改进。对甲方提出的情节较严重的物业管理问题，若乙方在合理的时间内仍不能改进的，双方协商解决。若协商不成，甲方有权利延付及扣除相应部分的物业管理费用而不承担任何责任，直至解决。损失大于物业费时乙方应当赔偿超出物业管理费用的损失。</w:t>
      </w:r>
    </w:p>
    <w:p>
      <w:pPr>
        <w:ind w:firstLine="420" w:firstLineChars="200"/>
        <w:rPr>
          <w:rFonts w:ascii="宋体" w:hAnsi="宋体" w:eastAsia="宋体" w:cs="宋体"/>
          <w:szCs w:val="21"/>
        </w:rPr>
      </w:pPr>
      <w:r>
        <w:rPr>
          <w:rFonts w:hint="eastAsia" w:ascii="宋体" w:hAnsi="宋体" w:eastAsia="宋体" w:cs="宋体"/>
          <w:szCs w:val="21"/>
        </w:rPr>
        <w:t>11、本大楼所有的水电费由甲方直接向自来水公司、供电公司交纳。</w:t>
      </w:r>
    </w:p>
    <w:p>
      <w:pPr>
        <w:ind w:firstLine="420" w:firstLineChars="200"/>
        <w:rPr>
          <w:rFonts w:ascii="宋体" w:hAnsi="宋体" w:eastAsia="宋体" w:cs="宋体"/>
          <w:szCs w:val="21"/>
        </w:rPr>
      </w:pPr>
      <w:r>
        <w:rPr>
          <w:rFonts w:hint="eastAsia" w:ascii="宋体" w:hAnsi="宋体" w:eastAsia="宋体" w:cs="宋体"/>
          <w:szCs w:val="21"/>
        </w:rPr>
        <w:t>12、大楼房屋本体及附属设施设备的维修、更新、改造、安全检测鉴定、消防设备维护保养、维修配件、备件及根据管理需要添置的设施设备、器材等费用由甲方负责。</w:t>
      </w:r>
    </w:p>
    <w:p>
      <w:pPr>
        <w:ind w:firstLine="420" w:firstLineChars="200"/>
        <w:rPr>
          <w:rFonts w:ascii="宋体" w:hAnsi="宋体" w:eastAsia="宋体" w:cs="宋体"/>
          <w:szCs w:val="21"/>
        </w:rPr>
      </w:pPr>
      <w:r>
        <w:rPr>
          <w:rFonts w:hint="eastAsia" w:ascii="宋体" w:hAnsi="宋体" w:eastAsia="宋体" w:cs="宋体"/>
          <w:szCs w:val="21"/>
        </w:rPr>
        <w:t>13、乙方按合同完成工作，甲方必须按时签署付款凭证。</w:t>
      </w:r>
    </w:p>
    <w:p>
      <w:pPr>
        <w:ind w:firstLine="420" w:firstLineChars="200"/>
        <w:rPr>
          <w:rFonts w:ascii="宋体" w:hAnsi="宋体" w:eastAsia="宋体" w:cs="宋体"/>
          <w:szCs w:val="21"/>
        </w:rPr>
      </w:pPr>
      <w:r>
        <w:rPr>
          <w:rFonts w:hint="eastAsia" w:ascii="宋体" w:hAnsi="宋体" w:eastAsia="宋体" w:cs="宋体"/>
          <w:szCs w:val="21"/>
        </w:rPr>
        <w:t>14、法规政策规定由甲方承担的其它责任。</w:t>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四、乙方的权利和义务</w:t>
      </w:r>
    </w:p>
    <w:p>
      <w:pPr>
        <w:ind w:firstLine="420" w:firstLineChars="200"/>
        <w:rPr>
          <w:rFonts w:ascii="宋体" w:hAnsi="宋体" w:eastAsia="宋体" w:cs="宋体"/>
          <w:szCs w:val="21"/>
        </w:rPr>
      </w:pPr>
      <w:r>
        <w:rPr>
          <w:rFonts w:hint="eastAsia" w:ascii="宋体" w:hAnsi="宋体" w:eastAsia="宋体" w:cs="宋体"/>
          <w:szCs w:val="21"/>
        </w:rPr>
        <w:t>1、根据有关法律、法规政策及本合同规定，制定物业和各项管理办法、规章制度、实施细节，自主开展各项管理经营活动，但不得损害甲方的合法权益，获取不当利益。</w:t>
      </w:r>
    </w:p>
    <w:p>
      <w:pPr>
        <w:ind w:firstLine="420" w:firstLineChars="200"/>
        <w:rPr>
          <w:rFonts w:ascii="宋体" w:hAnsi="宋体" w:eastAsia="宋体" w:cs="宋体"/>
          <w:szCs w:val="21"/>
        </w:rPr>
      </w:pPr>
      <w:r>
        <w:rPr>
          <w:rFonts w:hint="eastAsia" w:ascii="宋体" w:hAnsi="宋体" w:eastAsia="宋体" w:cs="宋体"/>
          <w:szCs w:val="21"/>
        </w:rPr>
        <w:t>2、乙方办公费用自行负责，所需的办公设备、耗损必须自行购买齐全、适应办公需求。</w:t>
      </w:r>
    </w:p>
    <w:p>
      <w:pPr>
        <w:ind w:firstLine="420" w:firstLineChars="200"/>
        <w:rPr>
          <w:rFonts w:ascii="宋体" w:hAnsi="宋体" w:eastAsia="宋体" w:cs="宋体"/>
          <w:szCs w:val="21"/>
        </w:rPr>
      </w:pPr>
      <w:r>
        <w:rPr>
          <w:rFonts w:hint="eastAsia" w:ascii="宋体" w:hAnsi="宋体" w:eastAsia="宋体" w:cs="宋体"/>
          <w:szCs w:val="21"/>
        </w:rPr>
        <w:t>3、乙方必须做好自身企业文化宣传、负责自身队伍的宣传教育活动。</w:t>
      </w:r>
    </w:p>
    <w:p>
      <w:pPr>
        <w:ind w:firstLine="420" w:firstLineChars="200"/>
        <w:rPr>
          <w:rFonts w:ascii="宋体" w:hAnsi="宋体" w:eastAsia="宋体" w:cs="宋体"/>
          <w:szCs w:val="21"/>
        </w:rPr>
      </w:pPr>
      <w:r>
        <w:rPr>
          <w:rFonts w:hint="eastAsia" w:ascii="宋体" w:hAnsi="宋体" w:eastAsia="宋体" w:cs="宋体"/>
          <w:szCs w:val="21"/>
        </w:rPr>
        <w:t>4、乙方应制定员工的工资标准及绩效奖励机制。</w:t>
      </w:r>
    </w:p>
    <w:p>
      <w:pPr>
        <w:ind w:firstLine="420" w:firstLineChars="200"/>
        <w:rPr>
          <w:rFonts w:ascii="宋体" w:hAnsi="宋体" w:eastAsia="宋体" w:cs="宋体"/>
          <w:szCs w:val="21"/>
        </w:rPr>
      </w:pPr>
      <w:r>
        <w:rPr>
          <w:rFonts w:hint="eastAsia" w:ascii="宋体" w:hAnsi="宋体" w:eastAsia="宋体" w:cs="宋体"/>
          <w:szCs w:val="21"/>
        </w:rPr>
        <w:t>5、遵照国家、地方物业管理收费规定，严格按合同规定的收费标准收取，不得擅自加价，不得只收费不服务或多收费少服务。</w:t>
      </w:r>
    </w:p>
    <w:p>
      <w:pPr>
        <w:ind w:firstLine="420" w:firstLineChars="200"/>
        <w:rPr>
          <w:rFonts w:ascii="宋体" w:hAnsi="宋体" w:eastAsia="宋体" w:cs="宋体"/>
          <w:szCs w:val="21"/>
        </w:rPr>
      </w:pPr>
      <w:r>
        <w:rPr>
          <w:rFonts w:hint="eastAsia" w:ascii="宋体" w:hAnsi="宋体" w:eastAsia="宋体" w:cs="宋体"/>
          <w:szCs w:val="21"/>
        </w:rPr>
        <w:t>6、有权依照法规政策、本合同的规定以及对违反物业管理法规政策的行为进行处理。</w:t>
      </w:r>
    </w:p>
    <w:p>
      <w:pPr>
        <w:ind w:firstLine="420" w:firstLineChars="200"/>
        <w:rPr>
          <w:rFonts w:ascii="宋体" w:hAnsi="宋体" w:eastAsia="宋体" w:cs="宋体"/>
          <w:szCs w:val="21"/>
        </w:rPr>
      </w:pPr>
      <w:r>
        <w:rPr>
          <w:rFonts w:hint="eastAsia" w:ascii="宋体" w:hAnsi="宋体" w:eastAsia="宋体" w:cs="宋体"/>
          <w:szCs w:val="21"/>
        </w:rPr>
        <w:t>7、乙方有权要求甲方办公人员遵守有关物业管理制度。</w:t>
      </w:r>
    </w:p>
    <w:p>
      <w:pPr>
        <w:ind w:firstLine="420" w:firstLineChars="200"/>
        <w:rPr>
          <w:rFonts w:ascii="宋体" w:hAnsi="宋体" w:eastAsia="宋体" w:cs="宋体"/>
          <w:szCs w:val="21"/>
        </w:rPr>
      </w:pPr>
      <w:r>
        <w:rPr>
          <w:rFonts w:hint="eastAsia" w:ascii="宋体" w:hAnsi="宋体" w:eastAsia="宋体" w:cs="宋体"/>
          <w:szCs w:val="21"/>
        </w:rPr>
        <w:t>8、乙方有权根据甲方的要求检查大楼内出入物品、人员来访、出入车辆。</w:t>
      </w:r>
    </w:p>
    <w:p>
      <w:pPr>
        <w:ind w:firstLine="420" w:firstLineChars="200"/>
        <w:rPr>
          <w:rFonts w:ascii="宋体" w:hAnsi="宋体" w:eastAsia="宋体" w:cs="宋体"/>
          <w:szCs w:val="21"/>
        </w:rPr>
      </w:pPr>
      <w:r>
        <w:rPr>
          <w:rFonts w:hint="eastAsia" w:ascii="宋体" w:hAnsi="宋体" w:eastAsia="宋体" w:cs="宋体"/>
          <w:szCs w:val="21"/>
        </w:rPr>
        <w:t>9、乙方经甲方委托授权有权对安全、消防突发事件进行应急处置（如盗窃、火灾等），并及时报告甲方管理人员。</w:t>
      </w:r>
    </w:p>
    <w:p>
      <w:pPr>
        <w:ind w:firstLine="420" w:firstLineChars="200"/>
        <w:rPr>
          <w:rFonts w:ascii="宋体" w:hAnsi="宋体" w:eastAsia="宋体" w:cs="宋体"/>
          <w:szCs w:val="21"/>
        </w:rPr>
      </w:pPr>
      <w:r>
        <w:rPr>
          <w:rFonts w:hint="eastAsia" w:ascii="宋体" w:hAnsi="宋体" w:eastAsia="宋体" w:cs="宋体"/>
          <w:szCs w:val="21"/>
        </w:rPr>
        <w:t>10、接受物业管理主管部门及有关政府部门的监督，并接受甲方的监督。</w:t>
      </w:r>
    </w:p>
    <w:p>
      <w:pPr>
        <w:ind w:firstLine="420" w:firstLineChars="200"/>
        <w:rPr>
          <w:rFonts w:ascii="宋体" w:hAnsi="宋体" w:eastAsia="宋体" w:cs="宋体"/>
          <w:szCs w:val="21"/>
        </w:rPr>
      </w:pPr>
      <w:r>
        <w:rPr>
          <w:rFonts w:hint="eastAsia" w:ascii="宋体" w:hAnsi="宋体" w:eastAsia="宋体" w:cs="宋体"/>
          <w:szCs w:val="21"/>
        </w:rPr>
        <w:t>11、对深圳市盐田区人力资源大楼的公用设施不得擅自占用和改变使用功能，如需内改、扩建完善配套项目，须报甲方和有关部门批准后方可实施。</w:t>
      </w:r>
    </w:p>
    <w:p>
      <w:pPr>
        <w:ind w:firstLine="420" w:firstLineChars="200"/>
        <w:rPr>
          <w:rFonts w:ascii="宋体" w:hAnsi="宋体" w:eastAsia="宋体" w:cs="宋体"/>
          <w:szCs w:val="21"/>
        </w:rPr>
      </w:pPr>
      <w:r>
        <w:rPr>
          <w:rFonts w:hint="eastAsia" w:ascii="宋体" w:hAnsi="宋体" w:eastAsia="宋体" w:cs="宋体"/>
          <w:szCs w:val="21"/>
        </w:rPr>
        <w:t>12、建立本物业的物业管理档案并负责及时记载有关变更情况。</w:t>
      </w:r>
    </w:p>
    <w:p>
      <w:pPr>
        <w:ind w:firstLine="420" w:firstLineChars="200"/>
        <w:rPr>
          <w:rFonts w:ascii="宋体" w:hAnsi="宋体" w:eastAsia="宋体" w:cs="宋体"/>
          <w:szCs w:val="21"/>
        </w:rPr>
      </w:pPr>
      <w:r>
        <w:rPr>
          <w:rFonts w:hint="eastAsia" w:ascii="宋体" w:hAnsi="宋体" w:eastAsia="宋体" w:cs="宋体"/>
          <w:szCs w:val="21"/>
        </w:rPr>
        <w:t>13、及时向甲方提交各类重大突发事件处理的报告。</w:t>
      </w:r>
    </w:p>
    <w:p>
      <w:pPr>
        <w:ind w:firstLine="420" w:firstLineChars="200"/>
        <w:rPr>
          <w:rFonts w:ascii="宋体" w:hAnsi="宋体" w:eastAsia="宋体" w:cs="宋体"/>
          <w:szCs w:val="21"/>
        </w:rPr>
      </w:pPr>
      <w:r>
        <w:rPr>
          <w:rFonts w:hint="eastAsia" w:ascii="宋体" w:hAnsi="宋体" w:eastAsia="宋体" w:cs="宋体"/>
          <w:szCs w:val="21"/>
        </w:rPr>
        <w:t>14、乙方作好双方管理层召开的会议记录和会议纪要，并形成书面形式备查。</w:t>
      </w:r>
    </w:p>
    <w:p>
      <w:pPr>
        <w:ind w:firstLine="420" w:firstLineChars="200"/>
        <w:rPr>
          <w:rFonts w:ascii="宋体" w:hAnsi="宋体" w:eastAsia="宋体" w:cs="宋体"/>
          <w:szCs w:val="21"/>
        </w:rPr>
      </w:pPr>
      <w:r>
        <w:rPr>
          <w:rFonts w:hint="eastAsia" w:ascii="宋体" w:hAnsi="宋体" w:eastAsia="宋体" w:cs="宋体"/>
          <w:szCs w:val="21"/>
        </w:rPr>
        <w:t>15、加强乙方员工职业道德和法制教育，切实履行保密协议，遵守保密制度。</w:t>
      </w:r>
    </w:p>
    <w:p>
      <w:pPr>
        <w:ind w:firstLine="420" w:firstLineChars="200"/>
        <w:rPr>
          <w:rFonts w:ascii="宋体" w:hAnsi="宋体" w:eastAsia="宋体" w:cs="宋体"/>
          <w:szCs w:val="21"/>
        </w:rPr>
      </w:pPr>
      <w:r>
        <w:rPr>
          <w:rFonts w:hint="eastAsia" w:ascii="宋体" w:hAnsi="宋体" w:eastAsia="宋体" w:cs="宋体"/>
          <w:szCs w:val="21"/>
        </w:rPr>
        <w:t>16、负责与服务员工签订书面劳动合同；支付员工工资不能低于当年深圳市公布的最低工资标准；对有资质要求的人员，须持证上岗。乙方与服务员工发生的任何纠纷均与甲方无关，若因此给甲方造成的损失由乙方负责赔偿，甲方可直接从物业管理费中扣除，不足部分有权向乙方追偿。</w:t>
      </w:r>
    </w:p>
    <w:p>
      <w:pPr>
        <w:ind w:firstLine="420" w:firstLineChars="200"/>
        <w:rPr>
          <w:rFonts w:ascii="宋体" w:hAnsi="宋体" w:eastAsia="宋体" w:cs="宋体"/>
          <w:szCs w:val="21"/>
        </w:rPr>
      </w:pPr>
      <w:r>
        <w:rPr>
          <w:rFonts w:hint="eastAsia" w:ascii="宋体" w:hAnsi="宋体" w:eastAsia="宋体" w:cs="宋体"/>
          <w:szCs w:val="21"/>
        </w:rPr>
        <w:t>17、乙方工作人员如因在服务过程中发生工作安全、伤亡事故，须根据有关法律法规的规定承担应由乙方负责的费用及损失赔偿；如在服务过程中给甲方、甲方工作人员造成损害，由乙方负责赔偿。</w:t>
      </w:r>
    </w:p>
    <w:p>
      <w:pPr>
        <w:ind w:firstLine="420" w:firstLineChars="200"/>
        <w:rPr>
          <w:rFonts w:ascii="宋体" w:hAnsi="宋体" w:eastAsia="宋体" w:cs="宋体"/>
          <w:szCs w:val="21"/>
        </w:rPr>
      </w:pPr>
      <w:r>
        <w:rPr>
          <w:rFonts w:hint="eastAsia" w:ascii="宋体" w:hAnsi="宋体" w:eastAsia="宋体" w:cs="宋体"/>
          <w:szCs w:val="21"/>
        </w:rPr>
        <w:t>18、本合同终止时，乙方必须从合同终止日起十天内向甲方移交原委托管理的全部物业、管理用房及其各类管理档案、财务等资料。</w:t>
      </w:r>
    </w:p>
    <w:p>
      <w:pPr>
        <w:ind w:firstLine="420" w:firstLineChars="200"/>
        <w:rPr>
          <w:rFonts w:ascii="宋体" w:hAnsi="宋体" w:eastAsia="宋体" w:cs="宋体"/>
          <w:szCs w:val="21"/>
        </w:rPr>
      </w:pPr>
      <w:r>
        <w:rPr>
          <w:rFonts w:hint="eastAsia" w:ascii="宋体" w:hAnsi="宋体" w:eastAsia="宋体" w:cs="宋体"/>
          <w:szCs w:val="21"/>
        </w:rPr>
        <w:t>19、向大楼使用人告知物业管理有关规定，使用人进行房屋改造、装修时，告知有关限制条件，签订安全生产相关书面约定，并负责全程跟踪监督。</w:t>
      </w:r>
    </w:p>
    <w:p>
      <w:pPr>
        <w:ind w:firstLine="420" w:firstLineChars="200"/>
        <w:rPr>
          <w:rFonts w:ascii="宋体" w:hAnsi="宋体" w:eastAsia="宋体" w:cs="宋体"/>
          <w:szCs w:val="21"/>
        </w:rPr>
      </w:pPr>
      <w:r>
        <w:rPr>
          <w:rFonts w:hint="eastAsia" w:ascii="宋体" w:hAnsi="宋体" w:eastAsia="宋体" w:cs="宋体"/>
          <w:szCs w:val="21"/>
        </w:rPr>
        <w:t>20、乙方可根据实际需要，在征得甲方同意后，委托具有资质的第三方专业服务企业承担物业区域内的绿化、保洁</w:t>
      </w:r>
      <w:r>
        <w:rPr>
          <w:rFonts w:hint="eastAsia" w:ascii="宋体" w:hAnsi="宋体" w:eastAsia="宋体" w:cs="宋体"/>
          <w:color w:val="000000" w:themeColor="text1"/>
          <w:szCs w:val="21"/>
        </w:rPr>
        <w:t>、消防维保、电梯维保、水池清洗</w:t>
      </w:r>
      <w:r>
        <w:rPr>
          <w:rFonts w:hint="eastAsia" w:ascii="宋体" w:hAnsi="宋体" w:eastAsia="宋体" w:cs="宋体"/>
          <w:szCs w:val="21"/>
        </w:rPr>
        <w:t>等专项服务项目。乙方与所选定的专业服务企业签订的合同不得低于本合同的服务标准，并对专业服务企业的服务行为承担直接责任。</w:t>
      </w:r>
    </w:p>
    <w:p>
      <w:pPr>
        <w:ind w:firstLine="420" w:firstLineChars="200"/>
        <w:rPr>
          <w:rFonts w:ascii="宋体" w:hAnsi="宋体" w:eastAsia="宋体" w:cs="宋体"/>
          <w:szCs w:val="21"/>
        </w:rPr>
      </w:pPr>
      <w:r>
        <w:rPr>
          <w:rFonts w:hint="eastAsia" w:ascii="宋体" w:hAnsi="宋体" w:eastAsia="宋体" w:cs="宋体"/>
          <w:szCs w:val="21"/>
        </w:rPr>
        <w:t>21、法规政策规定由乙方负责的其他事项。</w:t>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五、项目商务要求</w:t>
      </w:r>
    </w:p>
    <w:p>
      <w:pPr>
        <w:ind w:firstLine="420" w:firstLineChars="200"/>
        <w:rPr>
          <w:rFonts w:ascii="宋体" w:hAnsi="宋体" w:eastAsia="宋体" w:cs="宋体"/>
          <w:szCs w:val="21"/>
        </w:rPr>
      </w:pPr>
      <w:r>
        <w:rPr>
          <w:rFonts w:hint="eastAsia" w:ascii="宋体" w:hAnsi="宋体" w:eastAsia="宋体" w:cs="宋体"/>
          <w:szCs w:val="21"/>
        </w:rPr>
        <w:t>1、项目服务期限：本项目合同期为自签订之日起12个月。</w:t>
      </w:r>
    </w:p>
    <w:p>
      <w:pPr>
        <w:ind w:firstLine="420" w:firstLineChars="200"/>
        <w:rPr>
          <w:rFonts w:ascii="宋体" w:hAnsi="宋体" w:eastAsia="宋体" w:cs="宋体"/>
          <w:szCs w:val="21"/>
        </w:rPr>
      </w:pPr>
      <w:r>
        <w:rPr>
          <w:rFonts w:hint="eastAsia" w:ascii="宋体" w:hAnsi="宋体" w:eastAsia="宋体" w:cs="宋体"/>
          <w:szCs w:val="21"/>
        </w:rPr>
        <w:t>2、服务地点：深圳市盐田区人力资源大楼</w:t>
      </w:r>
    </w:p>
    <w:p>
      <w:pPr>
        <w:ind w:firstLine="420" w:firstLineChars="200"/>
        <w:rPr>
          <w:rFonts w:ascii="宋体" w:hAnsi="宋体" w:eastAsia="宋体" w:cs="宋体"/>
          <w:szCs w:val="21"/>
        </w:rPr>
      </w:pPr>
      <w:r>
        <w:rPr>
          <w:rFonts w:hint="eastAsia" w:ascii="宋体" w:hAnsi="宋体" w:eastAsia="宋体" w:cs="宋体"/>
          <w:szCs w:val="21"/>
        </w:rPr>
        <w:t>3、付款期限和方式：按照中标人报价按月进行支付，甲方自收到发票之日起十个工作日内支付上月管理服务费。</w:t>
      </w:r>
    </w:p>
    <w:p>
      <w:pPr>
        <w:ind w:firstLine="420" w:firstLineChars="200"/>
        <w:rPr>
          <w:rFonts w:ascii="宋体" w:hAnsi="宋体" w:eastAsia="宋体" w:cs="宋体"/>
          <w:szCs w:val="21"/>
        </w:rPr>
      </w:pPr>
      <w:r>
        <w:rPr>
          <w:rFonts w:hint="eastAsia" w:ascii="宋体" w:hAnsi="宋体" w:eastAsia="宋体" w:cs="宋体"/>
          <w:szCs w:val="21"/>
        </w:rPr>
        <w:t>4、验收条件：</w:t>
      </w:r>
    </w:p>
    <w:p>
      <w:pPr>
        <w:ind w:firstLine="420" w:firstLineChars="200"/>
        <w:rPr>
          <w:rFonts w:ascii="宋体" w:hAnsi="宋体" w:eastAsia="宋体" w:cs="宋体"/>
          <w:szCs w:val="21"/>
        </w:rPr>
      </w:pPr>
      <w:r>
        <w:rPr>
          <w:rFonts w:hint="eastAsia" w:ascii="宋体" w:hAnsi="宋体" w:eastAsia="宋体" w:cs="宋体"/>
          <w:szCs w:val="21"/>
        </w:rPr>
        <w:t>1.服务经过双方检验认可后，签署验收文件。</w:t>
      </w:r>
    </w:p>
    <w:p>
      <w:pPr>
        <w:ind w:firstLine="420" w:firstLineChars="200"/>
        <w:rPr>
          <w:rFonts w:ascii="宋体" w:hAnsi="宋体" w:eastAsia="宋体" w:cs="宋体"/>
          <w:szCs w:val="21"/>
        </w:rPr>
      </w:pPr>
      <w:r>
        <w:rPr>
          <w:rFonts w:hint="eastAsia" w:ascii="宋体" w:hAnsi="宋体" w:eastAsia="宋体" w:cs="宋体"/>
          <w:szCs w:val="21"/>
        </w:rPr>
        <w:t>2.当满足以下条件时，采购人才向成交供应商签发验收文件：</w:t>
      </w:r>
    </w:p>
    <w:p>
      <w:pPr>
        <w:ind w:firstLine="420" w:firstLineChars="200"/>
        <w:rPr>
          <w:rFonts w:ascii="宋体" w:hAnsi="宋体" w:eastAsia="宋体" w:cs="宋体"/>
          <w:szCs w:val="21"/>
        </w:rPr>
      </w:pPr>
      <w:r>
        <w:rPr>
          <w:rFonts w:hint="eastAsia" w:ascii="宋体" w:hAnsi="宋体" w:eastAsia="宋体" w:cs="宋体"/>
          <w:szCs w:val="21"/>
        </w:rPr>
        <w:t>服务项目符合招标文件的服务要求。</w:t>
      </w:r>
    </w:p>
    <w:p>
      <w:pPr>
        <w:ind w:firstLine="420" w:firstLineChars="200"/>
        <w:rPr>
          <w:rFonts w:ascii="宋体" w:hAnsi="宋体" w:eastAsia="宋体" w:cs="宋体"/>
          <w:szCs w:val="21"/>
        </w:rPr>
      </w:pPr>
      <w:r>
        <w:rPr>
          <w:rFonts w:hint="eastAsia" w:ascii="宋体" w:hAnsi="宋体" w:eastAsia="宋体" w:cs="宋体"/>
          <w:szCs w:val="21"/>
        </w:rPr>
        <w:t>5、违约责任：</w:t>
      </w:r>
    </w:p>
    <w:p>
      <w:pPr>
        <w:ind w:firstLine="420" w:firstLineChars="200"/>
        <w:rPr>
          <w:rFonts w:ascii="宋体" w:hAnsi="宋体" w:eastAsia="宋体" w:cs="宋体"/>
          <w:szCs w:val="21"/>
        </w:rPr>
      </w:pPr>
      <w:r>
        <w:rPr>
          <w:rFonts w:hint="eastAsia" w:ascii="宋体" w:hAnsi="宋体" w:eastAsia="宋体" w:cs="宋体"/>
          <w:szCs w:val="21"/>
        </w:rPr>
        <w:t>成交供应商若未按合同约定履行义务，或如因成交供应商原因造成服务达不到采购人管理目标或直接造成采购人经济损失的，采购人有权按照本合同约定要求成交供应商按照合同总额一定比例支付违约金，违约金可直接在下一次月结费用中直接扣除。同时，采购人有权要求成交供应商限期整改，在限期时间内没有整改，采购人有权解除合同。如造成经济损失，采购人有权向成交供应商索赔。</w:t>
      </w:r>
    </w:p>
    <w:p>
      <w:pPr>
        <w:ind w:firstLine="420" w:firstLineChars="200"/>
        <w:rPr>
          <w:rFonts w:ascii="宋体" w:hAnsi="宋体" w:eastAsia="宋体" w:cs="宋体"/>
          <w:szCs w:val="21"/>
        </w:rPr>
      </w:pPr>
      <w:r>
        <w:rPr>
          <w:rFonts w:hint="eastAsia" w:ascii="宋体" w:hAnsi="宋体" w:eastAsia="宋体" w:cs="宋体"/>
          <w:szCs w:val="21"/>
        </w:rPr>
        <w:t>6、争议解决方法：</w:t>
      </w:r>
    </w:p>
    <w:p>
      <w:pPr>
        <w:ind w:firstLine="420" w:firstLineChars="200"/>
        <w:rPr>
          <w:rFonts w:ascii="宋体" w:hAnsi="宋体" w:eastAsia="宋体" w:cs="宋体"/>
          <w:szCs w:val="21"/>
        </w:rPr>
      </w:pPr>
      <w:r>
        <w:rPr>
          <w:rFonts w:hint="eastAsia" w:ascii="宋体" w:hAnsi="宋体" w:eastAsia="宋体" w:cs="宋体"/>
          <w:szCs w:val="21"/>
        </w:rPr>
        <w:t>如在服务履行过程中发生争议，双方本着友好合作原则协商解决，如不能通过协商解决争议时，双方同意在盐田区人民法院诉讼解决。</w:t>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六、投标供应商资格要求</w:t>
      </w:r>
    </w:p>
    <w:p>
      <w:pPr>
        <w:ind w:firstLine="420" w:firstLineChars="200"/>
        <w:rPr>
          <w:rFonts w:cs="宋体" w:asciiTheme="minorEastAsia" w:hAnsiTheme="minorEastAsia"/>
          <w:szCs w:val="21"/>
        </w:rPr>
      </w:pPr>
      <w:r>
        <w:rPr>
          <w:rFonts w:hint="eastAsia" w:cs="宋体" w:asciiTheme="minorEastAsia" w:hAnsiTheme="minorEastAsia"/>
          <w:szCs w:val="21"/>
        </w:rPr>
        <w:t>（一）符合《中华人民共和国政府采购法》第二十二条规定的资质要求（由供应商在《投标及履约承诺函》声明）；</w:t>
      </w:r>
    </w:p>
    <w:p>
      <w:pPr>
        <w:ind w:firstLine="420" w:firstLineChars="200"/>
        <w:rPr>
          <w:rFonts w:cs="宋体" w:asciiTheme="minorEastAsia" w:hAnsiTheme="minorEastAsia"/>
          <w:szCs w:val="21"/>
        </w:rPr>
      </w:pPr>
      <w:r>
        <w:rPr>
          <w:rFonts w:hint="eastAsia" w:cs="宋体" w:asciiTheme="minorEastAsia" w:hAnsiTheme="minorEastAsia"/>
          <w:szCs w:val="21"/>
        </w:rPr>
        <w:t>（二）具有独立法人资格或具有独立承担民事责任的能力（提供营业执照或事业单位法人证等法人证明扫描件 ，原件备查）；</w:t>
      </w:r>
    </w:p>
    <w:p>
      <w:pPr>
        <w:ind w:firstLine="420" w:firstLineChars="200"/>
        <w:rPr>
          <w:rFonts w:cs="宋体" w:asciiTheme="minorEastAsia" w:hAnsiTheme="minorEastAsia"/>
          <w:szCs w:val="21"/>
        </w:rPr>
      </w:pPr>
      <w:r>
        <w:rPr>
          <w:rFonts w:hint="eastAsia" w:cs="宋体" w:asciiTheme="minorEastAsia" w:hAnsiTheme="minorEastAsia"/>
          <w:szCs w:val="21"/>
        </w:rPr>
        <w:t>（三）参与本项目政府采购活动时不存在被有关部门禁 止参与政府采购活动且在有效期内的情况（由供应商在《投标及履约承诺函》声明）；</w:t>
      </w:r>
    </w:p>
    <w:p>
      <w:pPr>
        <w:ind w:firstLine="420" w:firstLineChars="200"/>
        <w:rPr>
          <w:rFonts w:cs="宋体" w:asciiTheme="minorEastAsia" w:hAnsiTheme="minorEastAsia"/>
          <w:szCs w:val="21"/>
        </w:rPr>
      </w:pPr>
      <w:r>
        <w:rPr>
          <w:rFonts w:hint="eastAsia" w:cs="宋体" w:asciiTheme="minorEastAsia" w:hAnsiTheme="minorEastAsia"/>
          <w:szCs w:val="21"/>
        </w:rPr>
        <w:t>（四）未被列入失信被执行人、重大税收违法案件当事人名单、政府采购严重违法失信行为记录名单（由供应商在《投标及履约承诺函》声明）；</w:t>
      </w:r>
    </w:p>
    <w:p>
      <w:pPr>
        <w:ind w:firstLine="420" w:firstLineChars="200"/>
        <w:rPr>
          <w:rFonts w:cs="宋体" w:asciiTheme="minorEastAsia" w:hAnsiTheme="minorEastAsia"/>
          <w:szCs w:val="21"/>
        </w:rPr>
      </w:pPr>
      <w:r>
        <w:rPr>
          <w:rFonts w:hint="eastAsia" w:cs="宋体" w:asciiTheme="minorEastAsia" w:hAnsiTheme="minorEastAsia"/>
          <w:szCs w:val="21"/>
        </w:rPr>
        <w:t>（五）不存在《深圳市财政局政府采购供应商信用信息管理办法》（深财规【2023】3号）列明的严重违法失信行为（由供应商在《投标及履约承诺函》声明）；</w:t>
      </w:r>
    </w:p>
    <w:p>
      <w:pPr>
        <w:ind w:firstLine="420" w:firstLineChars="200"/>
        <w:rPr>
          <w:rFonts w:cs="宋体" w:asciiTheme="minorEastAsia" w:hAnsiTheme="minorEastAsia"/>
          <w:szCs w:val="21"/>
        </w:rPr>
      </w:pPr>
      <w:r>
        <w:rPr>
          <w:rFonts w:hint="eastAsia" w:cs="宋体" w:asciiTheme="minorEastAsia" w:hAnsiTheme="minorEastAsia"/>
          <w:szCs w:val="21"/>
        </w:rPr>
        <w:t>（六）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声明）；</w:t>
      </w:r>
    </w:p>
    <w:p>
      <w:pPr>
        <w:ind w:firstLine="420" w:firstLineChars="200"/>
        <w:rPr>
          <w:rFonts w:ascii="仿宋" w:hAnsi="仿宋" w:eastAsia="仿宋" w:cs="仿宋"/>
          <w:sz w:val="28"/>
          <w:szCs w:val="28"/>
        </w:rPr>
      </w:pPr>
      <w:r>
        <w:rPr>
          <w:rFonts w:hint="eastAsia" w:cs="仿宋" w:asciiTheme="minorEastAsia" w:hAnsiTheme="minorEastAsia"/>
          <w:szCs w:val="21"/>
        </w:rPr>
        <w:t>（七）本项目不接受联合体投标人。</w:t>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七、其它要求及说明</w:t>
      </w:r>
    </w:p>
    <w:p>
      <w:pPr>
        <w:ind w:firstLine="420" w:firstLineChars="200"/>
        <w:rPr>
          <w:rFonts w:ascii="宋体" w:hAnsi="宋体" w:eastAsia="宋体" w:cs="宋体"/>
          <w:szCs w:val="21"/>
        </w:rPr>
      </w:pPr>
      <w:r>
        <w:rPr>
          <w:rFonts w:hint="eastAsia" w:ascii="宋体" w:hAnsi="宋体" w:eastAsia="宋体" w:cs="宋体"/>
          <w:szCs w:val="21"/>
        </w:rPr>
        <w:t>（一）本项目费采用包干制，包括服务成本、法定税费和企业的利润，由投标人根据采购文件所提供的资料自行测算投标报价。投标报价不得高于项目预算金额，若超出将作投标无效处理。</w:t>
      </w:r>
    </w:p>
    <w:p>
      <w:pPr>
        <w:ind w:firstLine="420" w:firstLineChars="200"/>
        <w:rPr>
          <w:rFonts w:ascii="宋体" w:hAnsi="宋体" w:eastAsia="宋体" w:cs="宋体"/>
          <w:szCs w:val="21"/>
        </w:rPr>
      </w:pPr>
      <w:r>
        <w:rPr>
          <w:rFonts w:hint="eastAsia" w:ascii="宋体" w:hAnsi="宋体" w:eastAsia="宋体" w:cs="宋体"/>
          <w:szCs w:val="21"/>
        </w:rPr>
        <w:t>（二）投标人投标报价总额一经中标后，即作为中标人与采购人签订该项目合同的总价。</w:t>
      </w:r>
    </w:p>
    <w:p>
      <w:pPr>
        <w:ind w:firstLine="420" w:firstLineChars="200"/>
        <w:rPr>
          <w:rFonts w:eastAsia="宋体"/>
        </w:rPr>
      </w:pPr>
      <w:r>
        <w:rPr>
          <w:rFonts w:hint="eastAsia" w:ascii="宋体" w:hAnsi="宋体" w:eastAsia="宋体" w:cs="宋体"/>
          <w:szCs w:val="21"/>
        </w:rPr>
        <w:t>（三）投标供应商应充分了解项目的位置、情况、道路及任何其它足以影响其报价的情况，任何因忽视或误解项目情况而导致的索赔或服务期限延长申请将不获批准。</w:t>
      </w:r>
    </w:p>
    <w:p>
      <w:pPr>
        <w:rPr>
          <w:rFonts w:ascii="方正仿宋_GB2312" w:hAnsi="方正仿宋_GB2312" w:eastAsia="方正仿宋_GB2312" w:cs="方正仿宋_GB2312"/>
          <w:b/>
          <w:sz w:val="28"/>
          <w:szCs w:val="28"/>
        </w:rPr>
      </w:pPr>
    </w:p>
    <w:p>
      <w:pPr>
        <w:rPr>
          <w:rFonts w:ascii="黑体" w:hAnsi="黑体" w:eastAsia="黑体" w:cs="黑体"/>
          <w:b/>
          <w:sz w:val="28"/>
          <w:szCs w:val="28"/>
        </w:rPr>
      </w:pPr>
      <w:r>
        <w:rPr>
          <w:rFonts w:hint="eastAsia" w:ascii="黑体" w:hAnsi="黑体" w:eastAsia="黑体" w:cs="黑体"/>
          <w:b/>
          <w:sz w:val="28"/>
          <w:szCs w:val="28"/>
        </w:rPr>
        <w:br w:type="page"/>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八、评标信息</w:t>
      </w:r>
    </w:p>
    <w:p>
      <w:pPr>
        <w:ind w:firstLine="420" w:firstLineChars="200"/>
        <w:rPr>
          <w:rFonts w:ascii="宋体" w:hAnsi="宋体" w:eastAsia="宋体" w:cs="宋体"/>
          <w:szCs w:val="21"/>
        </w:rPr>
      </w:pPr>
      <w:r>
        <w:rPr>
          <w:rFonts w:hint="eastAsia" w:ascii="宋体" w:hAnsi="宋体" w:eastAsia="宋体" w:cs="宋体"/>
          <w:szCs w:val="21"/>
        </w:rPr>
        <w:t>评标方法：综合评分法</w:t>
      </w:r>
    </w:p>
    <w:p>
      <w:pPr>
        <w:ind w:firstLine="420" w:firstLineChars="200"/>
        <w:rPr>
          <w:rFonts w:ascii="宋体" w:hAnsi="宋体" w:eastAsia="宋体" w:cs="宋体"/>
          <w:szCs w:val="21"/>
        </w:rPr>
      </w:pPr>
      <w:r>
        <w:rPr>
          <w:rFonts w:hint="eastAsia" w:ascii="宋体" w:hAnsi="宋体" w:eastAsia="宋体" w:cs="宋体"/>
          <w:szCs w:val="21"/>
        </w:rPr>
        <w:t>综合评分法，是指投标文件满足招标文件全部实质性要求，且按照评审因素的量化指标评审得分最高的投标人为中标候选人的评标方法。</w:t>
      </w:r>
    </w:p>
    <w:tbl>
      <w:tblPr>
        <w:tblStyle w:val="14"/>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448"/>
        <w:gridCol w:w="1370"/>
        <w:gridCol w:w="780"/>
        <w:gridCol w:w="764"/>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序号</w:t>
            </w:r>
          </w:p>
        </w:tc>
        <w:tc>
          <w:tcPr>
            <w:tcW w:w="33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评分项</w:t>
            </w: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szCs w:val="21"/>
              </w:rPr>
            </w:pPr>
            <w:r>
              <w:rPr>
                <w:rFonts w:hint="eastAsia" w:ascii="宋体" w:hAnsi="宋体" w:eastAsia="宋体" w:cs="宋体"/>
                <w:b/>
                <w:szCs w:val="21"/>
              </w:rPr>
              <w:t>1</w:t>
            </w:r>
          </w:p>
        </w:tc>
        <w:tc>
          <w:tcPr>
            <w:tcW w:w="33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价格</w:t>
            </w: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szCs w:val="21"/>
              </w:rPr>
            </w:pPr>
            <w:r>
              <w:rPr>
                <w:rFonts w:hint="eastAsia" w:ascii="宋体" w:hAnsi="宋体" w:eastAsia="宋体" w:cs="宋体"/>
                <w:b/>
                <w:szCs w:val="21"/>
              </w:rPr>
              <w:t>2</w:t>
            </w:r>
          </w:p>
        </w:tc>
        <w:tc>
          <w:tcPr>
            <w:tcW w:w="33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技术部分</w:t>
            </w: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27" w:type="dxa"/>
            <w:vMerge w:val="restart"/>
            <w:tcBorders>
              <w:top w:val="single" w:color="auto" w:sz="4" w:space="0"/>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序号</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评分因素</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权重（%）</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评分方式</w:t>
            </w: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实施方案</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14</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专家打分</w:t>
            </w:r>
          </w:p>
        </w:tc>
        <w:tc>
          <w:tcPr>
            <w:tcW w:w="4350" w:type="dxa"/>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szCs w:val="21"/>
              </w:rPr>
            </w:pPr>
            <w:r>
              <w:rPr>
                <w:rFonts w:hint="eastAsia" w:ascii="宋体" w:hAnsi="宋体" w:eastAsia="宋体" w:cs="宋体"/>
                <w:szCs w:val="21"/>
              </w:rPr>
              <w:t>（一）评分内容：</w:t>
            </w:r>
          </w:p>
          <w:p>
            <w:pPr>
              <w:jc w:val="left"/>
              <w:rPr>
                <w:rFonts w:ascii="宋体" w:hAnsi="宋体" w:eastAsia="宋体" w:cs="宋体"/>
                <w:szCs w:val="21"/>
              </w:rPr>
            </w:pPr>
            <w:r>
              <w:rPr>
                <w:rFonts w:hint="eastAsia" w:ascii="宋体" w:hAnsi="宋体" w:eastAsia="宋体" w:cs="宋体"/>
                <w:szCs w:val="21"/>
              </w:rPr>
              <w:t>评审委员会根据投标单位的项目实施方案进行评审，包括但不限于以下方案：</w:t>
            </w:r>
          </w:p>
          <w:p>
            <w:pPr>
              <w:jc w:val="left"/>
              <w:rPr>
                <w:rFonts w:ascii="宋体" w:hAnsi="宋体" w:eastAsia="宋体" w:cs="宋体"/>
                <w:szCs w:val="21"/>
              </w:rPr>
            </w:pPr>
            <w:r>
              <w:rPr>
                <w:rFonts w:hint="eastAsia" w:ascii="宋体" w:hAnsi="宋体" w:eastAsia="宋体" w:cs="宋体"/>
                <w:szCs w:val="21"/>
              </w:rPr>
              <w:t>1.针对本项目的管理方式、服务计划和定位；</w:t>
            </w:r>
          </w:p>
          <w:p>
            <w:pPr>
              <w:jc w:val="left"/>
              <w:rPr>
                <w:rFonts w:ascii="宋体" w:hAnsi="宋体" w:eastAsia="宋体" w:cs="宋体"/>
                <w:szCs w:val="21"/>
              </w:rPr>
            </w:pPr>
            <w:r>
              <w:rPr>
                <w:rFonts w:hint="eastAsia" w:ascii="宋体" w:hAnsi="宋体" w:eastAsia="宋体" w:cs="宋体"/>
                <w:szCs w:val="21"/>
              </w:rPr>
              <w:t>2.制度和档案的建立与管理；</w:t>
            </w:r>
          </w:p>
          <w:p>
            <w:pPr>
              <w:jc w:val="left"/>
              <w:rPr>
                <w:rFonts w:ascii="宋体" w:hAnsi="宋体" w:eastAsia="宋体" w:cs="宋体"/>
                <w:szCs w:val="21"/>
              </w:rPr>
            </w:pPr>
            <w:r>
              <w:rPr>
                <w:rFonts w:hint="eastAsia" w:ascii="宋体" w:hAnsi="宋体" w:eastAsia="宋体" w:cs="宋体"/>
                <w:szCs w:val="21"/>
              </w:rPr>
              <w:t>3.机电设备设施、智能化系统管理;</w:t>
            </w:r>
          </w:p>
          <w:p>
            <w:pPr>
              <w:jc w:val="left"/>
              <w:rPr>
                <w:rFonts w:ascii="宋体" w:hAnsi="宋体" w:eastAsia="宋体" w:cs="宋体"/>
                <w:szCs w:val="21"/>
              </w:rPr>
            </w:pPr>
            <w:r>
              <w:rPr>
                <w:rFonts w:hint="eastAsia" w:ascii="宋体" w:hAnsi="宋体" w:eastAsia="宋体" w:cs="宋体"/>
                <w:szCs w:val="21"/>
              </w:rPr>
              <w:t>4.安全、绿化及清洁管理；</w:t>
            </w:r>
          </w:p>
          <w:p>
            <w:pPr>
              <w:jc w:val="left"/>
              <w:rPr>
                <w:rFonts w:ascii="宋体" w:hAnsi="宋体" w:eastAsia="宋体" w:cs="宋体"/>
                <w:szCs w:val="21"/>
              </w:rPr>
            </w:pPr>
            <w:r>
              <w:rPr>
                <w:rFonts w:hint="eastAsia" w:ascii="宋体" w:hAnsi="宋体" w:eastAsia="宋体" w:cs="宋体"/>
                <w:szCs w:val="21"/>
              </w:rPr>
              <w:t>5.培训与管理方案。</w:t>
            </w:r>
          </w:p>
          <w:p>
            <w:pPr>
              <w:jc w:val="left"/>
              <w:rPr>
                <w:rFonts w:ascii="宋体" w:hAnsi="宋体" w:eastAsia="宋体" w:cs="宋体"/>
                <w:szCs w:val="21"/>
              </w:rPr>
            </w:pPr>
            <w:r>
              <w:rPr>
                <w:rFonts w:hint="eastAsia" w:ascii="宋体" w:hAnsi="宋体" w:eastAsia="宋体" w:cs="宋体"/>
                <w:szCs w:val="21"/>
              </w:rPr>
              <w:t>（二）评分依据：</w:t>
            </w:r>
          </w:p>
          <w:p>
            <w:pPr>
              <w:jc w:val="left"/>
              <w:rPr>
                <w:rFonts w:ascii="宋体" w:hAnsi="宋体" w:eastAsia="宋体" w:cs="宋体"/>
                <w:szCs w:val="21"/>
              </w:rPr>
            </w:pPr>
            <w:r>
              <w:rPr>
                <w:rFonts w:hint="eastAsia" w:ascii="宋体" w:hAnsi="宋体" w:eastAsia="宋体" w:cs="宋体"/>
                <w:szCs w:val="21"/>
              </w:rPr>
              <w:t xml:space="preserve">提供以上5点的得6分，每满足任意1点的得1.2分，最高得6分。 </w:t>
            </w:r>
          </w:p>
          <w:p>
            <w:pPr>
              <w:jc w:val="left"/>
              <w:rPr>
                <w:rFonts w:ascii="宋体" w:hAnsi="宋体" w:eastAsia="宋体" w:cs="宋体"/>
                <w:szCs w:val="21"/>
              </w:rPr>
            </w:pPr>
            <w:r>
              <w:rPr>
                <w:rFonts w:hint="eastAsia" w:ascii="宋体" w:hAnsi="宋体" w:eastAsia="宋体" w:cs="宋体"/>
                <w:szCs w:val="21"/>
              </w:rPr>
              <w:t>在此基础上，专家根据内容的合理性进行评分:</w:t>
            </w:r>
          </w:p>
          <w:p>
            <w:pPr>
              <w:jc w:val="left"/>
              <w:rPr>
                <w:rFonts w:ascii="宋体" w:hAnsi="宋体" w:eastAsia="宋体" w:cs="宋体"/>
                <w:szCs w:val="21"/>
              </w:rPr>
            </w:pPr>
            <w:r>
              <w:rPr>
                <w:rFonts w:hint="eastAsia" w:ascii="宋体" w:hAnsi="宋体" w:eastAsia="宋体" w:cs="宋体"/>
                <w:szCs w:val="21"/>
              </w:rPr>
              <w:t>优评分标准:方案符合实际、完整、规范、思路清晰，内容合理性强，得8分;</w:t>
            </w:r>
          </w:p>
          <w:p>
            <w:pPr>
              <w:jc w:val="left"/>
              <w:rPr>
                <w:rFonts w:ascii="宋体" w:hAnsi="宋体" w:eastAsia="宋体" w:cs="宋体"/>
                <w:szCs w:val="21"/>
              </w:rPr>
            </w:pPr>
            <w:r>
              <w:rPr>
                <w:rFonts w:hint="eastAsia" w:ascii="宋体" w:hAnsi="宋体" w:eastAsia="宋体" w:cs="宋体"/>
                <w:szCs w:val="21"/>
              </w:rPr>
              <w:t>良评分标准:方案较符合实际、较完整规范、思路较清晰，内容合理性较强，得5分;</w:t>
            </w:r>
          </w:p>
          <w:p>
            <w:pPr>
              <w:jc w:val="left"/>
              <w:rPr>
                <w:rFonts w:ascii="宋体" w:hAnsi="宋体" w:eastAsia="宋体" w:cs="宋体"/>
                <w:szCs w:val="21"/>
              </w:rPr>
            </w:pPr>
            <w:r>
              <w:rPr>
                <w:rFonts w:hint="eastAsia" w:ascii="宋体" w:hAnsi="宋体" w:eastAsia="宋体" w:cs="宋体"/>
                <w:szCs w:val="21"/>
              </w:rPr>
              <w:t>中评分标准:方案较普通、完整性规范性一般，思路不够清晰，内容合理性一般，得3分;</w:t>
            </w:r>
          </w:p>
          <w:p>
            <w:pPr>
              <w:jc w:val="left"/>
              <w:rPr>
                <w:rFonts w:ascii="宋体" w:hAnsi="宋体" w:eastAsia="宋体" w:cs="宋体"/>
                <w:szCs w:val="21"/>
              </w:rPr>
            </w:pPr>
            <w:r>
              <w:rPr>
                <w:rFonts w:hint="eastAsia" w:ascii="宋体" w:hAnsi="宋体" w:eastAsia="宋体" w:cs="宋体"/>
                <w:szCs w:val="21"/>
              </w:rPr>
              <w:t>差评分标准：方案不完整、不规范，思路不清晰，内容合理性较差或未提供，不得分。</w:t>
            </w:r>
          </w:p>
          <w:p>
            <w:pPr>
              <w:jc w:val="left"/>
              <w:rPr>
                <w:rFonts w:ascii="宋体" w:hAnsi="宋体" w:eastAsia="宋体" w:cs="宋体"/>
                <w:szCs w:val="21"/>
              </w:rPr>
            </w:pPr>
            <w:r>
              <w:rPr>
                <w:rFonts w:hint="eastAsia" w:ascii="宋体" w:hAnsi="宋体" w:eastAsia="宋体" w:cs="宋体"/>
                <w:szCs w:val="21"/>
              </w:rPr>
              <w:t>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质量（完成时间、安全、环保）保障措施及方案</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14</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专家打分</w:t>
            </w:r>
          </w:p>
        </w:tc>
        <w:tc>
          <w:tcPr>
            <w:tcW w:w="4350" w:type="dxa"/>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szCs w:val="21"/>
              </w:rPr>
            </w:pPr>
            <w:r>
              <w:rPr>
                <w:rFonts w:hint="eastAsia" w:ascii="宋体" w:hAnsi="宋体" w:eastAsia="宋体" w:cs="宋体"/>
                <w:szCs w:val="21"/>
              </w:rPr>
              <w:t>考察针对本项目的质量(完成时间、安全、环保)保障措施及方案，方案内容包括以下内容:</w:t>
            </w:r>
          </w:p>
          <w:p>
            <w:pPr>
              <w:jc w:val="left"/>
              <w:rPr>
                <w:rFonts w:ascii="宋体" w:hAnsi="宋体" w:eastAsia="宋体" w:cs="宋体"/>
                <w:szCs w:val="21"/>
              </w:rPr>
            </w:pPr>
            <w:r>
              <w:rPr>
                <w:rFonts w:hint="eastAsia" w:ascii="宋体" w:hAnsi="宋体" w:eastAsia="宋体" w:cs="宋体"/>
                <w:szCs w:val="21"/>
              </w:rPr>
              <w:t>1.服务质量保障措施；</w:t>
            </w:r>
          </w:p>
          <w:p>
            <w:pPr>
              <w:jc w:val="left"/>
              <w:rPr>
                <w:rFonts w:ascii="宋体" w:hAnsi="宋体" w:eastAsia="宋体" w:cs="宋体"/>
                <w:szCs w:val="21"/>
              </w:rPr>
            </w:pPr>
            <w:r>
              <w:rPr>
                <w:rFonts w:hint="eastAsia" w:ascii="宋体" w:hAnsi="宋体" w:eastAsia="宋体" w:cs="宋体"/>
                <w:szCs w:val="21"/>
              </w:rPr>
              <w:t>2.人员无法胜任岗位要求的保障措施；</w:t>
            </w:r>
          </w:p>
          <w:p>
            <w:pPr>
              <w:jc w:val="left"/>
              <w:rPr>
                <w:rFonts w:ascii="宋体" w:hAnsi="宋体" w:eastAsia="宋体" w:cs="宋体"/>
                <w:szCs w:val="21"/>
              </w:rPr>
            </w:pPr>
            <w:r>
              <w:rPr>
                <w:rFonts w:hint="eastAsia" w:ascii="宋体" w:hAnsi="宋体" w:eastAsia="宋体" w:cs="宋体"/>
                <w:szCs w:val="21"/>
              </w:rPr>
              <w:t>3.突发事件应急预案。</w:t>
            </w:r>
          </w:p>
          <w:p>
            <w:pPr>
              <w:jc w:val="left"/>
              <w:rPr>
                <w:rFonts w:ascii="宋体" w:hAnsi="宋体" w:eastAsia="宋体" w:cs="宋体"/>
                <w:szCs w:val="21"/>
              </w:rPr>
            </w:pPr>
            <w:r>
              <w:rPr>
                <w:rFonts w:hint="eastAsia" w:ascii="宋体" w:hAnsi="宋体" w:eastAsia="宋体" w:cs="宋体"/>
                <w:szCs w:val="21"/>
              </w:rPr>
              <w:t>（二）评分依据：</w:t>
            </w:r>
          </w:p>
          <w:p>
            <w:pPr>
              <w:jc w:val="left"/>
              <w:rPr>
                <w:rFonts w:ascii="宋体" w:hAnsi="宋体" w:eastAsia="宋体" w:cs="宋体"/>
                <w:szCs w:val="21"/>
              </w:rPr>
            </w:pPr>
            <w:r>
              <w:rPr>
                <w:rFonts w:hint="eastAsia" w:ascii="宋体" w:hAnsi="宋体" w:eastAsia="宋体" w:cs="宋体"/>
                <w:szCs w:val="21"/>
              </w:rPr>
              <w:t xml:space="preserve">提供以上3点的得6分，每满足任意1点的得2分，最高得6分。 </w:t>
            </w:r>
          </w:p>
          <w:p>
            <w:pPr>
              <w:jc w:val="left"/>
              <w:rPr>
                <w:rFonts w:ascii="宋体" w:hAnsi="宋体" w:eastAsia="宋体" w:cs="宋体"/>
                <w:szCs w:val="21"/>
              </w:rPr>
            </w:pPr>
            <w:r>
              <w:rPr>
                <w:rFonts w:hint="eastAsia" w:ascii="宋体" w:hAnsi="宋体" w:eastAsia="宋体" w:cs="宋体"/>
                <w:szCs w:val="21"/>
              </w:rPr>
              <w:t>在此基础上，专家根据内容的合理性进行评分:</w:t>
            </w:r>
          </w:p>
          <w:p>
            <w:pPr>
              <w:jc w:val="left"/>
              <w:rPr>
                <w:rFonts w:ascii="宋体" w:hAnsi="宋体" w:eastAsia="宋体" w:cs="宋体"/>
                <w:szCs w:val="21"/>
              </w:rPr>
            </w:pPr>
            <w:r>
              <w:rPr>
                <w:rFonts w:hint="eastAsia" w:ascii="宋体" w:hAnsi="宋体" w:eastAsia="宋体" w:cs="宋体"/>
                <w:szCs w:val="21"/>
              </w:rPr>
              <w:t>优评分标准:方案符合实际、完整、规范、思路清晰，内容合理性强，得8分;</w:t>
            </w:r>
          </w:p>
          <w:p>
            <w:pPr>
              <w:jc w:val="left"/>
              <w:rPr>
                <w:rFonts w:ascii="宋体" w:hAnsi="宋体" w:eastAsia="宋体" w:cs="宋体"/>
                <w:szCs w:val="21"/>
              </w:rPr>
            </w:pPr>
            <w:r>
              <w:rPr>
                <w:rFonts w:hint="eastAsia" w:ascii="宋体" w:hAnsi="宋体" w:eastAsia="宋体" w:cs="宋体"/>
                <w:szCs w:val="21"/>
              </w:rPr>
              <w:t>良评分标准:方案较符合实际、较完整规范、思路较清晰，内容合理性较强，得5分;</w:t>
            </w:r>
          </w:p>
          <w:p>
            <w:pPr>
              <w:jc w:val="left"/>
              <w:rPr>
                <w:rFonts w:ascii="宋体" w:hAnsi="宋体" w:eastAsia="宋体" w:cs="宋体"/>
                <w:szCs w:val="21"/>
              </w:rPr>
            </w:pPr>
            <w:r>
              <w:rPr>
                <w:rFonts w:hint="eastAsia" w:ascii="宋体" w:hAnsi="宋体" w:eastAsia="宋体" w:cs="宋体"/>
                <w:szCs w:val="21"/>
              </w:rPr>
              <w:t>中评分标准:方案较普通、完整性规范性一般，思路不够清晰，内容合理性一般，得3分;</w:t>
            </w:r>
          </w:p>
          <w:p>
            <w:pPr>
              <w:jc w:val="left"/>
              <w:rPr>
                <w:rFonts w:ascii="宋体" w:hAnsi="宋体" w:eastAsia="宋体" w:cs="宋体"/>
                <w:szCs w:val="21"/>
              </w:rPr>
            </w:pPr>
            <w:r>
              <w:rPr>
                <w:rFonts w:hint="eastAsia" w:ascii="宋体" w:hAnsi="宋体" w:eastAsia="宋体" w:cs="宋体"/>
                <w:szCs w:val="21"/>
              </w:rPr>
              <w:t>差评分标准：方案不完整、不规范，思路不清晰，内容合理性较差或未提供，不得分。</w:t>
            </w:r>
          </w:p>
          <w:p>
            <w:pPr>
              <w:jc w:val="left"/>
              <w:rPr>
                <w:rFonts w:ascii="宋体" w:hAnsi="宋体" w:eastAsia="宋体" w:cs="宋体"/>
                <w:szCs w:val="21"/>
              </w:rPr>
            </w:pPr>
            <w:r>
              <w:rPr>
                <w:rFonts w:hint="eastAsia" w:ascii="宋体" w:hAnsi="宋体" w:eastAsia="宋体" w:cs="宋体"/>
                <w:szCs w:val="21"/>
              </w:rPr>
              <w:t>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center"/>
            </w:pPr>
            <w:r>
              <w:rPr>
                <w:rFonts w:hint="eastAsia" w:ascii="宋体" w:hAnsi="宋体" w:cs="宋体"/>
                <w:b w:val="0"/>
                <w:bCs w:val="0"/>
                <w:sz w:val="21"/>
                <w:szCs w:val="21"/>
              </w:rPr>
              <w:t>项目重点难点分析、应对措施及相关的合理化建议</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14</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专家打分</w:t>
            </w:r>
          </w:p>
        </w:tc>
        <w:tc>
          <w:tcPr>
            <w:tcW w:w="43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cs="宋体"/>
                <w:szCs w:val="21"/>
              </w:rPr>
            </w:pPr>
            <w:r>
              <w:rPr>
                <w:rFonts w:hint="eastAsia" w:ascii="宋体" w:hAnsi="宋体" w:cs="宋体"/>
                <w:szCs w:val="21"/>
              </w:rPr>
              <w:t>（一）评分内容：</w:t>
            </w:r>
          </w:p>
          <w:p>
            <w:pPr>
              <w:jc w:val="left"/>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pPr>
              <w:jc w:val="left"/>
              <w:rPr>
                <w:rFonts w:ascii="宋体" w:hAnsi="宋体" w:cs="宋体"/>
                <w:szCs w:val="21"/>
              </w:rPr>
            </w:pPr>
            <w:r>
              <w:rPr>
                <w:rFonts w:hint="eastAsia" w:ascii="宋体" w:hAnsi="宋体" w:cs="宋体"/>
                <w:szCs w:val="21"/>
              </w:rPr>
              <w:t>1.项目重点难点分析。</w:t>
            </w:r>
          </w:p>
          <w:p>
            <w:pPr>
              <w:jc w:val="left"/>
              <w:rPr>
                <w:rFonts w:ascii="宋体" w:hAnsi="宋体" w:cs="宋体"/>
                <w:szCs w:val="21"/>
              </w:rPr>
            </w:pPr>
            <w:r>
              <w:rPr>
                <w:rFonts w:hint="eastAsia" w:ascii="宋体" w:hAnsi="宋体" w:cs="宋体"/>
                <w:szCs w:val="21"/>
              </w:rPr>
              <w:t>2.针对重、难点的相关应对措施。</w:t>
            </w:r>
          </w:p>
          <w:p>
            <w:pPr>
              <w:jc w:val="left"/>
              <w:rPr>
                <w:rFonts w:ascii="宋体" w:hAnsi="宋体" w:cs="宋体"/>
                <w:szCs w:val="21"/>
              </w:rPr>
            </w:pPr>
            <w:r>
              <w:rPr>
                <w:rFonts w:hint="eastAsia" w:ascii="宋体" w:hAnsi="宋体" w:cs="宋体"/>
                <w:szCs w:val="21"/>
              </w:rPr>
              <w:t>3.日常服务的合理化建议。</w:t>
            </w:r>
          </w:p>
          <w:p>
            <w:pPr>
              <w:jc w:val="left"/>
              <w:rPr>
                <w:rFonts w:ascii="宋体" w:hAnsi="宋体" w:cs="宋体"/>
                <w:szCs w:val="21"/>
              </w:rPr>
            </w:pPr>
            <w:r>
              <w:rPr>
                <w:rFonts w:hint="eastAsia" w:ascii="宋体" w:hAnsi="宋体" w:cs="宋体"/>
                <w:szCs w:val="21"/>
              </w:rPr>
              <w:t>（二）评分依据：</w:t>
            </w:r>
          </w:p>
          <w:p>
            <w:pPr>
              <w:jc w:val="left"/>
              <w:rPr>
                <w:rFonts w:ascii="宋体" w:hAnsi="宋体" w:cs="宋体"/>
                <w:szCs w:val="21"/>
              </w:rPr>
            </w:pPr>
            <w:r>
              <w:rPr>
                <w:rFonts w:hint="eastAsia" w:ascii="宋体" w:hAnsi="宋体" w:cs="宋体"/>
                <w:szCs w:val="21"/>
              </w:rPr>
              <w:t xml:space="preserve">提供以上3点内容得6分，每满足任意一点内容得2分，最高得6分。 </w:t>
            </w:r>
          </w:p>
          <w:p>
            <w:pPr>
              <w:jc w:val="left"/>
              <w:rPr>
                <w:rFonts w:ascii="宋体" w:hAnsi="宋体" w:cs="宋体"/>
                <w:szCs w:val="21"/>
              </w:rPr>
            </w:pPr>
            <w:r>
              <w:rPr>
                <w:rFonts w:hint="eastAsia" w:ascii="宋体" w:hAnsi="宋体" w:cs="宋体"/>
                <w:szCs w:val="21"/>
              </w:rPr>
              <w:t>在此基础上，专家根据内容的合理性进行评分:</w:t>
            </w:r>
          </w:p>
          <w:p>
            <w:pPr>
              <w:jc w:val="left"/>
              <w:rPr>
                <w:rFonts w:ascii="宋体" w:hAnsi="宋体" w:eastAsia="宋体" w:cs="宋体"/>
                <w:szCs w:val="21"/>
              </w:rPr>
            </w:pPr>
            <w:r>
              <w:rPr>
                <w:rFonts w:hint="eastAsia" w:ascii="宋体" w:hAnsi="宋体" w:eastAsia="宋体" w:cs="宋体"/>
                <w:szCs w:val="21"/>
              </w:rPr>
              <w:t>在此基础上，专家根据内容的合理性进行评分:</w:t>
            </w:r>
          </w:p>
          <w:p>
            <w:pPr>
              <w:jc w:val="left"/>
              <w:rPr>
                <w:rFonts w:ascii="宋体" w:hAnsi="宋体" w:eastAsia="宋体" w:cs="宋体"/>
                <w:szCs w:val="21"/>
              </w:rPr>
            </w:pPr>
            <w:r>
              <w:rPr>
                <w:rFonts w:hint="eastAsia" w:ascii="宋体" w:hAnsi="宋体" w:eastAsia="宋体" w:cs="宋体"/>
                <w:szCs w:val="21"/>
              </w:rPr>
              <w:t>优评分标准:方案符合实际、完整、规范、思路清晰，内容合理性强，得8分;</w:t>
            </w:r>
          </w:p>
          <w:p>
            <w:pPr>
              <w:jc w:val="left"/>
              <w:rPr>
                <w:rFonts w:ascii="宋体" w:hAnsi="宋体" w:eastAsia="宋体" w:cs="宋体"/>
                <w:szCs w:val="21"/>
              </w:rPr>
            </w:pPr>
            <w:r>
              <w:rPr>
                <w:rFonts w:hint="eastAsia" w:ascii="宋体" w:hAnsi="宋体" w:eastAsia="宋体" w:cs="宋体"/>
                <w:szCs w:val="21"/>
              </w:rPr>
              <w:t>良评分标准:方案较符合实际、较完整规范、思路较清晰，内容合理性较强，得5分;</w:t>
            </w:r>
          </w:p>
          <w:p>
            <w:pPr>
              <w:jc w:val="left"/>
              <w:rPr>
                <w:rFonts w:ascii="宋体" w:hAnsi="宋体" w:eastAsia="宋体" w:cs="宋体"/>
                <w:szCs w:val="21"/>
              </w:rPr>
            </w:pPr>
            <w:r>
              <w:rPr>
                <w:rFonts w:hint="eastAsia" w:ascii="宋体" w:hAnsi="宋体" w:eastAsia="宋体" w:cs="宋体"/>
                <w:szCs w:val="21"/>
              </w:rPr>
              <w:t>中评分标准:方案较普通、完整性规范性一般，思路不够清晰，内容合理性一般，得3分;</w:t>
            </w:r>
          </w:p>
          <w:p>
            <w:pPr>
              <w:jc w:val="left"/>
              <w:rPr>
                <w:rFonts w:ascii="宋体" w:hAnsi="宋体" w:eastAsia="宋体" w:cs="宋体"/>
                <w:szCs w:val="21"/>
              </w:rPr>
            </w:pPr>
            <w:r>
              <w:rPr>
                <w:rFonts w:hint="eastAsia" w:ascii="宋体" w:hAnsi="宋体" w:eastAsia="宋体" w:cs="宋体"/>
                <w:szCs w:val="21"/>
              </w:rPr>
              <w:t>差评分标准：方案不完整、不规范，思路不清晰，内容合理性较差或未提供，不得分。</w:t>
            </w:r>
          </w:p>
          <w:p>
            <w:pPr>
              <w:jc w:val="left"/>
              <w:rPr>
                <w:rFonts w:ascii="宋体" w:hAnsi="宋体" w:cs="宋体"/>
                <w:szCs w:val="21"/>
              </w:rPr>
            </w:pPr>
            <w:r>
              <w:rPr>
                <w:rFonts w:hint="eastAsia" w:ascii="宋体" w:hAnsi="宋体" w:eastAsia="宋体" w:cs="宋体"/>
                <w:szCs w:val="21"/>
              </w:rPr>
              <w:t>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应急响应能力</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6</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专家打分</w:t>
            </w:r>
          </w:p>
        </w:tc>
        <w:tc>
          <w:tcPr>
            <w:tcW w:w="435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eastAsia="宋体" w:cs="宋体"/>
                <w:szCs w:val="21"/>
              </w:rPr>
            </w:pPr>
            <w:r>
              <w:rPr>
                <w:rFonts w:hint="eastAsia" w:ascii="宋体" w:hAnsi="宋体" w:eastAsia="宋体" w:cs="宋体"/>
                <w:szCs w:val="21"/>
              </w:rPr>
              <w:t>（一）评分内容</w:t>
            </w:r>
          </w:p>
          <w:p>
            <w:pPr>
              <w:jc w:val="left"/>
              <w:rPr>
                <w:rFonts w:ascii="宋体" w:hAnsi="宋体" w:eastAsia="宋体" w:cs="宋体"/>
                <w:szCs w:val="21"/>
              </w:rPr>
            </w:pPr>
            <w:r>
              <w:rPr>
                <w:rFonts w:hint="eastAsia" w:ascii="宋体" w:hAnsi="宋体" w:eastAsia="宋体" w:cs="宋体"/>
                <w:szCs w:val="21"/>
              </w:rPr>
              <w:t>考察投标人应急响应能力：</w:t>
            </w:r>
          </w:p>
          <w:p>
            <w:pPr>
              <w:jc w:val="left"/>
              <w:rPr>
                <w:rFonts w:ascii="宋体" w:hAnsi="宋体" w:eastAsia="宋体" w:cs="宋体"/>
                <w:szCs w:val="21"/>
              </w:rPr>
            </w:pPr>
            <w:r>
              <w:rPr>
                <w:rFonts w:hint="eastAsia" w:ascii="宋体" w:hAnsi="宋体" w:eastAsia="宋体" w:cs="宋体"/>
                <w:szCs w:val="21"/>
              </w:rPr>
              <w:t>投标人具有50人或以上的应急维稳力量，得6分。</w:t>
            </w:r>
          </w:p>
          <w:p>
            <w:pPr>
              <w:jc w:val="left"/>
              <w:rPr>
                <w:rFonts w:ascii="宋体" w:hAnsi="宋体" w:eastAsia="宋体" w:cs="宋体"/>
                <w:szCs w:val="21"/>
              </w:rPr>
            </w:pPr>
            <w:r>
              <w:rPr>
                <w:rFonts w:hint="eastAsia" w:ascii="宋体" w:hAnsi="宋体" w:eastAsia="宋体" w:cs="宋体"/>
                <w:szCs w:val="21"/>
              </w:rPr>
              <w:t>（二）</w:t>
            </w:r>
            <w:r>
              <w:rPr>
                <w:rFonts w:ascii="宋体" w:hAnsi="宋体" w:eastAsia="宋体" w:cs="宋体"/>
                <w:szCs w:val="21"/>
              </w:rPr>
              <w:t>评分依据：</w:t>
            </w:r>
          </w:p>
          <w:p>
            <w:pPr>
              <w:jc w:val="left"/>
              <w:rPr>
                <w:rFonts w:ascii="宋体" w:hAnsi="宋体" w:eastAsia="宋体" w:cs="宋体"/>
                <w:szCs w:val="21"/>
              </w:rPr>
            </w:pPr>
            <w:r>
              <w:rPr>
                <w:rFonts w:ascii="宋体" w:hAnsi="宋体" w:eastAsia="宋体" w:cs="宋体"/>
                <w:szCs w:val="21"/>
              </w:rPr>
              <w:t>1、投标人提供区（县）级或以上公安机关出具的证明文件，且证明文件体现应急队伍人数。</w:t>
            </w:r>
          </w:p>
          <w:p>
            <w:pPr>
              <w:jc w:val="left"/>
              <w:rPr>
                <w:rFonts w:ascii="宋体" w:hAnsi="宋体" w:eastAsia="宋体" w:cs="宋体"/>
                <w:szCs w:val="21"/>
              </w:rPr>
            </w:pPr>
            <w:r>
              <w:rPr>
                <w:rFonts w:ascii="宋体" w:hAnsi="宋体" w:eastAsia="宋体" w:cs="宋体"/>
                <w:szCs w:val="21"/>
              </w:rPr>
              <w:t>注：投标人提供证明材料扫描件，原件备查，未按要求提供相关材料或提供材料不清晰导致专家无法识别的不计得分。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拟安排的项目负责人情况（仅限一人）</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20</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p>
        </w:tc>
        <w:tc>
          <w:tcPr>
            <w:tcW w:w="4350" w:type="dxa"/>
            <w:tcBorders>
              <w:top w:val="single" w:color="auto" w:sz="4" w:space="0"/>
              <w:left w:val="single" w:color="auto" w:sz="4" w:space="0"/>
              <w:bottom w:val="single" w:color="auto" w:sz="4" w:space="0"/>
              <w:right w:val="single" w:color="auto" w:sz="4" w:space="0"/>
            </w:tcBorders>
            <w:shd w:val="clear" w:color="auto" w:fill="auto"/>
          </w:tcPr>
          <w:p>
            <w:pPr>
              <w:jc w:val="left"/>
            </w:pPr>
            <w:r>
              <w:rPr>
                <w:rFonts w:hint="eastAsia"/>
                <w:b/>
                <w:bCs/>
              </w:rPr>
              <w:t>（一）评分内容</w:t>
            </w:r>
            <w:r>
              <w:rPr>
                <w:rFonts w:hint="eastAsia"/>
              </w:rPr>
              <w:t>：</w:t>
            </w:r>
          </w:p>
          <w:p>
            <w:pPr>
              <w:jc w:val="left"/>
            </w:pPr>
            <w:r>
              <w:rPr>
                <w:rFonts w:hint="eastAsia"/>
              </w:rPr>
              <w:t>投标人拟安排项目负责人须为投标人自有员工（以社保为准）且具有大专或以上学历，在此基础上：</w:t>
            </w:r>
          </w:p>
          <w:p>
            <w:pPr>
              <w:jc w:val="left"/>
            </w:pPr>
            <w:r>
              <w:rPr>
                <w:rFonts w:hint="eastAsia"/>
              </w:rPr>
              <w:t>1.具有二级/技师或以上物业管理师职业资格证书或中国物业管理协会颁发的物业管理员（师）职业能力等级证书（职业能力等级：物业管理师）的得6分；</w:t>
            </w:r>
          </w:p>
          <w:p>
            <w:pPr>
              <w:jc w:val="left"/>
            </w:pPr>
            <w:r>
              <w:rPr>
                <w:rFonts w:hint="eastAsia"/>
              </w:rPr>
              <w:t>2.获得区级或以上政府部门颁发的环保类荣誉证书的得6分；</w:t>
            </w:r>
          </w:p>
          <w:p>
            <w:pPr>
              <w:jc w:val="left"/>
            </w:pPr>
            <w:r>
              <w:rPr>
                <w:rFonts w:hint="eastAsia"/>
              </w:rPr>
              <w:t>3.获得副省级或以上政府或组织颁发的先进党员或先进个人荣誉的得6分；</w:t>
            </w:r>
          </w:p>
          <w:p>
            <w:pPr>
              <w:jc w:val="left"/>
            </w:pPr>
            <w:r>
              <w:rPr>
                <w:rFonts w:hint="eastAsia"/>
              </w:rPr>
              <w:t>4.具有三年及以上事业单位或机关单位物业管理服务经验得2分。</w:t>
            </w:r>
          </w:p>
          <w:p>
            <w:pPr>
              <w:jc w:val="left"/>
            </w:pPr>
            <w:r>
              <w:rPr>
                <w:rFonts w:hint="eastAsia"/>
              </w:rPr>
              <w:t>以上4项累计计分，最高20分。</w:t>
            </w:r>
          </w:p>
          <w:p>
            <w:pPr>
              <w:jc w:val="left"/>
            </w:pPr>
            <w:r>
              <w:rPr>
                <w:rFonts w:hint="eastAsia"/>
              </w:rPr>
              <w:t>（</w:t>
            </w:r>
            <w:r>
              <w:rPr>
                <w:rFonts w:hint="eastAsia"/>
                <w:b/>
                <w:bCs/>
              </w:rPr>
              <w:t>二）评分依据：</w:t>
            </w:r>
          </w:p>
          <w:p>
            <w:pPr>
              <w:jc w:val="left"/>
            </w:pPr>
            <w:r>
              <w:rPr>
                <w:rFonts w:hint="eastAsia"/>
              </w:rPr>
              <w:t>1.涉及学历，要求提供证书扫描件以及学信网（https://www.chsi.com.cn/）查询记录。对于较早颁发的学历证书，学信网无法查询的，要求提供证书扫描件和其他佐证材料（如毕业院校、人社部门等颁发机构或监管机构等单位出具的证明）作为得分的依据。</w:t>
            </w:r>
          </w:p>
          <w:p>
            <w:pPr>
              <w:jc w:val="left"/>
            </w:pPr>
            <w:r>
              <w:rPr>
                <w:rFonts w:hint="eastAsia"/>
              </w:rPr>
              <w:t>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pPr>
              <w:jc w:val="left"/>
            </w:pPr>
            <w:r>
              <w:rPr>
                <w:rFonts w:hint="eastAsia"/>
              </w:rPr>
              <w:t>2.涉及考察人员工作经验，要求提供项目合同关键信息作为得分依据，通过合同关键信息无法判断是否得分的，还须同时提供合同甲方出具的证明文件。</w:t>
            </w:r>
          </w:p>
          <w:p>
            <w:pPr>
              <w:jc w:val="left"/>
            </w:pPr>
            <w:r>
              <w:rPr>
                <w:rFonts w:hint="eastAsia"/>
              </w:rPr>
              <w:t>3.涉及人员社保的，</w:t>
            </w:r>
          </w:p>
          <w:p>
            <w:pPr>
              <w:jc w:val="left"/>
            </w:pPr>
            <w:r>
              <w:rPr>
                <w:rFonts w:hint="eastAsia"/>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jc w:val="left"/>
            </w:pPr>
            <w:r>
              <w:rPr>
                <w:rFonts w:hint="eastAsia"/>
              </w:rPr>
              <w:t>提供上述有效的证书和奖项（荣誉）扫描件作为得分依据，原件备查。</w:t>
            </w:r>
          </w:p>
          <w:p>
            <w:pPr>
              <w:jc w:val="left"/>
            </w:pPr>
            <w:r>
              <w:rPr>
                <w:rFonts w:hint="eastAsia"/>
              </w:rPr>
              <w:t>若由行业协会/社会组织发证的，还需提供该行业协会/社会组织在中国社会组织政务服务平台查询正常截图（https://chinanpo.mca.gov.cn），原件备查。相关证书在公开渠道无法查询的，需提供颁发部门或者监管机构的证明材料，证明证书真实有效且为合法机构颁发。</w:t>
            </w:r>
          </w:p>
          <w:p>
            <w:pPr>
              <w:jc w:val="left"/>
              <w:rPr>
                <w:rFonts w:ascii="宋体" w:hAnsi="宋体" w:eastAsia="宋体"/>
                <w:bCs/>
              </w:rPr>
            </w:pPr>
            <w:r>
              <w:rPr>
                <w:rFonts w:hint="eastAsia"/>
              </w:rPr>
              <w:t>5.以上资料均要求提供扫描件，原件备查，评分中出现无证明资料或证书过期或专家无法凭所</w:t>
            </w:r>
            <w:r>
              <w:rPr>
                <w:rFonts w:hint="eastAsia" w:ascii="宋体" w:hAnsi="宋体" w:eastAsia="宋体" w:cs="宋体"/>
                <w:szCs w:val="21"/>
              </w:rPr>
              <w:t>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3</w:t>
            </w:r>
          </w:p>
        </w:tc>
        <w:tc>
          <w:tcPr>
            <w:tcW w:w="33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商务部分</w:t>
            </w: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restart"/>
            <w:tcBorders>
              <w:top w:val="single" w:color="auto" w:sz="4" w:space="0"/>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序号</w:t>
            </w:r>
          </w:p>
        </w:tc>
        <w:tc>
          <w:tcPr>
            <w:tcW w:w="137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评分因素</w:t>
            </w:r>
          </w:p>
        </w:tc>
        <w:tc>
          <w:tcPr>
            <w:tcW w:w="78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权重（%）</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评分方式</w:t>
            </w:r>
          </w:p>
        </w:tc>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体系认证情况</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专家打分</w:t>
            </w:r>
          </w:p>
        </w:tc>
        <w:tc>
          <w:tcPr>
            <w:tcW w:w="4350" w:type="dxa"/>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szCs w:val="21"/>
              </w:rPr>
            </w:pPr>
            <w:r>
              <w:rPr>
                <w:rFonts w:hint="eastAsia" w:ascii="宋体" w:hAnsi="宋体" w:eastAsia="宋体" w:cs="宋体"/>
                <w:szCs w:val="21"/>
              </w:rPr>
              <w:t>（一） 评分内容：</w:t>
            </w:r>
          </w:p>
          <w:p>
            <w:pPr>
              <w:jc w:val="left"/>
              <w:rPr>
                <w:rFonts w:ascii="宋体" w:hAnsi="宋体" w:eastAsia="宋体" w:cs="宋体"/>
                <w:szCs w:val="21"/>
              </w:rPr>
            </w:pPr>
            <w:r>
              <w:rPr>
                <w:rFonts w:hint="eastAsia" w:ascii="宋体" w:hAnsi="宋体" w:eastAsia="宋体" w:cs="宋体"/>
                <w:szCs w:val="21"/>
              </w:rPr>
              <w:t>投标人具有</w:t>
            </w:r>
          </w:p>
          <w:p>
            <w:pPr>
              <w:rPr>
                <w:szCs w:val="21"/>
              </w:rPr>
            </w:pPr>
            <w:r>
              <w:rPr>
                <w:rFonts w:hint="eastAsia"/>
              </w:rPr>
              <w:t>1.具备</w:t>
            </w:r>
            <w:r>
              <w:rPr>
                <w:szCs w:val="21"/>
              </w:rPr>
              <w:t>质量管理体系认证证书</w:t>
            </w:r>
            <w:r>
              <w:rPr>
                <w:rFonts w:hint="eastAsia"/>
                <w:szCs w:val="21"/>
              </w:rPr>
              <w:t>（证书要求认证范围涉及物业管理）得2分；</w:t>
            </w:r>
          </w:p>
          <w:p>
            <w:pPr>
              <w:rPr>
                <w:szCs w:val="21"/>
              </w:rPr>
            </w:pPr>
            <w:r>
              <w:rPr>
                <w:rFonts w:hint="eastAsia"/>
                <w:szCs w:val="21"/>
              </w:rPr>
              <w:t>2.具备环境管理体系认证书书（证书要求认证范围涉及物业管理）得2分；</w:t>
            </w:r>
          </w:p>
          <w:p>
            <w:pPr>
              <w:rPr>
                <w:szCs w:val="21"/>
              </w:rPr>
            </w:pPr>
            <w:r>
              <w:rPr>
                <w:rFonts w:hint="eastAsia"/>
                <w:szCs w:val="21"/>
              </w:rPr>
              <w:t>3.具备职业健康安全管理体系认证证书（证书要求认证范围涉及物业管理）得2分；</w:t>
            </w:r>
          </w:p>
          <w:p>
            <w:pPr>
              <w:rPr>
                <w:szCs w:val="21"/>
              </w:rPr>
            </w:pPr>
            <w:r>
              <w:rPr>
                <w:rFonts w:hint="eastAsia"/>
                <w:szCs w:val="21"/>
              </w:rPr>
              <w:t>4.具备能源管理体系认证证书（证书要求认证范围涉及物业管理服务）得2分</w:t>
            </w:r>
          </w:p>
          <w:p>
            <w:pPr>
              <w:rPr>
                <w:szCs w:val="21"/>
              </w:rPr>
            </w:pPr>
            <w:r>
              <w:rPr>
                <w:rFonts w:hint="eastAsia"/>
                <w:szCs w:val="21"/>
              </w:rPr>
              <w:t>5.具备社会责任管理体系认证证书（证书要求认证范围涉及物业管理服务）得2分；</w:t>
            </w:r>
          </w:p>
          <w:p>
            <w:pPr>
              <w:jc w:val="left"/>
              <w:rPr>
                <w:rFonts w:ascii="宋体" w:hAnsi="宋体" w:eastAsia="宋体" w:cs="宋体"/>
                <w:szCs w:val="21"/>
              </w:rPr>
            </w:pPr>
            <w:r>
              <w:rPr>
                <w:rFonts w:hint="eastAsia" w:ascii="宋体" w:hAnsi="宋体" w:eastAsia="宋体" w:cs="宋体"/>
                <w:szCs w:val="21"/>
              </w:rPr>
              <w:t>以上5项累加计分，最高得10分。</w:t>
            </w:r>
          </w:p>
          <w:p>
            <w:pPr>
              <w:jc w:val="left"/>
              <w:rPr>
                <w:rFonts w:ascii="宋体" w:hAnsi="宋体" w:eastAsia="宋体" w:cs="宋体"/>
                <w:szCs w:val="21"/>
              </w:rPr>
            </w:pPr>
            <w:r>
              <w:rPr>
                <w:rFonts w:hint="eastAsia" w:ascii="宋体" w:hAnsi="宋体" w:eastAsia="宋体" w:cs="宋体"/>
                <w:szCs w:val="21"/>
              </w:rPr>
              <w:t>（二）评分依据：</w:t>
            </w:r>
          </w:p>
          <w:p>
            <w:pPr>
              <w:jc w:val="left"/>
              <w:rPr>
                <w:rFonts w:ascii="宋体" w:hAnsi="宋体" w:eastAsia="宋体" w:cs="宋体"/>
                <w:szCs w:val="21"/>
              </w:rPr>
            </w:pPr>
            <w:r>
              <w:rPr>
                <w:rFonts w:hint="eastAsia" w:ascii="宋体" w:hAnsi="宋体" w:eastAsia="宋体" w:cs="宋体"/>
                <w:szCs w:val="21"/>
              </w:rPr>
              <w:t>须同时提供有效的认证证书扫描件，及认证证书在全国认证认可信息公共服务平台（认e云）查询有效的截图（http://cx.cnca.cn）。</w:t>
            </w:r>
          </w:p>
          <w:p>
            <w:pPr>
              <w:jc w:val="left"/>
              <w:rPr>
                <w:rFonts w:ascii="宋体" w:hAnsi="宋体" w:eastAsia="宋体" w:cs="宋体"/>
                <w:szCs w:val="21"/>
              </w:rPr>
            </w:pPr>
            <w:r>
              <w:rPr>
                <w:rFonts w:hint="eastAsia" w:ascii="宋体" w:hAnsi="宋体" w:eastAsia="宋体" w:cs="宋体"/>
                <w:szCs w:val="21"/>
              </w:rPr>
              <w:t>备注：以上资料均要求提供扫描件，原件备查，评分中出现无证明资料或证书过期或专家无法凭所提供资料判断是否得分的情况，一律作不得分处理。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投标人同类项目业绩情况</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专家打分</w:t>
            </w:r>
          </w:p>
        </w:tc>
        <w:tc>
          <w:tcPr>
            <w:tcW w:w="4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（一）评分内容：</w:t>
            </w:r>
          </w:p>
          <w:p>
            <w:pPr>
              <w:jc w:val="left"/>
              <w:rPr>
                <w:rFonts w:ascii="宋体" w:hAnsi="宋体" w:eastAsia="宋体" w:cs="宋体"/>
                <w:szCs w:val="21"/>
              </w:rPr>
            </w:pPr>
            <w:r>
              <w:rPr>
                <w:rFonts w:hint="eastAsia" w:ascii="宋体" w:hAnsi="宋体" w:eastAsia="宋体" w:cs="宋体"/>
                <w:szCs w:val="21"/>
              </w:rPr>
              <w:t>投标人自2020年1月1日至本项目投标截止之日（以合同签订日期为准）：具有政府机关（或事业单位）同类项目业绩，每提供1项得2分，最高得6分。</w:t>
            </w:r>
          </w:p>
          <w:p>
            <w:pPr>
              <w:jc w:val="left"/>
              <w:rPr>
                <w:rFonts w:ascii="宋体" w:hAnsi="宋体" w:eastAsia="宋体" w:cs="宋体"/>
                <w:szCs w:val="21"/>
              </w:rPr>
            </w:pPr>
            <w:r>
              <w:rPr>
                <w:rFonts w:hint="eastAsia" w:ascii="宋体" w:hAnsi="宋体" w:eastAsia="宋体" w:cs="宋体"/>
                <w:szCs w:val="21"/>
              </w:rPr>
              <w:t>（二）评分依据：</w:t>
            </w:r>
          </w:p>
          <w:p>
            <w:pPr>
              <w:jc w:val="left"/>
              <w:rPr>
                <w:rFonts w:ascii="宋体" w:hAnsi="宋体" w:eastAsia="宋体" w:cs="宋体"/>
                <w:szCs w:val="21"/>
              </w:rPr>
            </w:pPr>
            <w:r>
              <w:rPr>
                <w:rFonts w:hint="eastAsia" w:ascii="宋体" w:hAnsi="宋体" w:eastAsia="宋体" w:cs="宋体"/>
                <w:szCs w:val="21"/>
              </w:rPr>
              <w:t>1.</w:t>
            </w:r>
            <w:bookmarkStart w:id="0" w:name="OLE_LINK20"/>
            <w:r>
              <w:rPr>
                <w:rFonts w:hint="eastAsia" w:ascii="宋体" w:hAnsi="宋体" w:eastAsia="宋体" w:cs="宋体"/>
                <w:szCs w:val="21"/>
              </w:rPr>
              <w:t>要求提供合同关键信息（包括但不限于合同标的、签订时间、双方签章页）作为得分依据，</w:t>
            </w:r>
            <w:bookmarkEnd w:id="0"/>
            <w:bookmarkStart w:id="1" w:name="OLE_LINK17"/>
            <w:r>
              <w:rPr>
                <w:rFonts w:hint="eastAsia" w:ascii="宋体" w:hAnsi="宋体" w:eastAsia="宋体" w:cs="宋体"/>
                <w:szCs w:val="21"/>
              </w:rPr>
              <w:t>通过合同关键信息无法判断是否得分的，还须同时提供能证明得分的其它证明资料，如项目报告或合同甲方出具的证明文件等。</w:t>
            </w:r>
          </w:p>
          <w:bookmarkEnd w:id="1"/>
          <w:p>
            <w:pPr>
              <w:jc w:val="left"/>
              <w:rPr>
                <w:rFonts w:ascii="宋体" w:hAnsi="宋体" w:eastAsia="宋体" w:cs="宋体"/>
                <w:szCs w:val="21"/>
              </w:rPr>
            </w:pPr>
            <w:r>
              <w:rPr>
                <w:rFonts w:hint="eastAsia" w:ascii="宋体" w:hAnsi="宋体" w:eastAsia="宋体" w:cs="宋体"/>
                <w:szCs w:val="21"/>
              </w:rPr>
              <w:t>2.以上资料均要求提供扫描件，原件备查。备注：评分中出现无证明资料或证书过期或专家无法凭所提供资料判断是否得分的情况，一律作不得分处理。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7" w:type="dxa"/>
            <w:vMerge w:val="continue"/>
            <w:tcBorders>
              <w:left w:val="single" w:color="auto" w:sz="4" w:space="0"/>
              <w:right w:val="single" w:color="auto" w:sz="4" w:space="0"/>
            </w:tcBorders>
            <w:vAlign w:val="center"/>
          </w:tcPr>
          <w:p>
            <w:pPr>
              <w:jc w:val="left"/>
              <w:rPr>
                <w:rFonts w:ascii="宋体" w:hAnsi="宋体" w:eastAsia="宋体" w:cs="宋体"/>
                <w:szCs w:val="21"/>
              </w:rPr>
            </w:pPr>
          </w:p>
        </w:tc>
        <w:tc>
          <w:tcPr>
            <w:tcW w:w="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履约评价</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76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专家评分</w:t>
            </w:r>
          </w:p>
        </w:tc>
        <w:tc>
          <w:tcPr>
            <w:tcW w:w="4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（一）评分内容：</w:t>
            </w:r>
          </w:p>
          <w:p>
            <w:pPr>
              <w:jc w:val="left"/>
              <w:rPr>
                <w:rFonts w:ascii="宋体" w:hAnsi="宋体" w:eastAsia="宋体" w:cs="宋体"/>
                <w:szCs w:val="21"/>
              </w:rPr>
            </w:pPr>
            <w:r>
              <w:rPr>
                <w:rFonts w:hint="eastAsia" w:ascii="宋体" w:hAnsi="宋体" w:eastAsia="宋体" w:cs="宋体"/>
                <w:szCs w:val="21"/>
              </w:rPr>
              <w:t>投标人提供符合“3.投标人同类项目业绩情况”合同甲方出具评价为优/优秀/满意或最高评价的</w:t>
            </w:r>
            <w:bookmarkStart w:id="2" w:name="OLE_LINK26"/>
            <w:r>
              <w:rPr>
                <w:rFonts w:hint="eastAsia" w:ascii="宋体" w:hAnsi="宋体" w:eastAsia="宋体" w:cs="宋体"/>
                <w:szCs w:val="21"/>
              </w:rPr>
              <w:t>履约评价或验收合格证明文件</w:t>
            </w:r>
            <w:bookmarkEnd w:id="2"/>
            <w:r>
              <w:rPr>
                <w:rFonts w:hint="eastAsia" w:ascii="宋体" w:hAnsi="宋体" w:eastAsia="宋体" w:cs="宋体"/>
                <w:szCs w:val="21"/>
              </w:rPr>
              <w:t>，每提供一份得</w:t>
            </w:r>
            <w:bookmarkStart w:id="3" w:name="OLE_LINK30"/>
            <w:bookmarkStart w:id="4" w:name="OLE_LINK29"/>
            <w:r>
              <w:rPr>
                <w:rFonts w:hint="eastAsia" w:ascii="宋体" w:hAnsi="宋体" w:eastAsia="宋体" w:cs="宋体"/>
                <w:szCs w:val="21"/>
              </w:rPr>
              <w:t>2分</w:t>
            </w:r>
            <w:bookmarkEnd w:id="3"/>
            <w:bookmarkEnd w:id="4"/>
            <w:r>
              <w:rPr>
                <w:rFonts w:hint="eastAsia" w:ascii="宋体" w:hAnsi="宋体" w:eastAsia="宋体" w:cs="宋体"/>
                <w:szCs w:val="21"/>
              </w:rPr>
              <w:t>，最高得6分。</w:t>
            </w:r>
          </w:p>
          <w:p>
            <w:pPr>
              <w:jc w:val="left"/>
              <w:rPr>
                <w:rFonts w:ascii="宋体" w:hAnsi="宋体" w:eastAsia="宋体" w:cs="宋体"/>
                <w:szCs w:val="21"/>
              </w:rPr>
            </w:pPr>
            <w:r>
              <w:rPr>
                <w:rFonts w:hint="eastAsia" w:ascii="宋体" w:hAnsi="宋体" w:eastAsia="宋体" w:cs="宋体"/>
                <w:szCs w:val="21"/>
              </w:rPr>
              <w:t>（二）评分依据：</w:t>
            </w:r>
          </w:p>
          <w:p>
            <w:pPr>
              <w:jc w:val="left"/>
              <w:rPr>
                <w:rFonts w:ascii="宋体" w:hAnsi="宋体" w:eastAsia="宋体" w:cs="宋体"/>
                <w:szCs w:val="21"/>
              </w:rPr>
            </w:pPr>
            <w:r>
              <w:rPr>
                <w:rFonts w:hint="eastAsia" w:ascii="宋体" w:hAnsi="宋体" w:eastAsia="宋体" w:cs="宋体"/>
                <w:szCs w:val="21"/>
              </w:rPr>
              <w:t>1.提供</w:t>
            </w:r>
            <w:bookmarkStart w:id="5" w:name="OLE_LINK3"/>
            <w:r>
              <w:rPr>
                <w:rFonts w:hint="eastAsia" w:ascii="宋体" w:hAnsi="宋体" w:eastAsia="宋体" w:cs="宋体"/>
                <w:szCs w:val="21"/>
              </w:rPr>
              <w:t>加盖合同甲方公章（或甲方业务章）</w:t>
            </w:r>
            <w:bookmarkEnd w:id="5"/>
            <w:r>
              <w:rPr>
                <w:rFonts w:hint="eastAsia" w:ascii="宋体" w:hAnsi="宋体" w:eastAsia="宋体" w:cs="宋体"/>
                <w:szCs w:val="21"/>
              </w:rPr>
              <w:t>项目履约评价或验收合格证明文件清晰扫描件，原件备查。</w:t>
            </w:r>
          </w:p>
          <w:p>
            <w:pPr>
              <w:jc w:val="left"/>
              <w:rPr>
                <w:rFonts w:ascii="宋体" w:hAnsi="宋体" w:eastAsia="宋体" w:cs="宋体"/>
                <w:szCs w:val="21"/>
              </w:rPr>
            </w:pPr>
            <w:r>
              <w:rPr>
                <w:rFonts w:hint="eastAsia" w:ascii="宋体" w:hAnsi="宋体" w:eastAsia="宋体" w:cs="宋体"/>
                <w:szCs w:val="21"/>
              </w:rPr>
              <w:t>备注：评分中出现无证明资料或证书过期或专家无法凭所提供资料判断是否得分的情况，一律作不得分处理。</w:t>
            </w:r>
          </w:p>
        </w:tc>
      </w:tr>
    </w:tbl>
    <w:p>
      <w:pPr>
        <w:rPr>
          <w:rFonts w:ascii="黑体" w:hAnsi="黑体" w:eastAsia="黑体" w:cs="黑体"/>
          <w:b/>
          <w:sz w:val="28"/>
          <w:szCs w:val="28"/>
        </w:rPr>
      </w:pPr>
      <w:r>
        <w:rPr>
          <w:rFonts w:hint="eastAsia" w:ascii="黑体" w:hAnsi="黑体" w:eastAsia="黑体" w:cs="黑体"/>
          <w:b/>
          <w:sz w:val="28"/>
          <w:szCs w:val="28"/>
        </w:rPr>
        <w:br w:type="page"/>
      </w:r>
    </w:p>
    <w:p>
      <w:pPr>
        <w:tabs>
          <w:tab w:val="left" w:pos="540"/>
        </w:tabs>
        <w:spacing w:line="360" w:lineRule="auto"/>
        <w:jc w:val="center"/>
        <w:outlineLvl w:val="1"/>
        <w:rPr>
          <w:rFonts w:ascii="黑体" w:hAnsi="黑体" w:eastAsia="黑体" w:cs="黑体"/>
          <w:b/>
          <w:sz w:val="28"/>
          <w:szCs w:val="28"/>
        </w:rPr>
      </w:pPr>
      <w:r>
        <w:rPr>
          <w:rFonts w:hint="eastAsia" w:ascii="黑体" w:hAnsi="黑体" w:eastAsia="黑体" w:cs="黑体"/>
          <w:b/>
          <w:sz w:val="28"/>
          <w:szCs w:val="28"/>
        </w:rPr>
        <w:t>九、投标文件格式</w:t>
      </w:r>
    </w:p>
    <w:p>
      <w:pPr>
        <w:pStyle w:val="5"/>
        <w:spacing w:before="0" w:after="0" w:line="240" w:lineRule="atLeast"/>
        <w:jc w:val="center"/>
        <w:rPr>
          <w:rFonts w:ascii="黑体" w:eastAsia="黑体"/>
          <w:b w:val="0"/>
          <w:kern w:val="0"/>
          <w:sz w:val="24"/>
        </w:rPr>
      </w:pPr>
      <w:r>
        <w:rPr>
          <w:rFonts w:hint="eastAsia" w:ascii="黑体" w:eastAsia="黑体"/>
          <w:b w:val="0"/>
          <w:kern w:val="0"/>
          <w:sz w:val="24"/>
        </w:rPr>
        <w:t>（一）开标一览表</w:t>
      </w:r>
    </w:p>
    <w:tbl>
      <w:tblPr>
        <w:tblStyle w:val="15"/>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711"/>
        <w:gridCol w:w="2146"/>
        <w:gridCol w:w="127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11" w:type="dxa"/>
            <w:vAlign w:val="center"/>
          </w:tcPr>
          <w:p>
            <w:pPr>
              <w:jc w:val="center"/>
              <w:rPr>
                <w:rFonts w:ascii="黑体" w:eastAsia="黑体"/>
                <w:kern w:val="0"/>
                <w:sz w:val="24"/>
              </w:rPr>
            </w:pPr>
            <w:r>
              <w:rPr>
                <w:rFonts w:hint="eastAsia" w:ascii="黑体" w:eastAsia="黑体"/>
                <w:kern w:val="0"/>
                <w:sz w:val="24"/>
              </w:rPr>
              <w:t>项目名称</w:t>
            </w:r>
          </w:p>
        </w:tc>
        <w:tc>
          <w:tcPr>
            <w:tcW w:w="1711" w:type="dxa"/>
            <w:vAlign w:val="center"/>
          </w:tcPr>
          <w:p>
            <w:pPr>
              <w:jc w:val="center"/>
              <w:rPr>
                <w:rFonts w:ascii="黑体" w:eastAsia="黑体"/>
                <w:kern w:val="0"/>
                <w:sz w:val="24"/>
              </w:rPr>
            </w:pPr>
            <w:r>
              <w:rPr>
                <w:rFonts w:hint="eastAsia" w:ascii="黑体" w:eastAsia="黑体"/>
                <w:kern w:val="0"/>
                <w:sz w:val="24"/>
              </w:rPr>
              <w:t>项目报价</w:t>
            </w:r>
          </w:p>
        </w:tc>
        <w:tc>
          <w:tcPr>
            <w:tcW w:w="2146" w:type="dxa"/>
            <w:vAlign w:val="center"/>
          </w:tcPr>
          <w:p>
            <w:pPr>
              <w:jc w:val="center"/>
              <w:rPr>
                <w:rFonts w:ascii="黑体" w:eastAsia="黑体"/>
                <w:kern w:val="0"/>
                <w:sz w:val="24"/>
              </w:rPr>
            </w:pPr>
            <w:r>
              <w:rPr>
                <w:rFonts w:hint="eastAsia" w:ascii="黑体" w:eastAsia="黑体"/>
                <w:kern w:val="0"/>
                <w:sz w:val="24"/>
              </w:rPr>
              <w:t>项目单月报价</w:t>
            </w:r>
          </w:p>
        </w:tc>
        <w:tc>
          <w:tcPr>
            <w:tcW w:w="1278" w:type="dxa"/>
            <w:vAlign w:val="center"/>
          </w:tcPr>
          <w:p>
            <w:pPr>
              <w:jc w:val="center"/>
              <w:rPr>
                <w:rFonts w:ascii="黑体" w:eastAsia="黑体"/>
                <w:kern w:val="0"/>
                <w:sz w:val="24"/>
              </w:rPr>
            </w:pPr>
            <w:r>
              <w:rPr>
                <w:rFonts w:hint="eastAsia" w:ascii="黑体" w:eastAsia="黑体"/>
                <w:kern w:val="0"/>
                <w:sz w:val="24"/>
              </w:rPr>
              <w:t>服务期限</w:t>
            </w:r>
          </w:p>
        </w:tc>
        <w:tc>
          <w:tcPr>
            <w:tcW w:w="1712" w:type="dxa"/>
            <w:vAlign w:val="center"/>
          </w:tcPr>
          <w:p>
            <w:pPr>
              <w:jc w:val="center"/>
              <w:rPr>
                <w:rFonts w:ascii="黑体" w:eastAsia="黑体"/>
                <w:kern w:val="0"/>
                <w:sz w:val="24"/>
              </w:rPr>
            </w:pPr>
            <w:r>
              <w:rPr>
                <w:rFonts w:hint="eastAsia" w:ascii="黑体" w:eastAsia="黑体"/>
                <w:kern w:val="0"/>
                <w:sz w:val="24"/>
              </w:rPr>
              <w:t>备注（选填）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711" w:type="dxa"/>
            <w:vAlign w:val="center"/>
          </w:tcPr>
          <w:p>
            <w:pPr>
              <w:jc w:val="center"/>
              <w:rPr>
                <w:rFonts w:ascii="黑体" w:eastAsia="黑体"/>
                <w:kern w:val="0"/>
                <w:sz w:val="24"/>
              </w:rPr>
            </w:pPr>
          </w:p>
        </w:tc>
        <w:tc>
          <w:tcPr>
            <w:tcW w:w="1711" w:type="dxa"/>
            <w:vAlign w:val="center"/>
          </w:tcPr>
          <w:p>
            <w:pPr>
              <w:jc w:val="left"/>
              <w:rPr>
                <w:rFonts w:ascii="黑体" w:eastAsia="黑体"/>
                <w:kern w:val="0"/>
                <w:sz w:val="24"/>
              </w:rPr>
            </w:pPr>
            <w:r>
              <w:rPr>
                <w:rFonts w:hint="eastAsia" w:ascii="黑体" w:eastAsia="黑体"/>
                <w:kern w:val="0"/>
                <w:sz w:val="24"/>
              </w:rPr>
              <w:t>大写：</w:t>
            </w:r>
          </w:p>
          <w:p>
            <w:pPr>
              <w:jc w:val="left"/>
              <w:rPr>
                <w:rFonts w:ascii="黑体" w:eastAsia="黑体"/>
                <w:kern w:val="0"/>
                <w:sz w:val="24"/>
              </w:rPr>
            </w:pPr>
            <w:r>
              <w:rPr>
                <w:rFonts w:hint="eastAsia" w:ascii="黑体" w:eastAsia="黑体"/>
                <w:kern w:val="0"/>
                <w:sz w:val="24"/>
              </w:rPr>
              <w:t>小写：</w:t>
            </w:r>
          </w:p>
        </w:tc>
        <w:tc>
          <w:tcPr>
            <w:tcW w:w="2146" w:type="dxa"/>
            <w:vAlign w:val="center"/>
          </w:tcPr>
          <w:p>
            <w:pPr>
              <w:jc w:val="left"/>
              <w:rPr>
                <w:rFonts w:ascii="黑体" w:eastAsia="黑体"/>
                <w:kern w:val="0"/>
                <w:sz w:val="24"/>
              </w:rPr>
            </w:pPr>
            <w:r>
              <w:rPr>
                <w:rFonts w:hint="eastAsia" w:ascii="黑体" w:eastAsia="黑体"/>
                <w:kern w:val="0"/>
                <w:sz w:val="24"/>
              </w:rPr>
              <w:t>大写：</w:t>
            </w:r>
          </w:p>
          <w:p>
            <w:pPr>
              <w:jc w:val="left"/>
              <w:rPr>
                <w:rFonts w:ascii="黑体" w:eastAsia="黑体"/>
                <w:kern w:val="0"/>
                <w:sz w:val="24"/>
              </w:rPr>
            </w:pPr>
            <w:r>
              <w:rPr>
                <w:rFonts w:hint="eastAsia" w:ascii="黑体" w:eastAsia="黑体"/>
                <w:kern w:val="0"/>
                <w:sz w:val="24"/>
              </w:rPr>
              <w:t>小写：</w:t>
            </w:r>
          </w:p>
        </w:tc>
        <w:tc>
          <w:tcPr>
            <w:tcW w:w="1278" w:type="dxa"/>
            <w:vAlign w:val="center"/>
          </w:tcPr>
          <w:p>
            <w:pPr>
              <w:jc w:val="center"/>
              <w:rPr>
                <w:rFonts w:ascii="黑体" w:eastAsia="黑体"/>
                <w:kern w:val="0"/>
                <w:sz w:val="24"/>
              </w:rPr>
            </w:pPr>
          </w:p>
        </w:tc>
        <w:tc>
          <w:tcPr>
            <w:tcW w:w="1712" w:type="dxa"/>
            <w:vAlign w:val="center"/>
          </w:tcPr>
          <w:p>
            <w:pPr>
              <w:jc w:val="center"/>
              <w:rPr>
                <w:rFonts w:ascii="黑体" w:eastAsia="黑体"/>
                <w:kern w:val="0"/>
                <w:sz w:val="24"/>
              </w:rPr>
            </w:pPr>
          </w:p>
        </w:tc>
      </w:tr>
    </w:tbl>
    <w:p>
      <w:pPr>
        <w:rPr>
          <w:rFonts w:ascii="黑体" w:eastAsia="黑体"/>
          <w:kern w:val="0"/>
          <w:sz w:val="24"/>
        </w:rPr>
      </w:pPr>
    </w:p>
    <w:p>
      <w:pPr>
        <w:rPr>
          <w:rFonts w:ascii="黑体" w:eastAsia="黑体"/>
          <w:kern w:val="0"/>
          <w:sz w:val="24"/>
        </w:rPr>
      </w:pPr>
    </w:p>
    <w:p>
      <w:pPr>
        <w:pStyle w:val="5"/>
        <w:spacing w:before="0" w:after="0" w:line="240" w:lineRule="atLeast"/>
        <w:jc w:val="center"/>
        <w:rPr>
          <w:rFonts w:ascii="黑体" w:eastAsia="黑体"/>
          <w:b w:val="0"/>
          <w:kern w:val="0"/>
          <w:sz w:val="24"/>
        </w:rPr>
      </w:pPr>
      <w:r>
        <w:rPr>
          <w:rFonts w:hint="eastAsia" w:ascii="黑体" w:eastAsia="黑体"/>
          <w:b w:val="0"/>
          <w:kern w:val="0"/>
          <w:sz w:val="24"/>
        </w:rPr>
        <w:t>（二）资格证明文件</w:t>
      </w:r>
    </w:p>
    <w:p>
      <w:pPr>
        <w:spacing w:beforeLines="50"/>
        <w:ind w:firstLine="422" w:firstLineChars="200"/>
        <w:rPr>
          <w:rFonts w:ascii="宋体" w:hAnsi="宋体" w:eastAsia="宋体" w:cs="宋体"/>
          <w:b/>
          <w:bCs/>
          <w:color w:val="FF0000"/>
        </w:rPr>
      </w:pPr>
      <w:r>
        <w:rPr>
          <w:rFonts w:hint="eastAsia" w:ascii="宋体" w:hAnsi="宋体" w:eastAsia="宋体" w:cs="宋体"/>
          <w:b/>
          <w:bCs/>
          <w:color w:val="FF0000"/>
        </w:rPr>
        <w:t>（特别提示：投标人须按本招标文件第一册第一章招标公告 “申请人的资格要求”（即投标人资格要求）提供相关的资格证明资料，未提供或提供不完整、不符合要求的，将作投标无效处理。）</w:t>
      </w:r>
    </w:p>
    <w:p>
      <w:pPr>
        <w:jc w:val="center"/>
        <w:rPr>
          <w:rFonts w:ascii="黑体" w:eastAsia="黑体"/>
          <w:kern w:val="0"/>
          <w:sz w:val="24"/>
        </w:rPr>
      </w:pPr>
      <w:r>
        <w:rPr>
          <w:rFonts w:hint="eastAsia" w:ascii="黑体" w:eastAsia="黑体"/>
          <w:kern w:val="0"/>
          <w:sz w:val="24"/>
        </w:rPr>
        <w:br w:type="page"/>
      </w:r>
    </w:p>
    <w:p>
      <w:pPr>
        <w:rPr>
          <w:rFonts w:ascii="黑体" w:eastAsia="黑体"/>
          <w:kern w:val="0"/>
          <w:sz w:val="24"/>
        </w:rPr>
      </w:pPr>
    </w:p>
    <w:p>
      <w:pPr>
        <w:rPr>
          <w:rFonts w:ascii="黑体" w:eastAsia="黑体"/>
          <w:kern w:val="0"/>
          <w:sz w:val="24"/>
        </w:rPr>
      </w:pPr>
    </w:p>
    <w:p>
      <w:pPr>
        <w:pStyle w:val="5"/>
        <w:spacing w:before="0" w:after="0" w:line="240" w:lineRule="atLeast"/>
        <w:jc w:val="center"/>
        <w:rPr>
          <w:rFonts w:ascii="黑体" w:eastAsia="黑体"/>
          <w:b w:val="0"/>
          <w:kern w:val="0"/>
          <w:sz w:val="24"/>
        </w:rPr>
      </w:pPr>
      <w:r>
        <w:rPr>
          <w:rFonts w:hint="eastAsia" w:ascii="黑体" w:eastAsia="黑体"/>
          <w:b w:val="0"/>
          <w:kern w:val="0"/>
          <w:sz w:val="24"/>
        </w:rPr>
        <w:t>（三）投标及履约承诺函</w:t>
      </w: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3.我单位具备《中华人民共和国政府采购法》第二十二条规定。</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rPr>
      </w:pPr>
      <w:r>
        <w:rPr>
          <w:rFonts w:hint="eastAsia" w:ascii="宋体" w:hAnsi="宋体"/>
          <w:szCs w:val="21"/>
        </w:rPr>
        <w:t>7</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bCs/>
        </w:rPr>
      </w:pPr>
      <w:r>
        <w:rPr>
          <w:rFonts w:hint="eastAsia" w:ascii="宋体" w:hAnsi="宋体"/>
          <w:bCs/>
        </w:rPr>
        <w:t>8.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ascii="宋体" w:hAnsi="宋体"/>
          <w:b/>
        </w:rPr>
      </w:pPr>
      <w:r>
        <w:rPr>
          <w:rFonts w:hint="eastAsia" w:ascii="宋体" w:hAnsi="宋体"/>
          <w:b/>
        </w:rPr>
        <w:t>9.我单位清楚，如存在违反投标承诺行为情节严重的，将根据《深圳市财政局关于印发&lt;深圳市财政局政府采购供应商信用信息管理办法&gt;的通知》，依法被列入失信信息。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Lines="25" w:afterLines="25"/>
        <w:ind w:firstLine="5460" w:firstLineChars="2600"/>
        <w:rPr>
          <w:rFonts w:ascii="宋体" w:hAnsi="宋体"/>
          <w:szCs w:val="21"/>
        </w:rPr>
      </w:pPr>
      <w:r>
        <w:rPr>
          <w:rFonts w:hint="eastAsia" w:ascii="宋体" w:hAnsi="宋体"/>
          <w:szCs w:val="21"/>
        </w:rPr>
        <w:t xml:space="preserve">                                    </w:t>
      </w:r>
    </w:p>
    <w:p>
      <w:pPr>
        <w:spacing w:beforeLines="25"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rPr>
          <w:rFonts w:ascii="宋体" w:hAnsi="宋体"/>
          <w:szCs w:val="21"/>
        </w:rPr>
      </w:pPr>
    </w:p>
    <w:p>
      <w:pPr>
        <w:rPr>
          <w:rFonts w:ascii="黑体" w:hAnsi="黑体" w:eastAsia="黑体" w:cs="黑体"/>
          <w:b/>
          <w:sz w:val="28"/>
          <w:szCs w:val="28"/>
        </w:rPr>
      </w:pPr>
      <w:r>
        <w:rPr>
          <w:rFonts w:ascii="黑体" w:hAnsi="黑体" w:eastAsia="黑体" w:cs="黑体"/>
          <w:b/>
          <w:sz w:val="28"/>
          <w:szCs w:val="28"/>
        </w:rPr>
        <w:br w:type="page"/>
      </w:r>
    </w:p>
    <w:p/>
    <w:p/>
    <w:p/>
    <w:p/>
    <w:p>
      <w:pPr>
        <w:pStyle w:val="5"/>
        <w:jc w:val="center"/>
        <w:rPr>
          <w:rFonts w:ascii="黑体" w:eastAsia="黑体"/>
          <w:b w:val="0"/>
          <w:sz w:val="24"/>
        </w:rPr>
      </w:pPr>
      <w:bookmarkStart w:id="6" w:name="_Hlk72092499"/>
      <w:r>
        <w:rPr>
          <w:rFonts w:hint="eastAsia" w:ascii="黑体" w:eastAsia="黑体"/>
          <w:b w:val="0"/>
          <w:sz w:val="24"/>
        </w:rPr>
        <w:t>（四）法定代表人（负责人）证明书</w:t>
      </w:r>
      <w:bookmarkEnd w:id="6"/>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ascii="Times New Roman" w:eastAsia="宋体"/>
          <w:szCs w:val="21"/>
          <w:u w:val="single"/>
        </w:rPr>
        <w:t xml:space="preserve">   </w:t>
      </w:r>
      <w:r>
        <w:rPr>
          <w:rFonts w:hint="eastAsia" w:eastAsia="宋体"/>
          <w:szCs w:val="21"/>
        </w:rPr>
        <w:t>（</w:t>
      </w:r>
      <w:r>
        <w:rPr>
          <w:rFonts w:hint="eastAsia" w:ascii="Times New Roman" w:eastAsia="宋体"/>
          <w:szCs w:val="21"/>
        </w:rPr>
        <w:t>姓名</w:t>
      </w:r>
      <w:r>
        <w:rPr>
          <w:rFonts w:hint="eastAsia" w:eastAsia="宋体"/>
          <w:szCs w:val="21"/>
        </w:rPr>
        <w:t>）</w:t>
      </w:r>
      <w:r>
        <w:rPr>
          <w:rFonts w:hint="eastAsia"/>
          <w:szCs w:val="21"/>
        </w:rPr>
        <w:t>，现任我单位</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rPr>
        <w:t>身份证件</w:t>
      </w:r>
      <w:r>
        <w:rPr>
          <w:rFonts w:hint="eastAsia"/>
          <w:szCs w:val="21"/>
        </w:rPr>
        <w:t>号</w:t>
      </w:r>
      <w:r>
        <w:rPr>
          <w:rFonts w:hint="eastAsia" w:ascii="Times New Roman" w:eastAsia="宋体"/>
          <w:szCs w:val="21"/>
        </w:rPr>
        <w:t>为</w:t>
      </w:r>
      <w:r>
        <w:rPr>
          <w:rFonts w:hint="eastAsia"/>
          <w:szCs w:val="21"/>
        </w:rPr>
        <w:t>：</w:t>
      </w:r>
      <w:r>
        <w:rPr>
          <w:rFonts w:hint="eastAsia"/>
          <w:szCs w:val="21"/>
          <w:u w:val="single"/>
        </w:rPr>
        <w:t xml:space="preserve">                                     </w:t>
      </w:r>
      <w:r>
        <w:rPr>
          <w:rFonts w:hint="eastAsia" w:eastAsia="宋体"/>
          <w:szCs w:val="21"/>
        </w:rPr>
        <w:t>，</w:t>
      </w:r>
      <w:r>
        <w:rPr>
          <w:rFonts w:hint="eastAsia"/>
          <w:szCs w:val="21"/>
        </w:rPr>
        <w:t>联系电话：</w:t>
      </w:r>
      <w:r>
        <w:rPr>
          <w:rFonts w:hint="eastAsia" w:ascii="Times New Roman" w:eastAsia="宋体"/>
          <w:szCs w:val="21"/>
          <w:u w:val="single"/>
        </w:rPr>
        <w:t xml:space="preserve">                </w:t>
      </w:r>
      <w:r>
        <w:rPr>
          <w:rFonts w:hint="eastAsia" w:ascii="Times New Roman" w:eastAsia="宋体"/>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1"/>
        </w:numPr>
        <w:spacing w:line="360" w:lineRule="auto"/>
        <w:ind w:firstLine="420" w:firstLineChars="200"/>
        <w:rPr>
          <w:szCs w:val="21"/>
        </w:rPr>
      </w:pPr>
      <w:r>
        <w:rPr>
          <w:rFonts w:hint="eastAsia" w:eastAsia="宋体"/>
          <w:szCs w:val="21"/>
        </w:rPr>
        <w:t>本证明书要供法定代表人（负责人）</w:t>
      </w:r>
      <w:r>
        <w:rPr>
          <w:rFonts w:hint="eastAsia" w:ascii="Times New Roman" w:eastAsia="宋体"/>
          <w:szCs w:val="21"/>
        </w:rPr>
        <w:t>相关身份证明文件：身份证扫描件（正反两面）；港澳台居民可提供来往通行证扫描件；非中国国籍管辖范围人员，可提供公安部门认可的身份证明材料扫描件。</w:t>
      </w:r>
    </w:p>
    <w:p>
      <w:pPr>
        <w:numPr>
          <w:ilvl w:val="0"/>
          <w:numId w:val="1"/>
        </w:numPr>
        <w:spacing w:line="360" w:lineRule="auto"/>
        <w:ind w:firstLine="420" w:firstLineChars="200"/>
        <w:rPr>
          <w:szCs w:val="21"/>
        </w:rPr>
      </w:pPr>
      <w:r>
        <w:rPr>
          <w:rFonts w:hint="eastAsia" w:eastAsia="宋体"/>
          <w:szCs w:val="21"/>
        </w:rPr>
        <w:t>本项目投标授权代表为法定代表人（负责人）的，无需提供</w:t>
      </w:r>
      <w:r>
        <w:rPr>
          <w:rFonts w:hint="eastAsia"/>
          <w:szCs w:val="21"/>
        </w:rPr>
        <w:t>《投标文件签署授权委托书》</w:t>
      </w:r>
      <w:r>
        <w:rPr>
          <w:rFonts w:hint="eastAsia" w:eastAsia="宋体"/>
          <w:szCs w:val="21"/>
        </w:rPr>
        <w:t>。</w:t>
      </w:r>
    </w:p>
    <w:p>
      <w:pPr>
        <w:numPr>
          <w:ilvl w:val="0"/>
          <w:numId w:val="1"/>
        </w:numPr>
        <w:spacing w:line="360" w:lineRule="auto"/>
        <w:ind w:firstLine="420" w:firstLineChars="200"/>
        <w:rPr>
          <w:szCs w:val="21"/>
        </w:rPr>
      </w:pPr>
      <w:r>
        <w:rPr>
          <w:rFonts w:hint="eastAsia"/>
          <w:szCs w:val="21"/>
        </w:rPr>
        <w:t>内容必须填写真实、清楚，涂改无效，不得转让、买卖。</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jc w:val="center"/>
            </w:pPr>
            <w:r>
              <w:rPr>
                <w:rFonts w:hint="eastAsia" w:ascii="Times New Roman" w:eastAsia="宋体"/>
              </w:rPr>
              <w:t>证件扫描件正面</w:t>
            </w:r>
          </w:p>
          <w:p>
            <w:pPr>
              <w:pStyle w:val="2"/>
              <w:jc w:val="center"/>
            </w:pPr>
          </w:p>
          <w:p>
            <w:pPr>
              <w:pStyle w:val="12"/>
              <w:jc w:val="center"/>
            </w:pPr>
          </w:p>
        </w:tc>
        <w:tc>
          <w:tcPr>
            <w:tcW w:w="4265" w:type="dxa"/>
          </w:tcPr>
          <w:p>
            <w:pPr>
              <w:jc w:val="center"/>
            </w:pPr>
            <w:r>
              <w:rPr>
                <w:rFonts w:hint="eastAsia" w:ascii="Times New Roman" w:eastAsia="宋体"/>
              </w:rPr>
              <w:t>证件扫描件反面</w:t>
            </w:r>
          </w:p>
          <w:p>
            <w:pPr>
              <w:pStyle w:val="2"/>
              <w:jc w:val="center"/>
            </w:pPr>
          </w:p>
          <w:p>
            <w:pPr>
              <w:pStyle w:val="12"/>
              <w:jc w:val="center"/>
            </w:pPr>
          </w:p>
        </w:tc>
      </w:tr>
    </w:tbl>
    <w:p>
      <w:pPr>
        <w:tabs>
          <w:tab w:val="left" w:pos="540"/>
        </w:tabs>
        <w:spacing w:line="360" w:lineRule="auto"/>
        <w:rPr>
          <w:szCs w:val="22"/>
        </w:rPr>
      </w:pPr>
    </w:p>
    <w:p>
      <w:pPr>
        <w:rPr>
          <w:szCs w:val="22"/>
        </w:rPr>
      </w:pPr>
      <w:r>
        <w:rPr>
          <w:rFonts w:hint="eastAsia"/>
          <w:szCs w:val="22"/>
        </w:rPr>
        <w:br w:type="page"/>
      </w:r>
    </w:p>
    <w:p>
      <w:pPr>
        <w:tabs>
          <w:tab w:val="left" w:pos="540"/>
        </w:tabs>
        <w:spacing w:line="360" w:lineRule="auto"/>
        <w:rPr>
          <w:szCs w:val="22"/>
        </w:rPr>
      </w:pPr>
    </w:p>
    <w:p>
      <w:pPr>
        <w:pStyle w:val="5"/>
        <w:spacing w:before="120" w:after="120"/>
        <w:jc w:val="center"/>
        <w:rPr>
          <w:rFonts w:ascii="黑体" w:eastAsia="黑体"/>
          <w:b w:val="0"/>
          <w:sz w:val="24"/>
        </w:rPr>
      </w:pPr>
      <w:r>
        <w:rPr>
          <w:rFonts w:hint="eastAsia" w:ascii="黑体" w:eastAsia="黑体"/>
          <w:b w:val="0"/>
          <w:sz w:val="24"/>
        </w:rPr>
        <w:t>（五）投标文件签署授权委托书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eastAsia="宋体"/>
          <w:szCs w:val="21"/>
        </w:rPr>
        <w:t>：</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eastAsia="宋体"/>
          <w:szCs w:val="21"/>
        </w:rPr>
        <w:t>；</w:t>
      </w:r>
    </w:p>
    <w:p>
      <w:pPr>
        <w:spacing w:line="360" w:lineRule="auto"/>
        <w:ind w:firstLine="420" w:firstLineChars="200"/>
        <w:rPr>
          <w:szCs w:val="21"/>
        </w:rPr>
      </w:pPr>
      <w:r>
        <w:rPr>
          <w:rFonts w:hint="eastAsia"/>
          <w:szCs w:val="21"/>
        </w:rPr>
        <w:t>身份</w:t>
      </w:r>
      <w:r>
        <w:rPr>
          <w:rFonts w:hint="eastAsia" w:ascii="Times New Roman" w:eastAsia="宋体"/>
          <w:szCs w:val="21"/>
        </w:rPr>
        <w:t>证件号</w:t>
      </w:r>
      <w:r>
        <w:rPr>
          <w:rFonts w:hint="eastAsia"/>
          <w:szCs w:val="21"/>
        </w:rPr>
        <w:t>：</w:t>
      </w:r>
      <w:r>
        <w:rPr>
          <w:rFonts w:hint="eastAsia"/>
          <w:szCs w:val="21"/>
          <w:u w:val="single"/>
        </w:rPr>
        <w:t xml:space="preserve">                        </w:t>
      </w:r>
      <w:r>
        <w:rPr>
          <w:rFonts w:hint="eastAsia" w:eastAsia="宋体"/>
          <w:szCs w:val="21"/>
        </w:rPr>
        <w:t>，</w:t>
      </w:r>
      <w:r>
        <w:rPr>
          <w:rFonts w:hint="eastAsia"/>
          <w:szCs w:val="21"/>
        </w:rPr>
        <w:t>职务：</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eastAsia="宋体"/>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eastAsia="宋体"/>
          <w:szCs w:val="21"/>
        </w:rPr>
        <w:t>，</w:t>
      </w:r>
      <w:r>
        <w:rPr>
          <w:rFonts w:hint="eastAsia"/>
          <w:szCs w:val="21"/>
        </w:rPr>
        <w:t>手机：</w:t>
      </w:r>
      <w:r>
        <w:rPr>
          <w:rFonts w:hint="eastAsia"/>
          <w:szCs w:val="21"/>
          <w:u w:val="single"/>
        </w:rPr>
        <w:t xml:space="preserve">                </w:t>
      </w:r>
      <w:r>
        <w:rPr>
          <w:rFonts w:hint="eastAsia" w:eastAsia="宋体"/>
          <w:szCs w:val="21"/>
        </w:rPr>
        <w:t>，</w:t>
      </w:r>
      <w:r>
        <w:rPr>
          <w:rFonts w:hint="eastAsia" w:ascii="Times New Roman" w:eastAsia="宋体"/>
          <w:szCs w:val="21"/>
        </w:rPr>
        <w:t>电子邮箱：</w:t>
      </w:r>
      <w:r>
        <w:rPr>
          <w:rFonts w:hint="eastAsia"/>
          <w:szCs w:val="21"/>
          <w:u w:val="single"/>
        </w:rPr>
        <w:t xml:space="preserve">            </w:t>
      </w:r>
      <w:r>
        <w:rPr>
          <w:rFonts w:hint="eastAsia" w:ascii="Times New Roman" w:eastAsia="宋体"/>
          <w:szCs w:val="21"/>
          <w:u w:val="single"/>
        </w:rPr>
        <w:t xml:space="preserve">  </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2"/>
              <w:jc w:val="center"/>
            </w:pPr>
          </w:p>
        </w:tc>
        <w:tc>
          <w:tcPr>
            <w:tcW w:w="4265" w:type="dxa"/>
          </w:tcPr>
          <w:p>
            <w:pPr>
              <w:jc w:val="center"/>
            </w:pPr>
            <w:r>
              <w:rPr>
                <w:rFonts w:hint="eastAsia" w:ascii="Times New Roman" w:eastAsia="宋体"/>
              </w:rPr>
              <w:t>证件扫描件反面</w:t>
            </w:r>
          </w:p>
          <w:p>
            <w:pPr>
              <w:pStyle w:val="2"/>
              <w:jc w:val="center"/>
            </w:pPr>
          </w:p>
          <w:p>
            <w:pPr>
              <w:pStyle w:val="12"/>
              <w:jc w:val="center"/>
            </w:pPr>
          </w:p>
        </w:tc>
      </w:tr>
    </w:tbl>
    <w:p>
      <w:pPr>
        <w:ind w:firstLine="420" w:firstLineChars="200"/>
      </w:pPr>
    </w:p>
    <w:p>
      <w:pPr>
        <w:ind w:firstLine="4830" w:firstLineChars="2300"/>
      </w:pPr>
      <w:r>
        <w:t>投标人：</w:t>
      </w:r>
    </w:p>
    <w:p>
      <w:pPr>
        <w:ind w:firstLine="4830" w:firstLineChars="2300"/>
      </w:pPr>
      <w:r>
        <w:t>法定代表人</w:t>
      </w:r>
      <w:r>
        <w:rPr>
          <w:rFonts w:hint="eastAsia"/>
          <w:szCs w:val="22"/>
        </w:rPr>
        <w:t>（负责人）</w:t>
      </w:r>
      <w:r>
        <w:t>：</w:t>
      </w:r>
    </w:p>
    <w:p>
      <w:pPr>
        <w:ind w:firstLine="4830" w:firstLineChars="2300"/>
      </w:pPr>
      <w:r>
        <w:t xml:space="preserve">授权委托日期： </w:t>
      </w:r>
      <w:r>
        <w:rPr>
          <w:rFonts w:hint="eastAsia"/>
        </w:rPr>
        <w:t xml:space="preserve">   </w:t>
      </w:r>
      <w:r>
        <w:t>年    月   日</w:t>
      </w:r>
    </w:p>
    <w:p>
      <w:pPr>
        <w:pStyle w:val="5"/>
        <w:spacing w:before="120" w:after="120"/>
        <w:jc w:val="center"/>
        <w:rPr>
          <w:rFonts w:ascii="黑体" w:eastAsia="黑体"/>
          <w:b w:val="0"/>
          <w:sz w:val="24"/>
        </w:rPr>
      </w:pPr>
      <w:r>
        <w:rPr>
          <w:rFonts w:hint="eastAsia" w:eastAsiaTheme="minorEastAsia"/>
          <w:szCs w:val="22"/>
        </w:rPr>
        <w:br w:type="page"/>
      </w:r>
      <w:r>
        <w:rPr>
          <w:rFonts w:hint="eastAsia" w:ascii="黑体" w:eastAsia="黑体"/>
          <w:b w:val="0"/>
          <w:sz w:val="24"/>
        </w:rPr>
        <w:t>（六）实施方案（格式自定）</w:t>
      </w:r>
    </w:p>
    <w:p>
      <w:pPr>
        <w:rPr>
          <w:rFonts w:ascii="黑体" w:hAnsi="宋体" w:eastAsia="黑体" w:cs="宋体"/>
          <w:sz w:val="24"/>
        </w:rPr>
      </w:pPr>
    </w:p>
    <w:p>
      <w:pPr>
        <w:rPr>
          <w:rFonts w:ascii="黑体" w:hAnsi="宋体" w:eastAsia="黑体" w:cs="宋体"/>
          <w:sz w:val="24"/>
        </w:rPr>
      </w:pPr>
    </w:p>
    <w:p>
      <w:pPr>
        <w:pStyle w:val="5"/>
        <w:spacing w:before="120" w:after="120"/>
        <w:jc w:val="center"/>
        <w:rPr>
          <w:rFonts w:ascii="黑体" w:eastAsia="黑体"/>
          <w:b w:val="0"/>
          <w:sz w:val="24"/>
        </w:rPr>
      </w:pPr>
      <w:r>
        <w:rPr>
          <w:rFonts w:hint="eastAsia" w:ascii="黑体" w:eastAsia="黑体"/>
          <w:b w:val="0"/>
          <w:sz w:val="24"/>
        </w:rPr>
        <w:t>（七）质量（完成时间、安全、环保）保障措施及方案（格式自定）</w:t>
      </w:r>
    </w:p>
    <w:p/>
    <w:p/>
    <w:p>
      <w:pPr>
        <w:pStyle w:val="5"/>
        <w:spacing w:before="120" w:after="120"/>
        <w:jc w:val="center"/>
        <w:rPr>
          <w:rFonts w:ascii="黑体" w:eastAsia="黑体"/>
          <w:b w:val="0"/>
          <w:sz w:val="24"/>
        </w:rPr>
      </w:pPr>
      <w:r>
        <w:rPr>
          <w:rFonts w:hint="eastAsia" w:ascii="黑体" w:eastAsia="黑体"/>
          <w:b w:val="0"/>
          <w:sz w:val="24"/>
        </w:rPr>
        <w:t>（八）项目重点难点分析、应对措施及相关的合理化建议</w:t>
      </w:r>
    </w:p>
    <w:p/>
    <w:p/>
    <w:p>
      <w:pPr>
        <w:pStyle w:val="5"/>
        <w:spacing w:before="120" w:after="120"/>
        <w:jc w:val="center"/>
        <w:rPr>
          <w:rFonts w:ascii="黑体" w:eastAsia="黑体"/>
          <w:b w:val="0"/>
          <w:sz w:val="24"/>
        </w:rPr>
      </w:pPr>
      <w:r>
        <w:rPr>
          <w:rFonts w:hint="eastAsia" w:ascii="黑体" w:eastAsia="黑体"/>
          <w:b w:val="0"/>
          <w:sz w:val="24"/>
        </w:rPr>
        <w:t>（九）应急响应能力</w:t>
      </w:r>
    </w:p>
    <w:p/>
    <w:p/>
    <w:p>
      <w:pPr>
        <w:pStyle w:val="5"/>
        <w:spacing w:before="120" w:after="120"/>
        <w:jc w:val="center"/>
        <w:rPr>
          <w:rFonts w:ascii="黑体" w:eastAsia="黑体"/>
          <w:b w:val="0"/>
          <w:sz w:val="24"/>
        </w:rPr>
      </w:pPr>
      <w:r>
        <w:rPr>
          <w:rFonts w:hint="eastAsia" w:ascii="黑体" w:eastAsia="黑体"/>
          <w:b w:val="0"/>
          <w:sz w:val="24"/>
        </w:rPr>
        <w:t>（十）拟安排的项目负责人情况（仅限一人）（格式自定）</w:t>
      </w:r>
    </w:p>
    <w:p>
      <w:pPr>
        <w:rPr>
          <w:rFonts w:ascii="黑体" w:hAnsi="宋体" w:eastAsia="黑体" w:cs="宋体"/>
          <w:sz w:val="24"/>
        </w:rPr>
      </w:pPr>
    </w:p>
    <w:p>
      <w:pPr>
        <w:rPr>
          <w:rFonts w:ascii="黑体" w:hAnsi="宋体" w:eastAsia="黑体" w:cs="宋体"/>
          <w:sz w:val="24"/>
        </w:rPr>
      </w:pPr>
    </w:p>
    <w:p>
      <w:pPr>
        <w:pStyle w:val="5"/>
        <w:spacing w:before="120" w:after="120"/>
        <w:jc w:val="center"/>
        <w:rPr>
          <w:rFonts w:ascii="黑体" w:eastAsia="黑体"/>
          <w:b w:val="0"/>
          <w:sz w:val="24"/>
        </w:rPr>
      </w:pPr>
      <w:r>
        <w:rPr>
          <w:rFonts w:hint="eastAsia" w:ascii="黑体" w:eastAsia="黑体"/>
          <w:b w:val="0"/>
          <w:sz w:val="24"/>
        </w:rPr>
        <w:t>（十一）体系认证情况（格式自定）</w:t>
      </w:r>
    </w:p>
    <w:p>
      <w:pPr>
        <w:rPr>
          <w:rFonts w:ascii="黑体" w:hAnsi="宋体" w:eastAsia="黑体" w:cs="宋体"/>
          <w:sz w:val="24"/>
        </w:rPr>
      </w:pPr>
    </w:p>
    <w:p>
      <w:pPr>
        <w:rPr>
          <w:rFonts w:ascii="黑体" w:hAnsi="宋体" w:eastAsia="黑体" w:cs="宋体"/>
          <w:sz w:val="24"/>
        </w:rPr>
      </w:pPr>
    </w:p>
    <w:p>
      <w:pPr>
        <w:rPr>
          <w:rFonts w:ascii="黑体" w:hAnsi="宋体" w:eastAsia="黑体" w:cs="宋体"/>
          <w:sz w:val="24"/>
        </w:rPr>
      </w:pPr>
    </w:p>
    <w:p>
      <w:pPr>
        <w:pStyle w:val="5"/>
        <w:spacing w:before="120" w:after="120"/>
        <w:jc w:val="center"/>
        <w:rPr>
          <w:rFonts w:ascii="黑体" w:eastAsia="黑体"/>
          <w:b w:val="0"/>
          <w:sz w:val="24"/>
        </w:rPr>
      </w:pPr>
      <w:r>
        <w:rPr>
          <w:rFonts w:hint="eastAsia" w:ascii="黑体" w:eastAsia="黑体"/>
          <w:b w:val="0"/>
          <w:sz w:val="24"/>
        </w:rPr>
        <w:t>（十三）投标人同类项目业绩情况（格式自定）</w:t>
      </w:r>
    </w:p>
    <w:p>
      <w:pPr>
        <w:rPr>
          <w:rFonts w:ascii="黑体" w:hAnsi="宋体" w:eastAsia="黑体" w:cs="宋体"/>
          <w:sz w:val="24"/>
        </w:rPr>
      </w:pPr>
    </w:p>
    <w:p>
      <w:pPr>
        <w:rPr>
          <w:rFonts w:ascii="黑体" w:hAnsi="宋体" w:eastAsia="黑体" w:cs="宋体"/>
          <w:sz w:val="24"/>
        </w:rPr>
      </w:pPr>
    </w:p>
    <w:p>
      <w:pPr>
        <w:pStyle w:val="5"/>
        <w:spacing w:before="120" w:after="120"/>
        <w:jc w:val="center"/>
        <w:rPr>
          <w:rFonts w:ascii="黑体" w:eastAsia="黑体"/>
          <w:b w:val="0"/>
          <w:sz w:val="24"/>
        </w:rPr>
      </w:pPr>
      <w:r>
        <w:rPr>
          <w:rFonts w:hint="eastAsia" w:ascii="黑体" w:eastAsia="黑体"/>
          <w:b w:val="0"/>
          <w:sz w:val="24"/>
        </w:rPr>
        <w:t>（十四）履约评价（格式自定）</w:t>
      </w:r>
    </w:p>
    <w:p>
      <w:pPr>
        <w:rPr>
          <w:szCs w:val="22"/>
        </w:rPr>
      </w:pPr>
    </w:p>
    <w:p>
      <w:pPr>
        <w:rPr>
          <w:szCs w:val="22"/>
        </w:rPr>
      </w:pPr>
    </w:p>
    <w:p>
      <w:pPr>
        <w:jc w:val="center"/>
        <w:rPr>
          <w:szCs w:val="22"/>
        </w:rPr>
      </w:pPr>
      <w:bookmarkStart w:id="7" w:name="_Hlk72062872"/>
      <w:r>
        <w:rPr>
          <w:rFonts w:hint="eastAsia" w:ascii="黑体" w:eastAsia="黑体"/>
          <w:sz w:val="24"/>
          <w:szCs w:val="20"/>
        </w:rPr>
        <w:t>（十五）投标人认为需要加以说明的其他内容</w:t>
      </w:r>
      <w:bookmarkEnd w:id="7"/>
    </w:p>
    <w:p>
      <w:pPr>
        <w:rPr>
          <w:szCs w:val="22"/>
        </w:rPr>
      </w:pPr>
    </w:p>
    <w:p>
      <w:pPr>
        <w:tabs>
          <w:tab w:val="left" w:pos="540"/>
        </w:tabs>
        <w:spacing w:line="360" w:lineRule="auto"/>
        <w:rPr>
          <w:szCs w:val="22"/>
        </w:rPr>
      </w:pPr>
    </w:p>
    <w:p>
      <w:pPr>
        <w:tabs>
          <w:tab w:val="left" w:pos="540"/>
        </w:tabs>
        <w:spacing w:line="360" w:lineRule="auto"/>
        <w:rPr>
          <w:szCs w:val="22"/>
        </w:rPr>
      </w:pPr>
    </w:p>
    <w:p>
      <w:pPr>
        <w:tabs>
          <w:tab w:val="left" w:pos="540"/>
        </w:tabs>
        <w:spacing w:line="360" w:lineRule="auto"/>
        <w:rPr>
          <w:szCs w:val="22"/>
        </w:rPr>
      </w:pPr>
    </w:p>
    <w:p>
      <w:pPr>
        <w:tabs>
          <w:tab w:val="left" w:pos="540"/>
        </w:tabs>
        <w:spacing w:line="360" w:lineRule="auto"/>
        <w:rPr>
          <w:szCs w:val="22"/>
        </w:rPr>
      </w:pPr>
    </w:p>
    <w:p>
      <w:pPr>
        <w:tabs>
          <w:tab w:val="left" w:pos="540"/>
        </w:tabs>
        <w:spacing w:line="360" w:lineRule="auto"/>
        <w:jc w:val="center"/>
        <w:rPr>
          <w:sz w:val="30"/>
          <w:szCs w:val="30"/>
        </w:rPr>
      </w:pPr>
    </w:p>
    <w:p>
      <w:pPr>
        <w:tabs>
          <w:tab w:val="left" w:pos="540"/>
        </w:tabs>
        <w:spacing w:line="360" w:lineRule="auto"/>
        <w:jc w:val="center"/>
        <w:rPr>
          <w:sz w:val="30"/>
          <w:szCs w:val="30"/>
        </w:rPr>
      </w:pPr>
    </w:p>
    <w:p>
      <w:pPr>
        <w:tabs>
          <w:tab w:val="left" w:pos="540"/>
        </w:tabs>
        <w:spacing w:line="360" w:lineRule="auto"/>
        <w:jc w:val="center"/>
        <w:rPr>
          <w:sz w:val="30"/>
          <w:szCs w:val="30"/>
        </w:rPr>
      </w:pPr>
    </w:p>
    <w:p>
      <w:pPr>
        <w:spacing w:afterLines="200" w:line="560" w:lineRule="exact"/>
        <w:jc w:val="left"/>
        <w:rPr>
          <w:rFonts w:ascii="仿宋_GB2312" w:eastAsia="仿宋_GB2312"/>
          <w:color w:val="000000" w:themeColor="text1"/>
          <w:sz w:val="32"/>
          <w:szCs w:val="32"/>
        </w:rPr>
      </w:pPr>
      <w:bookmarkStart w:id="8" w:name="_Toc73517639"/>
      <w:bookmarkStart w:id="9" w:name="_Toc101074876"/>
      <w:bookmarkStart w:id="10" w:name="_Toc100052364"/>
      <w:bookmarkStart w:id="11" w:name="_Toc60560625"/>
      <w:bookmarkStart w:id="12" w:name="_Toc73521635"/>
      <w:bookmarkStart w:id="13" w:name="_Toc73518117"/>
      <w:bookmarkStart w:id="14" w:name="_Toc73521547"/>
      <w:bookmarkStart w:id="15" w:name="_Toc60631620"/>
      <w:r>
        <w:rPr>
          <w:rFonts w:hint="eastAsia" w:ascii="仿宋_GB2312" w:eastAsia="仿宋_GB2312"/>
          <w:color w:val="000000" w:themeColor="text1"/>
          <w:sz w:val="32"/>
          <w:szCs w:val="32"/>
        </w:rPr>
        <w:t>附件1</w:t>
      </w:r>
    </w:p>
    <w:p>
      <w:pPr>
        <w:spacing w:afterLines="200" w:line="560" w:lineRule="exact"/>
        <w:jc w:val="center"/>
        <w:rPr>
          <w:b/>
          <w:color w:val="000000" w:themeColor="text1"/>
          <w:sz w:val="44"/>
          <w:szCs w:val="44"/>
        </w:rPr>
      </w:pPr>
      <w:r>
        <w:rPr>
          <w:b/>
          <w:color w:val="000000" w:themeColor="text1"/>
          <w:sz w:val="44"/>
          <w:szCs w:val="44"/>
        </w:rPr>
        <w:t>盐田区人力资源大楼物业管理服务项目需求书</w:t>
      </w:r>
    </w:p>
    <w:p>
      <w:pPr>
        <w:tabs>
          <w:tab w:val="left" w:pos="0"/>
        </w:tabs>
        <w:adjustRightInd w:val="0"/>
        <w:snapToGrid w:val="0"/>
        <w:spacing w:line="400" w:lineRule="exact"/>
        <w:outlineLvl w:val="0"/>
        <w:rPr>
          <w:rFonts w:ascii="宋体" w:hAnsi="宋体"/>
          <w:b/>
          <w:bCs/>
          <w:color w:val="000000" w:themeColor="text1"/>
          <w:szCs w:val="21"/>
        </w:rPr>
      </w:pPr>
      <w:r>
        <w:rPr>
          <w:rFonts w:ascii="宋体" w:hAnsi="宋体"/>
          <w:b/>
          <w:bCs/>
          <w:color w:val="000000" w:themeColor="text1"/>
          <w:szCs w:val="21"/>
        </w:rPr>
        <w:t>一、</w:t>
      </w:r>
      <w:bookmarkEnd w:id="8"/>
      <w:bookmarkEnd w:id="9"/>
      <w:bookmarkEnd w:id="10"/>
      <w:bookmarkEnd w:id="11"/>
      <w:bookmarkEnd w:id="12"/>
      <w:bookmarkEnd w:id="13"/>
      <w:bookmarkEnd w:id="14"/>
      <w:bookmarkEnd w:id="15"/>
      <w:r>
        <w:rPr>
          <w:rFonts w:ascii="宋体" w:hAnsi="宋体"/>
          <w:b/>
          <w:bCs/>
          <w:color w:val="000000" w:themeColor="text1"/>
          <w:szCs w:val="21"/>
        </w:rPr>
        <w:t>项目招标情况</w:t>
      </w:r>
    </w:p>
    <w:tbl>
      <w:tblPr>
        <w:tblStyle w:val="14"/>
        <w:tblW w:w="1005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82"/>
        <w:gridCol w:w="2511"/>
        <w:gridCol w:w="6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882" w:type="dxa"/>
            <w:vAlign w:val="center"/>
          </w:tcPr>
          <w:p>
            <w:pPr>
              <w:spacing w:line="400" w:lineRule="exact"/>
              <w:ind w:right="2" w:rightChars="1"/>
              <w:jc w:val="center"/>
              <w:rPr>
                <w:rFonts w:ascii="宋体" w:hAnsi="宋体"/>
                <w:b/>
                <w:bCs/>
                <w:color w:val="000000" w:themeColor="text1"/>
                <w:szCs w:val="21"/>
              </w:rPr>
            </w:pPr>
            <w:r>
              <w:rPr>
                <w:rFonts w:ascii="宋体" w:hAnsi="宋体"/>
                <w:b/>
                <w:bCs/>
                <w:color w:val="000000" w:themeColor="text1"/>
                <w:szCs w:val="21"/>
              </w:rPr>
              <w:t>序号</w:t>
            </w:r>
          </w:p>
        </w:tc>
        <w:tc>
          <w:tcPr>
            <w:tcW w:w="2511" w:type="dxa"/>
            <w:vAlign w:val="center"/>
          </w:tcPr>
          <w:p>
            <w:pPr>
              <w:spacing w:line="400" w:lineRule="exact"/>
              <w:ind w:right="2" w:rightChars="1"/>
              <w:jc w:val="center"/>
              <w:rPr>
                <w:rFonts w:ascii="宋体" w:hAnsi="宋体"/>
                <w:b/>
                <w:bCs/>
                <w:color w:val="000000" w:themeColor="text1"/>
                <w:szCs w:val="21"/>
              </w:rPr>
            </w:pPr>
            <w:r>
              <w:rPr>
                <w:rFonts w:ascii="宋体" w:hAnsi="宋体"/>
                <w:b/>
                <w:bCs/>
                <w:color w:val="000000" w:themeColor="text1"/>
                <w:szCs w:val="21"/>
              </w:rPr>
              <w:t>内   容</w:t>
            </w:r>
          </w:p>
        </w:tc>
        <w:tc>
          <w:tcPr>
            <w:tcW w:w="6661" w:type="dxa"/>
            <w:vAlign w:val="center"/>
          </w:tcPr>
          <w:p>
            <w:pPr>
              <w:spacing w:line="400" w:lineRule="exact"/>
              <w:ind w:right="2" w:rightChars="1"/>
              <w:jc w:val="center"/>
              <w:rPr>
                <w:rFonts w:ascii="宋体" w:hAnsi="宋体"/>
                <w:b/>
                <w:bCs/>
                <w:color w:val="000000" w:themeColor="text1"/>
                <w:szCs w:val="21"/>
              </w:rPr>
            </w:pPr>
            <w:r>
              <w:rPr>
                <w:rFonts w:ascii="宋体" w:hAnsi="宋体"/>
                <w:b/>
                <w:bCs/>
                <w:color w:val="000000" w:themeColor="text1"/>
                <w:szCs w:val="21"/>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882" w:type="dxa"/>
            <w:vAlign w:val="center"/>
          </w:tcPr>
          <w:p>
            <w:pPr>
              <w:spacing w:line="400" w:lineRule="exact"/>
              <w:ind w:right="2" w:rightChars="1"/>
              <w:jc w:val="center"/>
              <w:rPr>
                <w:rFonts w:ascii="宋体" w:hAnsi="宋体"/>
                <w:color w:val="000000" w:themeColor="text1"/>
                <w:szCs w:val="21"/>
              </w:rPr>
            </w:pPr>
            <w:r>
              <w:rPr>
                <w:rFonts w:ascii="宋体" w:hAnsi="宋体"/>
                <w:color w:val="000000" w:themeColor="text1"/>
                <w:szCs w:val="21"/>
              </w:rPr>
              <w:t>1</w:t>
            </w:r>
          </w:p>
        </w:tc>
        <w:tc>
          <w:tcPr>
            <w:tcW w:w="251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资金来源</w:t>
            </w:r>
          </w:p>
        </w:tc>
        <w:tc>
          <w:tcPr>
            <w:tcW w:w="666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深圳市盐田区劳动关系公共服务中心53</w:t>
            </w:r>
            <w:r>
              <w:rPr>
                <w:rFonts w:hint="eastAsia" w:ascii="宋体" w:hAnsi="宋体"/>
                <w:color w:val="000000" w:themeColor="text1"/>
                <w:szCs w:val="21"/>
              </w:rPr>
              <w:t>.1</w:t>
            </w:r>
            <w:r>
              <w:rPr>
                <w:rFonts w:ascii="宋体" w:hAnsi="宋体"/>
                <w:color w:val="000000" w:themeColor="text1"/>
                <w:szCs w:val="21"/>
              </w:rPr>
              <w:t>万元，</w:t>
            </w:r>
          </w:p>
          <w:p>
            <w:pPr>
              <w:spacing w:line="400" w:lineRule="exact"/>
              <w:jc w:val="center"/>
              <w:rPr>
                <w:rFonts w:ascii="宋体" w:hAnsi="宋体"/>
                <w:color w:val="000000" w:themeColor="text1"/>
                <w:szCs w:val="21"/>
              </w:rPr>
            </w:pPr>
            <w:r>
              <w:rPr>
                <w:rFonts w:ascii="宋体" w:hAnsi="宋体"/>
                <w:color w:val="000000" w:themeColor="text1"/>
                <w:szCs w:val="21"/>
              </w:rPr>
              <w:t>深圳市盐田区人力资源服务中心</w:t>
            </w:r>
            <w:r>
              <w:rPr>
                <w:rFonts w:hint="eastAsia" w:ascii="宋体" w:hAnsi="宋体"/>
                <w:color w:val="000000" w:themeColor="text1"/>
                <w:szCs w:val="21"/>
              </w:rPr>
              <w:t>3.9</w:t>
            </w:r>
            <w:r>
              <w:rPr>
                <w:rFonts w:ascii="宋体" w:hAnsi="宋体"/>
                <w:color w:val="000000" w:themeColor="text1"/>
                <w:szCs w:val="21"/>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882" w:type="dxa"/>
            <w:vAlign w:val="center"/>
          </w:tcPr>
          <w:p>
            <w:pPr>
              <w:spacing w:line="400" w:lineRule="exact"/>
              <w:ind w:right="2" w:rightChars="1"/>
              <w:jc w:val="center"/>
              <w:rPr>
                <w:rFonts w:ascii="宋体" w:hAnsi="宋体"/>
                <w:color w:val="000000" w:themeColor="text1"/>
                <w:szCs w:val="21"/>
              </w:rPr>
            </w:pPr>
            <w:r>
              <w:rPr>
                <w:rFonts w:ascii="宋体" w:hAnsi="宋体"/>
                <w:color w:val="000000" w:themeColor="text1"/>
                <w:szCs w:val="21"/>
              </w:rPr>
              <w:t>2</w:t>
            </w:r>
          </w:p>
        </w:tc>
        <w:tc>
          <w:tcPr>
            <w:tcW w:w="251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采购单位</w:t>
            </w:r>
          </w:p>
        </w:tc>
        <w:tc>
          <w:tcPr>
            <w:tcW w:w="666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深圳市盐田区劳动关系公共服务中心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882" w:type="dxa"/>
            <w:vAlign w:val="center"/>
          </w:tcPr>
          <w:p>
            <w:pPr>
              <w:spacing w:line="400" w:lineRule="exact"/>
              <w:ind w:right="2" w:rightChars="1"/>
              <w:jc w:val="center"/>
              <w:rPr>
                <w:rFonts w:ascii="宋体" w:hAnsi="宋体"/>
                <w:color w:val="000000" w:themeColor="text1"/>
                <w:szCs w:val="21"/>
              </w:rPr>
            </w:pPr>
            <w:r>
              <w:rPr>
                <w:rFonts w:ascii="宋体" w:hAnsi="宋体"/>
                <w:color w:val="000000" w:themeColor="text1"/>
                <w:szCs w:val="21"/>
              </w:rPr>
              <w:t>3</w:t>
            </w:r>
          </w:p>
        </w:tc>
        <w:tc>
          <w:tcPr>
            <w:tcW w:w="251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项目名称</w:t>
            </w:r>
          </w:p>
        </w:tc>
        <w:tc>
          <w:tcPr>
            <w:tcW w:w="666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深圳市盐田区人力资源大楼物业管理服务采购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882" w:type="dxa"/>
            <w:vAlign w:val="center"/>
          </w:tcPr>
          <w:p>
            <w:pPr>
              <w:spacing w:line="400" w:lineRule="exact"/>
              <w:ind w:right="2" w:rightChars="1"/>
              <w:jc w:val="center"/>
              <w:rPr>
                <w:rFonts w:ascii="宋体" w:hAnsi="宋体"/>
                <w:color w:val="000000" w:themeColor="text1"/>
                <w:szCs w:val="21"/>
              </w:rPr>
            </w:pPr>
            <w:r>
              <w:rPr>
                <w:rFonts w:ascii="宋体" w:hAnsi="宋体"/>
                <w:color w:val="000000" w:themeColor="text1"/>
                <w:szCs w:val="21"/>
              </w:rPr>
              <w:t>4</w:t>
            </w:r>
          </w:p>
        </w:tc>
        <w:tc>
          <w:tcPr>
            <w:tcW w:w="251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投标报价的上限</w:t>
            </w:r>
          </w:p>
        </w:tc>
        <w:tc>
          <w:tcPr>
            <w:tcW w:w="6661" w:type="dxa"/>
            <w:vAlign w:val="center"/>
          </w:tcPr>
          <w:p>
            <w:pPr>
              <w:spacing w:line="400" w:lineRule="exact"/>
              <w:jc w:val="center"/>
              <w:rPr>
                <w:rFonts w:ascii="宋体" w:hAnsi="宋体"/>
                <w:color w:val="000000" w:themeColor="text1"/>
                <w:szCs w:val="21"/>
              </w:rPr>
            </w:pPr>
            <w:r>
              <w:rPr>
                <w:rFonts w:ascii="宋体" w:hAnsi="宋体"/>
                <w:color w:val="000000" w:themeColor="text1"/>
                <w:szCs w:val="21"/>
              </w:rPr>
              <w:t>按预算控制金额：57万元/年，币种：人民币。</w:t>
            </w:r>
          </w:p>
        </w:tc>
      </w:tr>
    </w:tbl>
    <w:p>
      <w:pPr>
        <w:tabs>
          <w:tab w:val="left" w:pos="0"/>
        </w:tabs>
        <w:adjustRightInd w:val="0"/>
        <w:snapToGrid w:val="0"/>
        <w:spacing w:beforeLines="100" w:line="400" w:lineRule="exact"/>
        <w:outlineLvl w:val="0"/>
        <w:rPr>
          <w:rFonts w:ascii="宋体" w:hAnsi="宋体"/>
          <w:b/>
          <w:bCs/>
          <w:color w:val="000000" w:themeColor="text1"/>
          <w:szCs w:val="21"/>
        </w:rPr>
      </w:pPr>
      <w:r>
        <w:rPr>
          <w:rFonts w:ascii="宋体" w:hAnsi="宋体"/>
          <w:b/>
          <w:bCs/>
          <w:color w:val="000000" w:themeColor="text1"/>
          <w:szCs w:val="21"/>
        </w:rPr>
        <w:t>二、深圳盐田区人力资源</w:t>
      </w:r>
      <w:r>
        <w:rPr>
          <w:rFonts w:ascii="宋体" w:hAnsi="宋体"/>
          <w:b/>
          <w:bCs/>
          <w:color w:val="000000" w:themeColor="text1"/>
          <w:szCs w:val="21"/>
          <w:lang w:eastAsia="zh-TW"/>
        </w:rPr>
        <w:t>大楼情况介绍</w:t>
      </w:r>
    </w:p>
    <w:p>
      <w:pPr>
        <w:tabs>
          <w:tab w:val="left" w:pos="0"/>
          <w:tab w:val="left" w:pos="1965"/>
        </w:tabs>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lang w:eastAsia="zh-TW"/>
        </w:rPr>
        <w:t>总用地面积 :</w:t>
      </w:r>
      <w:r>
        <w:rPr>
          <w:rFonts w:ascii="宋体" w:hAnsi="宋体"/>
          <w:color w:val="000000" w:themeColor="text1"/>
          <w:szCs w:val="21"/>
          <w:lang w:eastAsia="zh-TW"/>
        </w:rPr>
        <w:tab/>
      </w:r>
      <w:r>
        <w:rPr>
          <w:rFonts w:ascii="宋体" w:hAnsi="宋体"/>
          <w:color w:val="000000" w:themeColor="text1"/>
          <w:szCs w:val="21"/>
        </w:rPr>
        <w:t xml:space="preserve"> </w:t>
      </w:r>
      <w:r>
        <w:rPr>
          <w:rFonts w:ascii="宋体" w:hAnsi="宋体"/>
          <w:color w:val="000000" w:themeColor="text1"/>
          <w:szCs w:val="21"/>
          <w:lang w:eastAsia="zh-TW"/>
        </w:rPr>
        <w:t>2454.3平方米</w:t>
      </w:r>
    </w:p>
    <w:p>
      <w:pPr>
        <w:tabs>
          <w:tab w:val="left" w:pos="0"/>
          <w:tab w:val="left" w:pos="1965"/>
        </w:tabs>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lang w:eastAsia="zh-TW"/>
        </w:rPr>
        <w:t>总建筑面积 :</w:t>
      </w:r>
      <w:r>
        <w:rPr>
          <w:rFonts w:ascii="宋体" w:hAnsi="宋体"/>
          <w:color w:val="000000" w:themeColor="text1"/>
          <w:szCs w:val="21"/>
          <w:lang w:eastAsia="zh-TW"/>
        </w:rPr>
        <w:tab/>
      </w:r>
      <w:r>
        <w:rPr>
          <w:rFonts w:ascii="宋体" w:hAnsi="宋体"/>
          <w:color w:val="000000" w:themeColor="text1"/>
          <w:szCs w:val="21"/>
        </w:rPr>
        <w:t xml:space="preserve"> 6837.96</w:t>
      </w:r>
      <w:r>
        <w:rPr>
          <w:rFonts w:ascii="宋体" w:hAnsi="宋体"/>
          <w:color w:val="000000" w:themeColor="text1"/>
          <w:szCs w:val="21"/>
          <w:lang w:eastAsia="zh-TW"/>
        </w:rPr>
        <w:t>平方米</w:t>
      </w:r>
      <w:r>
        <w:rPr>
          <w:rFonts w:ascii="宋体" w:hAnsi="宋体"/>
          <w:color w:val="000000" w:themeColor="text1"/>
          <w:szCs w:val="21"/>
        </w:rPr>
        <w:t>（不含一楼101-106商铺）</w:t>
      </w:r>
    </w:p>
    <w:p>
      <w:pPr>
        <w:tabs>
          <w:tab w:val="left" w:pos="0"/>
          <w:tab w:val="left" w:pos="567"/>
          <w:tab w:val="center" w:pos="2640"/>
        </w:tabs>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lang w:eastAsia="zh-TW"/>
        </w:rPr>
        <w:t>容积率 :</w:t>
      </w:r>
      <w:r>
        <w:rPr>
          <w:rFonts w:hint="eastAsia" w:ascii="宋体" w:hAnsi="宋体"/>
          <w:color w:val="000000" w:themeColor="text1"/>
          <w:szCs w:val="21"/>
        </w:rPr>
        <w:t xml:space="preserve"> </w:t>
      </w:r>
      <w:r>
        <w:rPr>
          <w:rFonts w:ascii="宋体" w:hAnsi="宋体"/>
          <w:color w:val="000000" w:themeColor="text1"/>
          <w:szCs w:val="21"/>
        </w:rPr>
        <w:t xml:space="preserve"> </w:t>
      </w:r>
      <w:r>
        <w:rPr>
          <w:rFonts w:ascii="宋体" w:hAnsi="宋体"/>
          <w:color w:val="000000" w:themeColor="text1"/>
          <w:szCs w:val="21"/>
          <w:lang w:eastAsia="zh-TW"/>
        </w:rPr>
        <w:t>2.99</w:t>
      </w:r>
    </w:p>
    <w:p>
      <w:pPr>
        <w:tabs>
          <w:tab w:val="left" w:pos="0"/>
          <w:tab w:val="left" w:pos="567"/>
          <w:tab w:val="left" w:pos="1684"/>
        </w:tabs>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lang w:eastAsia="zh-TW"/>
        </w:rPr>
        <w:t>覆盖率 :</w:t>
      </w:r>
      <w:r>
        <w:rPr>
          <w:rFonts w:hint="eastAsia" w:ascii="宋体" w:hAnsi="宋体"/>
          <w:color w:val="000000" w:themeColor="text1"/>
          <w:szCs w:val="21"/>
        </w:rPr>
        <w:t xml:space="preserve">  </w:t>
      </w:r>
      <w:r>
        <w:rPr>
          <w:rFonts w:ascii="宋体" w:hAnsi="宋体"/>
          <w:color w:val="000000" w:themeColor="text1"/>
          <w:szCs w:val="21"/>
          <w:lang w:eastAsia="zh-TW"/>
        </w:rPr>
        <w:t>41.3%</w:t>
      </w:r>
    </w:p>
    <w:p>
      <w:pPr>
        <w:tabs>
          <w:tab w:val="left" w:pos="0"/>
          <w:tab w:val="left" w:pos="567"/>
        </w:tabs>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lang w:eastAsia="zh-TW"/>
        </w:rPr>
        <w:t xml:space="preserve">绿化率 : </w:t>
      </w:r>
      <w:r>
        <w:rPr>
          <w:rFonts w:hint="eastAsia" w:ascii="宋体" w:hAnsi="宋体"/>
          <w:color w:val="000000" w:themeColor="text1"/>
          <w:szCs w:val="21"/>
        </w:rPr>
        <w:t xml:space="preserve"> </w:t>
      </w:r>
      <w:r>
        <w:rPr>
          <w:rFonts w:ascii="宋体" w:hAnsi="宋体"/>
          <w:color w:val="000000" w:themeColor="text1"/>
          <w:szCs w:val="21"/>
          <w:lang w:eastAsia="zh-TW"/>
        </w:rPr>
        <w:t>36.3</w:t>
      </w:r>
      <w:r>
        <w:rPr>
          <w:rFonts w:ascii="宋体" w:hAnsi="宋体"/>
          <w:color w:val="000000" w:themeColor="text1"/>
          <w:szCs w:val="21"/>
        </w:rPr>
        <w:t>%</w:t>
      </w:r>
    </w:p>
    <w:p>
      <w:pPr>
        <w:tabs>
          <w:tab w:val="left" w:pos="0"/>
          <w:tab w:val="left" w:pos="691"/>
          <w:tab w:val="left" w:pos="2371"/>
        </w:tabs>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lang w:eastAsia="zh-TW"/>
        </w:rPr>
        <w:t>层</w:t>
      </w:r>
      <w:r>
        <w:rPr>
          <w:rFonts w:hint="eastAsia" w:ascii="宋体" w:hAnsi="宋体"/>
          <w:color w:val="000000" w:themeColor="text1"/>
          <w:szCs w:val="21"/>
        </w:rPr>
        <w:t xml:space="preserve">  </w:t>
      </w:r>
      <w:r>
        <w:rPr>
          <w:rFonts w:ascii="宋体" w:hAnsi="宋体"/>
          <w:color w:val="000000" w:themeColor="text1"/>
          <w:szCs w:val="21"/>
          <w:lang w:eastAsia="zh-TW"/>
        </w:rPr>
        <w:t>数</w:t>
      </w:r>
      <w:r>
        <w:rPr>
          <w:rFonts w:ascii="宋体" w:hAnsi="宋体"/>
          <w:color w:val="000000" w:themeColor="text1"/>
          <w:szCs w:val="21"/>
        </w:rPr>
        <w:t xml:space="preserve"> </w:t>
      </w:r>
      <w:r>
        <w:rPr>
          <w:rFonts w:ascii="宋体" w:hAnsi="宋体"/>
          <w:color w:val="000000" w:themeColor="text1"/>
          <w:szCs w:val="21"/>
          <w:lang w:eastAsia="zh-TW"/>
        </w:rPr>
        <w:t>:</w:t>
      </w:r>
      <w:r>
        <w:rPr>
          <w:rFonts w:hint="eastAsia" w:ascii="宋体" w:hAnsi="宋体"/>
          <w:color w:val="000000" w:themeColor="text1"/>
          <w:szCs w:val="21"/>
        </w:rPr>
        <w:t xml:space="preserve"> </w:t>
      </w:r>
      <w:r>
        <w:rPr>
          <w:rFonts w:ascii="宋体" w:hAnsi="宋体"/>
          <w:color w:val="000000" w:themeColor="text1"/>
          <w:szCs w:val="21"/>
          <w:lang w:eastAsia="zh-TW"/>
        </w:rPr>
        <w:t xml:space="preserve"> 8层</w:t>
      </w:r>
    </w:p>
    <w:p>
      <w:pPr>
        <w:tabs>
          <w:tab w:val="left" w:pos="0"/>
          <w:tab w:val="left" w:pos="691"/>
          <w:tab w:val="left" w:pos="2371"/>
        </w:tabs>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lang w:eastAsia="zh-TW"/>
        </w:rPr>
        <w:t>停车位</w:t>
      </w:r>
      <w:r>
        <w:rPr>
          <w:rFonts w:ascii="宋体" w:hAnsi="宋体"/>
          <w:color w:val="000000" w:themeColor="text1"/>
          <w:szCs w:val="21"/>
        </w:rPr>
        <w:t xml:space="preserve"> </w:t>
      </w:r>
      <w:r>
        <w:rPr>
          <w:rFonts w:ascii="宋体" w:hAnsi="宋体"/>
          <w:color w:val="000000" w:themeColor="text1"/>
          <w:szCs w:val="21"/>
          <w:lang w:eastAsia="zh-TW"/>
        </w:rPr>
        <w:t>:</w:t>
      </w:r>
      <w:r>
        <w:rPr>
          <w:rFonts w:hint="eastAsia" w:ascii="宋体" w:hAnsi="宋体"/>
          <w:color w:val="000000" w:themeColor="text1"/>
          <w:szCs w:val="21"/>
        </w:rPr>
        <w:t xml:space="preserve"> </w:t>
      </w:r>
      <w:r>
        <w:rPr>
          <w:rFonts w:ascii="宋体" w:hAnsi="宋体"/>
          <w:color w:val="000000" w:themeColor="text1"/>
          <w:szCs w:val="21"/>
          <w:lang w:eastAsia="zh-TW"/>
        </w:rPr>
        <w:t xml:space="preserve"> 28个</w:t>
      </w:r>
    </w:p>
    <w:p>
      <w:pPr>
        <w:tabs>
          <w:tab w:val="left" w:pos="0"/>
        </w:tabs>
        <w:adjustRightInd w:val="0"/>
        <w:snapToGrid w:val="0"/>
        <w:spacing w:beforeLines="100" w:line="400" w:lineRule="exact"/>
        <w:outlineLvl w:val="0"/>
        <w:rPr>
          <w:rFonts w:ascii="宋体" w:hAnsi="宋体"/>
          <w:bCs/>
          <w:color w:val="000000" w:themeColor="text1"/>
          <w:szCs w:val="21"/>
        </w:rPr>
      </w:pPr>
    </w:p>
    <w:p>
      <w:pPr>
        <w:tabs>
          <w:tab w:val="left" w:pos="0"/>
        </w:tabs>
        <w:adjustRightInd w:val="0"/>
        <w:snapToGrid w:val="0"/>
        <w:spacing w:beforeLines="100" w:line="400" w:lineRule="exact"/>
        <w:outlineLvl w:val="0"/>
        <w:rPr>
          <w:rFonts w:ascii="宋体" w:hAnsi="宋体"/>
          <w:b/>
          <w:bCs/>
          <w:color w:val="000000" w:themeColor="text1"/>
          <w:szCs w:val="21"/>
          <w:lang w:eastAsia="zh-TW"/>
        </w:rPr>
      </w:pPr>
      <w:r>
        <w:rPr>
          <w:rFonts w:ascii="宋体" w:hAnsi="宋体"/>
          <w:b/>
          <w:bCs/>
          <w:color w:val="000000" w:themeColor="text1"/>
          <w:szCs w:val="21"/>
        </w:rPr>
        <w:t>三</w:t>
      </w:r>
      <w:r>
        <w:rPr>
          <w:rFonts w:ascii="宋体" w:hAnsi="宋体"/>
          <w:b/>
          <w:bCs/>
          <w:color w:val="000000" w:themeColor="text1"/>
          <w:szCs w:val="21"/>
          <w:lang w:eastAsia="zh-TW"/>
        </w:rPr>
        <w:t>、主要设备设施介绍</w:t>
      </w:r>
    </w:p>
    <w:p>
      <w:pPr>
        <w:adjustRightInd w:val="0"/>
        <w:snapToGrid w:val="0"/>
        <w:spacing w:line="400" w:lineRule="exact"/>
        <w:ind w:firstLine="200"/>
        <w:rPr>
          <w:rFonts w:ascii="宋体" w:hAnsi="宋体"/>
          <w:color w:val="000000" w:themeColor="text1"/>
          <w:szCs w:val="21"/>
          <w:lang w:eastAsia="zh-TW"/>
        </w:rPr>
      </w:pPr>
      <w:r>
        <w:rPr>
          <w:rFonts w:ascii="宋体" w:hAnsi="宋体"/>
          <w:color w:val="000000" w:themeColor="text1"/>
          <w:szCs w:val="21"/>
        </w:rPr>
        <w:t>（一）</w:t>
      </w:r>
      <w:r>
        <w:rPr>
          <w:rFonts w:ascii="宋体" w:hAnsi="宋体"/>
          <w:color w:val="000000" w:themeColor="text1"/>
          <w:szCs w:val="21"/>
          <w:lang w:eastAsia="zh-TW"/>
        </w:rPr>
        <w:t>配电系统</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1.</w:t>
      </w:r>
      <w:r>
        <w:rPr>
          <w:rFonts w:ascii="宋体" w:hAnsi="宋体"/>
          <w:color w:val="000000" w:themeColor="text1"/>
          <w:szCs w:val="21"/>
          <w:lang w:eastAsia="zh-TW"/>
        </w:rPr>
        <w:t>SM6 高压环网柜 l 台</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2.</w:t>
      </w:r>
      <w:r>
        <w:rPr>
          <w:rFonts w:ascii="宋体" w:hAnsi="宋体"/>
          <w:color w:val="000000" w:themeColor="text1"/>
          <w:szCs w:val="21"/>
          <w:lang w:eastAsia="zh-TW"/>
        </w:rPr>
        <w:t xml:space="preserve">SC9-315KVA 变压器 l 台 </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3.</w:t>
      </w:r>
      <w:r>
        <w:rPr>
          <w:rFonts w:ascii="宋体" w:hAnsi="宋体"/>
          <w:color w:val="000000" w:themeColor="text1"/>
          <w:szCs w:val="21"/>
          <w:lang w:eastAsia="zh-TW"/>
        </w:rPr>
        <w:t>康明斯 200KW 柴油发电机 l 台</w:t>
      </w:r>
    </w:p>
    <w:p>
      <w:pPr>
        <w:adjustRightInd w:val="0"/>
        <w:snapToGrid w:val="0"/>
        <w:spacing w:line="400" w:lineRule="exact"/>
        <w:ind w:firstLine="411" w:firstLineChars="195"/>
        <w:rPr>
          <w:rFonts w:ascii="宋体" w:hAnsi="宋体"/>
          <w:color w:val="000000" w:themeColor="text1"/>
          <w:szCs w:val="21"/>
        </w:rPr>
      </w:pPr>
      <w:r>
        <w:rPr>
          <w:rFonts w:ascii="宋体" w:hAnsi="宋体"/>
          <w:b/>
          <w:bCs/>
          <w:color w:val="000000" w:themeColor="text1"/>
          <w:szCs w:val="21"/>
        </w:rPr>
        <w:t>4.</w:t>
      </w:r>
      <w:r>
        <w:rPr>
          <w:rFonts w:ascii="宋体" w:hAnsi="宋体"/>
          <w:color w:val="000000" w:themeColor="text1"/>
          <w:szCs w:val="21"/>
          <w:lang w:eastAsia="zh-TW"/>
        </w:rPr>
        <w:t>低压配电柜</w:t>
      </w:r>
    </w:p>
    <w:p>
      <w:pPr>
        <w:adjustRightInd w:val="0"/>
        <w:snapToGrid w:val="0"/>
        <w:spacing w:line="400" w:lineRule="exact"/>
        <w:ind w:firstLine="200"/>
        <w:rPr>
          <w:rFonts w:ascii="宋体" w:hAnsi="宋体"/>
          <w:color w:val="000000" w:themeColor="text1"/>
          <w:szCs w:val="21"/>
          <w:lang w:eastAsia="zh-TW"/>
        </w:rPr>
      </w:pPr>
      <w:r>
        <w:rPr>
          <w:rFonts w:ascii="宋体" w:hAnsi="宋体"/>
          <w:color w:val="000000" w:themeColor="text1"/>
          <w:szCs w:val="21"/>
        </w:rPr>
        <w:t>（二）</w:t>
      </w:r>
      <w:r>
        <w:rPr>
          <w:rFonts w:ascii="宋体" w:hAnsi="宋体"/>
          <w:color w:val="000000" w:themeColor="text1"/>
          <w:szCs w:val="21"/>
          <w:lang w:eastAsia="zh-TW"/>
        </w:rPr>
        <w:t>给排水系统</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1.</w:t>
      </w:r>
      <w:r>
        <w:rPr>
          <w:rFonts w:ascii="宋体" w:hAnsi="宋体"/>
          <w:color w:val="000000" w:themeColor="text1"/>
          <w:szCs w:val="21"/>
          <w:lang w:eastAsia="zh-TW"/>
        </w:rPr>
        <w:t>地下一层消防水池,生活用水为二次供水。</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2.</w:t>
      </w:r>
      <w:r>
        <w:rPr>
          <w:rFonts w:ascii="宋体" w:hAnsi="宋体"/>
          <w:color w:val="000000" w:themeColor="text1"/>
          <w:szCs w:val="21"/>
          <w:lang w:eastAsia="zh-TW"/>
        </w:rPr>
        <w:t>水泵</w:t>
      </w:r>
    </w:p>
    <w:p>
      <w:pPr>
        <w:adjustRightInd w:val="0"/>
        <w:snapToGrid w:val="0"/>
        <w:spacing w:line="400" w:lineRule="exact"/>
        <w:ind w:firstLine="630" w:firstLineChars="300"/>
        <w:rPr>
          <w:rFonts w:ascii="宋体" w:hAnsi="宋体"/>
          <w:color w:val="000000" w:themeColor="text1"/>
          <w:szCs w:val="21"/>
          <w:lang w:eastAsia="zh-TW"/>
        </w:rPr>
      </w:pPr>
      <w:r>
        <w:rPr>
          <w:rFonts w:ascii="宋体" w:hAnsi="宋体"/>
          <w:color w:val="000000" w:themeColor="text1"/>
          <w:szCs w:val="21"/>
          <w:lang w:eastAsia="zh-TW"/>
        </w:rPr>
        <w:t>消防栓水泵2台,喷淋水泵2台,喷淋稳压泵2台,生活泵</w:t>
      </w:r>
      <w:r>
        <w:rPr>
          <w:rFonts w:ascii="宋体" w:hAnsi="宋体"/>
          <w:color w:val="000000" w:themeColor="text1"/>
          <w:szCs w:val="21"/>
        </w:rPr>
        <w:t>2</w:t>
      </w:r>
      <w:r>
        <w:rPr>
          <w:rFonts w:ascii="宋体" w:hAnsi="宋体"/>
          <w:color w:val="000000" w:themeColor="text1"/>
          <w:szCs w:val="21"/>
          <w:lang w:eastAsia="zh-TW"/>
        </w:rPr>
        <w:t>台</w:t>
      </w:r>
      <w:r>
        <w:rPr>
          <w:rFonts w:ascii="宋体" w:hAnsi="宋体"/>
          <w:color w:val="000000" w:themeColor="text1"/>
          <w:szCs w:val="21"/>
        </w:rPr>
        <w:t>。</w:t>
      </w:r>
    </w:p>
    <w:p>
      <w:pPr>
        <w:autoSpaceDE w:val="0"/>
        <w:autoSpaceDN w:val="0"/>
        <w:adjustRightInd w:val="0"/>
        <w:snapToGrid w:val="0"/>
        <w:spacing w:line="400" w:lineRule="exact"/>
        <w:ind w:firstLine="422" w:firstLineChars="200"/>
        <w:jc w:val="left"/>
        <w:rPr>
          <w:rFonts w:ascii="宋体" w:hAnsi="宋体"/>
          <w:color w:val="000000" w:themeColor="text1"/>
          <w:szCs w:val="21"/>
          <w:lang w:eastAsia="zh-TW"/>
        </w:rPr>
      </w:pPr>
      <w:r>
        <w:rPr>
          <w:rFonts w:ascii="宋体" w:hAnsi="宋体"/>
          <w:b/>
          <w:bCs/>
          <w:color w:val="000000" w:themeColor="text1"/>
          <w:szCs w:val="21"/>
        </w:rPr>
        <w:t>3.</w:t>
      </w:r>
      <w:r>
        <w:rPr>
          <w:rFonts w:ascii="宋体" w:hAnsi="宋体"/>
          <w:color w:val="000000" w:themeColor="text1"/>
          <w:szCs w:val="21"/>
          <w:lang w:eastAsia="zh-TW"/>
        </w:rPr>
        <w:t>化粪池</w:t>
      </w:r>
    </w:p>
    <w:p>
      <w:pPr>
        <w:autoSpaceDE w:val="0"/>
        <w:autoSpaceDN w:val="0"/>
        <w:adjustRightInd w:val="0"/>
        <w:snapToGrid w:val="0"/>
        <w:spacing w:line="400" w:lineRule="exact"/>
        <w:ind w:firstLine="422" w:firstLineChars="200"/>
        <w:jc w:val="left"/>
        <w:rPr>
          <w:rFonts w:ascii="宋体" w:hAnsi="宋体"/>
          <w:color w:val="000000" w:themeColor="text1"/>
          <w:szCs w:val="21"/>
          <w:lang w:eastAsia="zh-TW"/>
        </w:rPr>
      </w:pPr>
      <w:r>
        <w:rPr>
          <w:rFonts w:ascii="宋体" w:hAnsi="宋体"/>
          <w:b/>
          <w:bCs/>
          <w:color w:val="000000" w:themeColor="text1"/>
          <w:szCs w:val="21"/>
        </w:rPr>
        <w:t>4.</w:t>
      </w:r>
      <w:r>
        <w:rPr>
          <w:rFonts w:ascii="宋体" w:hAnsi="宋体"/>
          <w:color w:val="000000" w:themeColor="text1"/>
          <w:szCs w:val="21"/>
          <w:lang w:eastAsia="zh-TW"/>
        </w:rPr>
        <w:t>空调系统</w:t>
      </w:r>
    </w:p>
    <w:p>
      <w:pPr>
        <w:adjustRightInd w:val="0"/>
        <w:snapToGrid w:val="0"/>
        <w:spacing w:line="400" w:lineRule="exact"/>
        <w:ind w:firstLine="630" w:firstLineChars="300"/>
        <w:rPr>
          <w:rFonts w:ascii="宋体" w:hAnsi="宋体"/>
          <w:color w:val="000000" w:themeColor="text1"/>
          <w:szCs w:val="21"/>
          <w:lang w:eastAsia="zh-TW"/>
        </w:rPr>
      </w:pPr>
      <w:r>
        <w:rPr>
          <w:rFonts w:ascii="宋体" w:hAnsi="宋体"/>
          <w:color w:val="000000" w:themeColor="text1"/>
          <w:szCs w:val="21"/>
          <w:lang w:eastAsia="zh-TW"/>
        </w:rPr>
        <w:t>5匹柜机40台,5匹天花机2台,3匹柜机13台,2匹挂机8台</w:t>
      </w:r>
      <w:r>
        <w:rPr>
          <w:rFonts w:ascii="宋体" w:hAnsi="宋体"/>
          <w:color w:val="000000" w:themeColor="text1"/>
          <w:szCs w:val="21"/>
        </w:rPr>
        <w:t>，</w:t>
      </w:r>
      <w:r>
        <w:rPr>
          <w:rFonts w:ascii="宋体" w:hAnsi="宋体"/>
          <w:color w:val="000000" w:themeColor="text1"/>
          <w:szCs w:val="21"/>
          <w:lang w:eastAsia="zh-TW"/>
        </w:rPr>
        <w:t>5匹挂机10台。</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5.</w:t>
      </w:r>
      <w:r>
        <w:rPr>
          <w:rFonts w:ascii="宋体" w:hAnsi="宋体"/>
          <w:color w:val="000000" w:themeColor="text1"/>
          <w:szCs w:val="21"/>
          <w:lang w:eastAsia="zh-TW"/>
        </w:rPr>
        <w:t>电梯</w:t>
      </w:r>
      <w:r>
        <w:rPr>
          <w:rFonts w:ascii="宋体" w:hAnsi="宋体"/>
          <w:color w:val="000000" w:themeColor="text1"/>
          <w:szCs w:val="21"/>
        </w:rPr>
        <w:t>：</w:t>
      </w:r>
      <w:r>
        <w:rPr>
          <w:rFonts w:ascii="宋体" w:hAnsi="宋体"/>
          <w:color w:val="000000" w:themeColor="text1"/>
          <w:szCs w:val="21"/>
          <w:lang w:eastAsia="zh-TW"/>
        </w:rPr>
        <w:t>客梯两部</w:t>
      </w:r>
    </w:p>
    <w:p>
      <w:pPr>
        <w:adjustRightInd w:val="0"/>
        <w:snapToGrid w:val="0"/>
        <w:spacing w:line="400" w:lineRule="exact"/>
        <w:ind w:firstLine="411" w:firstLineChars="195"/>
        <w:rPr>
          <w:rFonts w:ascii="宋体" w:hAnsi="宋体"/>
          <w:color w:val="000000" w:themeColor="text1"/>
          <w:szCs w:val="21"/>
          <w:lang w:eastAsia="zh-TW"/>
        </w:rPr>
      </w:pPr>
      <w:r>
        <w:rPr>
          <w:rFonts w:ascii="宋体" w:hAnsi="宋体"/>
          <w:b/>
          <w:bCs/>
          <w:color w:val="000000" w:themeColor="text1"/>
          <w:szCs w:val="21"/>
        </w:rPr>
        <w:t>6.</w:t>
      </w:r>
      <w:r>
        <w:rPr>
          <w:rFonts w:ascii="宋体" w:hAnsi="宋体"/>
          <w:color w:val="000000" w:themeColor="text1"/>
          <w:szCs w:val="21"/>
          <w:lang w:eastAsia="zh-TW"/>
        </w:rPr>
        <w:t>智能化系统</w:t>
      </w:r>
    </w:p>
    <w:p>
      <w:pPr>
        <w:adjustRightInd w:val="0"/>
        <w:snapToGrid w:val="0"/>
        <w:spacing w:line="400" w:lineRule="exact"/>
        <w:ind w:firstLine="619" w:firstLineChars="295"/>
        <w:rPr>
          <w:rFonts w:ascii="宋体" w:hAnsi="宋体"/>
          <w:color w:val="000000" w:themeColor="text1"/>
          <w:szCs w:val="21"/>
          <w:lang w:eastAsia="zh-TW"/>
        </w:rPr>
      </w:pPr>
      <w:r>
        <w:rPr>
          <w:rFonts w:ascii="宋体" w:hAnsi="宋体"/>
          <w:color w:val="000000" w:themeColor="text1"/>
          <w:szCs w:val="21"/>
          <w:lang w:eastAsia="zh-TW"/>
        </w:rPr>
        <w:t>(1) 火灾自动报警系统</w:t>
      </w:r>
    </w:p>
    <w:p>
      <w:pPr>
        <w:adjustRightInd w:val="0"/>
        <w:snapToGrid w:val="0"/>
        <w:spacing w:line="400" w:lineRule="exact"/>
        <w:ind w:firstLine="619" w:firstLineChars="295"/>
        <w:rPr>
          <w:rFonts w:ascii="宋体" w:hAnsi="宋体"/>
          <w:color w:val="000000" w:themeColor="text1"/>
          <w:szCs w:val="21"/>
          <w:lang w:eastAsia="zh-TW"/>
        </w:rPr>
      </w:pPr>
      <w:r>
        <w:rPr>
          <w:rFonts w:ascii="宋体" w:hAnsi="宋体"/>
          <w:color w:val="000000" w:themeColor="text1"/>
          <w:szCs w:val="21"/>
          <w:lang w:eastAsia="zh-TW"/>
        </w:rPr>
        <w:t>(2) 保安监控系统</w:t>
      </w:r>
    </w:p>
    <w:p>
      <w:pPr>
        <w:adjustRightInd w:val="0"/>
        <w:snapToGrid w:val="0"/>
        <w:spacing w:line="400" w:lineRule="exact"/>
        <w:ind w:firstLine="619" w:firstLineChars="295"/>
        <w:rPr>
          <w:rFonts w:ascii="宋体" w:hAnsi="宋体"/>
          <w:color w:val="000000" w:themeColor="text1"/>
          <w:szCs w:val="21"/>
          <w:lang w:eastAsia="zh-TW"/>
        </w:rPr>
      </w:pPr>
      <w:r>
        <w:rPr>
          <w:rFonts w:ascii="宋体" w:hAnsi="宋体"/>
          <w:color w:val="000000" w:themeColor="text1"/>
          <w:szCs w:val="21"/>
          <w:lang w:eastAsia="zh-TW"/>
        </w:rPr>
        <w:t>(3) 网络系统</w:t>
      </w:r>
    </w:p>
    <w:p>
      <w:pPr>
        <w:adjustRightInd w:val="0"/>
        <w:snapToGrid w:val="0"/>
        <w:spacing w:line="400" w:lineRule="exact"/>
        <w:ind w:firstLine="619" w:firstLineChars="295"/>
        <w:rPr>
          <w:rFonts w:ascii="宋体" w:hAnsi="宋体"/>
          <w:color w:val="000000" w:themeColor="text1"/>
          <w:szCs w:val="21"/>
          <w:lang w:eastAsia="zh-TW"/>
        </w:rPr>
      </w:pPr>
      <w:r>
        <w:rPr>
          <w:rFonts w:ascii="宋体" w:hAnsi="宋体"/>
          <w:color w:val="000000" w:themeColor="text1"/>
          <w:szCs w:val="21"/>
          <w:lang w:eastAsia="zh-TW"/>
        </w:rPr>
        <w:t>(4) 公用广播系统</w:t>
      </w:r>
    </w:p>
    <w:p>
      <w:pPr>
        <w:adjustRightInd w:val="0"/>
        <w:snapToGrid w:val="0"/>
        <w:spacing w:line="400" w:lineRule="exact"/>
        <w:ind w:firstLine="619" w:firstLineChars="295"/>
        <w:rPr>
          <w:rFonts w:ascii="宋体" w:hAnsi="宋体"/>
          <w:color w:val="000000" w:themeColor="text1"/>
          <w:szCs w:val="21"/>
        </w:rPr>
      </w:pPr>
      <w:r>
        <w:rPr>
          <w:rFonts w:ascii="宋体" w:hAnsi="宋体"/>
          <w:color w:val="000000" w:themeColor="text1"/>
          <w:szCs w:val="21"/>
          <w:lang w:eastAsia="zh-TW"/>
        </w:rPr>
        <w:t>(5) 通信系统</w:t>
      </w:r>
    </w:p>
    <w:p>
      <w:pPr>
        <w:tabs>
          <w:tab w:val="left" w:pos="0"/>
        </w:tabs>
        <w:adjustRightInd w:val="0"/>
        <w:snapToGrid w:val="0"/>
        <w:spacing w:beforeLines="100" w:line="400" w:lineRule="exact"/>
        <w:outlineLvl w:val="0"/>
        <w:rPr>
          <w:rFonts w:ascii="宋体" w:hAnsi="宋体"/>
          <w:bCs/>
          <w:color w:val="000000" w:themeColor="text1"/>
          <w:szCs w:val="21"/>
        </w:rPr>
      </w:pPr>
    </w:p>
    <w:p>
      <w:pPr>
        <w:tabs>
          <w:tab w:val="left" w:pos="0"/>
        </w:tabs>
        <w:adjustRightInd w:val="0"/>
        <w:snapToGrid w:val="0"/>
        <w:spacing w:beforeLines="100" w:line="400" w:lineRule="exact"/>
        <w:ind w:firstLine="422" w:firstLineChars="200"/>
        <w:outlineLvl w:val="0"/>
        <w:rPr>
          <w:rFonts w:ascii="宋体" w:hAnsi="宋体"/>
          <w:b/>
          <w:bCs/>
          <w:color w:val="000000" w:themeColor="text1"/>
          <w:szCs w:val="21"/>
          <w:lang w:eastAsia="zh-TW"/>
        </w:rPr>
      </w:pPr>
      <w:r>
        <w:rPr>
          <w:rFonts w:ascii="宋体" w:hAnsi="宋体"/>
          <w:b/>
          <w:bCs/>
          <w:color w:val="000000" w:themeColor="text1"/>
          <w:szCs w:val="21"/>
        </w:rPr>
        <w:t>四</w:t>
      </w:r>
      <w:r>
        <w:rPr>
          <w:rFonts w:ascii="宋体" w:hAnsi="宋体"/>
          <w:b/>
          <w:bCs/>
          <w:color w:val="000000" w:themeColor="text1"/>
          <w:szCs w:val="21"/>
          <w:lang w:eastAsia="zh-TW"/>
        </w:rPr>
        <w:t>、</w:t>
      </w:r>
      <w:r>
        <w:rPr>
          <w:rFonts w:ascii="宋体" w:hAnsi="宋体"/>
          <w:b/>
          <w:bCs/>
          <w:color w:val="000000" w:themeColor="text1"/>
          <w:szCs w:val="21"/>
        </w:rPr>
        <w:t>项目服务</w:t>
      </w:r>
      <w:r>
        <w:rPr>
          <w:rFonts w:ascii="宋体" w:hAnsi="宋体"/>
          <w:b/>
          <w:bCs/>
          <w:color w:val="000000" w:themeColor="text1"/>
          <w:szCs w:val="21"/>
          <w:lang w:eastAsia="zh-TW"/>
        </w:rPr>
        <w:t>内容</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（一）</w:t>
      </w:r>
      <w:r>
        <w:rPr>
          <w:rFonts w:ascii="宋体" w:hAnsi="宋体"/>
          <w:color w:val="000000" w:themeColor="text1"/>
          <w:szCs w:val="21"/>
          <w:lang w:eastAsia="zh-TW"/>
        </w:rPr>
        <w:t>房屋建筑公共部分的维护</w:t>
      </w:r>
      <w:r>
        <w:rPr>
          <w:rFonts w:ascii="宋体" w:hAnsi="宋体"/>
          <w:color w:val="000000" w:themeColor="text1"/>
          <w:szCs w:val="21"/>
        </w:rPr>
        <w:t>、</w:t>
      </w:r>
      <w:r>
        <w:rPr>
          <w:rFonts w:ascii="宋体" w:hAnsi="宋体"/>
          <w:color w:val="000000" w:themeColor="text1"/>
          <w:szCs w:val="21"/>
          <w:lang w:eastAsia="zh-TW"/>
        </w:rPr>
        <w:t>管理</w:t>
      </w:r>
      <w:r>
        <w:rPr>
          <w:rFonts w:ascii="宋体" w:hAnsi="宋体"/>
          <w:color w:val="000000" w:themeColor="text1"/>
          <w:szCs w:val="21"/>
        </w:rPr>
        <w:t>；</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（二）</w:t>
      </w:r>
      <w:r>
        <w:rPr>
          <w:rFonts w:ascii="宋体" w:hAnsi="宋体"/>
          <w:color w:val="000000" w:themeColor="text1"/>
          <w:szCs w:val="21"/>
          <w:lang w:eastAsia="zh-TW"/>
        </w:rPr>
        <w:t>公共配套设施、设备的维护、运行管理</w:t>
      </w:r>
      <w:r>
        <w:rPr>
          <w:rFonts w:ascii="宋体" w:hAnsi="宋体"/>
          <w:color w:val="000000" w:themeColor="text1"/>
          <w:szCs w:val="21"/>
        </w:rPr>
        <w:t>；</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（三）</w:t>
      </w:r>
      <w:r>
        <w:rPr>
          <w:rFonts w:ascii="宋体" w:hAnsi="宋体"/>
          <w:color w:val="000000" w:themeColor="text1"/>
          <w:szCs w:val="21"/>
          <w:lang w:eastAsia="zh-TW"/>
        </w:rPr>
        <w:t>红线范围内公共场地、道路、房屋建筑公共部分办公室内的清洁卫生、定期消杀、生活垃圾的收集</w:t>
      </w:r>
      <w:r>
        <w:rPr>
          <w:rFonts w:ascii="宋体" w:hAnsi="宋体"/>
          <w:color w:val="000000" w:themeColor="text1"/>
          <w:szCs w:val="21"/>
        </w:rPr>
        <w:t>处理；</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（四）</w:t>
      </w:r>
      <w:r>
        <w:rPr>
          <w:rFonts w:ascii="宋体" w:hAnsi="宋体"/>
          <w:color w:val="000000" w:themeColor="text1"/>
          <w:szCs w:val="21"/>
          <w:lang w:eastAsia="zh-TW"/>
        </w:rPr>
        <w:t>机电设备设施管理(含配电设备、照明、供排水、电梯、监控设备、公共广播系统等);</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（五）</w:t>
      </w:r>
      <w:r>
        <w:rPr>
          <w:rFonts w:ascii="宋体" w:hAnsi="宋体"/>
          <w:color w:val="000000" w:themeColor="text1"/>
          <w:szCs w:val="21"/>
          <w:lang w:eastAsia="zh-TW"/>
        </w:rPr>
        <w:t>24 小时保安护卫及公共秩序</w:t>
      </w:r>
      <w:r>
        <w:rPr>
          <w:rFonts w:ascii="宋体" w:hAnsi="宋体"/>
          <w:color w:val="000000" w:themeColor="text1"/>
          <w:szCs w:val="21"/>
        </w:rPr>
        <w:t>管理；</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（六）</w:t>
      </w:r>
      <w:r>
        <w:rPr>
          <w:rFonts w:ascii="宋体" w:hAnsi="宋体"/>
          <w:color w:val="000000" w:themeColor="text1"/>
          <w:szCs w:val="21"/>
          <w:lang w:eastAsia="zh-TW"/>
        </w:rPr>
        <w:t>交通、车辆行驶和停泊管理</w:t>
      </w:r>
      <w:r>
        <w:rPr>
          <w:rFonts w:ascii="宋体" w:hAnsi="宋体"/>
          <w:color w:val="000000" w:themeColor="text1"/>
          <w:szCs w:val="21"/>
        </w:rPr>
        <w:t>；</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（七）</w:t>
      </w:r>
      <w:r>
        <w:rPr>
          <w:rFonts w:ascii="宋体" w:hAnsi="宋体"/>
          <w:color w:val="000000" w:themeColor="text1"/>
          <w:szCs w:val="21"/>
          <w:lang w:eastAsia="zh-TW"/>
        </w:rPr>
        <w:t>物业档案资料管理 ;</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（八）</w:t>
      </w:r>
      <w:r>
        <w:rPr>
          <w:rFonts w:ascii="宋体" w:hAnsi="宋体"/>
          <w:color w:val="000000" w:themeColor="text1"/>
          <w:szCs w:val="21"/>
          <w:lang w:eastAsia="zh-TW"/>
        </w:rPr>
        <w:t>中标人在投标文件中承诺的其它事项</w:t>
      </w:r>
      <w:r>
        <w:rPr>
          <w:rFonts w:hint="eastAsia" w:ascii="宋体" w:hAnsi="宋体"/>
          <w:color w:val="000000" w:themeColor="text1"/>
          <w:szCs w:val="21"/>
        </w:rPr>
        <w:t>。</w:t>
      </w:r>
    </w:p>
    <w:p>
      <w:pPr>
        <w:tabs>
          <w:tab w:val="left" w:pos="0"/>
        </w:tabs>
        <w:adjustRightInd w:val="0"/>
        <w:snapToGrid w:val="0"/>
        <w:spacing w:beforeLines="100" w:line="400" w:lineRule="exact"/>
        <w:ind w:firstLine="422" w:firstLineChars="200"/>
        <w:outlineLvl w:val="0"/>
        <w:rPr>
          <w:rFonts w:ascii="宋体" w:hAnsi="宋体"/>
          <w:b/>
          <w:bCs/>
          <w:color w:val="000000" w:themeColor="text1"/>
          <w:szCs w:val="21"/>
          <w:lang w:eastAsia="zh-TW"/>
        </w:rPr>
      </w:pPr>
      <w:r>
        <w:rPr>
          <w:rFonts w:ascii="宋体" w:hAnsi="宋体"/>
          <w:b/>
          <w:bCs/>
          <w:color w:val="000000" w:themeColor="text1"/>
          <w:szCs w:val="21"/>
        </w:rPr>
        <w:t>五</w:t>
      </w:r>
      <w:r>
        <w:rPr>
          <w:rFonts w:ascii="宋体" w:hAnsi="宋体"/>
          <w:b/>
          <w:bCs/>
          <w:color w:val="000000" w:themeColor="text1"/>
          <w:szCs w:val="21"/>
          <w:lang w:eastAsia="zh-TW"/>
        </w:rPr>
        <w:t>、</w:t>
      </w:r>
      <w:r>
        <w:rPr>
          <w:rFonts w:ascii="宋体" w:hAnsi="宋体"/>
          <w:b/>
          <w:bCs/>
          <w:color w:val="000000" w:themeColor="text1"/>
          <w:szCs w:val="21"/>
        </w:rPr>
        <w:t>项目服务</w:t>
      </w:r>
      <w:r>
        <w:rPr>
          <w:rFonts w:ascii="宋体" w:hAnsi="宋体"/>
          <w:b/>
          <w:bCs/>
          <w:color w:val="000000" w:themeColor="text1"/>
          <w:szCs w:val="21"/>
          <w:lang w:eastAsia="zh-TW"/>
        </w:rPr>
        <w:t>说明</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（一）</w:t>
      </w:r>
      <w:r>
        <w:rPr>
          <w:rFonts w:ascii="宋体" w:hAnsi="宋体"/>
          <w:color w:val="000000" w:themeColor="text1"/>
          <w:szCs w:val="21"/>
          <w:lang w:eastAsia="zh-TW"/>
        </w:rPr>
        <w:t>中标单位应根据《深圳经济特区物业管理条例</w:t>
      </w:r>
      <w:r>
        <w:rPr>
          <w:rFonts w:ascii="宋体" w:hAnsi="宋体"/>
          <w:color w:val="000000" w:themeColor="text1"/>
          <w:szCs w:val="21"/>
        </w:rPr>
        <w:t>》</w:t>
      </w:r>
      <w:r>
        <w:rPr>
          <w:rFonts w:ascii="宋体" w:hAnsi="宋体"/>
          <w:color w:val="000000" w:themeColor="text1"/>
          <w:szCs w:val="21"/>
          <w:lang w:eastAsia="zh-TW"/>
        </w:rPr>
        <w:t>,及其实施细则及招、</w:t>
      </w:r>
      <w:r>
        <w:rPr>
          <w:rFonts w:ascii="宋体" w:hAnsi="宋体"/>
          <w:color w:val="000000" w:themeColor="text1"/>
          <w:szCs w:val="21"/>
        </w:rPr>
        <w:t>投</w:t>
      </w:r>
      <w:r>
        <w:rPr>
          <w:rFonts w:ascii="宋体" w:hAnsi="宋体"/>
          <w:color w:val="000000" w:themeColor="text1"/>
          <w:szCs w:val="21"/>
          <w:lang w:eastAsia="zh-TW"/>
        </w:rPr>
        <w:t>标文件和招标单位签定的物业委托管理合同对</w:t>
      </w:r>
      <w:r>
        <w:rPr>
          <w:rFonts w:ascii="宋体" w:hAnsi="宋体"/>
          <w:color w:val="000000" w:themeColor="text1"/>
          <w:szCs w:val="21"/>
        </w:rPr>
        <w:t>深圳盐田区人力资源</w:t>
      </w:r>
      <w:r>
        <w:rPr>
          <w:rFonts w:ascii="宋体" w:hAnsi="宋体"/>
          <w:color w:val="000000" w:themeColor="text1"/>
          <w:szCs w:val="21"/>
          <w:lang w:eastAsia="zh-TW"/>
        </w:rPr>
        <w:t>大楼物业实行统一管理, 综合服务,自主经营,自负盈亏。</w:t>
      </w:r>
    </w:p>
    <w:p>
      <w:pPr>
        <w:pStyle w:val="3"/>
        <w:snapToGrid w:val="0"/>
        <w:spacing w:before="0" w:after="0" w:line="400" w:lineRule="exact"/>
        <w:ind w:firstLine="420" w:firstLineChars="200"/>
        <w:jc w:val="left"/>
        <w:rPr>
          <w:rFonts w:eastAsia="宋体"/>
          <w:color w:val="000000" w:themeColor="text1"/>
          <w:sz w:val="21"/>
          <w:szCs w:val="21"/>
          <w:lang w:eastAsia="zh-TW"/>
        </w:rPr>
      </w:pPr>
      <w:r>
        <w:rPr>
          <w:rFonts w:eastAsia="宋体"/>
          <w:b w:val="0"/>
          <w:bCs w:val="0"/>
          <w:color w:val="000000" w:themeColor="text1"/>
          <w:sz w:val="21"/>
          <w:szCs w:val="21"/>
        </w:rPr>
        <w:t>（二）</w:t>
      </w:r>
      <w:r>
        <w:rPr>
          <w:rFonts w:eastAsia="宋体"/>
          <w:b w:val="0"/>
          <w:bCs w:val="0"/>
          <w:color w:val="000000" w:themeColor="text1"/>
          <w:kern w:val="2"/>
          <w:sz w:val="21"/>
          <w:szCs w:val="21"/>
          <w:lang w:eastAsia="zh-TW"/>
        </w:rPr>
        <w:t>物业委托管理的期限为</w:t>
      </w:r>
      <w:r>
        <w:rPr>
          <w:rFonts w:eastAsia="宋体"/>
          <w:b w:val="0"/>
          <w:bCs w:val="0"/>
          <w:color w:val="000000" w:themeColor="text1"/>
          <w:kern w:val="2"/>
          <w:sz w:val="21"/>
          <w:szCs w:val="21"/>
        </w:rPr>
        <w:t>一</w:t>
      </w:r>
      <w:r>
        <w:rPr>
          <w:rFonts w:eastAsia="宋体"/>
          <w:b w:val="0"/>
          <w:bCs w:val="0"/>
          <w:color w:val="000000" w:themeColor="text1"/>
          <w:kern w:val="2"/>
          <w:sz w:val="21"/>
          <w:szCs w:val="21"/>
          <w:lang w:eastAsia="zh-TW"/>
        </w:rPr>
        <w:t>年</w:t>
      </w:r>
      <w:r>
        <w:rPr>
          <w:rFonts w:eastAsia="宋体"/>
          <w:b w:val="0"/>
          <w:bCs w:val="0"/>
          <w:color w:val="000000" w:themeColor="text1"/>
          <w:kern w:val="2"/>
          <w:sz w:val="21"/>
          <w:szCs w:val="21"/>
        </w:rPr>
        <w:t>，</w:t>
      </w:r>
      <w:r>
        <w:rPr>
          <w:rFonts w:eastAsia="宋体"/>
          <w:b w:val="0"/>
          <w:bCs w:val="0"/>
          <w:color w:val="000000" w:themeColor="text1"/>
          <w:kern w:val="2"/>
          <w:sz w:val="21"/>
          <w:szCs w:val="21"/>
          <w:lang w:eastAsia="zh-TW"/>
        </w:rPr>
        <w:t>合同总价必须按本项目中标价执行，采购人不接受任何价格调整的理由，投标人在投标报价时必须充分考虑到工资标准调整、物价上涨等影响本项目服务价格的因素，并承担相应的风险。</w:t>
      </w:r>
    </w:p>
    <w:p>
      <w:pPr>
        <w:tabs>
          <w:tab w:val="left" w:pos="710"/>
        </w:tabs>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（三）采购方</w:t>
      </w:r>
      <w:r>
        <w:rPr>
          <w:rFonts w:ascii="宋体" w:hAnsi="宋体"/>
          <w:color w:val="000000" w:themeColor="text1"/>
          <w:szCs w:val="21"/>
          <w:lang w:eastAsia="zh-TW"/>
        </w:rPr>
        <w:t>提供</w:t>
      </w:r>
      <w:r>
        <w:rPr>
          <w:rFonts w:ascii="宋体" w:hAnsi="宋体"/>
          <w:color w:val="000000" w:themeColor="text1"/>
          <w:szCs w:val="21"/>
        </w:rPr>
        <w:t>盐田区人力资源大楼402室作为</w:t>
      </w:r>
      <w:r>
        <w:rPr>
          <w:rFonts w:ascii="宋体" w:hAnsi="宋体"/>
          <w:color w:val="000000" w:themeColor="text1"/>
          <w:szCs w:val="21"/>
          <w:lang w:eastAsia="zh-TW"/>
        </w:rPr>
        <w:t>管理用房,根据实际情况提供仓储房。</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（四）共用设备设施</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lang w:eastAsia="zh-TW"/>
        </w:rPr>
        <w:t>水电</w:t>
      </w:r>
      <w:r>
        <w:rPr>
          <w:rFonts w:ascii="宋体" w:hAnsi="宋体"/>
          <w:color w:val="000000" w:themeColor="text1"/>
          <w:szCs w:val="21"/>
        </w:rPr>
        <w:t>、</w:t>
      </w:r>
      <w:r>
        <w:rPr>
          <w:rFonts w:ascii="宋体" w:hAnsi="宋体"/>
          <w:color w:val="000000" w:themeColor="text1"/>
          <w:szCs w:val="21"/>
          <w:lang w:eastAsia="zh-TW"/>
        </w:rPr>
        <w:t>发电机燃油费</w:t>
      </w:r>
      <w:r>
        <w:rPr>
          <w:rFonts w:ascii="宋体" w:hAnsi="宋体"/>
          <w:color w:val="000000" w:themeColor="text1"/>
          <w:szCs w:val="21"/>
        </w:rPr>
        <w:t>及消防维保费</w:t>
      </w:r>
      <w:r>
        <w:rPr>
          <w:rFonts w:ascii="宋体" w:hAnsi="宋体"/>
          <w:color w:val="000000" w:themeColor="text1"/>
          <w:szCs w:val="21"/>
          <w:lang w:eastAsia="zh-TW"/>
        </w:rPr>
        <w:t>由</w:t>
      </w:r>
      <w:r>
        <w:rPr>
          <w:rFonts w:ascii="宋体" w:hAnsi="宋体"/>
          <w:color w:val="000000" w:themeColor="text1"/>
          <w:szCs w:val="21"/>
        </w:rPr>
        <w:t>采购方</w:t>
      </w:r>
      <w:r>
        <w:rPr>
          <w:rFonts w:ascii="宋体" w:hAnsi="宋体"/>
          <w:color w:val="000000" w:themeColor="text1"/>
          <w:szCs w:val="21"/>
          <w:lang w:eastAsia="zh-TW"/>
        </w:rPr>
        <w:t>承担。</w:t>
      </w:r>
      <w:r>
        <w:rPr>
          <w:rFonts w:ascii="宋体" w:hAnsi="宋体"/>
          <w:color w:val="000000" w:themeColor="text1"/>
          <w:szCs w:val="21"/>
        </w:rPr>
        <w:t>日常大、中修由采购方负责，日常小修单项维修经采购方审批后交中标人实施，并接受采购方现场监督管理，费用由采购方承担。</w:t>
      </w:r>
      <w:r>
        <w:rPr>
          <w:rFonts w:hint="eastAsia" w:ascii="宋体" w:hAnsi="宋体"/>
          <w:color w:val="000000" w:themeColor="text1"/>
          <w:szCs w:val="21"/>
        </w:rPr>
        <w:t>电梯维护保养、生活水池清洗、化粪池清理等其余部分费用由中标单位承担。</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（五）</w:t>
      </w:r>
      <w:r>
        <w:rPr>
          <w:rFonts w:ascii="宋体" w:hAnsi="宋体"/>
          <w:color w:val="000000" w:themeColor="text1"/>
          <w:szCs w:val="21"/>
          <w:lang w:eastAsia="zh-TW"/>
        </w:rPr>
        <w:t>清洁卫生</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lang w:eastAsia="zh-TW"/>
        </w:rPr>
        <w:t>清洁服务范围:大楼红线范围内的公共区域</w:t>
      </w:r>
      <w:r>
        <w:rPr>
          <w:rFonts w:ascii="宋体" w:hAnsi="宋体"/>
          <w:color w:val="000000" w:themeColor="text1"/>
          <w:szCs w:val="21"/>
        </w:rPr>
        <w:t>。</w:t>
      </w:r>
    </w:p>
    <w:p>
      <w:pPr>
        <w:tabs>
          <w:tab w:val="left" w:pos="0"/>
        </w:tabs>
        <w:adjustRightInd w:val="0"/>
        <w:snapToGrid w:val="0"/>
        <w:spacing w:beforeLines="100" w:line="400" w:lineRule="exact"/>
        <w:ind w:firstLine="422" w:firstLineChars="200"/>
        <w:outlineLvl w:val="0"/>
        <w:rPr>
          <w:rFonts w:ascii="宋体" w:hAnsi="宋体"/>
          <w:b/>
          <w:bCs/>
          <w:color w:val="000000" w:themeColor="text1"/>
          <w:szCs w:val="21"/>
        </w:rPr>
      </w:pPr>
      <w:r>
        <w:rPr>
          <w:rFonts w:ascii="宋体" w:hAnsi="宋体"/>
          <w:b/>
          <w:bCs/>
          <w:color w:val="000000" w:themeColor="text1"/>
          <w:szCs w:val="21"/>
        </w:rPr>
        <w:t>六、</w:t>
      </w:r>
      <w:r>
        <w:rPr>
          <w:rFonts w:ascii="宋体" w:hAnsi="宋体"/>
          <w:b/>
          <w:bCs/>
          <w:color w:val="000000" w:themeColor="text1"/>
          <w:szCs w:val="21"/>
          <w:lang w:eastAsia="zh-TW"/>
        </w:rPr>
        <w:t>物业管理要求及管理标准</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rPr>
        <w:t>（一）</w:t>
      </w:r>
      <w:r>
        <w:rPr>
          <w:rFonts w:ascii="宋体" w:hAnsi="宋体"/>
          <w:color w:val="000000" w:themeColor="text1"/>
          <w:szCs w:val="21"/>
          <w:lang w:eastAsia="zh-TW"/>
        </w:rPr>
        <w:t>管理总目标</w:t>
      </w:r>
    </w:p>
    <w:p>
      <w:pPr>
        <w:adjustRightInd w:val="0"/>
        <w:snapToGrid w:val="0"/>
        <w:spacing w:line="400" w:lineRule="exact"/>
        <w:ind w:firstLine="422" w:firstLineChars="200"/>
        <w:rPr>
          <w:rFonts w:ascii="宋体" w:hAnsi="宋体"/>
          <w:color w:val="000000" w:themeColor="text1"/>
          <w:szCs w:val="21"/>
          <w:lang w:eastAsia="zh-TW"/>
        </w:rPr>
      </w:pPr>
      <w:r>
        <w:rPr>
          <w:rFonts w:ascii="宋体" w:hAnsi="宋体"/>
          <w:b/>
          <w:bCs/>
          <w:color w:val="000000" w:themeColor="text1"/>
          <w:szCs w:val="21"/>
        </w:rPr>
        <w:t>1.</w:t>
      </w:r>
      <w:r>
        <w:rPr>
          <w:rFonts w:ascii="宋体" w:hAnsi="宋体"/>
          <w:color w:val="000000" w:themeColor="text1"/>
          <w:szCs w:val="21"/>
          <w:lang w:eastAsia="zh-TW"/>
        </w:rPr>
        <w:t>严格遵守国家的法律、法规、条例以及特区政府部门的各项管理规定。科学、规范管理,全面导入和推行IS09000质量体系认证, 服务热情</w:t>
      </w:r>
      <w:r>
        <w:rPr>
          <w:rFonts w:ascii="宋体" w:hAnsi="宋体"/>
          <w:color w:val="000000" w:themeColor="text1"/>
          <w:szCs w:val="21"/>
        </w:rPr>
        <w:t>、</w:t>
      </w:r>
      <w:r>
        <w:rPr>
          <w:rFonts w:ascii="宋体" w:hAnsi="宋体"/>
          <w:color w:val="000000" w:themeColor="text1"/>
          <w:szCs w:val="21"/>
          <w:lang w:eastAsia="zh-TW"/>
        </w:rPr>
        <w:t>周到, 建立现代化管理服务体系。</w:t>
      </w:r>
    </w:p>
    <w:p>
      <w:pPr>
        <w:adjustRightInd w:val="0"/>
        <w:snapToGrid w:val="0"/>
        <w:spacing w:line="400" w:lineRule="exact"/>
        <w:ind w:firstLine="422" w:firstLineChars="200"/>
        <w:rPr>
          <w:rFonts w:ascii="宋体" w:hAnsi="宋体"/>
          <w:color w:val="000000" w:themeColor="text1"/>
          <w:szCs w:val="21"/>
          <w:lang w:eastAsia="zh-TW"/>
        </w:rPr>
      </w:pPr>
      <w:r>
        <w:rPr>
          <w:rFonts w:ascii="宋体" w:hAnsi="宋体"/>
          <w:b/>
          <w:bCs/>
          <w:color w:val="000000" w:themeColor="text1"/>
          <w:szCs w:val="21"/>
        </w:rPr>
        <w:t>2.</w:t>
      </w:r>
      <w:r>
        <w:rPr>
          <w:rFonts w:ascii="宋体" w:hAnsi="宋体"/>
          <w:color w:val="000000" w:themeColor="text1"/>
          <w:szCs w:val="21"/>
          <w:lang w:eastAsia="zh-TW"/>
        </w:rPr>
        <w:t>建立严格规范的本物业防火、防水、治安等应急体系, 确保安全工作万无一失。</w:t>
      </w:r>
    </w:p>
    <w:p>
      <w:pPr>
        <w:tabs>
          <w:tab w:val="left" w:pos="400"/>
        </w:tabs>
        <w:adjustRightInd w:val="0"/>
        <w:snapToGrid w:val="0"/>
        <w:spacing w:line="400" w:lineRule="exact"/>
        <w:ind w:firstLine="422" w:firstLineChars="200"/>
        <w:rPr>
          <w:rFonts w:ascii="宋体" w:hAnsi="宋体"/>
          <w:color w:val="000000" w:themeColor="text1"/>
          <w:szCs w:val="21"/>
          <w:lang w:eastAsia="zh-TW"/>
        </w:rPr>
      </w:pPr>
      <w:r>
        <w:rPr>
          <w:rFonts w:ascii="宋体" w:hAnsi="宋体"/>
          <w:b/>
          <w:bCs/>
          <w:color w:val="000000" w:themeColor="text1"/>
          <w:szCs w:val="21"/>
        </w:rPr>
        <w:t>3.</w:t>
      </w:r>
      <w:r>
        <w:rPr>
          <w:rFonts w:ascii="宋体" w:hAnsi="宋体"/>
          <w:color w:val="000000" w:themeColor="text1"/>
          <w:szCs w:val="21"/>
          <w:lang w:eastAsia="zh-TW"/>
        </w:rPr>
        <w:t>加强与</w:t>
      </w:r>
      <w:r>
        <w:rPr>
          <w:rFonts w:ascii="宋体" w:hAnsi="宋体"/>
          <w:color w:val="000000" w:themeColor="text1"/>
          <w:szCs w:val="21"/>
        </w:rPr>
        <w:t>采购方</w:t>
      </w:r>
      <w:r>
        <w:rPr>
          <w:rFonts w:ascii="宋体" w:hAnsi="宋体"/>
          <w:color w:val="000000" w:themeColor="text1"/>
          <w:szCs w:val="21"/>
          <w:lang w:eastAsia="zh-TW"/>
        </w:rPr>
        <w:t>的沟通与协作,自觉接受</w:t>
      </w:r>
      <w:r>
        <w:rPr>
          <w:rFonts w:ascii="宋体" w:hAnsi="宋体"/>
          <w:color w:val="000000" w:themeColor="text1"/>
          <w:szCs w:val="21"/>
        </w:rPr>
        <w:t>采购方</w:t>
      </w:r>
      <w:r>
        <w:rPr>
          <w:rFonts w:ascii="宋体" w:hAnsi="宋体"/>
          <w:color w:val="000000" w:themeColor="text1"/>
          <w:szCs w:val="21"/>
          <w:lang w:eastAsia="zh-TW"/>
        </w:rPr>
        <w:t>的监督,广泛听取、接受</w:t>
      </w:r>
      <w:r>
        <w:rPr>
          <w:rFonts w:ascii="宋体" w:hAnsi="宋体"/>
          <w:color w:val="000000" w:themeColor="text1"/>
          <w:szCs w:val="21"/>
        </w:rPr>
        <w:t>采购方</w:t>
      </w:r>
      <w:r>
        <w:rPr>
          <w:rFonts w:ascii="宋体" w:hAnsi="宋体"/>
          <w:color w:val="000000" w:themeColor="text1"/>
          <w:szCs w:val="21"/>
          <w:lang w:eastAsia="zh-TW"/>
        </w:rPr>
        <w:t>的建议。</w:t>
      </w:r>
    </w:p>
    <w:p>
      <w:pPr>
        <w:tabs>
          <w:tab w:val="left" w:pos="400"/>
        </w:tabs>
        <w:adjustRightInd w:val="0"/>
        <w:snapToGrid w:val="0"/>
        <w:spacing w:line="400" w:lineRule="exact"/>
        <w:ind w:firstLine="422" w:firstLineChars="200"/>
        <w:rPr>
          <w:rFonts w:ascii="宋体" w:hAnsi="宋体"/>
          <w:color w:val="000000" w:themeColor="text1"/>
          <w:szCs w:val="21"/>
          <w:lang w:eastAsia="zh-TW"/>
        </w:rPr>
      </w:pPr>
      <w:r>
        <w:rPr>
          <w:rFonts w:ascii="宋体" w:hAnsi="宋体"/>
          <w:b/>
          <w:bCs/>
          <w:color w:val="000000" w:themeColor="text1"/>
          <w:szCs w:val="21"/>
        </w:rPr>
        <w:t>4.</w:t>
      </w:r>
      <w:r>
        <w:rPr>
          <w:rFonts w:ascii="宋体" w:hAnsi="宋体"/>
          <w:color w:val="000000" w:themeColor="text1"/>
          <w:szCs w:val="21"/>
          <w:lang w:eastAsia="zh-TW"/>
        </w:rPr>
        <w:t>本物业各类标识统一、规范</w:t>
      </w:r>
      <w:r>
        <w:rPr>
          <w:rFonts w:ascii="宋体" w:hAnsi="宋体"/>
          <w:color w:val="000000" w:themeColor="text1"/>
          <w:szCs w:val="21"/>
        </w:rPr>
        <w:t>、</w:t>
      </w:r>
      <w:r>
        <w:rPr>
          <w:rFonts w:ascii="宋体" w:hAnsi="宋体"/>
          <w:color w:val="000000" w:themeColor="text1"/>
          <w:szCs w:val="21"/>
          <w:lang w:eastAsia="zh-TW"/>
        </w:rPr>
        <w:t>完备,无安全隐患。</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（二）</w:t>
      </w:r>
      <w:r>
        <w:rPr>
          <w:rFonts w:ascii="宋体" w:hAnsi="宋体"/>
          <w:color w:val="000000" w:themeColor="text1"/>
          <w:szCs w:val="21"/>
          <w:lang w:eastAsia="zh-TW"/>
        </w:rPr>
        <w:t>机电设备各系统的管理</w:t>
      </w:r>
      <w:r>
        <w:rPr>
          <w:rFonts w:ascii="宋体" w:hAnsi="宋体"/>
          <w:color w:val="000000" w:themeColor="text1"/>
          <w:szCs w:val="21"/>
        </w:rPr>
        <w:t>要求</w:t>
      </w:r>
    </w:p>
    <w:p>
      <w:pPr>
        <w:adjustRightInd w:val="0"/>
        <w:snapToGrid w:val="0"/>
        <w:spacing w:line="400" w:lineRule="exact"/>
        <w:ind w:firstLine="422" w:firstLineChars="200"/>
        <w:rPr>
          <w:rFonts w:ascii="宋体" w:hAnsi="宋体"/>
          <w:b/>
          <w:color w:val="000000" w:themeColor="text1"/>
          <w:szCs w:val="21"/>
        </w:rPr>
      </w:pPr>
      <w:r>
        <w:rPr>
          <w:rFonts w:ascii="宋体" w:hAnsi="宋体"/>
          <w:b/>
          <w:color w:val="000000" w:themeColor="text1"/>
          <w:szCs w:val="21"/>
        </w:rPr>
        <w:t>1.设施设备管理</w:t>
      </w:r>
    </w:p>
    <w:p>
      <w:pPr>
        <w:adjustRightInd w:val="0"/>
        <w:snapToGrid w:val="0"/>
        <w:spacing w:line="400" w:lineRule="exact"/>
        <w:ind w:firstLine="422" w:firstLineChars="200"/>
        <w:rPr>
          <w:rFonts w:ascii="宋体" w:hAnsi="宋体"/>
          <w:b/>
          <w:color w:val="000000" w:themeColor="text1"/>
          <w:szCs w:val="21"/>
        </w:rPr>
      </w:pPr>
      <w:r>
        <w:rPr>
          <w:rFonts w:ascii="宋体" w:hAnsi="宋体"/>
          <w:b/>
          <w:color w:val="000000" w:themeColor="text1"/>
          <w:szCs w:val="21"/>
        </w:rPr>
        <w:t>（1）服务范围及要求</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1）物业及所有设备、设施图纸、资料档案齐全、管理完善、交接手续齐备；</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2）设施设备完好率100％，设备管理、保养、检修制度完备、记录齐全；</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3）配电房及供电系统严格按照国家规范进行管理，运行良好，制定切实可行的供配电应急预案，设备状态标识明显、统一；</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4）设备整洁、标识明显，维修及时率98％以上，维修合格率100％；</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5）建立正常供水管理制度，保证水质符合国家标准；二次供水卫生许可证、水质化验单、操作人员健康合格证齐全；防止跑、冒、漏、滴等现象，定期对水池进行清洗、消毒，无二次污染；保证室内外排水系统通畅；</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6）照明系统外观整洁，无缺陷、松落和安全隐患，光源完好率、维修更换及时率100％；</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7）消防巡视：对现有及增加的消防系统进行例行检查及消防巡视。相关保养、维保及年检费用由采购方指定分包方进行，费用由采购方承担，中标方人员只负责基础巡视及检查。</w:t>
      </w:r>
    </w:p>
    <w:p>
      <w:pPr>
        <w:adjustRightInd w:val="0"/>
        <w:snapToGrid w:val="0"/>
        <w:spacing w:line="400" w:lineRule="exact"/>
        <w:ind w:firstLine="422" w:firstLineChars="200"/>
        <w:rPr>
          <w:rFonts w:ascii="宋体" w:hAnsi="宋体"/>
          <w:b/>
          <w:color w:val="000000" w:themeColor="text1"/>
          <w:szCs w:val="21"/>
        </w:rPr>
      </w:pPr>
      <w:r>
        <w:rPr>
          <w:rFonts w:ascii="宋体" w:hAnsi="宋体"/>
          <w:b/>
          <w:color w:val="000000" w:themeColor="text1"/>
          <w:szCs w:val="21"/>
        </w:rPr>
        <w:t>2.服务标准</w:t>
      </w:r>
    </w:p>
    <w:p>
      <w:pPr>
        <w:adjustRightInd w:val="0"/>
        <w:snapToGrid w:val="0"/>
        <w:spacing w:line="400" w:lineRule="exact"/>
        <w:ind w:firstLine="422" w:firstLineChars="200"/>
        <w:rPr>
          <w:rFonts w:ascii="宋体" w:hAnsi="宋体"/>
          <w:b/>
          <w:color w:val="000000" w:themeColor="text1"/>
          <w:szCs w:val="21"/>
        </w:rPr>
      </w:pPr>
      <w:r>
        <w:rPr>
          <w:rFonts w:ascii="宋体" w:hAnsi="宋体"/>
          <w:b/>
          <w:color w:val="000000" w:themeColor="text1"/>
          <w:szCs w:val="21"/>
        </w:rPr>
        <w:t>（1）供配电系统管理</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1）对供电范围的电气设备定期巡视维护，做到安全、合理、节约用电；</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2）及时发现和解决故障。当出现故障时，维修人员30分钟内及时到位抢修，排除故障，恢复正常功能；</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3）加强日常维护检修，公共使用的照明灯具（包括楼梯、电梯间、室外院墙照明）线路、开关保证完好，确保用电安全，并管理和维护好避雷设施；</w:t>
      </w:r>
    </w:p>
    <w:p>
      <w:pPr>
        <w:adjustRightInd w:val="0"/>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4）配电设备管理、操作、维修保养严格按国家标准操作运行，制定临时用电措施并严格执行；</w:t>
      </w:r>
    </w:p>
    <w:p>
      <w:pPr>
        <w:adjustRightInd w:val="0"/>
        <w:snapToGrid w:val="0"/>
        <w:spacing w:line="400" w:lineRule="exact"/>
        <w:ind w:firstLine="413" w:firstLineChars="196"/>
        <w:rPr>
          <w:rFonts w:ascii="宋体" w:hAnsi="宋体"/>
          <w:b/>
          <w:color w:val="000000" w:themeColor="text1"/>
          <w:szCs w:val="21"/>
        </w:rPr>
      </w:pPr>
      <w:r>
        <w:rPr>
          <w:rFonts w:ascii="宋体" w:hAnsi="宋体"/>
          <w:b/>
          <w:color w:val="000000" w:themeColor="text1"/>
          <w:szCs w:val="21"/>
        </w:rPr>
        <w:t>（2）给排水系统管理</w:t>
      </w:r>
    </w:p>
    <w:p>
      <w:pPr>
        <w:spacing w:line="400" w:lineRule="exact"/>
        <w:ind w:firstLine="840" w:firstLineChars="400"/>
        <w:rPr>
          <w:rFonts w:ascii="宋体" w:hAnsi="宋体"/>
          <w:color w:val="000000" w:themeColor="text1"/>
          <w:szCs w:val="21"/>
        </w:rPr>
      </w:pPr>
      <w:r>
        <w:rPr>
          <w:rFonts w:ascii="宋体" w:hAnsi="宋体"/>
          <w:color w:val="000000" w:themeColor="text1"/>
          <w:szCs w:val="21"/>
        </w:rPr>
        <w:t>1）建立用水、供水管理制度并予以实施；</w:t>
      </w:r>
    </w:p>
    <w:p>
      <w:pPr>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2）防止跑、冒、滴、漏，对供水系统管路、水泵、水箱、阀门等进行日常维护和定期检修，不发生大面积跑水事故，定期对水泵房进行检查、保养、维修、清洁；</w:t>
      </w:r>
    </w:p>
    <w:p>
      <w:pPr>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3）水箱保持清洁卫生并定期清洗消毒（按照深圳市二次供水的有关规定），确保二次供水符合饮用水国家标准；</w:t>
      </w:r>
    </w:p>
    <w:p>
      <w:pPr>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4）保证设备和管道系统状况良好，供水系统能正常发挥功能；</w:t>
      </w:r>
    </w:p>
    <w:p>
      <w:pPr>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5）定期对排水管、化粪池、隔油池、沟渠、池、井进行清疏、养护及清除污垢。保证排水系统通畅、确保上下水管道完好和正常使用；</w:t>
      </w:r>
    </w:p>
    <w:p>
      <w:pPr>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6）及时发现和解决故障，当出现故障时，维修人员及时抢修，恢复正常功能；</w:t>
      </w:r>
    </w:p>
    <w:p>
      <w:pPr>
        <w:adjustRightInd w:val="0"/>
        <w:snapToGrid w:val="0"/>
        <w:spacing w:line="400" w:lineRule="exact"/>
        <w:ind w:firstLine="413" w:firstLineChars="196"/>
        <w:rPr>
          <w:rFonts w:ascii="宋体" w:hAnsi="宋体"/>
          <w:b/>
          <w:color w:val="000000" w:themeColor="text1"/>
          <w:szCs w:val="21"/>
        </w:rPr>
      </w:pPr>
      <w:r>
        <w:rPr>
          <w:rFonts w:ascii="宋体" w:hAnsi="宋体"/>
          <w:b/>
          <w:color w:val="000000" w:themeColor="text1"/>
          <w:szCs w:val="21"/>
        </w:rPr>
        <w:t>（3）电梯系统管理</w:t>
      </w:r>
    </w:p>
    <w:p>
      <w:pPr>
        <w:adjustRightInd w:val="0"/>
        <w:snapToGrid w:val="0"/>
        <w:spacing w:line="400" w:lineRule="exact"/>
        <w:ind w:left="638" w:leftChars="304" w:firstLine="210" w:firstLineChars="100"/>
        <w:rPr>
          <w:rFonts w:ascii="宋体" w:hAnsi="宋体"/>
          <w:bCs/>
          <w:color w:val="000000" w:themeColor="text1"/>
          <w:szCs w:val="21"/>
        </w:rPr>
      </w:pPr>
      <w:r>
        <w:rPr>
          <w:rFonts w:ascii="宋体" w:hAnsi="宋体"/>
          <w:color w:val="000000" w:themeColor="text1"/>
          <w:szCs w:val="21"/>
        </w:rPr>
        <w:t>1）</w:t>
      </w:r>
      <w:r>
        <w:rPr>
          <w:rFonts w:ascii="宋体" w:hAnsi="宋体"/>
          <w:bCs/>
          <w:color w:val="000000" w:themeColor="text1"/>
          <w:szCs w:val="21"/>
        </w:rPr>
        <w:t>电梯由专业队伍维修保养，电梯维修、保养人员均持证上岗，电梯各种安全检查审核证件齐全有效；</w:t>
      </w:r>
    </w:p>
    <w:p>
      <w:pPr>
        <w:adjustRightInd w:val="0"/>
        <w:snapToGrid w:val="0"/>
        <w:spacing w:line="400" w:lineRule="exact"/>
        <w:ind w:left="638" w:leftChars="304" w:firstLine="210" w:firstLineChars="100"/>
        <w:rPr>
          <w:rFonts w:ascii="宋体" w:hAnsi="宋体"/>
          <w:bCs/>
          <w:color w:val="000000" w:themeColor="text1"/>
          <w:szCs w:val="21"/>
        </w:rPr>
      </w:pPr>
      <w:r>
        <w:rPr>
          <w:rFonts w:ascii="宋体" w:hAnsi="宋体"/>
          <w:color w:val="000000" w:themeColor="text1"/>
          <w:szCs w:val="21"/>
        </w:rPr>
        <w:t>2）</w:t>
      </w:r>
      <w:r>
        <w:rPr>
          <w:rFonts w:ascii="宋体" w:hAnsi="宋体"/>
          <w:bCs/>
          <w:color w:val="000000" w:themeColor="text1"/>
          <w:szCs w:val="21"/>
        </w:rPr>
        <w:t>建立电梯运行管理、设备管理、安全管理制度，确保电梯按规定时间运行，状态良好，安全设施齐全有效，通风、照明及其它附属设施完好；</w:t>
      </w:r>
    </w:p>
    <w:p>
      <w:pPr>
        <w:adjustRightInd w:val="0"/>
        <w:snapToGrid w:val="0"/>
        <w:spacing w:line="400" w:lineRule="exact"/>
        <w:ind w:left="638" w:leftChars="304" w:firstLine="210" w:firstLineChars="100"/>
        <w:rPr>
          <w:rFonts w:ascii="宋体" w:hAnsi="宋体"/>
          <w:bCs/>
          <w:color w:val="000000" w:themeColor="text1"/>
          <w:szCs w:val="21"/>
        </w:rPr>
      </w:pPr>
      <w:r>
        <w:rPr>
          <w:rFonts w:ascii="宋体" w:hAnsi="宋体"/>
          <w:color w:val="000000" w:themeColor="text1"/>
          <w:szCs w:val="21"/>
        </w:rPr>
        <w:t>3）</w:t>
      </w:r>
      <w:r>
        <w:rPr>
          <w:rFonts w:ascii="宋体" w:hAnsi="宋体"/>
          <w:bCs/>
          <w:color w:val="000000" w:themeColor="text1"/>
          <w:szCs w:val="21"/>
        </w:rPr>
        <w:t>按国家规定提供保养服务，确保电梯处于良好的运行状态（包括定期性调校。清洁润滑，加注油脂，检查电梯各安全开关、梯级、大链，机部件等的正常运行状态；</w:t>
      </w:r>
    </w:p>
    <w:p>
      <w:pPr>
        <w:adjustRightInd w:val="0"/>
        <w:snapToGrid w:val="0"/>
        <w:spacing w:line="400" w:lineRule="exact"/>
        <w:ind w:left="638" w:leftChars="304" w:firstLine="210" w:firstLineChars="100"/>
        <w:rPr>
          <w:rFonts w:ascii="宋体" w:hAnsi="宋体"/>
          <w:bCs/>
          <w:color w:val="000000" w:themeColor="text1"/>
          <w:szCs w:val="21"/>
        </w:rPr>
      </w:pPr>
      <w:r>
        <w:rPr>
          <w:rFonts w:ascii="宋体" w:hAnsi="宋体"/>
          <w:color w:val="000000" w:themeColor="text1"/>
          <w:szCs w:val="21"/>
        </w:rPr>
        <w:t>4）</w:t>
      </w:r>
      <w:r>
        <w:rPr>
          <w:rFonts w:ascii="宋体" w:hAnsi="宋体"/>
          <w:bCs/>
          <w:color w:val="000000" w:themeColor="text1"/>
          <w:szCs w:val="21"/>
        </w:rPr>
        <w:t>向市技术监督部门办理电梯安全年检手续，对电梯每年进行一次负荷调校试验。确保电梯得到恰当检修，轿厢及机房整洁、通风、照明及其他附属设施完好；</w:t>
      </w:r>
    </w:p>
    <w:p>
      <w:pPr>
        <w:adjustRightInd w:val="0"/>
        <w:snapToGrid w:val="0"/>
        <w:spacing w:line="400" w:lineRule="exact"/>
        <w:ind w:left="638" w:leftChars="304" w:firstLine="210" w:firstLineChars="100"/>
        <w:rPr>
          <w:rFonts w:ascii="宋体" w:hAnsi="宋体"/>
          <w:bCs/>
          <w:color w:val="000000" w:themeColor="text1"/>
          <w:szCs w:val="21"/>
        </w:rPr>
      </w:pPr>
      <w:r>
        <w:rPr>
          <w:rFonts w:ascii="宋体" w:hAnsi="宋体"/>
          <w:color w:val="000000" w:themeColor="text1"/>
          <w:szCs w:val="21"/>
        </w:rPr>
        <w:t>5）</w:t>
      </w:r>
      <w:r>
        <w:rPr>
          <w:rFonts w:ascii="宋体" w:hAnsi="宋体"/>
          <w:bCs/>
          <w:color w:val="000000" w:themeColor="text1"/>
          <w:szCs w:val="21"/>
        </w:rPr>
        <w:t>出现运行故障后，接到报修后维修人员在30分钟内到达现场抢修，并及时排除故障；</w:t>
      </w:r>
    </w:p>
    <w:p>
      <w:pPr>
        <w:adjustRightInd w:val="0"/>
        <w:snapToGrid w:val="0"/>
        <w:spacing w:line="400" w:lineRule="exact"/>
        <w:ind w:left="638" w:leftChars="304" w:firstLine="210" w:firstLineChars="100"/>
        <w:rPr>
          <w:rFonts w:ascii="宋体" w:hAnsi="宋体"/>
          <w:bCs/>
          <w:color w:val="000000" w:themeColor="text1"/>
          <w:szCs w:val="21"/>
        </w:rPr>
      </w:pPr>
      <w:r>
        <w:rPr>
          <w:rFonts w:ascii="宋体" w:hAnsi="宋体"/>
          <w:color w:val="000000" w:themeColor="text1"/>
          <w:szCs w:val="21"/>
        </w:rPr>
        <w:t>6）</w:t>
      </w:r>
      <w:r>
        <w:rPr>
          <w:rFonts w:ascii="宋体" w:hAnsi="宋体"/>
          <w:bCs/>
          <w:color w:val="000000" w:themeColor="text1"/>
          <w:szCs w:val="21"/>
        </w:rPr>
        <w:t>建立电梯设备档案，各种运行维护保养和巡视检查记录齐全归档；</w:t>
      </w:r>
    </w:p>
    <w:p>
      <w:pPr>
        <w:snapToGrid w:val="0"/>
        <w:spacing w:line="400" w:lineRule="exact"/>
        <w:rPr>
          <w:rFonts w:ascii="宋体" w:hAnsi="宋体"/>
          <w:color w:val="000000" w:themeColor="text1"/>
          <w:szCs w:val="21"/>
        </w:rPr>
      </w:pPr>
      <w:r>
        <w:rPr>
          <w:rFonts w:ascii="宋体" w:hAnsi="宋体"/>
          <w:color w:val="000000" w:themeColor="text1"/>
          <w:szCs w:val="21"/>
        </w:rPr>
        <w:t xml:space="preserve">    要求达到的标准：</w:t>
      </w:r>
    </w:p>
    <w:p>
      <w:pPr>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1）电梯由专业队伍按照深圳市技术监督局有关标准进行维修保养，电梯维修、保养人员均持证上岗，电梯各种年审证件齐全。</w:t>
      </w:r>
    </w:p>
    <w:p>
      <w:pPr>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2）严密的安全运行和维修保养规章制度得到落实，各种维护保养、巡视检查记录统一归档管理，资料完整。</w:t>
      </w:r>
    </w:p>
    <w:p>
      <w:pPr>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3）电梯运行状态良好，安全设施齐全有效，轿厢及机房整洁，通风、照明及其他附属设施完好。</w:t>
      </w:r>
    </w:p>
    <w:p>
      <w:pPr>
        <w:snapToGrid w:val="0"/>
        <w:spacing w:line="400" w:lineRule="exact"/>
        <w:ind w:left="319" w:leftChars="152" w:firstLine="420" w:firstLineChars="200"/>
        <w:rPr>
          <w:rFonts w:ascii="宋体" w:hAnsi="宋体"/>
          <w:color w:val="000000" w:themeColor="text1"/>
          <w:szCs w:val="21"/>
        </w:rPr>
      </w:pPr>
      <w:r>
        <w:rPr>
          <w:rFonts w:ascii="宋体" w:hAnsi="宋体"/>
          <w:color w:val="000000" w:themeColor="text1"/>
          <w:szCs w:val="21"/>
        </w:rPr>
        <w:t>4）出现运行故障后，维修人员在30分钟内到达现场抢修。</w:t>
      </w:r>
    </w:p>
    <w:p>
      <w:pPr>
        <w:adjustRightInd w:val="0"/>
        <w:snapToGrid w:val="0"/>
        <w:spacing w:line="400" w:lineRule="exact"/>
        <w:ind w:firstLine="422" w:firstLineChars="200"/>
        <w:outlineLvl w:val="0"/>
        <w:rPr>
          <w:rFonts w:ascii="宋体" w:hAnsi="宋体"/>
          <w:b/>
          <w:color w:val="000000" w:themeColor="text1"/>
          <w:szCs w:val="21"/>
        </w:rPr>
      </w:pPr>
      <w:r>
        <w:rPr>
          <w:rFonts w:ascii="宋体" w:hAnsi="宋体"/>
          <w:b/>
          <w:color w:val="000000" w:themeColor="text1"/>
          <w:szCs w:val="21"/>
        </w:rPr>
        <w:t>（4）消防系统</w:t>
      </w:r>
    </w:p>
    <w:p>
      <w:pPr>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1）消防控制中心及消防系统设施配备齐全，完好无损，待机状态良好。</w:t>
      </w:r>
    </w:p>
    <w:p>
      <w:pPr>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2）落实区域消防安全责任人、义务消防人员，定期进行演练，开展消防知识及法规的宣传教育，保证火灾发生率为“0”。</w:t>
      </w:r>
    </w:p>
    <w:p>
      <w:pPr>
        <w:snapToGrid w:val="0"/>
        <w:spacing w:line="400" w:lineRule="exact"/>
        <w:ind w:left="638" w:leftChars="304" w:firstLine="210" w:firstLineChars="100"/>
        <w:rPr>
          <w:rFonts w:ascii="宋体" w:hAnsi="宋体"/>
          <w:color w:val="000000" w:themeColor="text1"/>
          <w:szCs w:val="21"/>
        </w:rPr>
      </w:pPr>
      <w:r>
        <w:rPr>
          <w:rFonts w:ascii="宋体" w:hAnsi="宋体"/>
          <w:color w:val="000000" w:themeColor="text1"/>
          <w:szCs w:val="21"/>
        </w:rPr>
        <w:t>3）制定突发性火灾等应急方案，设立消防疏散示意图，紧急疏散通道畅通，照明设备、引路标志完好。</w:t>
      </w:r>
    </w:p>
    <w:p>
      <w:pPr>
        <w:snapToGrid w:val="0"/>
        <w:spacing w:line="400" w:lineRule="exact"/>
        <w:ind w:firstLine="840" w:firstLineChars="400"/>
        <w:rPr>
          <w:rFonts w:ascii="宋体" w:hAnsi="宋体"/>
          <w:color w:val="000000" w:themeColor="text1"/>
          <w:szCs w:val="21"/>
        </w:rPr>
      </w:pPr>
      <w:r>
        <w:rPr>
          <w:rFonts w:ascii="宋体" w:hAnsi="宋体"/>
          <w:color w:val="000000" w:themeColor="text1"/>
          <w:szCs w:val="21"/>
        </w:rPr>
        <w:t>4）无火灾及其它安全隐患。</w:t>
      </w:r>
    </w:p>
    <w:p>
      <w:pPr>
        <w:snapToGrid w:val="0"/>
        <w:spacing w:line="400" w:lineRule="exact"/>
        <w:ind w:firstLine="840" w:firstLineChars="400"/>
        <w:rPr>
          <w:rFonts w:ascii="宋体" w:hAnsi="宋体"/>
          <w:color w:val="000000" w:themeColor="text1"/>
          <w:szCs w:val="21"/>
        </w:rPr>
      </w:pPr>
      <w:r>
        <w:rPr>
          <w:rFonts w:ascii="宋体" w:hAnsi="宋体"/>
          <w:color w:val="000000" w:themeColor="text1"/>
          <w:szCs w:val="21"/>
        </w:rPr>
        <w:t>5）消防设备完好率100%。</w:t>
      </w:r>
    </w:p>
    <w:p>
      <w:pPr>
        <w:snapToGrid w:val="0"/>
        <w:spacing w:line="400" w:lineRule="exact"/>
        <w:ind w:firstLine="422" w:firstLineChars="200"/>
        <w:jc w:val="left"/>
        <w:rPr>
          <w:rFonts w:ascii="宋体" w:hAnsi="宋体"/>
          <w:b/>
          <w:color w:val="000000" w:themeColor="text1"/>
          <w:szCs w:val="21"/>
        </w:rPr>
      </w:pPr>
      <w:r>
        <w:rPr>
          <w:rFonts w:ascii="宋体" w:hAnsi="宋体"/>
          <w:b/>
          <w:color w:val="000000" w:themeColor="text1"/>
          <w:szCs w:val="21"/>
        </w:rPr>
        <w:t>（5）</w:t>
      </w:r>
      <w:r>
        <w:rPr>
          <w:rFonts w:ascii="宋体" w:hAnsi="宋体"/>
          <w:b/>
          <w:color w:val="000000" w:themeColor="text1"/>
          <w:szCs w:val="21"/>
          <w:lang w:eastAsia="zh-TW"/>
        </w:rPr>
        <w:t>安全监控系统</w:t>
      </w:r>
    </w:p>
    <w:p>
      <w:pPr>
        <w:snapToGrid w:val="0"/>
        <w:spacing w:line="400" w:lineRule="exact"/>
        <w:ind w:firstLine="210" w:firstLineChars="100"/>
        <w:rPr>
          <w:rFonts w:ascii="宋体" w:hAnsi="宋体"/>
          <w:color w:val="000000" w:themeColor="text1"/>
          <w:szCs w:val="21"/>
          <w:lang w:eastAsia="zh-TW"/>
        </w:rPr>
      </w:pPr>
      <w:r>
        <w:rPr>
          <w:rFonts w:ascii="宋体" w:hAnsi="宋体"/>
          <w:color w:val="000000" w:themeColor="text1"/>
          <w:szCs w:val="21"/>
          <w:lang w:eastAsia="zh-TW"/>
        </w:rPr>
        <w:t>要求达到的标准 :</w:t>
      </w:r>
    </w:p>
    <w:p>
      <w:pPr>
        <w:snapToGrid w:val="0"/>
        <w:spacing w:line="400" w:lineRule="exact"/>
        <w:rPr>
          <w:rFonts w:ascii="宋体" w:hAnsi="宋体"/>
          <w:color w:val="000000" w:themeColor="text1"/>
          <w:szCs w:val="21"/>
        </w:rPr>
      </w:pPr>
      <w:r>
        <w:rPr>
          <w:rFonts w:ascii="宋体" w:hAnsi="宋体"/>
          <w:color w:val="000000" w:themeColor="text1"/>
          <w:szCs w:val="21"/>
        </w:rPr>
        <w:t xml:space="preserve">     </w:t>
      </w:r>
      <w:r>
        <w:rPr>
          <w:rFonts w:ascii="宋体" w:hAnsi="宋体"/>
          <w:color w:val="000000" w:themeColor="text1"/>
          <w:szCs w:val="21"/>
          <w:lang w:eastAsia="zh-TW"/>
        </w:rPr>
        <w:t>零修合格率达 100%</w:t>
      </w:r>
      <w:r>
        <w:rPr>
          <w:rFonts w:ascii="宋体" w:hAnsi="宋体"/>
          <w:color w:val="000000" w:themeColor="text1"/>
          <w:szCs w:val="21"/>
        </w:rPr>
        <w:t>。</w:t>
      </w:r>
      <w:r>
        <w:rPr>
          <w:rFonts w:ascii="宋体" w:hAnsi="宋体"/>
          <w:color w:val="000000" w:themeColor="text1"/>
          <w:szCs w:val="21"/>
          <w:lang w:eastAsia="zh-TW"/>
        </w:rPr>
        <w:t>智能化系统控制协调,设备运转良好。</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（三）安全管理服务</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保安人员熟悉周边环境，文明执勤，言语规范，认真负责，人员稳定。保安人员的素质要求：品德好、形象佳、身体强壮、服务意识强、会普通话、无犯罪记录。</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做好安全防范措施，办公场所日常秩序井然有序，采购方财产不受损失，责任内火灾发生率为零；工作人员人身安全不受侵犯，突发事件迅速得到处理解决，治安及聚众斗殴案件发生率为零；要有科学高效的突发事件（设备、消防、治安、卫生防疫、突发自然灾害等）的应急措施和解决预案。实行24小时固定岗制度。制止社会不法分子进入办公场所，不受外界和社会不法分子侵犯，任何时间发现违规违纪行为都要及时制止。建立并严格执行来访人员询问登记制度。要控制施工噪音，制止喧闹现象，闲杂人员和车辆不能进入办公场所，物资出入及搬运、贮存要有管理。</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对突发事件有应急处理预案和措施，要有足够的人员和器械保证，平时有演习，突发事件发生时要得到及时处理，防止事态进一步恶化，保护现场，并报告领导，必要时及时报警。</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rPr>
        <w:t>乙方负责办公场所内消防安全。指派消防安全责任人，所有护卫队员同时也是义务消防员，并接受定期消防培训（由乙方负责组织），定期进行消防演习，每年与有关单位组织最少一次联合消防演习。机动车(停车场)管理制度完善，管理责任明确，确保交通畅通，建立车辆出入登记制度，防止交通事件发生。负责工作人员机动车的停放，管理有序，按规定位置停放，做到规范化、整齐、分类、安全。</w:t>
      </w:r>
    </w:p>
    <w:p>
      <w:pPr>
        <w:adjustRightInd w:val="0"/>
        <w:snapToGrid w:val="0"/>
        <w:spacing w:line="400" w:lineRule="exact"/>
        <w:ind w:firstLine="420" w:firstLineChars="200"/>
        <w:rPr>
          <w:rFonts w:ascii="宋体" w:hAnsi="宋体"/>
          <w:color w:val="000000" w:themeColor="text1"/>
          <w:szCs w:val="21"/>
        </w:rPr>
      </w:pPr>
      <w:r>
        <w:rPr>
          <w:rFonts w:ascii="宋体" w:hAnsi="宋体"/>
          <w:color w:val="000000" w:themeColor="text1"/>
          <w:szCs w:val="21"/>
          <w:lang w:eastAsia="zh-TW"/>
        </w:rPr>
        <w:t xml:space="preserve"> (</w:t>
      </w:r>
      <w:r>
        <w:rPr>
          <w:rFonts w:ascii="宋体" w:hAnsi="宋体"/>
          <w:color w:val="000000" w:themeColor="text1"/>
          <w:szCs w:val="21"/>
        </w:rPr>
        <w:t>四</w:t>
      </w:r>
      <w:r>
        <w:rPr>
          <w:rFonts w:ascii="宋体" w:hAnsi="宋体"/>
          <w:color w:val="000000" w:themeColor="text1"/>
          <w:szCs w:val="21"/>
          <w:lang w:eastAsia="zh-TW"/>
        </w:rPr>
        <w:t>)</w:t>
      </w:r>
      <w:r>
        <w:rPr>
          <w:rFonts w:ascii="宋体" w:hAnsi="宋体"/>
          <w:color w:val="000000" w:themeColor="text1"/>
          <w:szCs w:val="21"/>
        </w:rPr>
        <w:t>清洁管理服务</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1.</w:t>
      </w:r>
      <w:r>
        <w:rPr>
          <w:rFonts w:ascii="宋体" w:hAnsi="宋体"/>
          <w:color w:val="000000" w:themeColor="text1"/>
          <w:szCs w:val="21"/>
        </w:rPr>
        <w:t>清洁人员及设备配备科学、合理；</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2.</w:t>
      </w:r>
      <w:r>
        <w:rPr>
          <w:rFonts w:ascii="宋体" w:hAnsi="宋体"/>
          <w:color w:val="000000" w:themeColor="text1"/>
          <w:szCs w:val="21"/>
        </w:rPr>
        <w:t>清洁设施设置合理、完备，垃圾日清，保洁工作满足办公环境和外来人流量大的特点要求；</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3.</w:t>
      </w:r>
      <w:r>
        <w:rPr>
          <w:rFonts w:ascii="宋体" w:hAnsi="宋体"/>
          <w:color w:val="000000" w:themeColor="text1"/>
          <w:szCs w:val="21"/>
        </w:rPr>
        <w:t>楼梯、走道、大堂、室内公共区域及卫生间的顶面、地面清洁无尘，无蜘蛛网，无积水；室内设施表面、门窗等无灰尘；大堂、室内主要通道地面无尘，卫生间无异味，地面无水渍，卫生纸、擦手纸供应及时（卫生纸、消毒液、空气清新剂、擦手纸等由采购方提供）；</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4.</w:t>
      </w:r>
      <w:r>
        <w:rPr>
          <w:rFonts w:ascii="宋体" w:hAnsi="宋体"/>
          <w:color w:val="000000" w:themeColor="text1"/>
          <w:szCs w:val="21"/>
        </w:rPr>
        <w:t>领导办公室、会议室、接待室和其他功能室定期清洁，确保随时使用；</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5.</w:t>
      </w:r>
      <w:r>
        <w:rPr>
          <w:rFonts w:ascii="宋体" w:hAnsi="宋体"/>
          <w:color w:val="000000" w:themeColor="text1"/>
          <w:szCs w:val="21"/>
        </w:rPr>
        <w:t>室内外金属护栏、把手定期擦拭保养，确保无锈迹、污渍、汗渍；</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6.</w:t>
      </w:r>
      <w:r>
        <w:rPr>
          <w:rFonts w:ascii="宋体" w:hAnsi="宋体"/>
          <w:color w:val="000000" w:themeColor="text1"/>
          <w:szCs w:val="21"/>
        </w:rPr>
        <w:t>公共玻璃门、窗、玻璃隔断保持无污迹、灰尘；</w:t>
      </w:r>
    </w:p>
    <w:p>
      <w:pPr>
        <w:adjustRightInd w:val="0"/>
        <w:snapToGrid w:val="0"/>
        <w:spacing w:line="400" w:lineRule="exact"/>
        <w:ind w:firstLine="413" w:firstLineChars="196"/>
        <w:rPr>
          <w:rFonts w:ascii="宋体" w:hAnsi="宋体"/>
          <w:color w:val="000000" w:themeColor="text1"/>
          <w:szCs w:val="21"/>
        </w:rPr>
      </w:pPr>
      <w:r>
        <w:rPr>
          <w:rFonts w:ascii="宋体" w:hAnsi="宋体"/>
          <w:b/>
          <w:bCs/>
          <w:color w:val="000000" w:themeColor="text1"/>
          <w:szCs w:val="21"/>
        </w:rPr>
        <w:t>7.</w:t>
      </w:r>
      <w:r>
        <w:rPr>
          <w:rFonts w:ascii="宋体" w:hAnsi="宋体"/>
          <w:color w:val="000000" w:themeColor="text1"/>
          <w:szCs w:val="21"/>
        </w:rPr>
        <w:t>编制清洁保洁服务方案，特别是领导办公室、常用会议室的管理措施，确保清洁、安全和保密；</w:t>
      </w:r>
    </w:p>
    <w:p>
      <w:pPr>
        <w:adjustRightInd w:val="0"/>
        <w:snapToGrid w:val="0"/>
        <w:spacing w:line="400" w:lineRule="exact"/>
        <w:ind w:firstLine="422" w:firstLineChars="200"/>
        <w:rPr>
          <w:rFonts w:ascii="宋体" w:hAnsi="宋体"/>
          <w:color w:val="000000" w:themeColor="text1"/>
          <w:szCs w:val="21"/>
        </w:rPr>
      </w:pPr>
      <w:r>
        <w:rPr>
          <w:rFonts w:ascii="宋体" w:hAnsi="宋体"/>
          <w:b/>
          <w:bCs/>
          <w:color w:val="000000" w:themeColor="text1"/>
          <w:szCs w:val="21"/>
        </w:rPr>
        <w:t>8.</w:t>
      </w:r>
      <w:r>
        <w:rPr>
          <w:rFonts w:ascii="宋体" w:hAnsi="宋体"/>
          <w:color w:val="000000" w:themeColor="text1"/>
          <w:szCs w:val="21"/>
        </w:rPr>
        <w:t>四害消杀。</w:t>
      </w:r>
    </w:p>
    <w:p>
      <w:pPr>
        <w:adjustRightInd w:val="0"/>
        <w:snapToGrid w:val="0"/>
        <w:spacing w:line="400" w:lineRule="exact"/>
        <w:ind w:firstLine="420" w:firstLineChars="200"/>
        <w:rPr>
          <w:rFonts w:ascii="宋体" w:hAnsi="宋体"/>
          <w:color w:val="000000" w:themeColor="text1"/>
          <w:szCs w:val="21"/>
          <w:lang w:eastAsia="zh-TW"/>
        </w:rPr>
      </w:pPr>
      <w:r>
        <w:rPr>
          <w:rFonts w:ascii="宋体" w:hAnsi="宋体"/>
          <w:color w:val="000000" w:themeColor="text1"/>
          <w:szCs w:val="21"/>
          <w:lang w:eastAsia="zh-TW"/>
        </w:rPr>
        <w:t xml:space="preserve"> (</w:t>
      </w:r>
      <w:r>
        <w:rPr>
          <w:rFonts w:ascii="宋体" w:hAnsi="宋体"/>
          <w:color w:val="000000" w:themeColor="text1"/>
          <w:szCs w:val="21"/>
        </w:rPr>
        <w:t>五</w:t>
      </w:r>
      <w:r>
        <w:rPr>
          <w:rFonts w:ascii="宋体" w:hAnsi="宋体"/>
          <w:color w:val="000000" w:themeColor="text1"/>
          <w:szCs w:val="21"/>
          <w:lang w:eastAsia="zh-TW"/>
        </w:rPr>
        <w:t>)人员配置</w:t>
      </w:r>
    </w:p>
    <w:p>
      <w:pPr>
        <w:pStyle w:val="7"/>
        <w:snapToGrid w:val="0"/>
        <w:spacing w:line="400" w:lineRule="exact"/>
        <w:ind w:firstLine="392" w:firstLineChars="187"/>
        <w:rPr>
          <w:rFonts w:ascii="宋体" w:hAnsi="宋体"/>
          <w:color w:val="000000" w:themeColor="text1"/>
          <w:szCs w:val="21"/>
        </w:rPr>
      </w:pPr>
      <w:r>
        <w:rPr>
          <w:rFonts w:ascii="宋体" w:hAnsi="宋体"/>
          <w:color w:val="000000" w:themeColor="text1"/>
          <w:szCs w:val="21"/>
        </w:rPr>
        <w:t>根据大楼实际需要，配备</w:t>
      </w:r>
      <w:r>
        <w:rPr>
          <w:rFonts w:hint="eastAsia" w:ascii="宋体" w:hAnsi="宋体"/>
          <w:color w:val="000000" w:themeColor="text1"/>
          <w:szCs w:val="21"/>
        </w:rPr>
        <w:t>专职</w:t>
      </w:r>
      <w:r>
        <w:rPr>
          <w:rFonts w:ascii="宋体" w:hAnsi="宋体"/>
          <w:color w:val="000000" w:themeColor="text1"/>
          <w:szCs w:val="21"/>
        </w:rPr>
        <w:t>物业综合主管、保洁员、保安员，确保大楼正常运作、环境整洁卫生</w:t>
      </w:r>
      <w:r>
        <w:rPr>
          <w:rFonts w:hint="eastAsia" w:ascii="宋体" w:hAnsi="宋体"/>
          <w:color w:val="000000" w:themeColor="text1"/>
          <w:szCs w:val="21"/>
        </w:rPr>
        <w:t>，确保工作日</w:t>
      </w:r>
      <w:r>
        <w:rPr>
          <w:rFonts w:ascii="宋体" w:hAnsi="宋体"/>
          <w:color w:val="000000" w:themeColor="text1"/>
          <w:szCs w:val="21"/>
        </w:rPr>
        <w:t>白天有2名安保人员在岗</w:t>
      </w:r>
      <w:r>
        <w:rPr>
          <w:rFonts w:hint="eastAsia" w:ascii="宋体" w:hAnsi="宋体"/>
          <w:color w:val="000000" w:themeColor="text1"/>
          <w:szCs w:val="21"/>
        </w:rPr>
        <w:t>，同时中标人提供的日常电工服务需满足大楼</w:t>
      </w:r>
      <w:r>
        <w:rPr>
          <w:rFonts w:ascii="宋体" w:hAnsi="宋体"/>
          <w:color w:val="000000" w:themeColor="text1"/>
          <w:szCs w:val="21"/>
        </w:rPr>
        <w:t>设施设备</w:t>
      </w:r>
      <w:r>
        <w:rPr>
          <w:rFonts w:hint="eastAsia" w:ascii="宋体" w:hAnsi="宋体"/>
          <w:color w:val="000000" w:themeColor="text1"/>
          <w:szCs w:val="21"/>
        </w:rPr>
        <w:t>的正常运转。</w:t>
      </w:r>
    </w:p>
    <w:p>
      <w:pPr>
        <w:snapToGrid w:val="0"/>
        <w:spacing w:line="400" w:lineRule="exact"/>
        <w:ind w:firstLine="411" w:firstLineChars="196"/>
        <w:rPr>
          <w:rFonts w:cs="Times New Roman" w:asciiTheme="minorEastAsia" w:hAnsiTheme="minorEastAsia"/>
          <w:color w:val="FF0000"/>
          <w:kern w:val="0"/>
          <w:szCs w:val="21"/>
        </w:rPr>
      </w:pPr>
    </w:p>
    <w:p>
      <w:pPr>
        <w:pStyle w:val="2"/>
        <w:jc w:val="center"/>
      </w:pPr>
      <w:r>
        <w:rPr>
          <w:rFonts w:hint="eastAsia"/>
          <w:sz w:val="30"/>
          <w:szCs w:val="30"/>
        </w:rPr>
        <w:t>—END—</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A15EFD-78C7-44DD-A1E1-25B882242F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embedRegular r:id="rId2" w:fontKey="{C05A1AE5-BF12-43FC-B6B4-D163FCEA0910}"/>
  </w:font>
  <w:font w:name="方正仿宋_GB2312">
    <w:altName w:val="仿宋"/>
    <w:panose1 w:val="00000000000000000000"/>
    <w:charset w:val="86"/>
    <w:family w:val="auto"/>
    <w:pitch w:val="default"/>
    <w:sig w:usb0="00000000" w:usb1="00000000" w:usb2="00000012" w:usb3="00000000" w:csb0="00040001" w:csb1="00000000"/>
    <w:embedRegular r:id="rId3" w:fontKey="{7CFE3DC5-22B5-453C-B66D-0F1F07F30030}"/>
  </w:font>
  <w:font w:name="___WRD_EMBED_SUB_38">
    <w:altName w:val="宋体"/>
    <w:panose1 w:val="02000000000000000000"/>
    <w:charset w:val="86"/>
    <w:family w:val="auto"/>
    <w:pitch w:val="default"/>
    <w:sig w:usb0="00000000" w:usb1="00000000" w:usb2="00000012" w:usb3="00000000" w:csb0="00040001" w:csb1="00000000"/>
    <w:embedRegular r:id="rId4" w:fontKey="{F19BB901-B583-450B-8E82-12DB987C2025}"/>
  </w:font>
  <w:font w:name="仿宋">
    <w:panose1 w:val="02010609060101010101"/>
    <w:charset w:val="86"/>
    <w:family w:val="modern"/>
    <w:pitch w:val="default"/>
    <w:sig w:usb0="800002BF" w:usb1="38CF7CFA" w:usb2="00000016" w:usb3="00000000" w:csb0="00040001" w:csb1="00000000"/>
    <w:embedRegular r:id="rId5" w:fontKey="{90F5C578-E2C3-4C55-BD4E-4BA9922E1C52}"/>
  </w:font>
  <w:font w:name="仿宋_GB2312">
    <w:panose1 w:val="02010609030101010101"/>
    <w:charset w:val="86"/>
    <w:family w:val="modern"/>
    <w:pitch w:val="default"/>
    <w:sig w:usb0="00000001" w:usb1="080E0000" w:usb2="00000000" w:usb3="00000000" w:csb0="00040000" w:csb1="00000000"/>
    <w:embedRegular r:id="rId6" w:fontKey="{3FD7D0BC-3E61-4182-887A-FF11457AD66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jMwYzIwYzkyMTg2ZGRlNmQxMDlkMWE3YWFmNGQifQ=="/>
  </w:docVars>
  <w:rsids>
    <w:rsidRoot w:val="000E5100"/>
    <w:rsid w:val="00000B2D"/>
    <w:rsid w:val="000262C4"/>
    <w:rsid w:val="000A3BA3"/>
    <w:rsid w:val="000E5100"/>
    <w:rsid w:val="0021454B"/>
    <w:rsid w:val="002243BD"/>
    <w:rsid w:val="00270908"/>
    <w:rsid w:val="002E7195"/>
    <w:rsid w:val="00311DF9"/>
    <w:rsid w:val="003E4745"/>
    <w:rsid w:val="003F4B88"/>
    <w:rsid w:val="00440FCA"/>
    <w:rsid w:val="005E5A76"/>
    <w:rsid w:val="006C192A"/>
    <w:rsid w:val="006E2B98"/>
    <w:rsid w:val="00764AC5"/>
    <w:rsid w:val="008A4790"/>
    <w:rsid w:val="00972672"/>
    <w:rsid w:val="009C212E"/>
    <w:rsid w:val="00B856D9"/>
    <w:rsid w:val="00BD35E9"/>
    <w:rsid w:val="00BE5CB3"/>
    <w:rsid w:val="00C14EF1"/>
    <w:rsid w:val="00C45339"/>
    <w:rsid w:val="00CD54DD"/>
    <w:rsid w:val="00CE6B57"/>
    <w:rsid w:val="00EC6483"/>
    <w:rsid w:val="00EC7865"/>
    <w:rsid w:val="00ED0D05"/>
    <w:rsid w:val="050140F6"/>
    <w:rsid w:val="05992069"/>
    <w:rsid w:val="073C7668"/>
    <w:rsid w:val="09954E0D"/>
    <w:rsid w:val="0CCF1E45"/>
    <w:rsid w:val="0E6C0086"/>
    <w:rsid w:val="100012E5"/>
    <w:rsid w:val="109C1850"/>
    <w:rsid w:val="114D24CA"/>
    <w:rsid w:val="13BE59BA"/>
    <w:rsid w:val="142C636E"/>
    <w:rsid w:val="1ADD3204"/>
    <w:rsid w:val="1B1F4E7E"/>
    <w:rsid w:val="1CB735C0"/>
    <w:rsid w:val="1FC73A85"/>
    <w:rsid w:val="20634243"/>
    <w:rsid w:val="223D0A10"/>
    <w:rsid w:val="259C15C0"/>
    <w:rsid w:val="25DF2B3E"/>
    <w:rsid w:val="267E514F"/>
    <w:rsid w:val="26946721"/>
    <w:rsid w:val="280B656E"/>
    <w:rsid w:val="2AD52E64"/>
    <w:rsid w:val="2C424529"/>
    <w:rsid w:val="2D826E2E"/>
    <w:rsid w:val="2E6A7D67"/>
    <w:rsid w:val="2FC82F97"/>
    <w:rsid w:val="30C85944"/>
    <w:rsid w:val="31293F09"/>
    <w:rsid w:val="31CC1BAF"/>
    <w:rsid w:val="32496611"/>
    <w:rsid w:val="3272197B"/>
    <w:rsid w:val="33F702EF"/>
    <w:rsid w:val="376E4C54"/>
    <w:rsid w:val="37AB38CA"/>
    <w:rsid w:val="3A554038"/>
    <w:rsid w:val="3B131DE8"/>
    <w:rsid w:val="3BBA0580"/>
    <w:rsid w:val="3BC27040"/>
    <w:rsid w:val="3E8D34AD"/>
    <w:rsid w:val="40606DE5"/>
    <w:rsid w:val="40F0192A"/>
    <w:rsid w:val="42286F7C"/>
    <w:rsid w:val="46001285"/>
    <w:rsid w:val="475C073D"/>
    <w:rsid w:val="476870E2"/>
    <w:rsid w:val="479C322F"/>
    <w:rsid w:val="48671147"/>
    <w:rsid w:val="4AF018C8"/>
    <w:rsid w:val="4CE051B0"/>
    <w:rsid w:val="4CFB27A6"/>
    <w:rsid w:val="4D663763"/>
    <w:rsid w:val="4E0B07C7"/>
    <w:rsid w:val="4E630603"/>
    <w:rsid w:val="4F8D1DF6"/>
    <w:rsid w:val="4F8E5013"/>
    <w:rsid w:val="50524DF8"/>
    <w:rsid w:val="50B138A7"/>
    <w:rsid w:val="55006BAB"/>
    <w:rsid w:val="556A04C9"/>
    <w:rsid w:val="56DD7A61"/>
    <w:rsid w:val="58C3353A"/>
    <w:rsid w:val="59352B9C"/>
    <w:rsid w:val="5A7A11AE"/>
    <w:rsid w:val="5C533A65"/>
    <w:rsid w:val="5C63081F"/>
    <w:rsid w:val="5C8207EE"/>
    <w:rsid w:val="5CBF734C"/>
    <w:rsid w:val="5E135BA1"/>
    <w:rsid w:val="5ECA57C1"/>
    <w:rsid w:val="5FB44F6B"/>
    <w:rsid w:val="61C3343B"/>
    <w:rsid w:val="628055E1"/>
    <w:rsid w:val="67380427"/>
    <w:rsid w:val="67654C58"/>
    <w:rsid w:val="695C0E59"/>
    <w:rsid w:val="6A5C0DD7"/>
    <w:rsid w:val="6B081157"/>
    <w:rsid w:val="6B187C37"/>
    <w:rsid w:val="6B757AC3"/>
    <w:rsid w:val="71402C18"/>
    <w:rsid w:val="725414D9"/>
    <w:rsid w:val="737A003D"/>
    <w:rsid w:val="74AA55F0"/>
    <w:rsid w:val="755A1884"/>
    <w:rsid w:val="75B33CC1"/>
    <w:rsid w:val="794B223C"/>
    <w:rsid w:val="7ADA57DB"/>
    <w:rsid w:val="7B486307"/>
    <w:rsid w:val="7C910168"/>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5"/>
    <w:next w:val="6"/>
    <w:qFormat/>
    <w:uiPriority w:val="0"/>
    <w:pPr>
      <w:adjustRightInd w:val="0"/>
      <w:jc w:val="center"/>
      <w:outlineLvl w:val="1"/>
    </w:pPr>
    <w:rPr>
      <w:bCs/>
      <w:kern w:val="0"/>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cs="宋体"/>
      <w:bCs w:val="0"/>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7">
    <w:name w:val="Normal Indent"/>
    <w:basedOn w:val="1"/>
    <w:next w:val="8"/>
    <w:link w:val="19"/>
    <w:qFormat/>
    <w:uiPriority w:val="0"/>
    <w:pPr>
      <w:ind w:firstLine="420"/>
    </w:pPr>
    <w:rPr>
      <w:rFonts w:ascii="Calibri" w:hAnsi="Calibri" w:eastAsia="宋体" w:cs="Times New Roman"/>
      <w:szCs w:val="22"/>
    </w:rPr>
  </w:style>
  <w:style w:type="paragraph" w:customStyle="1" w:styleId="8">
    <w:name w:val="正文内容格式"/>
    <w:basedOn w:val="1"/>
    <w:qFormat/>
    <w:uiPriority w:val="0"/>
    <w:pPr>
      <w:adjustRightInd w:val="0"/>
      <w:snapToGrid w:val="0"/>
      <w:spacing w:line="300" w:lineRule="auto"/>
      <w:textAlignment w:val="baseline"/>
    </w:pPr>
    <w:rPr>
      <w:rFonts w:ascii="宋体" w:hAnsi="宋体"/>
    </w:rPr>
  </w:style>
  <w:style w:type="paragraph" w:styleId="9">
    <w:name w:val="Body Text Indent"/>
    <w:basedOn w:val="1"/>
    <w:unhideWhenUsed/>
    <w:qFormat/>
    <w:uiPriority w:val="0"/>
    <w:pPr>
      <w:spacing w:after="120"/>
      <w:ind w:left="420" w:leftChars="200"/>
    </w:pPr>
  </w:style>
  <w:style w:type="paragraph" w:styleId="10">
    <w:name w:val="footer"/>
    <w:basedOn w:val="1"/>
    <w:link w:val="17"/>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2"/>
    <w:basedOn w:val="1"/>
    <w:qFormat/>
    <w:uiPriority w:val="0"/>
    <w:pPr>
      <w:spacing w:line="360" w:lineRule="auto"/>
    </w:pPr>
    <w:rPr>
      <w:sz w:val="24"/>
    </w:rPr>
  </w:style>
  <w:style w:type="paragraph" w:styleId="13">
    <w:name w:val="Body Text First Indent 2"/>
    <w:basedOn w:val="9"/>
    <w:qFormat/>
    <w:uiPriority w:val="0"/>
    <w:pPr>
      <w:ind w:firstLine="420" w:firstLineChars="200"/>
    </w:pPr>
    <w:rPr>
      <w:rFonts w:ascii="Calibri" w:hAnsi="Calibri" w:eastAsia="宋体"/>
      <w:kern w:val="0"/>
      <w:sz w:val="20"/>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脚 Char"/>
    <w:basedOn w:val="16"/>
    <w:link w:val="10"/>
    <w:qFormat/>
    <w:uiPriority w:val="0"/>
    <w:rPr>
      <w:rFonts w:asciiTheme="minorHAnsi" w:hAnsiTheme="minorHAnsi" w:eastAsiaTheme="minorEastAsia" w:cstheme="minorBidi"/>
      <w:kern w:val="2"/>
      <w:sz w:val="18"/>
      <w:szCs w:val="18"/>
    </w:rPr>
  </w:style>
  <w:style w:type="character" w:customStyle="1" w:styleId="18">
    <w:name w:val="标题 1 Char"/>
    <w:basedOn w:val="16"/>
    <w:link w:val="3"/>
    <w:qFormat/>
    <w:uiPriority w:val="0"/>
    <w:rPr>
      <w:rFonts w:asciiTheme="minorHAnsi" w:hAnsiTheme="minorHAnsi" w:eastAsiaTheme="minorEastAsia" w:cstheme="minorBidi"/>
      <w:b/>
      <w:bCs/>
      <w:kern w:val="44"/>
      <w:sz w:val="44"/>
      <w:szCs w:val="44"/>
    </w:rPr>
  </w:style>
  <w:style w:type="character" w:customStyle="1" w:styleId="19">
    <w:name w:val="正文缩进 Char"/>
    <w:link w:val="7"/>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盐田区政府</Company>
  <Pages>21</Pages>
  <Words>1963</Words>
  <Characters>11194</Characters>
  <Lines>93</Lines>
  <Paragraphs>26</Paragraphs>
  <TotalTime>70</TotalTime>
  <ScaleCrop>false</ScaleCrop>
  <LinksUpToDate>false</LinksUpToDate>
  <CharactersWithSpaces>13131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2024-10-14T06:11:00Z</dcterms:created>
  <dc:creator>Administrator</dc:creator>
  <cp:lastModifiedBy>黄玮</cp:lastModifiedBy>
  <dcterms:modified xsi:type="dcterms:W3CDTF">2024-12-20T07:23:10Z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5BE3788B0E2C4CB0A883C99F2809DE48</vt:lpwstr>
  </property>
</Properties>
</file>