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C93C5">
      <w:pPr>
        <w:wordWrap w:val="0"/>
        <w:autoSpaceDE w:val="0"/>
        <w:autoSpaceDN w:val="0"/>
        <w:adjustRightInd w:val="0"/>
        <w:jc w:val="both"/>
        <w:rPr>
          <w:rFonts w:hint="eastAsia" w:ascii="宋体" w:hAnsi="宋体" w:eastAsia="宋体" w:cs="宋体"/>
          <w:color w:val="000000"/>
          <w:sz w:val="24"/>
        </w:rPr>
      </w:pPr>
      <w:r>
        <w:rPr>
          <w:rFonts w:hint="eastAsia" w:ascii="宋体" w:hAnsi="宋体" w:eastAsia="宋体" w:cs="宋体"/>
          <w:color w:val="000000"/>
          <w:sz w:val="24"/>
        </w:rPr>
        <w:t xml:space="preserve">      </w:t>
      </w:r>
    </w:p>
    <w:p w14:paraId="3D1F2A9F">
      <w:pPr>
        <w:autoSpaceDE w:val="0"/>
        <w:autoSpaceDN w:val="0"/>
        <w:adjustRightInd w:val="0"/>
        <w:jc w:val="both"/>
        <w:rPr>
          <w:rFonts w:hint="eastAsia" w:ascii="宋体" w:hAnsi="宋体" w:eastAsia="宋体" w:cs="宋体"/>
          <w:color w:val="000000"/>
          <w:sz w:val="24"/>
        </w:rPr>
      </w:pPr>
      <w:r>
        <w:rPr>
          <w:rFonts w:hint="eastAsia" w:ascii="宋体" w:hAnsi="宋体" w:eastAsia="宋体" w:cs="宋体"/>
          <w:color w:val="000000"/>
          <w:sz w:val="24"/>
        </w:rPr>
        <w:t xml:space="preserve">    </w:t>
      </w:r>
    </w:p>
    <w:p w14:paraId="47CE0D1C">
      <w:pPr>
        <w:autoSpaceDE w:val="0"/>
        <w:autoSpaceDN w:val="0"/>
        <w:adjustRightInd w:val="0"/>
        <w:jc w:val="center"/>
        <w:rPr>
          <w:rFonts w:hint="eastAsia" w:ascii="宋体" w:hAnsi="宋体" w:eastAsia="宋体" w:cs="宋体"/>
          <w:kern w:val="0"/>
          <w:sz w:val="120"/>
          <w:szCs w:val="120"/>
        </w:rPr>
      </w:pPr>
      <w:r>
        <w:rPr>
          <w:rFonts w:hint="eastAsia" w:ascii="宋体" w:hAnsi="宋体" w:eastAsia="宋体" w:cs="宋体"/>
          <w:kern w:val="0"/>
          <w:sz w:val="120"/>
          <w:szCs w:val="120"/>
        </w:rPr>
        <w:t>政府采购文件</w:t>
      </w:r>
    </w:p>
    <w:p w14:paraId="6F6184D4">
      <w:pPr>
        <w:autoSpaceDE w:val="0"/>
        <w:autoSpaceDN w:val="0"/>
        <w:adjustRightInd w:val="0"/>
        <w:jc w:val="center"/>
        <w:rPr>
          <w:rFonts w:hint="eastAsia" w:ascii="宋体" w:hAnsi="宋体" w:eastAsia="宋体" w:cs="宋体"/>
          <w:kern w:val="0"/>
          <w:sz w:val="52"/>
          <w:szCs w:val="52"/>
        </w:rPr>
      </w:pPr>
      <w:r>
        <w:rPr>
          <w:rFonts w:hint="eastAsia" w:ascii="宋体" w:hAnsi="宋体" w:eastAsia="宋体" w:cs="宋体"/>
          <w:kern w:val="0"/>
          <w:sz w:val="52"/>
          <w:szCs w:val="52"/>
        </w:rPr>
        <w:t>（</w:t>
      </w:r>
      <w:r>
        <w:rPr>
          <w:rFonts w:hint="eastAsia" w:ascii="宋体" w:hAnsi="宋体" w:cs="宋体"/>
          <w:kern w:val="0"/>
          <w:sz w:val="52"/>
          <w:szCs w:val="52"/>
          <w:lang w:eastAsia="zh-CN"/>
        </w:rPr>
        <w:t>工程</w:t>
      </w:r>
      <w:r>
        <w:rPr>
          <w:rFonts w:hint="eastAsia" w:ascii="宋体" w:hAnsi="宋体" w:eastAsia="宋体" w:cs="宋体"/>
          <w:kern w:val="0"/>
          <w:sz w:val="52"/>
          <w:szCs w:val="52"/>
        </w:rPr>
        <w:t>类）</w:t>
      </w:r>
    </w:p>
    <w:p w14:paraId="6A63C05C">
      <w:pPr>
        <w:tabs>
          <w:tab w:val="left" w:pos="3315"/>
        </w:tabs>
        <w:autoSpaceDE w:val="0"/>
        <w:autoSpaceDN w:val="0"/>
        <w:adjustRightInd w:val="0"/>
        <w:jc w:val="left"/>
        <w:rPr>
          <w:rFonts w:hint="eastAsia" w:ascii="宋体" w:hAnsi="宋体" w:eastAsia="宋体" w:cs="宋体"/>
          <w:kern w:val="0"/>
          <w:sz w:val="44"/>
          <w:szCs w:val="44"/>
        </w:rPr>
      </w:pPr>
      <w:r>
        <w:rPr>
          <w:rFonts w:hint="eastAsia" w:ascii="宋体" w:hAnsi="宋体" w:eastAsia="宋体" w:cs="宋体"/>
          <w:kern w:val="0"/>
          <w:sz w:val="44"/>
          <w:szCs w:val="44"/>
        </w:rPr>
        <w:tab/>
      </w:r>
    </w:p>
    <w:p w14:paraId="693F18DB">
      <w:pPr>
        <w:autoSpaceDE w:val="0"/>
        <w:autoSpaceDN w:val="0"/>
        <w:adjustRightInd w:val="0"/>
        <w:jc w:val="left"/>
        <w:rPr>
          <w:rFonts w:hint="eastAsia" w:ascii="宋体" w:hAnsi="宋体" w:eastAsia="宋体" w:cs="宋体"/>
          <w:kern w:val="0"/>
          <w:sz w:val="36"/>
          <w:szCs w:val="44"/>
        </w:rPr>
      </w:pPr>
    </w:p>
    <w:p w14:paraId="47E09FC0">
      <w:pPr>
        <w:pStyle w:val="49"/>
        <w:ind w:left="1800" w:leftChars="0" w:hanging="1800" w:hangingChars="500"/>
        <w:jc w:val="left"/>
        <w:rPr>
          <w:rFonts w:hint="eastAsia" w:ascii="宋体" w:hAnsi="宋体" w:eastAsia="宋体" w:cs="宋体"/>
          <w:color w:val="auto"/>
          <w:lang w:val="en-US" w:eastAsia="zh-CN"/>
        </w:rPr>
      </w:pPr>
      <w:r>
        <w:rPr>
          <w:rFonts w:hint="eastAsia" w:ascii="宋体" w:hAnsi="宋体" w:eastAsia="宋体" w:cs="宋体"/>
          <w:kern w:val="0"/>
          <w:sz w:val="36"/>
          <w:szCs w:val="44"/>
        </w:rPr>
        <w:t>项目名称：</w:t>
      </w:r>
      <w:r>
        <w:rPr>
          <w:rFonts w:hint="eastAsia" w:ascii="宋体" w:hAnsi="宋体" w:cs="宋体"/>
          <w:kern w:val="0"/>
          <w:sz w:val="36"/>
          <w:szCs w:val="44"/>
          <w:u w:val="single"/>
          <w:lang w:eastAsia="zh-CN"/>
        </w:rPr>
        <w:t>深圳市东部工人文化宫（</w:t>
      </w:r>
      <w:r>
        <w:rPr>
          <w:rFonts w:hint="eastAsia" w:ascii="宋体" w:hAnsi="宋体" w:cs="宋体"/>
          <w:b w:val="0"/>
          <w:bCs/>
          <w:color w:val="auto"/>
          <w:sz w:val="36"/>
          <w:szCs w:val="36"/>
          <w:u w:val="single"/>
          <w:lang w:eastAsia="zh-CN"/>
        </w:rPr>
        <w:t>沙头角体育馆改造</w:t>
      </w:r>
      <w:r>
        <w:rPr>
          <w:rFonts w:hint="eastAsia" w:ascii="宋体" w:hAnsi="宋体" w:cs="宋体"/>
          <w:kern w:val="0"/>
          <w:sz w:val="36"/>
          <w:szCs w:val="44"/>
          <w:u w:val="single"/>
          <w:lang w:eastAsia="zh-CN"/>
        </w:rPr>
        <w:t>）项目</w:t>
      </w:r>
      <w:r>
        <w:rPr>
          <w:rFonts w:hint="eastAsia" w:ascii="宋体" w:hAnsi="宋体" w:cs="宋体"/>
          <w:b w:val="0"/>
          <w:bCs/>
          <w:color w:val="auto"/>
          <w:sz w:val="36"/>
          <w:szCs w:val="36"/>
          <w:u w:val="single"/>
          <w:lang w:eastAsia="zh-CN"/>
        </w:rPr>
        <w:t>建（构）筑物拆除工程</w:t>
      </w:r>
      <w:r>
        <w:rPr>
          <w:rFonts w:hint="eastAsia" w:ascii="宋体" w:hAnsi="宋体" w:eastAsia="宋体" w:cs="宋体"/>
          <w:b w:val="0"/>
          <w:bCs/>
          <w:color w:val="auto"/>
          <w:sz w:val="36"/>
          <w:szCs w:val="36"/>
          <w:u w:val="single"/>
          <w:lang w:val="en-US" w:eastAsia="zh-CN"/>
        </w:rPr>
        <w:t xml:space="preserve"> </w:t>
      </w:r>
    </w:p>
    <w:p w14:paraId="06CC3B85">
      <w:pPr>
        <w:autoSpaceDE w:val="0"/>
        <w:autoSpaceDN w:val="0"/>
        <w:adjustRightInd w:val="0"/>
        <w:jc w:val="left"/>
        <w:rPr>
          <w:rFonts w:hint="eastAsia" w:ascii="宋体" w:hAnsi="宋体" w:eastAsia="宋体" w:cs="宋体"/>
          <w:kern w:val="0"/>
          <w:sz w:val="36"/>
          <w:szCs w:val="44"/>
          <w:u w:val="single"/>
        </w:rPr>
      </w:pPr>
    </w:p>
    <w:p w14:paraId="428962E2">
      <w:pPr>
        <w:autoSpaceDE w:val="0"/>
        <w:autoSpaceDN w:val="0"/>
        <w:adjustRightInd w:val="0"/>
        <w:jc w:val="left"/>
        <w:rPr>
          <w:rFonts w:hint="eastAsia" w:ascii="宋体" w:hAnsi="宋体" w:eastAsia="宋体" w:cs="宋体"/>
          <w:kern w:val="0"/>
          <w:sz w:val="36"/>
          <w:szCs w:val="44"/>
          <w:u w:val="single"/>
          <w:lang w:eastAsia="zh-CN"/>
        </w:rPr>
      </w:pPr>
      <w:r>
        <w:rPr>
          <w:rFonts w:hint="eastAsia" w:ascii="宋体" w:hAnsi="宋体" w:eastAsia="宋体" w:cs="宋体"/>
          <w:kern w:val="0"/>
          <w:sz w:val="36"/>
          <w:szCs w:val="44"/>
        </w:rPr>
        <w:t>采 购 人：</w:t>
      </w:r>
      <w:r>
        <w:rPr>
          <w:rFonts w:hint="eastAsia" w:ascii="宋体" w:hAnsi="宋体" w:eastAsia="宋体" w:cs="宋体"/>
          <w:kern w:val="0"/>
          <w:sz w:val="36"/>
          <w:szCs w:val="44"/>
          <w:u w:val="single"/>
          <w:lang w:eastAsia="zh-CN"/>
        </w:rPr>
        <w:t>深圳市盐田区土地整备事务中心</w:t>
      </w:r>
    </w:p>
    <w:p w14:paraId="3749C648">
      <w:pPr>
        <w:autoSpaceDE w:val="0"/>
        <w:autoSpaceDN w:val="0"/>
        <w:adjustRightInd w:val="0"/>
        <w:jc w:val="left"/>
        <w:rPr>
          <w:rFonts w:hint="eastAsia" w:ascii="宋体" w:hAnsi="宋体" w:eastAsia="宋体" w:cs="宋体"/>
          <w:kern w:val="0"/>
          <w:sz w:val="36"/>
          <w:szCs w:val="44"/>
          <w:u w:val="single"/>
        </w:rPr>
      </w:pPr>
    </w:p>
    <w:p w14:paraId="3252C134">
      <w:pPr>
        <w:autoSpaceDE w:val="0"/>
        <w:autoSpaceDN w:val="0"/>
        <w:adjustRightInd w:val="0"/>
        <w:jc w:val="left"/>
        <w:rPr>
          <w:rFonts w:hint="eastAsia" w:ascii="宋体" w:hAnsi="宋体" w:eastAsia="宋体" w:cs="宋体"/>
          <w:kern w:val="0"/>
          <w:sz w:val="36"/>
          <w:szCs w:val="44"/>
          <w:u w:val="single"/>
        </w:rPr>
      </w:pPr>
      <w:r>
        <w:rPr>
          <w:rFonts w:hint="eastAsia" w:ascii="宋体" w:hAnsi="宋体" w:eastAsia="宋体" w:cs="宋体"/>
          <w:kern w:val="0"/>
          <w:sz w:val="36"/>
          <w:szCs w:val="44"/>
        </w:rPr>
        <w:t>代理机构：</w:t>
      </w:r>
      <w:r>
        <w:rPr>
          <w:rFonts w:hint="eastAsia" w:ascii="宋体" w:hAnsi="宋体" w:eastAsia="宋体" w:cs="宋体"/>
          <w:kern w:val="0"/>
          <w:sz w:val="36"/>
          <w:szCs w:val="44"/>
          <w:u w:val="single"/>
        </w:rPr>
        <w:t xml:space="preserve">深圳市广得信工程造价咨询有限公司  </w:t>
      </w:r>
    </w:p>
    <w:p w14:paraId="31E15CDA">
      <w:pPr>
        <w:autoSpaceDE w:val="0"/>
        <w:autoSpaceDN w:val="0"/>
        <w:adjustRightInd w:val="0"/>
        <w:jc w:val="left"/>
        <w:rPr>
          <w:rFonts w:hint="eastAsia" w:ascii="宋体" w:hAnsi="宋体" w:eastAsia="宋体" w:cs="宋体"/>
          <w:kern w:val="0"/>
          <w:sz w:val="44"/>
          <w:szCs w:val="44"/>
        </w:rPr>
      </w:pPr>
    </w:p>
    <w:p w14:paraId="2F79F809">
      <w:pPr>
        <w:autoSpaceDE w:val="0"/>
        <w:autoSpaceDN w:val="0"/>
        <w:adjustRightInd w:val="0"/>
        <w:jc w:val="center"/>
        <w:rPr>
          <w:rFonts w:hint="eastAsia" w:ascii="宋体" w:hAnsi="宋体" w:eastAsia="宋体" w:cs="宋体"/>
          <w:kern w:val="0"/>
          <w:sz w:val="44"/>
          <w:szCs w:val="44"/>
        </w:rPr>
      </w:pPr>
      <w:r>
        <w:rPr>
          <w:rFonts w:hint="eastAsia" w:ascii="宋体" w:hAnsi="宋体" w:eastAsia="宋体" w:cs="宋体"/>
          <w:b/>
          <w:bCs/>
          <w:sz w:val="28"/>
        </w:rPr>
        <w:drawing>
          <wp:inline distT="0" distB="0" distL="114300" distR="114300">
            <wp:extent cx="2805430" cy="1390650"/>
            <wp:effectExtent l="0" t="0" r="13970" b="0"/>
            <wp:docPr id="1" name="图片 2" descr="ba99a9a40bee0d877b8e42ba0a8b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ba99a9a40bee0d877b8e42ba0a8b095"/>
                    <pic:cNvPicPr>
                      <a:picLocks noChangeAspect="1"/>
                    </pic:cNvPicPr>
                  </pic:nvPicPr>
                  <pic:blipFill>
                    <a:blip r:embed="rId5"/>
                    <a:stretch>
                      <a:fillRect/>
                    </a:stretch>
                  </pic:blipFill>
                  <pic:spPr>
                    <a:xfrm>
                      <a:off x="0" y="0"/>
                      <a:ext cx="2805430" cy="1390650"/>
                    </a:xfrm>
                    <a:prstGeom prst="rect">
                      <a:avLst/>
                    </a:prstGeom>
                    <a:noFill/>
                    <a:ln>
                      <a:noFill/>
                    </a:ln>
                  </pic:spPr>
                </pic:pic>
              </a:graphicData>
            </a:graphic>
          </wp:inline>
        </w:drawing>
      </w:r>
    </w:p>
    <w:p w14:paraId="1D2C2E07">
      <w:pPr>
        <w:pStyle w:val="87"/>
        <w:ind w:firstLine="2008" w:firstLineChars="500"/>
        <w:rPr>
          <w:rFonts w:hint="eastAsia" w:ascii="宋体" w:hAnsi="宋体" w:eastAsia="宋体" w:cs="宋体"/>
          <w:b/>
          <w:snapToGrid w:val="0"/>
          <w:sz w:val="40"/>
          <w:szCs w:val="40"/>
        </w:rPr>
      </w:pPr>
      <w:r>
        <w:rPr>
          <w:rFonts w:hint="eastAsia" w:ascii="宋体" w:hAnsi="宋体" w:eastAsia="宋体" w:cs="宋体"/>
          <w:b/>
          <w:bCs/>
          <w:sz w:val="40"/>
          <w:szCs w:val="40"/>
        </w:rPr>
        <w:t>二〇二</w:t>
      </w:r>
      <w:r>
        <w:rPr>
          <w:rFonts w:hint="eastAsia" w:ascii="宋体" w:hAnsi="宋体" w:cs="宋体"/>
          <w:b/>
          <w:bCs/>
          <w:sz w:val="40"/>
          <w:szCs w:val="40"/>
          <w:lang w:eastAsia="zh-CN"/>
        </w:rPr>
        <w:t>五</w:t>
      </w:r>
      <w:r>
        <w:rPr>
          <w:rFonts w:hint="eastAsia" w:ascii="宋体" w:hAnsi="宋体" w:eastAsia="宋体" w:cs="宋体"/>
          <w:b/>
          <w:bCs/>
          <w:sz w:val="40"/>
          <w:szCs w:val="40"/>
        </w:rPr>
        <w:t xml:space="preserve">年 </w:t>
      </w:r>
      <w:r>
        <w:rPr>
          <w:rFonts w:hint="eastAsia" w:ascii="宋体" w:hAnsi="宋体" w:eastAsia="宋体" w:cs="宋体"/>
          <w:b/>
          <w:snapToGrid w:val="0"/>
          <w:sz w:val="40"/>
          <w:szCs w:val="40"/>
        </w:rPr>
        <w:t>· 中国深圳</w:t>
      </w:r>
    </w:p>
    <w:p w14:paraId="72056708">
      <w:pPr>
        <w:pStyle w:val="87"/>
        <w:ind w:firstLine="803"/>
        <w:jc w:val="center"/>
        <w:rPr>
          <w:rFonts w:hint="eastAsia" w:ascii="宋体" w:hAnsi="宋体" w:eastAsia="宋体" w:cs="宋体"/>
          <w:b/>
          <w:snapToGrid w:val="0"/>
          <w:sz w:val="40"/>
          <w:szCs w:val="40"/>
        </w:rPr>
      </w:pPr>
    </w:p>
    <w:p w14:paraId="2DD76AC0">
      <w:pPr>
        <w:pStyle w:val="87"/>
        <w:ind w:firstLine="803"/>
        <w:jc w:val="center"/>
        <w:rPr>
          <w:rFonts w:hint="eastAsia" w:ascii="宋体" w:hAnsi="宋体" w:eastAsia="宋体" w:cs="宋体"/>
          <w:b/>
          <w:snapToGrid w:val="0"/>
          <w:sz w:val="40"/>
          <w:szCs w:val="40"/>
        </w:rPr>
      </w:pPr>
    </w:p>
    <w:p w14:paraId="06BAB7BD">
      <w:pPr>
        <w:pStyle w:val="87"/>
        <w:ind w:firstLine="803"/>
        <w:jc w:val="center"/>
        <w:rPr>
          <w:rFonts w:hint="eastAsia" w:ascii="宋体" w:hAnsi="宋体" w:eastAsia="宋体" w:cs="宋体"/>
          <w:b/>
          <w:snapToGrid w:val="0"/>
          <w:sz w:val="40"/>
          <w:szCs w:val="40"/>
        </w:rPr>
      </w:pPr>
    </w:p>
    <w:p w14:paraId="543BBEBB">
      <w:pPr>
        <w:spacing w:line="240" w:lineRule="auto"/>
        <w:ind w:firstLine="4216" w:firstLineChars="1500"/>
        <w:rPr>
          <w:rFonts w:hint="eastAsia" w:ascii="宋体" w:hAnsi="宋体" w:eastAsia="宋体" w:cs="宋体"/>
          <w:b/>
          <w:bCs/>
          <w:color w:val="FF0000"/>
          <w:kern w:val="44"/>
          <w:sz w:val="28"/>
          <w:szCs w:val="44"/>
        </w:rPr>
      </w:pPr>
      <w:r>
        <w:rPr>
          <w:rFonts w:hint="eastAsia" w:ascii="宋体" w:hAnsi="宋体" w:eastAsia="宋体" w:cs="宋体"/>
          <w:b/>
          <w:bCs/>
          <w:color w:val="FF0000"/>
          <w:kern w:val="44"/>
          <w:sz w:val="28"/>
          <w:szCs w:val="44"/>
        </w:rPr>
        <w:t>警示条款</w:t>
      </w:r>
    </w:p>
    <w:p w14:paraId="2861D8DC">
      <w:pPr>
        <w:pStyle w:val="171"/>
        <w:rPr>
          <w:rFonts w:hint="eastAsia" w:ascii="宋体" w:hAnsi="宋体" w:eastAsia="宋体" w:cs="宋体"/>
        </w:rPr>
      </w:pPr>
    </w:p>
    <w:p w14:paraId="48693364">
      <w:pPr>
        <w:spacing w:line="240" w:lineRule="auto"/>
        <w:ind w:firstLine="422" w:firstLineChars="200"/>
        <w:rPr>
          <w:rFonts w:hint="eastAsia" w:ascii="宋体" w:hAnsi="宋体" w:eastAsia="宋体" w:cs="宋体"/>
          <w:color w:val="FF0000"/>
          <w:szCs w:val="21"/>
        </w:rPr>
      </w:pPr>
      <w:r>
        <w:rPr>
          <w:rFonts w:hint="eastAsia" w:ascii="宋体" w:hAnsi="宋体" w:eastAsia="宋体" w:cs="宋体"/>
          <w:b/>
          <w:bCs/>
          <w:color w:val="FF0000"/>
          <w:szCs w:val="21"/>
        </w:rPr>
        <w:t>一、《深圳经济特区政府采购条例》第五十七条</w:t>
      </w:r>
      <w:r>
        <w:rPr>
          <w:rFonts w:hint="eastAsia" w:ascii="宋体" w:hAnsi="宋体" w:eastAsia="宋体" w:cs="宋体"/>
          <w:color w:val="FF0000"/>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B34FC19">
      <w:pPr>
        <w:spacing w:line="240" w:lineRule="auto"/>
        <w:ind w:firstLine="420" w:firstLineChars="200"/>
        <w:rPr>
          <w:rFonts w:hint="eastAsia" w:ascii="宋体" w:hAnsi="宋体" w:eastAsia="宋体" w:cs="宋体"/>
          <w:color w:val="FF0000"/>
          <w:szCs w:val="21"/>
        </w:rPr>
      </w:pPr>
      <w:r>
        <w:rPr>
          <w:rFonts w:hint="eastAsia" w:ascii="宋体" w:hAnsi="宋体" w:eastAsia="宋体" w:cs="宋体"/>
          <w:color w:val="FF0000"/>
          <w:szCs w:val="21"/>
        </w:rPr>
        <w:t>（一）在采购活动中应当回避而未回避的；</w:t>
      </w:r>
    </w:p>
    <w:p w14:paraId="18D0059F">
      <w:pPr>
        <w:spacing w:line="240" w:lineRule="auto"/>
        <w:ind w:firstLine="420" w:firstLineChars="200"/>
        <w:rPr>
          <w:rFonts w:hint="eastAsia" w:ascii="宋体" w:hAnsi="宋体" w:eastAsia="宋体" w:cs="宋体"/>
          <w:color w:val="FF0000"/>
          <w:szCs w:val="21"/>
        </w:rPr>
      </w:pPr>
      <w:r>
        <w:rPr>
          <w:rFonts w:hint="eastAsia" w:ascii="宋体" w:hAnsi="宋体" w:eastAsia="宋体" w:cs="宋体"/>
          <w:color w:val="FF0000"/>
          <w:szCs w:val="21"/>
        </w:rPr>
        <w:t>（二）未按本条例规定签订、履行采购合同，造成严重后果的；</w:t>
      </w:r>
    </w:p>
    <w:p w14:paraId="747B8D9E">
      <w:pPr>
        <w:spacing w:line="240" w:lineRule="auto"/>
        <w:ind w:firstLine="420" w:firstLineChars="200"/>
        <w:rPr>
          <w:rFonts w:hint="eastAsia" w:ascii="宋体" w:hAnsi="宋体" w:eastAsia="宋体" w:cs="宋体"/>
          <w:color w:val="FF0000"/>
          <w:szCs w:val="21"/>
        </w:rPr>
      </w:pPr>
      <w:r>
        <w:rPr>
          <w:rFonts w:hint="eastAsia" w:ascii="宋体" w:hAnsi="宋体" w:eastAsia="宋体" w:cs="宋体"/>
          <w:color w:val="FF0000"/>
          <w:szCs w:val="21"/>
        </w:rPr>
        <w:t>（三）隐瞒真实情况，提供虚假资料的；</w:t>
      </w:r>
    </w:p>
    <w:p w14:paraId="4B6F972C">
      <w:pPr>
        <w:spacing w:line="240" w:lineRule="auto"/>
        <w:ind w:firstLine="420" w:firstLineChars="200"/>
        <w:rPr>
          <w:rFonts w:hint="eastAsia" w:ascii="宋体" w:hAnsi="宋体" w:eastAsia="宋体" w:cs="宋体"/>
          <w:color w:val="FF0000"/>
          <w:szCs w:val="21"/>
        </w:rPr>
      </w:pPr>
      <w:r>
        <w:rPr>
          <w:rFonts w:hint="eastAsia" w:ascii="宋体" w:hAnsi="宋体" w:eastAsia="宋体" w:cs="宋体"/>
          <w:color w:val="FF0000"/>
          <w:szCs w:val="21"/>
        </w:rPr>
        <w:t>（四）以非法手段排斥其他供应商参与竞争的；</w:t>
      </w:r>
    </w:p>
    <w:p w14:paraId="0C89B501">
      <w:pPr>
        <w:spacing w:line="240" w:lineRule="auto"/>
        <w:ind w:firstLine="420" w:firstLineChars="200"/>
        <w:rPr>
          <w:rFonts w:hint="eastAsia" w:ascii="宋体" w:hAnsi="宋体" w:eastAsia="宋体" w:cs="宋体"/>
          <w:color w:val="FF0000"/>
          <w:szCs w:val="21"/>
        </w:rPr>
      </w:pPr>
      <w:r>
        <w:rPr>
          <w:rFonts w:hint="eastAsia" w:ascii="宋体" w:hAnsi="宋体" w:eastAsia="宋体" w:cs="宋体"/>
          <w:color w:val="FF0000"/>
          <w:szCs w:val="21"/>
        </w:rPr>
        <w:t>（五）与其他采购参加人串通投标的；</w:t>
      </w:r>
    </w:p>
    <w:p w14:paraId="7F73EB3B">
      <w:pPr>
        <w:spacing w:line="240" w:lineRule="auto"/>
        <w:ind w:firstLine="420" w:firstLineChars="200"/>
        <w:rPr>
          <w:rFonts w:hint="eastAsia" w:ascii="宋体" w:hAnsi="宋体" w:eastAsia="宋体" w:cs="宋体"/>
          <w:color w:val="FF0000"/>
          <w:szCs w:val="21"/>
        </w:rPr>
      </w:pPr>
      <w:r>
        <w:rPr>
          <w:rFonts w:hint="eastAsia" w:ascii="宋体" w:hAnsi="宋体" w:eastAsia="宋体" w:cs="宋体"/>
          <w:color w:val="FF0000"/>
          <w:szCs w:val="21"/>
        </w:rPr>
        <w:t>（六）恶意投诉的；</w:t>
      </w:r>
    </w:p>
    <w:p w14:paraId="4E4E066F">
      <w:pPr>
        <w:spacing w:line="240" w:lineRule="auto"/>
        <w:ind w:firstLine="420" w:firstLineChars="200"/>
        <w:rPr>
          <w:rFonts w:hint="eastAsia" w:ascii="宋体" w:hAnsi="宋体" w:eastAsia="宋体" w:cs="宋体"/>
          <w:color w:val="FF0000"/>
          <w:szCs w:val="21"/>
        </w:rPr>
      </w:pPr>
      <w:r>
        <w:rPr>
          <w:rFonts w:hint="eastAsia" w:ascii="宋体" w:hAnsi="宋体" w:eastAsia="宋体" w:cs="宋体"/>
          <w:color w:val="FF0000"/>
          <w:szCs w:val="21"/>
        </w:rPr>
        <w:t>（七）向采购项目相关人行贿或者提供其他不当利益的；</w:t>
      </w:r>
    </w:p>
    <w:p w14:paraId="1A00436A">
      <w:pPr>
        <w:spacing w:line="240" w:lineRule="auto"/>
        <w:ind w:firstLine="420" w:firstLineChars="200"/>
        <w:rPr>
          <w:rFonts w:hint="eastAsia" w:ascii="宋体" w:hAnsi="宋体" w:eastAsia="宋体" w:cs="宋体"/>
          <w:color w:val="FF0000"/>
          <w:szCs w:val="21"/>
        </w:rPr>
      </w:pPr>
      <w:r>
        <w:rPr>
          <w:rFonts w:hint="eastAsia" w:ascii="宋体" w:hAnsi="宋体" w:eastAsia="宋体" w:cs="宋体"/>
          <w:color w:val="FF0000"/>
          <w:szCs w:val="21"/>
        </w:rPr>
        <w:t>（八）阻碍、抗拒主管部门监督检查的；</w:t>
      </w:r>
    </w:p>
    <w:p w14:paraId="14A525AA">
      <w:pPr>
        <w:spacing w:line="240" w:lineRule="auto"/>
        <w:ind w:firstLine="420" w:firstLineChars="200"/>
        <w:rPr>
          <w:rFonts w:hint="eastAsia" w:ascii="宋体" w:hAnsi="宋体" w:eastAsia="宋体" w:cs="宋体"/>
          <w:color w:val="FF0000"/>
          <w:szCs w:val="21"/>
        </w:rPr>
      </w:pPr>
      <w:r>
        <w:rPr>
          <w:rFonts w:hint="eastAsia" w:ascii="宋体" w:hAnsi="宋体" w:eastAsia="宋体" w:cs="宋体"/>
          <w:color w:val="FF0000"/>
          <w:szCs w:val="21"/>
        </w:rPr>
        <w:t>（九）其他违反本条例规定的行为。</w:t>
      </w:r>
    </w:p>
    <w:p w14:paraId="71FB0086">
      <w:pPr>
        <w:spacing w:line="240" w:lineRule="auto"/>
        <w:ind w:firstLine="402" w:firstLineChars="200"/>
        <w:rPr>
          <w:rFonts w:hint="eastAsia" w:ascii="宋体" w:hAnsi="宋体" w:eastAsia="宋体" w:cs="宋体"/>
          <w:color w:val="FF0000"/>
          <w:sz w:val="20"/>
          <w:szCs w:val="20"/>
        </w:rPr>
      </w:pPr>
      <w:r>
        <w:rPr>
          <w:rFonts w:hint="eastAsia" w:ascii="宋体" w:hAnsi="宋体" w:eastAsia="宋体" w:cs="宋体"/>
          <w:b/>
          <w:bCs/>
          <w:color w:val="FF0000"/>
          <w:sz w:val="20"/>
          <w:szCs w:val="20"/>
        </w:rPr>
        <w:t xml:space="preserve">二、《深圳经济特区政府采购条例实施细则》第七十五条 </w:t>
      </w:r>
      <w:r>
        <w:rPr>
          <w:rFonts w:hint="eastAsia" w:ascii="宋体" w:hAnsi="宋体" w:eastAsia="宋体" w:cs="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7136BEC">
      <w:pPr>
        <w:spacing w:line="240" w:lineRule="auto"/>
        <w:ind w:firstLine="402" w:firstLineChars="200"/>
        <w:rPr>
          <w:rFonts w:hint="eastAsia" w:ascii="宋体" w:hAnsi="宋体" w:eastAsia="宋体" w:cs="宋体"/>
          <w:color w:val="FF0000"/>
          <w:sz w:val="20"/>
          <w:szCs w:val="20"/>
        </w:rPr>
      </w:pPr>
      <w:r>
        <w:rPr>
          <w:rFonts w:hint="eastAsia" w:ascii="宋体" w:hAnsi="宋体" w:eastAsia="宋体" w:cs="宋体"/>
          <w:b/>
          <w:bCs/>
          <w:color w:val="FF0000"/>
          <w:sz w:val="20"/>
          <w:szCs w:val="20"/>
        </w:rPr>
        <w:t xml:space="preserve">三、《深圳经济特区政府采购条例实施细则》第七十七条 </w:t>
      </w:r>
      <w:r>
        <w:rPr>
          <w:rFonts w:hint="eastAsia" w:ascii="宋体" w:hAnsi="宋体" w:eastAsia="宋体" w:cs="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37A37A26">
      <w:pPr>
        <w:spacing w:line="240" w:lineRule="auto"/>
        <w:ind w:firstLine="400" w:firstLineChars="200"/>
        <w:rPr>
          <w:rFonts w:hint="eastAsia" w:ascii="宋体" w:hAnsi="宋体" w:eastAsia="宋体" w:cs="宋体"/>
          <w:b/>
          <w:color w:val="FF0000"/>
          <w:szCs w:val="21"/>
        </w:rPr>
      </w:pPr>
      <w:r>
        <w:rPr>
          <w:rFonts w:hint="eastAsia" w:ascii="宋体" w:hAnsi="宋体" w:eastAsia="宋体" w:cs="宋体"/>
          <w:color w:val="FF0000"/>
          <w:sz w:val="20"/>
          <w:szCs w:val="20"/>
        </w:rPr>
        <w:t>投标供应商不能提供项目负责人或者主要技术人员的劳动合同、社会保险等劳动关系证明材料的，视为存在前款第（三）项规定的情形。</w:t>
      </w:r>
    </w:p>
    <w:p w14:paraId="5A441D32">
      <w:pPr>
        <w:spacing w:line="240" w:lineRule="auto"/>
        <w:ind w:firstLine="422" w:firstLineChars="200"/>
        <w:rPr>
          <w:rFonts w:hint="eastAsia" w:ascii="宋体" w:hAnsi="宋体" w:eastAsia="宋体" w:cs="宋体"/>
          <w:b/>
          <w:bCs/>
          <w:color w:val="FF0000"/>
          <w:szCs w:val="21"/>
        </w:rPr>
      </w:pPr>
      <w:r>
        <w:rPr>
          <w:rFonts w:hint="eastAsia" w:ascii="宋体" w:hAnsi="宋体" w:eastAsia="宋体" w:cs="宋体"/>
          <w:b/>
          <w:bCs/>
          <w:color w:val="FF0000"/>
          <w:szCs w:val="21"/>
        </w:rPr>
        <w:t>四、根据《中华人民共和国政府采购法实施条例》</w:t>
      </w:r>
    </w:p>
    <w:p w14:paraId="3F2C2EB9">
      <w:pPr>
        <w:spacing w:line="240" w:lineRule="auto"/>
        <w:ind w:firstLine="420" w:firstLineChars="200"/>
        <w:rPr>
          <w:rFonts w:hint="eastAsia" w:ascii="宋体" w:hAnsi="宋体" w:eastAsia="宋体" w:cs="宋体"/>
          <w:color w:val="FF0000"/>
          <w:szCs w:val="21"/>
        </w:rPr>
      </w:pPr>
      <w:r>
        <w:rPr>
          <w:rFonts w:hint="eastAsia" w:ascii="宋体" w:hAnsi="宋体" w:eastAsia="宋体" w:cs="宋体"/>
          <w:color w:val="FF0000"/>
          <w:szCs w:val="21"/>
        </w:rPr>
        <w:t>第十八条规定：“单位负责人为同一人或者存在直接控股、管理关系的不同供应商，不得参加同一合同项下的政府采购活动。”</w:t>
      </w:r>
    </w:p>
    <w:p w14:paraId="19775861">
      <w:pPr>
        <w:spacing w:line="240" w:lineRule="auto"/>
        <w:jc w:val="both"/>
        <w:rPr>
          <w:rFonts w:hint="eastAsia" w:ascii="宋体" w:hAnsi="宋体" w:eastAsia="宋体" w:cs="宋体"/>
          <w:color w:val="FF0000"/>
          <w:szCs w:val="21"/>
        </w:rPr>
      </w:pPr>
      <w:r>
        <w:rPr>
          <w:rFonts w:hint="eastAsia" w:ascii="宋体" w:hAnsi="宋体" w:eastAsia="宋体" w:cs="宋体"/>
          <w:color w:val="FF0000"/>
          <w:szCs w:val="21"/>
        </w:rPr>
        <w:t>投标供应商涉嫌存在串通投标等违法行为的，将书面报告财政主管部门依法处理。</w:t>
      </w:r>
    </w:p>
    <w:p w14:paraId="3F6DC017">
      <w:pPr>
        <w:jc w:val="both"/>
        <w:rPr>
          <w:rFonts w:hint="eastAsia" w:ascii="宋体" w:hAnsi="宋体" w:eastAsia="宋体" w:cs="宋体"/>
          <w:color w:val="FF0000"/>
          <w:szCs w:val="21"/>
        </w:rPr>
      </w:pPr>
    </w:p>
    <w:p w14:paraId="79AB83A4">
      <w:pPr>
        <w:jc w:val="center"/>
        <w:rPr>
          <w:rFonts w:hint="eastAsia" w:ascii="宋体" w:hAnsi="宋体" w:eastAsia="宋体" w:cs="宋体"/>
          <w:sz w:val="40"/>
          <w:szCs w:val="40"/>
          <w:lang w:eastAsia="zh-CN"/>
        </w:rPr>
      </w:pPr>
    </w:p>
    <w:p w14:paraId="7B9E41F5">
      <w:pPr>
        <w:pStyle w:val="171"/>
        <w:rPr>
          <w:rFonts w:hint="eastAsia" w:ascii="宋体" w:hAnsi="宋体" w:eastAsia="宋体" w:cs="宋体"/>
          <w:lang w:eastAsia="zh-CN"/>
        </w:rPr>
      </w:pPr>
    </w:p>
    <w:p w14:paraId="6C571077">
      <w:pPr>
        <w:pStyle w:val="171"/>
        <w:rPr>
          <w:rFonts w:hint="eastAsia" w:ascii="宋体" w:hAnsi="宋体" w:eastAsia="宋体" w:cs="宋体"/>
          <w:lang w:eastAsia="zh-CN"/>
        </w:rPr>
      </w:pPr>
    </w:p>
    <w:p w14:paraId="241E31B8">
      <w:pPr>
        <w:pStyle w:val="171"/>
        <w:rPr>
          <w:rFonts w:hint="eastAsia" w:ascii="宋体" w:hAnsi="宋体" w:eastAsia="宋体" w:cs="宋体"/>
          <w:lang w:eastAsia="zh-CN"/>
        </w:rPr>
      </w:pPr>
    </w:p>
    <w:p w14:paraId="29B3D90F">
      <w:pPr>
        <w:pStyle w:val="171"/>
        <w:rPr>
          <w:rFonts w:hint="eastAsia" w:ascii="宋体" w:hAnsi="宋体" w:eastAsia="宋体" w:cs="宋体"/>
          <w:lang w:eastAsia="zh-CN"/>
        </w:rPr>
      </w:pPr>
    </w:p>
    <w:p w14:paraId="29CC6175">
      <w:pPr>
        <w:jc w:val="center"/>
        <w:rPr>
          <w:rFonts w:hint="eastAsia" w:ascii="宋体" w:hAnsi="宋体" w:eastAsia="宋体" w:cs="宋体"/>
          <w:sz w:val="40"/>
          <w:szCs w:val="40"/>
          <w:lang w:eastAsia="zh-CN"/>
        </w:rPr>
      </w:pPr>
      <w:r>
        <w:rPr>
          <w:rFonts w:hint="eastAsia" w:ascii="宋体" w:hAnsi="宋体" w:cs="宋体"/>
          <w:sz w:val="40"/>
          <w:szCs w:val="40"/>
          <w:lang w:eastAsia="zh-CN"/>
        </w:rPr>
        <w:t xml:space="preserve">深圳市东部工人文化宫（沙头角体育馆改造）项目建（构）筑物拆除工程 </w:t>
      </w:r>
    </w:p>
    <w:p w14:paraId="09D3AD79">
      <w:pPr>
        <w:pStyle w:val="2"/>
        <w:rPr>
          <w:rFonts w:hint="eastAsia" w:ascii="宋体" w:hAnsi="宋体" w:eastAsia="宋体" w:cs="宋体"/>
        </w:rPr>
      </w:pPr>
    </w:p>
    <w:p w14:paraId="6CC56284">
      <w:pPr>
        <w:pStyle w:val="42"/>
        <w:jc w:val="center"/>
        <w:outlineLvl w:val="1"/>
        <w:rPr>
          <w:rFonts w:hint="eastAsia" w:ascii="宋体" w:hAnsi="宋体" w:eastAsia="宋体" w:cs="宋体"/>
          <w:sz w:val="40"/>
          <w:szCs w:val="40"/>
        </w:rPr>
      </w:pPr>
      <w:r>
        <w:rPr>
          <w:rFonts w:hint="eastAsia" w:ascii="宋体" w:hAnsi="宋体" w:eastAsia="宋体" w:cs="宋体"/>
          <w:sz w:val="40"/>
          <w:szCs w:val="40"/>
        </w:rPr>
        <w:t>招标文件信息</w:t>
      </w:r>
    </w:p>
    <w:tbl>
      <w:tblPr>
        <w:tblStyle w:val="50"/>
        <w:tblW w:w="7938" w:type="dxa"/>
        <w:jc w:val="center"/>
        <w:tblCellSpacing w:w="0" w:type="dxa"/>
        <w:tblLayout w:type="fixed"/>
        <w:tblCellMar>
          <w:top w:w="45" w:type="dxa"/>
          <w:left w:w="45" w:type="dxa"/>
          <w:bottom w:w="45" w:type="dxa"/>
          <w:right w:w="45" w:type="dxa"/>
        </w:tblCellMar>
      </w:tblPr>
      <w:tblGrid>
        <w:gridCol w:w="2722"/>
        <w:gridCol w:w="5216"/>
      </w:tblGrid>
      <w:tr w14:paraId="71FA9D5B">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14:paraId="5114566C">
            <w:pPr>
              <w:jc w:val="right"/>
              <w:rPr>
                <w:rFonts w:hint="eastAsia" w:ascii="宋体" w:hAnsi="宋体" w:eastAsia="宋体" w:cs="宋体"/>
                <w:sz w:val="30"/>
                <w:szCs w:val="30"/>
              </w:rPr>
            </w:pPr>
            <w:r>
              <w:rPr>
                <w:rFonts w:hint="eastAsia" w:ascii="宋体" w:hAnsi="宋体" w:eastAsia="宋体" w:cs="宋体"/>
                <w:sz w:val="30"/>
                <w:szCs w:val="30"/>
              </w:rPr>
              <w:t>项目编号：</w:t>
            </w:r>
          </w:p>
        </w:tc>
        <w:tc>
          <w:tcPr>
            <w:tcW w:w="5216" w:type="dxa"/>
            <w:noWrap w:val="0"/>
            <w:vAlign w:val="center"/>
          </w:tcPr>
          <w:p w14:paraId="61BD7619">
            <w:pPr>
              <w:rPr>
                <w:rFonts w:hint="eastAsia" w:ascii="宋体" w:hAnsi="宋体" w:eastAsia="宋体" w:cs="宋体"/>
                <w:sz w:val="30"/>
                <w:szCs w:val="30"/>
                <w:lang w:eastAsia="zh-CN"/>
              </w:rPr>
            </w:pPr>
            <w:r>
              <w:rPr>
                <w:rFonts w:hint="eastAsia" w:ascii="宋体" w:hAnsi="宋体" w:cs="宋体"/>
                <w:sz w:val="30"/>
                <w:szCs w:val="30"/>
                <w:lang w:eastAsia="zh-CN"/>
              </w:rPr>
              <w:t>GDXLGCG-2025004</w:t>
            </w:r>
          </w:p>
        </w:tc>
      </w:tr>
      <w:tr w14:paraId="1DFCA914">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14:paraId="6EA0184A">
            <w:pPr>
              <w:jc w:val="right"/>
              <w:rPr>
                <w:rFonts w:hint="eastAsia" w:ascii="宋体" w:hAnsi="宋体" w:eastAsia="宋体" w:cs="宋体"/>
                <w:sz w:val="30"/>
                <w:szCs w:val="30"/>
              </w:rPr>
            </w:pPr>
            <w:r>
              <w:rPr>
                <w:rFonts w:hint="eastAsia" w:ascii="宋体" w:hAnsi="宋体" w:eastAsia="宋体" w:cs="宋体"/>
                <w:sz w:val="30"/>
                <w:szCs w:val="30"/>
              </w:rPr>
              <w:t>项目名称：</w:t>
            </w:r>
          </w:p>
        </w:tc>
        <w:tc>
          <w:tcPr>
            <w:tcW w:w="5216" w:type="dxa"/>
            <w:noWrap w:val="0"/>
            <w:vAlign w:val="center"/>
          </w:tcPr>
          <w:p w14:paraId="2F4982B1">
            <w:pPr>
              <w:rPr>
                <w:rFonts w:hint="eastAsia" w:ascii="宋体" w:hAnsi="宋体" w:eastAsia="宋体" w:cs="宋体"/>
                <w:sz w:val="30"/>
                <w:szCs w:val="30"/>
                <w:lang w:eastAsia="zh-CN"/>
              </w:rPr>
            </w:pPr>
            <w:r>
              <w:rPr>
                <w:rFonts w:hint="eastAsia" w:ascii="宋体" w:hAnsi="宋体" w:cs="宋体"/>
                <w:color w:val="auto"/>
                <w:sz w:val="30"/>
                <w:szCs w:val="30"/>
                <w:lang w:eastAsia="zh-CN"/>
              </w:rPr>
              <w:t xml:space="preserve">深圳市东部工人文化宫（沙头角体育馆改造）项目建（构）筑物拆除工程 </w:t>
            </w:r>
          </w:p>
        </w:tc>
      </w:tr>
      <w:tr w14:paraId="1F058746">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14:paraId="5A875803">
            <w:pPr>
              <w:jc w:val="right"/>
              <w:rPr>
                <w:rFonts w:hint="eastAsia" w:ascii="宋体" w:hAnsi="宋体" w:eastAsia="宋体" w:cs="宋体"/>
                <w:sz w:val="30"/>
                <w:szCs w:val="30"/>
              </w:rPr>
            </w:pPr>
            <w:r>
              <w:rPr>
                <w:rFonts w:hint="eastAsia" w:ascii="宋体" w:hAnsi="宋体" w:eastAsia="宋体" w:cs="宋体"/>
                <w:sz w:val="30"/>
                <w:szCs w:val="30"/>
              </w:rPr>
              <w:t>包 号：</w:t>
            </w:r>
          </w:p>
        </w:tc>
        <w:tc>
          <w:tcPr>
            <w:tcW w:w="5216" w:type="dxa"/>
            <w:noWrap w:val="0"/>
            <w:vAlign w:val="center"/>
          </w:tcPr>
          <w:p w14:paraId="74F62994">
            <w:pPr>
              <w:rPr>
                <w:rFonts w:hint="eastAsia" w:ascii="宋体" w:hAnsi="宋体" w:eastAsia="宋体" w:cs="宋体"/>
                <w:sz w:val="30"/>
                <w:szCs w:val="30"/>
              </w:rPr>
            </w:pPr>
            <w:r>
              <w:rPr>
                <w:rFonts w:hint="eastAsia" w:ascii="宋体" w:hAnsi="宋体" w:eastAsia="宋体" w:cs="宋体"/>
                <w:sz w:val="30"/>
                <w:szCs w:val="30"/>
              </w:rPr>
              <w:t>A</w:t>
            </w:r>
          </w:p>
        </w:tc>
      </w:tr>
      <w:tr w14:paraId="411EED42">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14:paraId="3B0664DA">
            <w:pPr>
              <w:jc w:val="right"/>
              <w:rPr>
                <w:rFonts w:hint="eastAsia" w:ascii="宋体" w:hAnsi="宋体" w:eastAsia="宋体" w:cs="宋体"/>
                <w:sz w:val="30"/>
                <w:szCs w:val="30"/>
              </w:rPr>
            </w:pPr>
            <w:r>
              <w:rPr>
                <w:rFonts w:hint="eastAsia" w:ascii="宋体" w:hAnsi="宋体" w:eastAsia="宋体" w:cs="宋体"/>
                <w:sz w:val="30"/>
                <w:szCs w:val="30"/>
              </w:rPr>
              <w:t>项目类型：</w:t>
            </w:r>
          </w:p>
        </w:tc>
        <w:tc>
          <w:tcPr>
            <w:tcW w:w="5216" w:type="dxa"/>
            <w:noWrap w:val="0"/>
            <w:vAlign w:val="center"/>
          </w:tcPr>
          <w:p w14:paraId="380B0F7B">
            <w:pPr>
              <w:rPr>
                <w:rFonts w:hint="eastAsia" w:ascii="宋体" w:hAnsi="宋体" w:eastAsia="宋体" w:cs="宋体"/>
                <w:sz w:val="30"/>
                <w:szCs w:val="30"/>
              </w:rPr>
            </w:pPr>
            <w:r>
              <w:rPr>
                <w:rFonts w:hint="eastAsia" w:ascii="宋体" w:hAnsi="宋体" w:cs="宋体"/>
                <w:sz w:val="30"/>
                <w:szCs w:val="30"/>
                <w:lang w:eastAsia="zh-CN"/>
              </w:rPr>
              <w:t>工程</w:t>
            </w:r>
            <w:r>
              <w:rPr>
                <w:rFonts w:hint="eastAsia" w:ascii="宋体" w:hAnsi="宋体" w:eastAsia="宋体" w:cs="宋体"/>
                <w:sz w:val="30"/>
                <w:szCs w:val="30"/>
              </w:rPr>
              <w:t>类</w:t>
            </w:r>
          </w:p>
        </w:tc>
      </w:tr>
      <w:tr w14:paraId="21046A50">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14:paraId="75805D27">
            <w:pPr>
              <w:jc w:val="right"/>
              <w:rPr>
                <w:rFonts w:hint="eastAsia" w:ascii="宋体" w:hAnsi="宋体" w:eastAsia="宋体" w:cs="宋体"/>
                <w:sz w:val="30"/>
                <w:szCs w:val="30"/>
              </w:rPr>
            </w:pPr>
            <w:r>
              <w:rPr>
                <w:rFonts w:hint="eastAsia" w:ascii="宋体" w:hAnsi="宋体" w:eastAsia="宋体" w:cs="宋体"/>
                <w:sz w:val="30"/>
                <w:szCs w:val="30"/>
              </w:rPr>
              <w:t>采购方式：</w:t>
            </w:r>
          </w:p>
        </w:tc>
        <w:tc>
          <w:tcPr>
            <w:tcW w:w="5216" w:type="dxa"/>
            <w:noWrap w:val="0"/>
            <w:vAlign w:val="center"/>
          </w:tcPr>
          <w:p w14:paraId="518D287C">
            <w:pPr>
              <w:rPr>
                <w:rFonts w:hint="eastAsia" w:ascii="宋体" w:hAnsi="宋体" w:eastAsia="宋体" w:cs="宋体"/>
                <w:sz w:val="30"/>
                <w:szCs w:val="30"/>
              </w:rPr>
            </w:pPr>
            <w:r>
              <w:rPr>
                <w:rFonts w:hint="eastAsia" w:ascii="宋体" w:hAnsi="宋体" w:eastAsia="宋体" w:cs="宋体"/>
                <w:sz w:val="30"/>
                <w:szCs w:val="30"/>
              </w:rPr>
              <w:t>公开征集</w:t>
            </w:r>
          </w:p>
        </w:tc>
      </w:tr>
      <w:tr w14:paraId="71458AB0">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14:paraId="05AB2597">
            <w:pPr>
              <w:jc w:val="right"/>
              <w:rPr>
                <w:rFonts w:hint="eastAsia" w:ascii="宋体" w:hAnsi="宋体" w:eastAsia="宋体" w:cs="宋体"/>
                <w:sz w:val="30"/>
                <w:szCs w:val="30"/>
              </w:rPr>
            </w:pPr>
            <w:r>
              <w:rPr>
                <w:rFonts w:hint="eastAsia" w:ascii="宋体" w:hAnsi="宋体" w:eastAsia="宋体" w:cs="宋体"/>
                <w:sz w:val="30"/>
                <w:szCs w:val="30"/>
              </w:rPr>
              <w:t>货币类型：</w:t>
            </w:r>
          </w:p>
        </w:tc>
        <w:tc>
          <w:tcPr>
            <w:tcW w:w="5216" w:type="dxa"/>
            <w:noWrap w:val="0"/>
            <w:vAlign w:val="center"/>
          </w:tcPr>
          <w:p w14:paraId="622F1536">
            <w:pPr>
              <w:rPr>
                <w:rFonts w:hint="eastAsia" w:ascii="宋体" w:hAnsi="宋体" w:eastAsia="宋体" w:cs="宋体"/>
                <w:sz w:val="30"/>
                <w:szCs w:val="30"/>
              </w:rPr>
            </w:pPr>
            <w:r>
              <w:rPr>
                <w:rFonts w:hint="eastAsia" w:ascii="宋体" w:hAnsi="宋体" w:eastAsia="宋体" w:cs="宋体"/>
                <w:sz w:val="30"/>
                <w:szCs w:val="30"/>
              </w:rPr>
              <w:t>人民币</w:t>
            </w:r>
          </w:p>
        </w:tc>
      </w:tr>
      <w:tr w14:paraId="2443426E">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14:paraId="2A394EFD">
            <w:pPr>
              <w:jc w:val="right"/>
              <w:rPr>
                <w:rFonts w:hint="eastAsia" w:ascii="宋体" w:hAnsi="宋体" w:eastAsia="宋体" w:cs="宋体"/>
                <w:sz w:val="30"/>
                <w:szCs w:val="30"/>
              </w:rPr>
            </w:pPr>
            <w:r>
              <w:rPr>
                <w:rFonts w:hint="eastAsia" w:ascii="宋体" w:hAnsi="宋体" w:eastAsia="宋体" w:cs="宋体"/>
                <w:sz w:val="30"/>
                <w:szCs w:val="30"/>
              </w:rPr>
              <w:t>评标方法：</w:t>
            </w:r>
          </w:p>
        </w:tc>
        <w:tc>
          <w:tcPr>
            <w:tcW w:w="5216" w:type="dxa"/>
            <w:noWrap w:val="0"/>
            <w:vAlign w:val="center"/>
          </w:tcPr>
          <w:p w14:paraId="4A4832C4">
            <w:pPr>
              <w:rPr>
                <w:rFonts w:hint="eastAsia" w:ascii="宋体" w:hAnsi="宋体" w:eastAsia="宋体" w:cs="宋体"/>
                <w:sz w:val="30"/>
                <w:szCs w:val="30"/>
              </w:rPr>
            </w:pPr>
            <w:r>
              <w:rPr>
                <w:rFonts w:hint="eastAsia" w:ascii="宋体" w:hAnsi="宋体" w:eastAsia="宋体" w:cs="宋体"/>
                <w:sz w:val="30"/>
                <w:szCs w:val="30"/>
              </w:rPr>
              <w:t>综合评分法</w:t>
            </w:r>
          </w:p>
        </w:tc>
      </w:tr>
    </w:tbl>
    <w:p w14:paraId="7DA608EC">
      <w:pPr>
        <w:pStyle w:val="42"/>
        <w:jc w:val="center"/>
        <w:outlineLvl w:val="1"/>
        <w:rPr>
          <w:rFonts w:hint="eastAsia" w:ascii="宋体" w:hAnsi="宋体" w:eastAsia="宋体" w:cs="宋体"/>
          <w:sz w:val="40"/>
          <w:szCs w:val="40"/>
        </w:rPr>
      </w:pPr>
    </w:p>
    <w:p w14:paraId="274B13EC">
      <w:pPr>
        <w:pStyle w:val="42"/>
        <w:ind w:firstLine="3200" w:firstLineChars="800"/>
        <w:jc w:val="both"/>
        <w:outlineLvl w:val="1"/>
        <w:rPr>
          <w:rFonts w:hint="eastAsia" w:ascii="宋体" w:hAnsi="宋体" w:eastAsia="宋体" w:cs="宋体"/>
          <w:sz w:val="40"/>
          <w:szCs w:val="40"/>
        </w:rPr>
      </w:pPr>
    </w:p>
    <w:p w14:paraId="1939261C">
      <w:pPr>
        <w:pStyle w:val="42"/>
        <w:ind w:firstLine="3200" w:firstLineChars="800"/>
        <w:jc w:val="both"/>
        <w:outlineLvl w:val="1"/>
        <w:rPr>
          <w:rFonts w:hint="eastAsia" w:ascii="宋体" w:hAnsi="宋体" w:eastAsia="宋体" w:cs="宋体"/>
          <w:sz w:val="40"/>
          <w:szCs w:val="40"/>
        </w:rPr>
      </w:pPr>
    </w:p>
    <w:p w14:paraId="3F182CBC">
      <w:pPr>
        <w:pStyle w:val="42"/>
        <w:ind w:firstLine="3200" w:firstLineChars="800"/>
        <w:jc w:val="both"/>
        <w:outlineLvl w:val="1"/>
        <w:rPr>
          <w:rFonts w:hint="eastAsia" w:ascii="宋体" w:hAnsi="宋体" w:eastAsia="宋体" w:cs="宋体"/>
          <w:sz w:val="40"/>
          <w:szCs w:val="40"/>
        </w:rPr>
      </w:pPr>
    </w:p>
    <w:p w14:paraId="24CC0C10">
      <w:pPr>
        <w:pStyle w:val="42"/>
        <w:ind w:firstLine="3200" w:firstLineChars="800"/>
        <w:jc w:val="both"/>
        <w:outlineLvl w:val="1"/>
        <w:rPr>
          <w:rFonts w:hint="eastAsia" w:ascii="宋体" w:hAnsi="宋体" w:eastAsia="宋体" w:cs="宋体"/>
          <w:sz w:val="40"/>
          <w:szCs w:val="40"/>
        </w:rPr>
      </w:pPr>
      <w:r>
        <w:rPr>
          <w:rFonts w:hint="eastAsia" w:ascii="宋体" w:hAnsi="宋体" w:eastAsia="宋体" w:cs="宋体"/>
          <w:sz w:val="40"/>
          <w:szCs w:val="40"/>
        </w:rPr>
        <w:t>资格性审查表</w:t>
      </w:r>
    </w:p>
    <w:tbl>
      <w:tblPr>
        <w:tblStyle w:val="50"/>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8A94A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7CC15E13">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128AF32A">
            <w:pPr>
              <w:jc w:val="center"/>
              <w:rPr>
                <w:rFonts w:hint="eastAsia" w:ascii="宋体" w:hAnsi="宋体" w:eastAsia="宋体" w:cs="宋体"/>
                <w:sz w:val="28"/>
                <w:szCs w:val="28"/>
              </w:rPr>
            </w:pPr>
            <w:r>
              <w:rPr>
                <w:rFonts w:hint="eastAsia" w:ascii="宋体" w:hAnsi="宋体" w:eastAsia="宋体" w:cs="宋体"/>
                <w:sz w:val="28"/>
                <w:szCs w:val="28"/>
              </w:rPr>
              <w:t>内容</w:t>
            </w:r>
          </w:p>
        </w:tc>
      </w:tr>
      <w:tr w14:paraId="197A12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8A6BD11">
            <w:pPr>
              <w:jc w:val="center"/>
              <w:rPr>
                <w:rFonts w:hint="eastAsia" w:ascii="宋体" w:hAnsi="宋体" w:eastAsia="宋体" w:cs="宋体"/>
                <w:szCs w:val="21"/>
              </w:rPr>
            </w:pPr>
            <w:r>
              <w:rPr>
                <w:rFonts w:hint="eastAsia" w:ascii="宋体" w:hAnsi="宋体" w:eastAsia="宋体" w:cs="宋体"/>
                <w:szCs w:val="21"/>
              </w:rPr>
              <w:t>1</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14:paraId="25AA26F2">
            <w:pPr>
              <w:rPr>
                <w:rFonts w:hint="eastAsia" w:ascii="宋体" w:hAnsi="宋体" w:eastAsia="宋体" w:cs="宋体"/>
                <w:szCs w:val="21"/>
              </w:rPr>
            </w:pPr>
            <w:r>
              <w:rPr>
                <w:rFonts w:hint="eastAsia" w:ascii="宋体" w:hAnsi="宋体" w:eastAsia="宋体" w:cs="宋体"/>
                <w:szCs w:val="21"/>
              </w:rPr>
              <w:t>投标人必须具备招标文件所列的资质要求，并提交相应的资格证明材料</w:t>
            </w:r>
          </w:p>
        </w:tc>
      </w:tr>
      <w:tr w14:paraId="594B78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D345FCA">
            <w:pPr>
              <w:jc w:val="center"/>
              <w:rPr>
                <w:rFonts w:hint="eastAsia" w:ascii="宋体" w:hAnsi="宋体" w:eastAsia="宋体" w:cs="宋体"/>
                <w:szCs w:val="21"/>
              </w:rPr>
            </w:pPr>
            <w:r>
              <w:rPr>
                <w:rFonts w:hint="eastAsia" w:ascii="宋体" w:hAnsi="宋体" w:eastAsia="宋体" w:cs="宋体"/>
                <w:szCs w:val="21"/>
              </w:rPr>
              <w:t>2</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14:paraId="0E81D6BD">
            <w:pPr>
              <w:rPr>
                <w:rFonts w:hint="eastAsia" w:ascii="宋体" w:hAnsi="宋体" w:eastAsia="宋体" w:cs="宋体"/>
                <w:szCs w:val="21"/>
              </w:rPr>
            </w:pPr>
            <w:r>
              <w:rPr>
                <w:rFonts w:hint="eastAsia" w:ascii="宋体" w:hAnsi="宋体" w:eastAsia="宋体" w:cs="宋体"/>
                <w:szCs w:val="21"/>
              </w:rPr>
              <w:t>组成联合体投标的，投标文件必须附联合体各方共同投标协议（采购项目有特殊规定的除外）</w:t>
            </w:r>
          </w:p>
        </w:tc>
      </w:tr>
    </w:tbl>
    <w:p w14:paraId="5230696D">
      <w:pPr>
        <w:pStyle w:val="42"/>
        <w:spacing w:before="280"/>
        <w:jc w:val="center"/>
        <w:outlineLvl w:val="1"/>
        <w:rPr>
          <w:rFonts w:hint="eastAsia" w:ascii="宋体" w:hAnsi="宋体" w:eastAsia="宋体" w:cs="宋体"/>
          <w:sz w:val="40"/>
          <w:szCs w:val="40"/>
        </w:rPr>
      </w:pPr>
    </w:p>
    <w:p w14:paraId="13933109">
      <w:pPr>
        <w:pStyle w:val="42"/>
        <w:spacing w:before="280"/>
        <w:jc w:val="center"/>
        <w:outlineLvl w:val="1"/>
        <w:rPr>
          <w:rFonts w:hint="eastAsia" w:ascii="宋体" w:hAnsi="宋体" w:eastAsia="宋体" w:cs="宋体"/>
          <w:sz w:val="40"/>
          <w:szCs w:val="40"/>
        </w:rPr>
      </w:pPr>
      <w:r>
        <w:rPr>
          <w:rFonts w:hint="eastAsia" w:ascii="宋体" w:hAnsi="宋体" w:eastAsia="宋体" w:cs="宋体"/>
          <w:sz w:val="40"/>
          <w:szCs w:val="40"/>
        </w:rPr>
        <w:t>符合性审查表</w:t>
      </w:r>
    </w:p>
    <w:tbl>
      <w:tblPr>
        <w:tblStyle w:val="50"/>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2E0FA6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C760AD3">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32D22542">
            <w:pPr>
              <w:jc w:val="center"/>
              <w:rPr>
                <w:rFonts w:hint="eastAsia" w:ascii="宋体" w:hAnsi="宋体" w:eastAsia="宋体" w:cs="宋体"/>
                <w:sz w:val="28"/>
                <w:szCs w:val="28"/>
              </w:rPr>
            </w:pPr>
            <w:r>
              <w:rPr>
                <w:rFonts w:hint="eastAsia" w:ascii="宋体" w:hAnsi="宋体" w:eastAsia="宋体" w:cs="宋体"/>
                <w:sz w:val="28"/>
                <w:szCs w:val="28"/>
              </w:rPr>
              <w:t>内容</w:t>
            </w:r>
          </w:p>
        </w:tc>
      </w:tr>
      <w:tr w14:paraId="2E9D3A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722C7B6">
            <w:pPr>
              <w:jc w:val="center"/>
              <w:rPr>
                <w:rFonts w:hint="eastAsia" w:ascii="宋体" w:hAnsi="宋体" w:eastAsia="宋体" w:cs="宋体"/>
                <w:szCs w:val="21"/>
              </w:rPr>
            </w:pPr>
            <w:r>
              <w:rPr>
                <w:rFonts w:hint="eastAsia" w:ascii="宋体" w:hAnsi="宋体" w:eastAsia="宋体" w:cs="宋体"/>
                <w:szCs w:val="21"/>
              </w:rPr>
              <w:t>1</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14:paraId="20578893">
            <w:pPr>
              <w:rPr>
                <w:rFonts w:hint="eastAsia" w:ascii="宋体" w:hAnsi="宋体" w:eastAsia="宋体" w:cs="宋体"/>
                <w:szCs w:val="21"/>
              </w:rPr>
            </w:pPr>
            <w:r>
              <w:rPr>
                <w:rFonts w:hint="eastAsia" w:ascii="宋体" w:hAnsi="宋体" w:eastAsia="宋体" w:cs="宋体"/>
                <w:szCs w:val="21"/>
              </w:rPr>
              <w:t>不得将一个包或一个标段中的内容拆开投标的</w:t>
            </w:r>
          </w:p>
        </w:tc>
      </w:tr>
      <w:tr w14:paraId="5E329C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2201D0A1">
            <w:pPr>
              <w:jc w:val="center"/>
              <w:rPr>
                <w:rFonts w:hint="eastAsia" w:ascii="宋体" w:hAnsi="宋体" w:eastAsia="宋体" w:cs="宋体"/>
                <w:szCs w:val="21"/>
              </w:rPr>
            </w:pPr>
            <w:r>
              <w:rPr>
                <w:rFonts w:hint="eastAsia" w:ascii="宋体" w:hAnsi="宋体" w:eastAsia="宋体" w:cs="宋体"/>
                <w:szCs w:val="21"/>
              </w:rPr>
              <w:t>2</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14:paraId="3A608464">
            <w:pPr>
              <w:rPr>
                <w:rFonts w:hint="eastAsia" w:ascii="宋体" w:hAnsi="宋体" w:eastAsia="宋体" w:cs="宋体"/>
                <w:szCs w:val="21"/>
              </w:rPr>
            </w:pPr>
            <w:r>
              <w:rPr>
                <w:rFonts w:hint="eastAsia" w:ascii="宋体" w:hAnsi="宋体" w:eastAsia="宋体" w:cs="宋体"/>
                <w:szCs w:val="21"/>
              </w:rPr>
              <w:t>招标文件未规定允许有替代方案时，对同一项目投标时，同时提供两套或两套以上的投标方案的</w:t>
            </w:r>
          </w:p>
        </w:tc>
      </w:tr>
      <w:tr w14:paraId="6A67EE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8C24B43">
            <w:pPr>
              <w:jc w:val="center"/>
              <w:rPr>
                <w:rFonts w:hint="eastAsia" w:ascii="宋体" w:hAnsi="宋体" w:eastAsia="宋体" w:cs="宋体"/>
                <w:szCs w:val="21"/>
              </w:rPr>
            </w:pPr>
            <w:r>
              <w:rPr>
                <w:rFonts w:hint="eastAsia" w:ascii="宋体" w:hAnsi="宋体" w:eastAsia="宋体" w:cs="宋体"/>
                <w:szCs w:val="21"/>
              </w:rPr>
              <w:t>3</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14:paraId="08553A18">
            <w:pPr>
              <w:rPr>
                <w:rFonts w:hint="eastAsia" w:ascii="宋体" w:hAnsi="宋体" w:eastAsia="宋体" w:cs="宋体"/>
                <w:szCs w:val="21"/>
              </w:rPr>
            </w:pPr>
            <w:r>
              <w:rPr>
                <w:rFonts w:hint="eastAsia" w:ascii="宋体" w:hAnsi="宋体" w:eastAsia="宋体" w:cs="宋体"/>
                <w:szCs w:val="21"/>
              </w:rPr>
              <w:t>投标报价高于预算限额的，若有分项预算限额的，分项投标报价高于分项预算限额的</w:t>
            </w:r>
          </w:p>
        </w:tc>
      </w:tr>
      <w:tr w14:paraId="6DB8B7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4A78E2BA">
            <w:pPr>
              <w:jc w:val="center"/>
              <w:rPr>
                <w:rFonts w:hint="eastAsia" w:ascii="宋体" w:hAnsi="宋体" w:eastAsia="宋体" w:cs="宋体"/>
                <w:szCs w:val="21"/>
              </w:rPr>
            </w:pPr>
            <w:r>
              <w:rPr>
                <w:rFonts w:hint="eastAsia" w:ascii="宋体" w:hAnsi="宋体" w:eastAsia="宋体" w:cs="宋体"/>
                <w:szCs w:val="21"/>
              </w:rPr>
              <w:t>4</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14:paraId="6263783A">
            <w:pPr>
              <w:rPr>
                <w:rFonts w:hint="eastAsia" w:ascii="宋体" w:hAnsi="宋体" w:eastAsia="宋体" w:cs="宋体"/>
                <w:szCs w:val="21"/>
              </w:rPr>
            </w:pPr>
            <w:r>
              <w:rPr>
                <w:rFonts w:hint="eastAsia" w:ascii="宋体" w:hAnsi="宋体" w:eastAsia="宋体" w:cs="宋体"/>
                <w:szCs w:val="21"/>
              </w:rPr>
              <w:t>同一项目出现两个及以上报价，按规定又无法确定哪个是有效报价的</w:t>
            </w:r>
          </w:p>
        </w:tc>
      </w:tr>
      <w:tr w14:paraId="063273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3FB8DC07">
            <w:pPr>
              <w:jc w:val="center"/>
              <w:rPr>
                <w:rFonts w:hint="eastAsia" w:ascii="宋体" w:hAnsi="宋体" w:eastAsia="宋体" w:cs="宋体"/>
                <w:szCs w:val="21"/>
              </w:rPr>
            </w:pPr>
            <w:r>
              <w:rPr>
                <w:rFonts w:hint="eastAsia" w:ascii="宋体" w:hAnsi="宋体" w:eastAsia="宋体" w:cs="宋体"/>
                <w:szCs w:val="21"/>
              </w:rPr>
              <w:t>5</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14:paraId="433911BD">
            <w:pPr>
              <w:rPr>
                <w:rFonts w:hint="eastAsia" w:ascii="宋体" w:hAnsi="宋体" w:eastAsia="宋体" w:cs="宋体"/>
                <w:szCs w:val="21"/>
              </w:rPr>
            </w:pPr>
            <w:r>
              <w:rPr>
                <w:rFonts w:hint="eastAsia" w:ascii="宋体" w:hAnsi="宋体" w:eastAsia="宋体" w:cs="宋体"/>
                <w:szCs w:val="21"/>
              </w:rPr>
              <w:t>投标人的报价明显低于其他通过符合性审查投标人的报价，有可能影响产品质量或者不能诚信履约的，应当要求其在评标现场合理的时间内提交书面说明，必要时提交相关证明材料；其书面说明或相关证明材料不能证明其报价合理性的</w:t>
            </w:r>
          </w:p>
        </w:tc>
      </w:tr>
      <w:tr w14:paraId="7E6F5E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67277BD">
            <w:pPr>
              <w:jc w:val="center"/>
              <w:rPr>
                <w:rFonts w:hint="eastAsia" w:ascii="宋体" w:hAnsi="宋体" w:eastAsia="宋体" w:cs="宋体"/>
                <w:szCs w:val="21"/>
              </w:rPr>
            </w:pPr>
            <w:r>
              <w:rPr>
                <w:rFonts w:hint="eastAsia" w:ascii="宋体" w:hAnsi="宋体" w:eastAsia="宋体" w:cs="宋体"/>
                <w:szCs w:val="21"/>
              </w:rPr>
              <w:t>6</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14:paraId="1D6316CE">
            <w:pPr>
              <w:rPr>
                <w:rFonts w:hint="eastAsia" w:ascii="宋体" w:hAnsi="宋体" w:eastAsia="宋体" w:cs="宋体"/>
                <w:szCs w:val="21"/>
              </w:rPr>
            </w:pPr>
            <w:r>
              <w:rPr>
                <w:rFonts w:hint="eastAsia" w:ascii="宋体" w:hAnsi="宋体" w:eastAsia="宋体" w:cs="宋体"/>
                <w:szCs w:val="21"/>
              </w:rPr>
              <w:t>投标文件载明的项目完成期限超过招标文件规定的期限的/投标文件载明的招标项目服务期限未按招标文件规定的期限的</w:t>
            </w:r>
          </w:p>
        </w:tc>
      </w:tr>
      <w:tr w14:paraId="2BB7DC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29F579D3">
            <w:pPr>
              <w:jc w:val="center"/>
              <w:rPr>
                <w:rFonts w:hint="eastAsia" w:ascii="宋体" w:hAnsi="宋体" w:eastAsia="宋体" w:cs="宋体"/>
                <w:szCs w:val="21"/>
              </w:rPr>
            </w:pPr>
            <w:r>
              <w:rPr>
                <w:rFonts w:hint="eastAsia" w:ascii="宋体" w:hAnsi="宋体" w:eastAsia="宋体" w:cs="宋体"/>
                <w:szCs w:val="21"/>
              </w:rPr>
              <w:t>7</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14:paraId="4C11261F">
            <w:pPr>
              <w:rPr>
                <w:rFonts w:hint="eastAsia" w:ascii="宋体" w:hAnsi="宋体" w:eastAsia="宋体" w:cs="宋体"/>
                <w:szCs w:val="21"/>
              </w:rPr>
            </w:pPr>
            <w:r>
              <w:rPr>
                <w:rFonts w:hint="eastAsia" w:ascii="宋体" w:hAnsi="宋体" w:eastAsia="宋体" w:cs="宋体"/>
                <w:szCs w:val="21"/>
              </w:rPr>
              <w:t>所投货物、服务在质量、技术、方案等方面未满足招标文件实质性要求的</w:t>
            </w:r>
          </w:p>
        </w:tc>
      </w:tr>
      <w:tr w14:paraId="22F919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1335DE8">
            <w:pPr>
              <w:jc w:val="center"/>
              <w:rPr>
                <w:rFonts w:hint="eastAsia" w:ascii="宋体" w:hAnsi="宋体" w:eastAsia="宋体" w:cs="宋体"/>
                <w:szCs w:val="21"/>
              </w:rPr>
            </w:pPr>
            <w:r>
              <w:rPr>
                <w:rFonts w:hint="eastAsia" w:ascii="宋体" w:hAnsi="宋体" w:eastAsia="宋体" w:cs="宋体"/>
                <w:szCs w:val="21"/>
              </w:rPr>
              <w:t>8</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14:paraId="2254ADF7">
            <w:pPr>
              <w:rPr>
                <w:rFonts w:hint="eastAsia" w:ascii="宋体" w:hAnsi="宋体" w:eastAsia="宋体" w:cs="宋体"/>
                <w:szCs w:val="21"/>
              </w:rPr>
            </w:pPr>
            <w:r>
              <w:rPr>
                <w:rFonts w:hint="eastAsia" w:ascii="宋体" w:hAnsi="宋体" w:eastAsia="宋体" w:cs="宋体"/>
                <w:szCs w:val="21"/>
              </w:rPr>
              <w:t>未按招标文件附件所提供的样式填写投标函、开标一览表、</w:t>
            </w:r>
            <w:r>
              <w:rPr>
                <w:rFonts w:hint="eastAsia" w:ascii="宋体" w:hAnsi="宋体" w:eastAsia="宋体" w:cs="宋体"/>
                <w:color w:val="000000"/>
                <w:kern w:val="0"/>
                <w:sz w:val="24"/>
              </w:rPr>
              <w:t>政府采购投标及履约承诺函</w:t>
            </w:r>
            <w:r>
              <w:rPr>
                <w:rFonts w:hint="eastAsia" w:ascii="宋体" w:hAnsi="宋体" w:eastAsia="宋体" w:cs="宋体"/>
                <w:szCs w:val="21"/>
              </w:rPr>
              <w:t>的</w:t>
            </w:r>
          </w:p>
        </w:tc>
      </w:tr>
      <w:tr w14:paraId="49B54B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AACDA30">
            <w:pPr>
              <w:jc w:val="center"/>
              <w:rPr>
                <w:rFonts w:hint="eastAsia" w:ascii="宋体" w:hAnsi="宋体" w:eastAsia="宋体" w:cs="宋体"/>
                <w:szCs w:val="21"/>
              </w:rPr>
            </w:pPr>
            <w:r>
              <w:rPr>
                <w:rFonts w:hint="eastAsia" w:ascii="宋体" w:hAnsi="宋体" w:eastAsia="宋体" w:cs="宋体"/>
                <w:szCs w:val="21"/>
              </w:rPr>
              <w:t>9</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14:paraId="332EA853">
            <w:pPr>
              <w:rPr>
                <w:rFonts w:hint="eastAsia" w:ascii="宋体" w:hAnsi="宋体" w:eastAsia="宋体" w:cs="宋体"/>
                <w:szCs w:val="21"/>
              </w:rPr>
            </w:pPr>
            <w:r>
              <w:rPr>
                <w:rFonts w:hint="eastAsia" w:ascii="宋体" w:hAnsi="宋体" w:eastAsia="宋体" w:cs="宋体"/>
                <w:szCs w:val="21"/>
              </w:rPr>
              <w:t>投标报价未按招标文件要求进行报价的</w:t>
            </w:r>
          </w:p>
        </w:tc>
      </w:tr>
      <w:tr w14:paraId="3E53EF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48C1C4F">
            <w:pPr>
              <w:jc w:val="center"/>
              <w:rPr>
                <w:rFonts w:hint="eastAsia" w:ascii="宋体" w:hAnsi="宋体" w:eastAsia="宋体" w:cs="宋体"/>
                <w:szCs w:val="21"/>
              </w:rPr>
            </w:pPr>
            <w:r>
              <w:rPr>
                <w:rFonts w:hint="eastAsia" w:ascii="宋体" w:hAnsi="宋体" w:eastAsia="宋体" w:cs="宋体"/>
                <w:szCs w:val="21"/>
              </w:rPr>
              <w:t>10</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14:paraId="71F5417F">
            <w:pPr>
              <w:rPr>
                <w:rFonts w:hint="eastAsia" w:ascii="宋体" w:hAnsi="宋体" w:eastAsia="宋体" w:cs="宋体"/>
                <w:szCs w:val="21"/>
              </w:rPr>
            </w:pPr>
            <w:r>
              <w:rPr>
                <w:rFonts w:hint="eastAsia" w:ascii="宋体" w:hAnsi="宋体" w:eastAsia="宋体" w:cs="宋体"/>
                <w:szCs w:val="21"/>
              </w:rPr>
              <w:t>投标报价有严重缺漏项目的或对服务清单项目及数量进行修改的</w:t>
            </w:r>
          </w:p>
        </w:tc>
      </w:tr>
      <w:tr w14:paraId="1F7EB3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7C81A0E">
            <w:pPr>
              <w:jc w:val="center"/>
              <w:rPr>
                <w:rFonts w:hint="eastAsia" w:ascii="宋体" w:hAnsi="宋体" w:eastAsia="宋体" w:cs="宋体"/>
                <w:szCs w:val="21"/>
              </w:rPr>
            </w:pPr>
            <w:r>
              <w:rPr>
                <w:rFonts w:hint="eastAsia" w:ascii="宋体" w:hAnsi="宋体" w:eastAsia="宋体" w:cs="宋体"/>
                <w:szCs w:val="21"/>
              </w:rPr>
              <w:t>11</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14:paraId="5B2298B4">
            <w:pPr>
              <w:rPr>
                <w:rFonts w:hint="eastAsia" w:ascii="宋体" w:hAnsi="宋体" w:eastAsia="宋体" w:cs="宋体"/>
                <w:szCs w:val="21"/>
              </w:rPr>
            </w:pPr>
            <w:r>
              <w:rPr>
                <w:rFonts w:hint="eastAsia" w:ascii="宋体" w:hAnsi="宋体" w:eastAsia="宋体" w:cs="宋体"/>
                <w:szCs w:val="21"/>
              </w:rPr>
              <w:t>未按照招标文件的招标机构、项目名称、项目编号、包号响应的</w:t>
            </w:r>
          </w:p>
        </w:tc>
      </w:tr>
      <w:tr w14:paraId="36428C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27F40358">
            <w:pPr>
              <w:jc w:val="center"/>
              <w:rPr>
                <w:rFonts w:hint="eastAsia" w:ascii="宋体" w:hAnsi="宋体" w:eastAsia="宋体" w:cs="宋体"/>
                <w:szCs w:val="21"/>
              </w:rPr>
            </w:pPr>
            <w:r>
              <w:rPr>
                <w:rFonts w:hint="eastAsia" w:ascii="宋体" w:hAnsi="宋体" w:eastAsia="宋体" w:cs="宋体"/>
                <w:szCs w:val="21"/>
              </w:rPr>
              <w:t>12</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14:paraId="03B391E6">
            <w:pPr>
              <w:rPr>
                <w:rFonts w:hint="eastAsia" w:ascii="宋体" w:hAnsi="宋体" w:eastAsia="宋体" w:cs="宋体"/>
                <w:szCs w:val="21"/>
              </w:rPr>
            </w:pPr>
            <w:r>
              <w:rPr>
                <w:rFonts w:hint="eastAsia" w:ascii="宋体" w:hAnsi="宋体" w:eastAsia="宋体" w:cs="宋体"/>
                <w:szCs w:val="21"/>
              </w:rPr>
              <w:t>未填写“法定代表人资格证明书”、“投标文件签署授权委托书”的，或授权无效的</w:t>
            </w:r>
          </w:p>
        </w:tc>
      </w:tr>
      <w:tr w14:paraId="35ABB1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E202B80">
            <w:pPr>
              <w:jc w:val="center"/>
              <w:rPr>
                <w:rFonts w:hint="eastAsia" w:ascii="宋体" w:hAnsi="宋体" w:eastAsia="宋体" w:cs="宋体"/>
                <w:szCs w:val="21"/>
              </w:rPr>
            </w:pPr>
            <w:r>
              <w:rPr>
                <w:rFonts w:hint="eastAsia" w:ascii="宋体" w:hAnsi="宋体" w:eastAsia="宋体" w:cs="宋体"/>
                <w:szCs w:val="21"/>
              </w:rPr>
              <w:t>13</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14:paraId="60A98749">
            <w:pPr>
              <w:rPr>
                <w:rFonts w:hint="eastAsia" w:ascii="宋体" w:hAnsi="宋体" w:eastAsia="宋体" w:cs="宋体"/>
                <w:szCs w:val="21"/>
              </w:rPr>
            </w:pPr>
            <w:r>
              <w:rPr>
                <w:rFonts w:hint="eastAsia" w:ascii="宋体" w:hAnsi="宋体" w:eastAsia="宋体" w:cs="宋体"/>
                <w:szCs w:val="21"/>
              </w:rPr>
              <w:t>法律、法规、规章、规范性文件以及招标文件规定的其他情形</w:t>
            </w:r>
          </w:p>
        </w:tc>
      </w:tr>
    </w:tbl>
    <w:p w14:paraId="04D9F799">
      <w:pPr>
        <w:pStyle w:val="42"/>
        <w:jc w:val="center"/>
        <w:outlineLvl w:val="1"/>
        <w:rPr>
          <w:rFonts w:hint="eastAsia" w:ascii="宋体" w:hAnsi="宋体" w:eastAsia="宋体" w:cs="宋体"/>
          <w:sz w:val="40"/>
          <w:szCs w:val="40"/>
        </w:rPr>
      </w:pPr>
    </w:p>
    <w:p w14:paraId="02DDD469">
      <w:pPr>
        <w:pStyle w:val="42"/>
        <w:jc w:val="center"/>
        <w:outlineLvl w:val="1"/>
        <w:rPr>
          <w:rFonts w:hint="eastAsia" w:ascii="宋体" w:hAnsi="宋体" w:eastAsia="宋体" w:cs="宋体"/>
          <w:sz w:val="40"/>
          <w:szCs w:val="40"/>
        </w:rPr>
      </w:pPr>
    </w:p>
    <w:p w14:paraId="08DF55D7">
      <w:pPr>
        <w:pStyle w:val="42"/>
        <w:jc w:val="center"/>
        <w:outlineLvl w:val="1"/>
        <w:rPr>
          <w:rFonts w:hint="eastAsia" w:ascii="宋体" w:hAnsi="宋体" w:eastAsia="宋体" w:cs="宋体"/>
          <w:sz w:val="40"/>
          <w:szCs w:val="40"/>
        </w:rPr>
      </w:pPr>
      <w:r>
        <w:rPr>
          <w:rFonts w:hint="eastAsia" w:ascii="宋体" w:hAnsi="宋体" w:eastAsia="宋体" w:cs="宋体"/>
          <w:sz w:val="40"/>
          <w:szCs w:val="40"/>
        </w:rPr>
        <w:t>评标信息</w:t>
      </w:r>
    </w:p>
    <w:tbl>
      <w:tblPr>
        <w:tblStyle w:val="50"/>
        <w:tblW w:w="9508" w:type="dxa"/>
        <w:jc w:val="center"/>
        <w:tblCellSpacing w:w="0" w:type="dxa"/>
        <w:tblLayout w:type="fixed"/>
        <w:tblCellMar>
          <w:top w:w="45" w:type="dxa"/>
          <w:left w:w="45" w:type="dxa"/>
          <w:bottom w:w="45" w:type="dxa"/>
          <w:right w:w="45" w:type="dxa"/>
        </w:tblCellMar>
      </w:tblPr>
      <w:tblGrid>
        <w:gridCol w:w="8744"/>
        <w:gridCol w:w="764"/>
      </w:tblGrid>
      <w:tr w14:paraId="529B59A8">
        <w:trPr>
          <w:tblCellSpacing w:w="0" w:type="dxa"/>
          <w:jc w:val="center"/>
        </w:trPr>
        <w:tc>
          <w:tcPr>
            <w:tcW w:w="8744" w:type="dxa"/>
            <w:tcBorders>
              <w:top w:val="nil"/>
              <w:left w:val="nil"/>
              <w:bottom w:val="nil"/>
              <w:right w:val="nil"/>
            </w:tcBorders>
            <w:noWrap w:val="0"/>
            <w:vAlign w:val="center"/>
          </w:tcPr>
          <w:p w14:paraId="7BE0F547">
            <w:pPr>
              <w:rPr>
                <w:rFonts w:hint="eastAsia" w:ascii="宋体" w:hAnsi="宋体" w:eastAsia="宋体" w:cs="宋体"/>
                <w:b/>
                <w:bCs/>
                <w:sz w:val="24"/>
                <w:szCs w:val="24"/>
              </w:rPr>
            </w:pPr>
            <w:r>
              <w:rPr>
                <w:rFonts w:hint="eastAsia" w:ascii="宋体" w:hAnsi="宋体" w:eastAsia="宋体" w:cs="宋体"/>
                <w:b/>
                <w:bCs/>
                <w:sz w:val="24"/>
                <w:szCs w:val="24"/>
              </w:rPr>
              <w:t>评标方法：综合评分法（新价格分算法）</w:t>
            </w:r>
          </w:p>
        </w:tc>
        <w:tc>
          <w:tcPr>
            <w:tcW w:w="764" w:type="dxa"/>
            <w:tcBorders>
              <w:top w:val="nil"/>
              <w:left w:val="nil"/>
              <w:bottom w:val="nil"/>
              <w:right w:val="nil"/>
            </w:tcBorders>
            <w:noWrap w:val="0"/>
            <w:vAlign w:val="center"/>
          </w:tcPr>
          <w:p w14:paraId="02B8CED4">
            <w:pPr>
              <w:jc w:val="right"/>
              <w:rPr>
                <w:rFonts w:hint="eastAsia" w:ascii="宋体" w:hAnsi="宋体" w:eastAsia="宋体" w:cs="宋体"/>
                <w:b/>
                <w:bCs/>
                <w:sz w:val="24"/>
                <w:szCs w:val="24"/>
              </w:rPr>
            </w:pPr>
          </w:p>
        </w:tc>
      </w:tr>
      <w:tr w14:paraId="0DF31C4A">
        <w:tblPrEx>
          <w:tblCellMar>
            <w:top w:w="45" w:type="dxa"/>
            <w:left w:w="45" w:type="dxa"/>
            <w:bottom w:w="45" w:type="dxa"/>
            <w:right w:w="45" w:type="dxa"/>
          </w:tblCellMar>
        </w:tblPrEx>
        <w:trPr>
          <w:trHeight w:val="90" w:hRule="atLeast"/>
          <w:tblCellSpacing w:w="0" w:type="dxa"/>
          <w:jc w:val="center"/>
        </w:trPr>
        <w:tc>
          <w:tcPr>
            <w:tcW w:w="9508" w:type="dxa"/>
            <w:gridSpan w:val="2"/>
            <w:tcBorders>
              <w:top w:val="nil"/>
              <w:left w:val="nil"/>
              <w:bottom w:val="nil"/>
              <w:right w:val="nil"/>
            </w:tcBorders>
            <w:noWrap w:val="0"/>
            <w:vAlign w:val="center"/>
          </w:tcPr>
          <w:p w14:paraId="7D8BED37">
            <w:pPr>
              <w:pStyle w:val="42"/>
              <w:spacing w:line="324" w:lineRule="auto"/>
              <w:ind w:firstLine="420"/>
              <w:rPr>
                <w:rFonts w:hint="eastAsia" w:ascii="宋体" w:hAnsi="宋体" w:eastAsia="宋体" w:cs="宋体"/>
                <w:sz w:val="24"/>
                <w:szCs w:val="24"/>
              </w:rPr>
            </w:pPr>
            <w:r>
              <w:rPr>
                <w:rFonts w:hint="eastAsia" w:ascii="宋体" w:hAnsi="宋体" w:eastAsia="宋体" w:cs="宋体"/>
                <w:sz w:val="24"/>
                <w:szCs w:val="24"/>
              </w:rPr>
              <w:t xml:space="preserve">综合评分法，是指投标文件满足招标文件全部实质性要求，且按照评审因素的量化指标评审得分最高的投标人为中标候选人的评标方法。 </w:t>
            </w:r>
          </w:p>
          <w:p w14:paraId="3B4F05CE">
            <w:pPr>
              <w:pStyle w:val="42"/>
              <w:ind w:firstLine="420"/>
              <w:rPr>
                <w:rFonts w:hint="eastAsia" w:ascii="宋体" w:hAnsi="宋体" w:eastAsia="宋体" w:cs="宋体"/>
                <w:sz w:val="24"/>
                <w:szCs w:val="24"/>
              </w:rPr>
            </w:pPr>
            <w:r>
              <w:rPr>
                <w:rFonts w:hint="eastAsia" w:ascii="宋体" w:hAnsi="宋体" w:eastAsia="宋体" w:cs="宋体"/>
                <w:sz w:val="24"/>
                <w:szCs w:val="24"/>
              </w:rPr>
              <w:t>价格分计算方法：</w:t>
            </w:r>
          </w:p>
          <w:p w14:paraId="26902993">
            <w:pPr>
              <w:pStyle w:val="42"/>
              <w:spacing w:line="324" w:lineRule="auto"/>
              <w:ind w:left="420"/>
              <w:rPr>
                <w:rFonts w:hint="eastAsia" w:ascii="宋体" w:hAnsi="宋体" w:eastAsia="宋体" w:cs="宋体"/>
                <w:sz w:val="24"/>
                <w:szCs w:val="24"/>
              </w:rPr>
            </w:pPr>
            <w:r>
              <w:rPr>
                <w:rFonts w:hint="eastAsia" w:ascii="宋体" w:hAnsi="宋体" w:eastAsia="宋体" w:cs="宋体"/>
                <w:sz w:val="24"/>
                <w:szCs w:val="24"/>
              </w:rPr>
              <w:t xml:space="preserve">采用低价优先法计算，即满足招标文件要求且投标价格最低的投标报价为评标基准价，其价格分为满分。其他投标人的价格分统一按照下列公式计算： </w:t>
            </w:r>
          </w:p>
          <w:p w14:paraId="1B7D0A66">
            <w:pPr>
              <w:pStyle w:val="42"/>
              <w:spacing w:line="324" w:lineRule="auto"/>
              <w:ind w:left="420"/>
              <w:rPr>
                <w:rFonts w:hint="eastAsia" w:ascii="宋体" w:hAnsi="宋体" w:eastAsia="宋体" w:cs="宋体"/>
                <w:sz w:val="24"/>
                <w:szCs w:val="24"/>
              </w:rPr>
            </w:pPr>
            <w:r>
              <w:rPr>
                <w:rFonts w:hint="eastAsia" w:ascii="宋体" w:hAnsi="宋体" w:eastAsia="宋体" w:cs="宋体"/>
                <w:sz w:val="24"/>
                <w:szCs w:val="24"/>
              </w:rPr>
              <w:t xml:space="preserve">投标报价得分=(评标基准价／投标报价)×100 </w:t>
            </w:r>
          </w:p>
          <w:p w14:paraId="37BD1AB3">
            <w:pPr>
              <w:pStyle w:val="42"/>
              <w:spacing w:line="324" w:lineRule="auto"/>
              <w:ind w:left="420"/>
              <w:rPr>
                <w:rFonts w:hint="eastAsia" w:ascii="宋体" w:hAnsi="宋体" w:eastAsia="宋体" w:cs="宋体"/>
                <w:sz w:val="24"/>
                <w:szCs w:val="24"/>
              </w:rPr>
            </w:pPr>
            <w:r>
              <w:rPr>
                <w:rFonts w:hint="eastAsia" w:ascii="宋体" w:hAnsi="宋体" w:eastAsia="宋体" w:cs="宋体"/>
                <w:sz w:val="24"/>
                <w:szCs w:val="24"/>
              </w:rPr>
              <w:t xml:space="preserve">评标总得分＝F1×A1＋F2×A2＋……＋Fn×An </w:t>
            </w:r>
          </w:p>
          <w:p w14:paraId="7DA304B7">
            <w:pPr>
              <w:pStyle w:val="42"/>
              <w:spacing w:line="324" w:lineRule="auto"/>
              <w:ind w:left="420"/>
              <w:rPr>
                <w:rFonts w:hint="eastAsia" w:ascii="宋体" w:hAnsi="宋体" w:eastAsia="宋体" w:cs="宋体"/>
                <w:sz w:val="24"/>
                <w:szCs w:val="24"/>
              </w:rPr>
            </w:pPr>
            <w:r>
              <w:rPr>
                <w:rFonts w:hint="eastAsia" w:ascii="宋体" w:hAnsi="宋体" w:eastAsia="宋体" w:cs="宋体"/>
                <w:sz w:val="24"/>
                <w:szCs w:val="24"/>
              </w:rPr>
              <w:t xml:space="preserve">F1、F2……Fn分别为各项评审因素的得分； </w:t>
            </w:r>
          </w:p>
          <w:p w14:paraId="08E76222">
            <w:pPr>
              <w:pStyle w:val="42"/>
              <w:spacing w:line="324" w:lineRule="auto"/>
              <w:ind w:left="420"/>
              <w:rPr>
                <w:rFonts w:hint="eastAsia" w:ascii="宋体" w:hAnsi="宋体" w:eastAsia="宋体" w:cs="宋体"/>
                <w:sz w:val="24"/>
                <w:szCs w:val="24"/>
              </w:rPr>
            </w:pPr>
            <w:r>
              <w:rPr>
                <w:rFonts w:hint="eastAsia" w:ascii="宋体" w:hAnsi="宋体" w:eastAsia="宋体" w:cs="宋体"/>
                <w:sz w:val="24"/>
                <w:szCs w:val="24"/>
              </w:rPr>
              <w:t xml:space="preserve">A1、A2、……An 分别为各项评审因素所占的权重(A1＋A2＋……＋An＝1)。 </w:t>
            </w:r>
          </w:p>
          <w:p w14:paraId="4DFE3487">
            <w:pPr>
              <w:pStyle w:val="42"/>
              <w:spacing w:line="324" w:lineRule="auto"/>
              <w:ind w:left="420"/>
              <w:rPr>
                <w:rFonts w:hint="eastAsia" w:ascii="宋体" w:hAnsi="宋体" w:eastAsia="宋体" w:cs="宋体"/>
                <w:sz w:val="24"/>
                <w:szCs w:val="24"/>
              </w:rPr>
            </w:pPr>
            <w:r>
              <w:rPr>
                <w:rFonts w:hint="eastAsia" w:ascii="宋体" w:hAnsi="宋体" w:eastAsia="宋体" w:cs="宋体"/>
                <w:sz w:val="24"/>
                <w:szCs w:val="24"/>
              </w:rPr>
              <w:t xml:space="preserve">评标过程中，不得去掉报价中的最高报价和最低报价。 </w:t>
            </w:r>
          </w:p>
          <w:p w14:paraId="2F48BA28">
            <w:pPr>
              <w:pStyle w:val="42"/>
              <w:spacing w:line="324" w:lineRule="auto"/>
              <w:ind w:left="420"/>
              <w:rPr>
                <w:rFonts w:hint="eastAsia" w:ascii="宋体" w:hAnsi="宋体" w:eastAsia="宋体" w:cs="宋体"/>
                <w:sz w:val="24"/>
                <w:szCs w:val="24"/>
              </w:rPr>
            </w:pPr>
            <w:r>
              <w:rPr>
                <w:rFonts w:hint="eastAsia" w:ascii="宋体" w:hAnsi="宋体" w:eastAsia="宋体" w:cs="宋体"/>
                <w:sz w:val="24"/>
                <w:szCs w:val="24"/>
              </w:rPr>
              <w:t xml:space="preserve">此方法适用于货物类、服务类、工程类项目。 </w:t>
            </w:r>
          </w:p>
          <w:tbl>
            <w:tblPr>
              <w:tblStyle w:val="50"/>
              <w:tblW w:w="940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841"/>
              <w:gridCol w:w="835"/>
              <w:gridCol w:w="867"/>
              <w:gridCol w:w="5249"/>
            </w:tblGrid>
            <w:tr w14:paraId="7A48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CellSpacing w:w="0" w:type="dxa"/>
                <w:jc w:val="center"/>
              </w:trPr>
              <w:tc>
                <w:tcPr>
                  <w:tcW w:w="4160" w:type="dxa"/>
                  <w:gridSpan w:val="4"/>
                  <w:noWrap/>
                  <w:vAlign w:val="center"/>
                </w:tcPr>
                <w:p w14:paraId="4F201403">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b/>
                      <w:bCs/>
                      <w:color w:val="0000FF"/>
                      <w:sz w:val="24"/>
                      <w:szCs w:val="24"/>
                    </w:rPr>
                  </w:pPr>
                  <w:r>
                    <w:rPr>
                      <w:rFonts w:hint="eastAsia" w:ascii="宋体" w:hAnsi="宋体" w:eastAsia="宋体" w:cs="宋体"/>
                      <w:b/>
                      <w:bCs/>
                      <w:color w:val="0000FF"/>
                      <w:sz w:val="24"/>
                      <w:szCs w:val="24"/>
                    </w:rPr>
                    <w:t>评分项</w:t>
                  </w:r>
                </w:p>
              </w:tc>
              <w:tc>
                <w:tcPr>
                  <w:tcW w:w="5249" w:type="dxa"/>
                  <w:noWrap/>
                  <w:vAlign w:val="center"/>
                </w:tcPr>
                <w:p w14:paraId="7B02C5EA">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b/>
                      <w:bCs/>
                      <w:color w:val="0000FF"/>
                      <w:sz w:val="24"/>
                      <w:szCs w:val="24"/>
                    </w:rPr>
                  </w:pPr>
                  <w:r>
                    <w:rPr>
                      <w:rFonts w:hint="eastAsia" w:ascii="宋体" w:hAnsi="宋体" w:eastAsia="宋体" w:cs="宋体"/>
                      <w:b/>
                      <w:bCs/>
                      <w:color w:val="0000FF"/>
                      <w:sz w:val="24"/>
                      <w:szCs w:val="24"/>
                    </w:rPr>
                    <w:t>权重（%）</w:t>
                  </w:r>
                </w:p>
              </w:tc>
            </w:tr>
            <w:tr w14:paraId="7464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CellSpacing w:w="0" w:type="dxa"/>
                <w:jc w:val="center"/>
              </w:trPr>
              <w:tc>
                <w:tcPr>
                  <w:tcW w:w="4160" w:type="dxa"/>
                  <w:gridSpan w:val="4"/>
                  <w:noWrap/>
                  <w:vAlign w:val="center"/>
                </w:tcPr>
                <w:p w14:paraId="6CA6CFF2">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b/>
                      <w:bCs/>
                      <w:color w:val="0000FF"/>
                      <w:sz w:val="24"/>
                      <w:szCs w:val="24"/>
                    </w:rPr>
                  </w:pPr>
                  <w:r>
                    <w:rPr>
                      <w:rFonts w:hint="eastAsia" w:ascii="宋体" w:hAnsi="宋体" w:eastAsia="宋体" w:cs="宋体"/>
                      <w:b/>
                      <w:bCs/>
                      <w:color w:val="0000FF"/>
                      <w:sz w:val="24"/>
                      <w:szCs w:val="24"/>
                    </w:rPr>
                    <w:t>价格</w:t>
                  </w:r>
                </w:p>
              </w:tc>
              <w:tc>
                <w:tcPr>
                  <w:tcW w:w="5249" w:type="dxa"/>
                  <w:noWrap/>
                  <w:vAlign w:val="center"/>
                </w:tcPr>
                <w:p w14:paraId="4188BA49">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b/>
                      <w:bCs/>
                      <w:color w:val="0000FF"/>
                      <w:sz w:val="24"/>
                      <w:szCs w:val="24"/>
                    </w:rPr>
                  </w:pPr>
                  <w:r>
                    <w:rPr>
                      <w:rFonts w:hint="eastAsia" w:ascii="宋体" w:hAnsi="宋体" w:cs="宋体"/>
                      <w:b/>
                      <w:bCs/>
                      <w:color w:val="0000FF"/>
                      <w:sz w:val="24"/>
                      <w:szCs w:val="24"/>
                      <w:lang w:val="en-US" w:eastAsia="zh-CN"/>
                    </w:rPr>
                    <w:t>4</w:t>
                  </w:r>
                  <w:r>
                    <w:rPr>
                      <w:rFonts w:hint="eastAsia" w:ascii="宋体" w:hAnsi="宋体" w:eastAsia="宋体" w:cs="宋体"/>
                      <w:b/>
                      <w:bCs/>
                      <w:color w:val="0000FF"/>
                      <w:sz w:val="24"/>
                      <w:szCs w:val="24"/>
                    </w:rPr>
                    <w:t>0</w:t>
                  </w:r>
                </w:p>
              </w:tc>
            </w:tr>
            <w:tr w14:paraId="5C39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CellSpacing w:w="0" w:type="dxa"/>
                <w:jc w:val="center"/>
              </w:trPr>
              <w:tc>
                <w:tcPr>
                  <w:tcW w:w="4160" w:type="dxa"/>
                  <w:gridSpan w:val="4"/>
                  <w:noWrap/>
                  <w:vAlign w:val="center"/>
                </w:tcPr>
                <w:p w14:paraId="29D6E008">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b/>
                      <w:bCs/>
                      <w:color w:val="0000FF"/>
                      <w:sz w:val="24"/>
                      <w:szCs w:val="24"/>
                    </w:rPr>
                  </w:pPr>
                  <w:r>
                    <w:rPr>
                      <w:rFonts w:hint="eastAsia" w:ascii="宋体" w:hAnsi="宋体" w:eastAsia="宋体" w:cs="宋体"/>
                      <w:b/>
                      <w:bCs/>
                      <w:color w:val="0000FF"/>
                      <w:sz w:val="24"/>
                      <w:szCs w:val="24"/>
                    </w:rPr>
                    <w:t>技术部分</w:t>
                  </w:r>
                </w:p>
              </w:tc>
              <w:tc>
                <w:tcPr>
                  <w:tcW w:w="5249" w:type="dxa"/>
                  <w:noWrap/>
                  <w:vAlign w:val="center"/>
                </w:tcPr>
                <w:p w14:paraId="2EFB8A4D">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default" w:ascii="宋体" w:hAnsi="宋体" w:eastAsia="宋体" w:cs="宋体"/>
                      <w:b/>
                      <w:bCs/>
                      <w:color w:val="0000FF"/>
                      <w:sz w:val="24"/>
                      <w:szCs w:val="24"/>
                      <w:lang w:val="en-US" w:eastAsia="zh-CN"/>
                    </w:rPr>
                  </w:pPr>
                  <w:r>
                    <w:rPr>
                      <w:rFonts w:hint="eastAsia" w:ascii="宋体" w:hAnsi="宋体" w:cs="宋体"/>
                      <w:b/>
                      <w:bCs/>
                      <w:color w:val="0000FF"/>
                      <w:sz w:val="24"/>
                      <w:szCs w:val="24"/>
                      <w:lang w:val="en-US" w:eastAsia="zh-CN"/>
                    </w:rPr>
                    <w:t>27</w:t>
                  </w:r>
                </w:p>
              </w:tc>
            </w:tr>
            <w:tr w14:paraId="2D28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CellSpacing w:w="0" w:type="dxa"/>
                <w:jc w:val="center"/>
              </w:trPr>
              <w:tc>
                <w:tcPr>
                  <w:tcW w:w="617" w:type="dxa"/>
                  <w:noWrap/>
                  <w:vAlign w:val="center"/>
                </w:tcPr>
                <w:p w14:paraId="725C1638">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841" w:type="dxa"/>
                  <w:noWrap/>
                  <w:vAlign w:val="center"/>
                </w:tcPr>
                <w:p w14:paraId="2A24FFC0">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评分因素</w:t>
                  </w:r>
                </w:p>
              </w:tc>
              <w:tc>
                <w:tcPr>
                  <w:tcW w:w="835" w:type="dxa"/>
                  <w:noWrap/>
                  <w:vAlign w:val="center"/>
                </w:tcPr>
                <w:p w14:paraId="1E1D4752">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权重（%）</w:t>
                  </w:r>
                </w:p>
              </w:tc>
              <w:tc>
                <w:tcPr>
                  <w:tcW w:w="867" w:type="dxa"/>
                  <w:noWrap/>
                  <w:vAlign w:val="center"/>
                </w:tcPr>
                <w:p w14:paraId="55F23021">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评分</w:t>
                  </w:r>
                </w:p>
                <w:p w14:paraId="1125B542">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方式</w:t>
                  </w:r>
                </w:p>
              </w:tc>
              <w:tc>
                <w:tcPr>
                  <w:tcW w:w="5249" w:type="dxa"/>
                  <w:noWrap/>
                  <w:vAlign w:val="center"/>
                </w:tcPr>
                <w:p w14:paraId="3E5D38CD">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评分准则</w:t>
                  </w:r>
                </w:p>
              </w:tc>
            </w:tr>
            <w:tr w14:paraId="69F2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CellSpacing w:w="0" w:type="dxa"/>
                <w:jc w:val="center"/>
              </w:trPr>
              <w:tc>
                <w:tcPr>
                  <w:tcW w:w="617" w:type="dxa"/>
                  <w:noWrap/>
                  <w:vAlign w:val="center"/>
                </w:tcPr>
                <w:p w14:paraId="5D77D520">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41" w:type="dxa"/>
                  <w:noWrap/>
                  <w:vAlign w:val="center"/>
                </w:tcPr>
                <w:p w14:paraId="31E04BEB">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项目实施方案</w:t>
                  </w:r>
                </w:p>
              </w:tc>
              <w:tc>
                <w:tcPr>
                  <w:tcW w:w="835" w:type="dxa"/>
                  <w:noWrap/>
                  <w:vAlign w:val="center"/>
                </w:tcPr>
                <w:p w14:paraId="4A89900A">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867" w:type="dxa"/>
                  <w:noWrap/>
                  <w:vAlign w:val="center"/>
                </w:tcPr>
                <w:p w14:paraId="1938F5C7">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专家</w:t>
                  </w:r>
                </w:p>
                <w:p w14:paraId="73F15D30">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打分</w:t>
                  </w:r>
                </w:p>
              </w:tc>
              <w:tc>
                <w:tcPr>
                  <w:tcW w:w="5249" w:type="dxa"/>
                  <w:noWrap/>
                  <w:vAlign w:val="top"/>
                </w:tcPr>
                <w:p w14:paraId="225B2D48">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b/>
                      <w:sz w:val="24"/>
                      <w:szCs w:val="24"/>
                    </w:rPr>
                  </w:pPr>
                  <w:r>
                    <w:rPr>
                      <w:rFonts w:hint="eastAsia" w:ascii="宋体" w:hAnsi="宋体" w:eastAsia="宋体" w:cs="宋体"/>
                      <w:b/>
                      <w:sz w:val="24"/>
                      <w:szCs w:val="24"/>
                    </w:rPr>
                    <w:t>评审内容：</w:t>
                  </w:r>
                </w:p>
                <w:p w14:paraId="789E998A">
                  <w:pPr>
                    <w:spacing w:line="276" w:lineRule="auto"/>
                    <w:textAlignment w:val="top"/>
                    <w:rPr>
                      <w:rFonts w:ascii="宋体" w:hAnsi="宋体" w:cs="宋体"/>
                      <w:sz w:val="24"/>
                      <w:szCs w:val="24"/>
                    </w:rPr>
                  </w:pPr>
                  <w:r>
                    <w:rPr>
                      <w:rFonts w:hint="eastAsia" w:ascii="宋体" w:hAnsi="宋体" w:cs="宋体"/>
                      <w:sz w:val="24"/>
                      <w:szCs w:val="24"/>
                    </w:rPr>
                    <w:t>根据投标人的项目实施方案进行评审，包括但不限于以下内容：</w:t>
                  </w:r>
                </w:p>
                <w:p w14:paraId="250936FE">
                  <w:pPr>
                    <w:spacing w:line="276" w:lineRule="auto"/>
                    <w:textAlignment w:val="top"/>
                    <w:rPr>
                      <w:rFonts w:ascii="宋体" w:hAnsi="宋体" w:cs="宋体"/>
                      <w:sz w:val="24"/>
                      <w:szCs w:val="24"/>
                    </w:rPr>
                  </w:pPr>
                  <w:r>
                    <w:rPr>
                      <w:rFonts w:hint="eastAsia" w:ascii="宋体" w:hAnsi="宋体" w:cs="宋体"/>
                      <w:sz w:val="24"/>
                      <w:szCs w:val="24"/>
                    </w:rPr>
                    <w:t>1.总体实施设想；</w:t>
                  </w:r>
                </w:p>
                <w:p w14:paraId="10BBA321">
                  <w:pPr>
                    <w:spacing w:line="276" w:lineRule="auto"/>
                    <w:textAlignment w:val="top"/>
                    <w:rPr>
                      <w:rFonts w:ascii="宋体" w:hAnsi="宋体" w:cs="宋体"/>
                      <w:sz w:val="24"/>
                      <w:szCs w:val="24"/>
                    </w:rPr>
                  </w:pPr>
                  <w:r>
                    <w:rPr>
                      <w:rFonts w:hint="eastAsia" w:ascii="宋体" w:hAnsi="宋体" w:cs="宋体"/>
                      <w:sz w:val="24"/>
                      <w:szCs w:val="24"/>
                    </w:rPr>
                    <w:t>2.项目组织管理；</w:t>
                  </w:r>
                </w:p>
                <w:p w14:paraId="25AC8FA9">
                  <w:pPr>
                    <w:spacing w:line="276" w:lineRule="auto"/>
                    <w:textAlignment w:val="top"/>
                    <w:rPr>
                      <w:rFonts w:ascii="宋体" w:hAnsi="宋体" w:cs="宋体"/>
                      <w:sz w:val="24"/>
                      <w:szCs w:val="24"/>
                    </w:rPr>
                  </w:pPr>
                  <w:r>
                    <w:rPr>
                      <w:rFonts w:hint="eastAsia" w:ascii="宋体" w:hAnsi="宋体" w:cs="宋体"/>
                      <w:sz w:val="24"/>
                      <w:szCs w:val="24"/>
                    </w:rPr>
                    <w:t>3.拆除技术方案。</w:t>
                  </w:r>
                </w:p>
                <w:p w14:paraId="0F203312">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eastAsia="宋体" w:cs="宋体"/>
                      <w:b/>
                      <w:sz w:val="24"/>
                      <w:szCs w:val="24"/>
                    </w:rPr>
                    <w:t>评分标准：</w:t>
                  </w:r>
                </w:p>
                <w:p w14:paraId="5C7C5095">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cs="宋体"/>
                      <w:sz w:val="24"/>
                      <w:szCs w:val="24"/>
                    </w:rPr>
                    <w:t>1、每提供上述任意一项内容得</w:t>
                  </w:r>
                  <w:r>
                    <w:rPr>
                      <w:rFonts w:hint="eastAsia" w:ascii="宋体" w:hAnsi="宋体" w:cs="宋体"/>
                      <w:sz w:val="24"/>
                      <w:szCs w:val="24"/>
                      <w:lang w:val="en-US" w:eastAsia="zh-CN"/>
                    </w:rPr>
                    <w:t>7%</w:t>
                  </w:r>
                  <w:r>
                    <w:rPr>
                      <w:rFonts w:hint="eastAsia" w:ascii="宋体" w:hAnsi="宋体" w:cs="宋体"/>
                      <w:sz w:val="24"/>
                      <w:szCs w:val="24"/>
                    </w:rPr>
                    <w:t>，本小项累计最高得</w:t>
                  </w:r>
                  <w:r>
                    <w:rPr>
                      <w:rFonts w:hint="eastAsia" w:ascii="宋体" w:hAnsi="宋体" w:cs="宋体"/>
                      <w:sz w:val="24"/>
                      <w:szCs w:val="24"/>
                      <w:lang w:val="en-US" w:eastAsia="zh-CN"/>
                    </w:rPr>
                    <w:t>20%</w:t>
                  </w:r>
                  <w:r>
                    <w:rPr>
                      <w:rFonts w:hint="eastAsia" w:ascii="宋体" w:hAnsi="宋体" w:eastAsia="宋体" w:cs="宋体"/>
                      <w:sz w:val="24"/>
                      <w:szCs w:val="24"/>
                    </w:rPr>
                    <w:t>。</w:t>
                  </w:r>
                </w:p>
                <w:p w14:paraId="043E9931">
                  <w:pPr>
                    <w:spacing w:line="276" w:lineRule="auto"/>
                    <w:textAlignment w:val="top"/>
                    <w:rPr>
                      <w:rFonts w:ascii="宋体" w:hAnsi="宋体" w:cs="宋体"/>
                      <w:sz w:val="24"/>
                      <w:szCs w:val="24"/>
                    </w:rPr>
                  </w:pPr>
                  <w:r>
                    <w:rPr>
                      <w:rFonts w:hint="eastAsia" w:ascii="宋体" w:hAnsi="宋体" w:cs="宋体"/>
                      <w:sz w:val="24"/>
                      <w:szCs w:val="24"/>
                    </w:rPr>
                    <w:t>2、在此基础上，专家根据各供应商的具体响应内容按照量化的评审因素指标进一步评审：</w:t>
                  </w:r>
                </w:p>
                <w:p w14:paraId="54B3C512">
                  <w:pPr>
                    <w:spacing w:line="276" w:lineRule="auto"/>
                    <w:textAlignment w:val="top"/>
                    <w:rPr>
                      <w:rFonts w:ascii="宋体" w:hAnsi="宋体" w:cs="宋体"/>
                      <w:sz w:val="24"/>
                      <w:szCs w:val="24"/>
                    </w:rPr>
                  </w:pPr>
                  <w:r>
                    <w:rPr>
                      <w:rFonts w:hint="eastAsia" w:ascii="宋体" w:hAnsi="宋体" w:cs="宋体"/>
                      <w:sz w:val="24"/>
                      <w:szCs w:val="24"/>
                    </w:rPr>
                    <w:t>（1）优评分标准：方案符合实际、完整、规范、思路清晰，内容合理性强，加</w:t>
                  </w:r>
                  <w:r>
                    <w:rPr>
                      <w:rFonts w:hint="eastAsia" w:ascii="宋体" w:hAnsi="宋体" w:cs="宋体"/>
                      <w:sz w:val="24"/>
                      <w:szCs w:val="24"/>
                      <w:lang w:val="en-US" w:eastAsia="zh-CN"/>
                    </w:rPr>
                    <w:t>80%</w:t>
                  </w:r>
                  <w:r>
                    <w:rPr>
                      <w:rFonts w:hint="eastAsia" w:ascii="宋体" w:hAnsi="宋体" w:cs="宋体"/>
                      <w:sz w:val="24"/>
                      <w:szCs w:val="24"/>
                    </w:rPr>
                    <w:t>；</w:t>
                  </w:r>
                </w:p>
                <w:p w14:paraId="6B63EE42">
                  <w:pPr>
                    <w:spacing w:line="276" w:lineRule="auto"/>
                    <w:textAlignment w:val="top"/>
                    <w:rPr>
                      <w:rFonts w:ascii="宋体" w:hAnsi="宋体" w:cs="宋体"/>
                      <w:sz w:val="24"/>
                      <w:szCs w:val="24"/>
                    </w:rPr>
                  </w:pPr>
                  <w:r>
                    <w:rPr>
                      <w:rFonts w:hint="eastAsia" w:ascii="宋体" w:hAnsi="宋体" w:cs="宋体"/>
                      <w:sz w:val="24"/>
                      <w:szCs w:val="24"/>
                    </w:rPr>
                    <w:t>（2）良评分标准：方案较符合实际、较完整规范、思路较清晰，内容合理性较强，加</w:t>
                  </w:r>
                  <w:r>
                    <w:rPr>
                      <w:rFonts w:hint="eastAsia" w:ascii="宋体" w:hAnsi="宋体" w:cs="宋体"/>
                      <w:sz w:val="24"/>
                      <w:szCs w:val="24"/>
                      <w:lang w:val="en-US" w:eastAsia="zh-CN"/>
                    </w:rPr>
                    <w:t>50%</w:t>
                  </w:r>
                  <w:r>
                    <w:rPr>
                      <w:rFonts w:hint="eastAsia" w:ascii="宋体" w:hAnsi="宋体" w:cs="宋体"/>
                      <w:sz w:val="24"/>
                      <w:szCs w:val="24"/>
                    </w:rPr>
                    <w:t>分；</w:t>
                  </w:r>
                </w:p>
                <w:p w14:paraId="6EFDDB8B">
                  <w:pPr>
                    <w:spacing w:line="276" w:lineRule="auto"/>
                    <w:textAlignment w:val="top"/>
                    <w:rPr>
                      <w:rFonts w:ascii="宋体" w:hAnsi="宋体" w:cs="宋体"/>
                      <w:sz w:val="24"/>
                      <w:szCs w:val="24"/>
                    </w:rPr>
                  </w:pPr>
                  <w:r>
                    <w:rPr>
                      <w:rFonts w:hint="eastAsia" w:ascii="宋体" w:hAnsi="宋体" w:cs="宋体"/>
                      <w:sz w:val="24"/>
                      <w:szCs w:val="24"/>
                    </w:rPr>
                    <w:t>（3）中评分标准：方案较普通、完整性、规范性一般，思路不够清晰，内容合理性般，加</w:t>
                  </w:r>
                  <w:r>
                    <w:rPr>
                      <w:rFonts w:hint="eastAsia" w:ascii="宋体" w:hAnsi="宋体" w:cs="宋体"/>
                      <w:sz w:val="24"/>
                      <w:szCs w:val="24"/>
                      <w:lang w:val="en-US" w:eastAsia="zh-CN"/>
                    </w:rPr>
                    <w:t>20%</w:t>
                  </w:r>
                  <w:r>
                    <w:rPr>
                      <w:rFonts w:hint="eastAsia" w:ascii="宋体" w:hAnsi="宋体" w:cs="宋体"/>
                      <w:sz w:val="24"/>
                      <w:szCs w:val="24"/>
                    </w:rPr>
                    <w:t>；</w:t>
                  </w:r>
                </w:p>
                <w:p w14:paraId="6B67FEC0">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cs="宋体"/>
                      <w:sz w:val="24"/>
                      <w:szCs w:val="24"/>
                    </w:rPr>
                  </w:pPr>
                  <w:r>
                    <w:rPr>
                      <w:rFonts w:hint="eastAsia" w:ascii="宋体" w:hAnsi="宋体" w:cs="宋体"/>
                      <w:sz w:val="24"/>
                      <w:szCs w:val="24"/>
                    </w:rPr>
                    <w:t>（4）差评分标准：方案不完整、不规范，思路不清晰，内容合理性较差或未提供，不得分。</w:t>
                  </w:r>
                </w:p>
                <w:p w14:paraId="65F566C8">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eastAsia="宋体" w:cs="宋体"/>
                      <w:sz w:val="24"/>
                      <w:szCs w:val="24"/>
                    </w:rPr>
                    <w:t>评价不得分的，专家需书面说明理由。</w:t>
                  </w:r>
                </w:p>
              </w:tc>
            </w:tr>
            <w:tr w14:paraId="2352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CellSpacing w:w="0" w:type="dxa"/>
                <w:jc w:val="center"/>
              </w:trPr>
              <w:tc>
                <w:tcPr>
                  <w:tcW w:w="617" w:type="dxa"/>
                  <w:noWrap/>
                  <w:vAlign w:val="center"/>
                </w:tcPr>
                <w:p w14:paraId="6B52B7B2">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841" w:type="dxa"/>
                  <w:noWrap/>
                  <w:vAlign w:val="center"/>
                </w:tcPr>
                <w:p w14:paraId="407F0C3F">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cs="宋体"/>
                      <w:sz w:val="24"/>
                      <w:szCs w:val="24"/>
                    </w:rPr>
                    <w:t>质量保障措施</w:t>
                  </w:r>
                </w:p>
              </w:tc>
              <w:tc>
                <w:tcPr>
                  <w:tcW w:w="835" w:type="dxa"/>
                  <w:noWrap/>
                  <w:vAlign w:val="center"/>
                </w:tcPr>
                <w:p w14:paraId="56ACB2F3">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8</w:t>
                  </w:r>
                </w:p>
              </w:tc>
              <w:tc>
                <w:tcPr>
                  <w:tcW w:w="867" w:type="dxa"/>
                  <w:noWrap/>
                  <w:vAlign w:val="center"/>
                </w:tcPr>
                <w:p w14:paraId="7F97581F">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专家</w:t>
                  </w:r>
                </w:p>
                <w:p w14:paraId="1781B087">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打分</w:t>
                  </w:r>
                </w:p>
              </w:tc>
              <w:tc>
                <w:tcPr>
                  <w:tcW w:w="5249" w:type="dxa"/>
                  <w:noWrap/>
                  <w:vAlign w:val="top"/>
                </w:tcPr>
                <w:p w14:paraId="16E12D59">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eastAsia="宋体" w:cs="宋体"/>
                      <w:b/>
                      <w:sz w:val="24"/>
                      <w:szCs w:val="24"/>
                    </w:rPr>
                    <w:t>评审内容</w:t>
                  </w:r>
                  <w:r>
                    <w:rPr>
                      <w:rFonts w:hint="eastAsia" w:ascii="宋体" w:hAnsi="宋体" w:eastAsia="宋体" w:cs="宋体"/>
                      <w:sz w:val="24"/>
                      <w:szCs w:val="24"/>
                    </w:rPr>
                    <w:t>：</w:t>
                  </w:r>
                </w:p>
                <w:p w14:paraId="3BB796F5">
                  <w:pPr>
                    <w:spacing w:line="276" w:lineRule="auto"/>
                    <w:textAlignment w:val="top"/>
                    <w:rPr>
                      <w:rFonts w:ascii="宋体" w:hAnsi="宋体" w:cs="宋体"/>
                      <w:sz w:val="24"/>
                      <w:szCs w:val="24"/>
                    </w:rPr>
                  </w:pPr>
                  <w:r>
                    <w:rPr>
                      <w:rFonts w:hint="eastAsia" w:ascii="宋体" w:hAnsi="宋体" w:cs="宋体"/>
                      <w:sz w:val="24"/>
                      <w:szCs w:val="24"/>
                    </w:rPr>
                    <w:t>根据投标人的质量保障措施进行评审，包括但不限于以下内容：</w:t>
                  </w:r>
                </w:p>
                <w:p w14:paraId="5722D8F1">
                  <w:pPr>
                    <w:spacing w:line="276" w:lineRule="auto"/>
                    <w:textAlignment w:val="top"/>
                    <w:rPr>
                      <w:rFonts w:ascii="宋体" w:hAnsi="宋体" w:cs="宋体"/>
                      <w:sz w:val="24"/>
                      <w:szCs w:val="24"/>
                    </w:rPr>
                  </w:pPr>
                  <w:r>
                    <w:rPr>
                      <w:rFonts w:hint="eastAsia" w:ascii="宋体" w:hAnsi="宋体" w:cs="宋体"/>
                      <w:sz w:val="24"/>
                      <w:szCs w:val="24"/>
                    </w:rPr>
                    <w:t>1.劳动力、材料和设备投入计划；</w:t>
                  </w:r>
                </w:p>
                <w:p w14:paraId="768BDADD">
                  <w:pPr>
                    <w:spacing w:line="276" w:lineRule="auto"/>
                    <w:textAlignment w:val="top"/>
                    <w:rPr>
                      <w:rFonts w:ascii="宋体" w:hAnsi="宋体" w:cs="宋体"/>
                      <w:sz w:val="24"/>
                      <w:szCs w:val="24"/>
                    </w:rPr>
                  </w:pPr>
                  <w:r>
                    <w:rPr>
                      <w:rFonts w:hint="eastAsia" w:ascii="宋体" w:hAnsi="宋体" w:cs="宋体"/>
                      <w:sz w:val="24"/>
                      <w:szCs w:val="24"/>
                    </w:rPr>
                    <w:t>2.质量保证体系及技术措施；</w:t>
                  </w:r>
                </w:p>
                <w:p w14:paraId="265DDE23">
                  <w:pPr>
                    <w:spacing w:line="276" w:lineRule="auto"/>
                    <w:textAlignment w:val="top"/>
                    <w:rPr>
                      <w:rFonts w:ascii="宋体" w:hAnsi="宋体" w:cs="宋体"/>
                      <w:sz w:val="24"/>
                      <w:szCs w:val="24"/>
                    </w:rPr>
                  </w:pPr>
                  <w:r>
                    <w:rPr>
                      <w:rFonts w:hint="eastAsia" w:ascii="宋体" w:hAnsi="宋体" w:cs="宋体"/>
                      <w:sz w:val="24"/>
                      <w:szCs w:val="24"/>
                    </w:rPr>
                    <w:t>3.施工进度计划及保障措施。</w:t>
                  </w:r>
                </w:p>
                <w:p w14:paraId="3645086A">
                  <w:pPr>
                    <w:spacing w:line="276" w:lineRule="auto"/>
                    <w:textAlignment w:val="top"/>
                    <w:rPr>
                      <w:rFonts w:ascii="宋体" w:hAnsi="宋体" w:cs="宋体"/>
                      <w:b/>
                      <w:sz w:val="24"/>
                      <w:szCs w:val="24"/>
                    </w:rPr>
                  </w:pPr>
                  <w:r>
                    <w:rPr>
                      <w:rFonts w:hint="eastAsia" w:ascii="宋体" w:hAnsi="宋体" w:cs="宋体"/>
                      <w:b/>
                      <w:sz w:val="24"/>
                      <w:szCs w:val="24"/>
                    </w:rPr>
                    <w:t>评分标准：</w:t>
                  </w:r>
                </w:p>
                <w:p w14:paraId="2E31AD1D">
                  <w:pPr>
                    <w:numPr>
                      <w:ilvl w:val="0"/>
                      <w:numId w:val="2"/>
                    </w:numPr>
                    <w:spacing w:line="276" w:lineRule="auto"/>
                    <w:textAlignment w:val="top"/>
                    <w:rPr>
                      <w:rFonts w:hint="eastAsia" w:ascii="宋体" w:hAnsi="宋体" w:eastAsia="宋体" w:cs="宋体"/>
                      <w:sz w:val="24"/>
                      <w:szCs w:val="24"/>
                    </w:rPr>
                  </w:pPr>
                  <w:r>
                    <w:rPr>
                      <w:rFonts w:hint="eastAsia" w:ascii="宋体" w:hAnsi="宋体" w:cs="宋体"/>
                      <w:sz w:val="24"/>
                      <w:szCs w:val="24"/>
                    </w:rPr>
                    <w:t>每提供上述任意一项内容得</w:t>
                  </w:r>
                  <w:r>
                    <w:rPr>
                      <w:rFonts w:hint="eastAsia" w:ascii="宋体" w:hAnsi="宋体" w:cs="宋体"/>
                      <w:sz w:val="24"/>
                      <w:szCs w:val="24"/>
                      <w:lang w:val="en-US" w:eastAsia="zh-CN"/>
                    </w:rPr>
                    <w:t>7%</w:t>
                  </w:r>
                  <w:r>
                    <w:rPr>
                      <w:rFonts w:hint="eastAsia" w:ascii="宋体" w:hAnsi="宋体" w:cs="宋体"/>
                      <w:sz w:val="24"/>
                      <w:szCs w:val="24"/>
                    </w:rPr>
                    <w:t>，本小项累计最高得</w:t>
                  </w:r>
                  <w:r>
                    <w:rPr>
                      <w:rFonts w:hint="eastAsia" w:ascii="宋体" w:hAnsi="宋体" w:cs="宋体"/>
                      <w:sz w:val="24"/>
                      <w:szCs w:val="24"/>
                      <w:lang w:val="en-US" w:eastAsia="zh-CN"/>
                    </w:rPr>
                    <w:t>20%</w:t>
                  </w:r>
                  <w:r>
                    <w:rPr>
                      <w:rFonts w:hint="eastAsia" w:ascii="宋体" w:hAnsi="宋体" w:eastAsia="宋体" w:cs="宋体"/>
                      <w:sz w:val="24"/>
                      <w:szCs w:val="24"/>
                    </w:rPr>
                    <w:t>。</w:t>
                  </w:r>
                </w:p>
                <w:p w14:paraId="64E00DD3">
                  <w:pPr>
                    <w:numPr>
                      <w:ilvl w:val="0"/>
                      <w:numId w:val="2"/>
                    </w:numPr>
                    <w:spacing w:line="276" w:lineRule="auto"/>
                    <w:textAlignment w:val="top"/>
                    <w:rPr>
                      <w:rFonts w:ascii="宋体" w:hAnsi="宋体" w:cs="宋体"/>
                      <w:sz w:val="24"/>
                      <w:szCs w:val="24"/>
                    </w:rPr>
                  </w:pPr>
                  <w:r>
                    <w:rPr>
                      <w:rFonts w:hint="eastAsia" w:ascii="宋体" w:hAnsi="宋体" w:cs="宋体"/>
                      <w:sz w:val="24"/>
                      <w:szCs w:val="24"/>
                    </w:rPr>
                    <w:t>在此基础上，专家根据各供应商的具体响应内容按照量化的评审因素指标进一步评审：</w:t>
                  </w:r>
                </w:p>
                <w:p w14:paraId="6ADC008A">
                  <w:pPr>
                    <w:spacing w:line="276" w:lineRule="auto"/>
                    <w:textAlignment w:val="top"/>
                    <w:rPr>
                      <w:rFonts w:ascii="宋体" w:hAnsi="宋体" w:cs="宋体"/>
                      <w:sz w:val="24"/>
                      <w:szCs w:val="24"/>
                    </w:rPr>
                  </w:pPr>
                  <w:r>
                    <w:rPr>
                      <w:rFonts w:hint="eastAsia" w:ascii="宋体" w:hAnsi="宋体" w:cs="宋体"/>
                      <w:sz w:val="24"/>
                      <w:szCs w:val="24"/>
                    </w:rPr>
                    <w:t>（1）优评分标准：保障措施符合实际、完整、规范、思路清晰，内容合理性强，加</w:t>
                  </w:r>
                  <w:r>
                    <w:rPr>
                      <w:rFonts w:hint="eastAsia" w:ascii="宋体" w:hAnsi="宋体" w:cs="宋体"/>
                      <w:sz w:val="24"/>
                      <w:szCs w:val="24"/>
                      <w:lang w:val="en-US" w:eastAsia="zh-CN"/>
                    </w:rPr>
                    <w:t>80%</w:t>
                  </w:r>
                  <w:r>
                    <w:rPr>
                      <w:rFonts w:hint="eastAsia" w:ascii="宋体" w:hAnsi="宋体" w:cs="宋体"/>
                      <w:sz w:val="24"/>
                      <w:szCs w:val="24"/>
                    </w:rPr>
                    <w:t>；</w:t>
                  </w:r>
                </w:p>
                <w:p w14:paraId="6DF682E4">
                  <w:pPr>
                    <w:spacing w:line="276" w:lineRule="auto"/>
                    <w:textAlignment w:val="top"/>
                    <w:rPr>
                      <w:rFonts w:ascii="宋体" w:hAnsi="宋体" w:cs="宋体"/>
                      <w:sz w:val="24"/>
                      <w:szCs w:val="24"/>
                    </w:rPr>
                  </w:pPr>
                  <w:r>
                    <w:rPr>
                      <w:rFonts w:hint="eastAsia" w:ascii="宋体" w:hAnsi="宋体" w:cs="宋体"/>
                      <w:sz w:val="24"/>
                      <w:szCs w:val="24"/>
                    </w:rPr>
                    <w:t>（2）良评分标准：保障措施较符合实际、较完整规范、思路较清晰，内容合理性较强，加</w:t>
                  </w:r>
                  <w:r>
                    <w:rPr>
                      <w:rFonts w:hint="eastAsia" w:ascii="宋体" w:hAnsi="宋体" w:cs="宋体"/>
                      <w:sz w:val="24"/>
                      <w:szCs w:val="24"/>
                      <w:lang w:val="en-US" w:eastAsia="zh-CN"/>
                    </w:rPr>
                    <w:t>50%</w:t>
                  </w:r>
                  <w:r>
                    <w:rPr>
                      <w:rFonts w:hint="eastAsia" w:ascii="宋体" w:hAnsi="宋体" w:cs="宋体"/>
                      <w:sz w:val="24"/>
                      <w:szCs w:val="24"/>
                    </w:rPr>
                    <w:t>；</w:t>
                  </w:r>
                </w:p>
                <w:p w14:paraId="3F0E04AA">
                  <w:pPr>
                    <w:spacing w:line="276" w:lineRule="auto"/>
                    <w:textAlignment w:val="top"/>
                    <w:rPr>
                      <w:rFonts w:ascii="宋体" w:hAnsi="宋体" w:cs="宋体"/>
                      <w:sz w:val="24"/>
                      <w:szCs w:val="24"/>
                    </w:rPr>
                  </w:pPr>
                  <w:r>
                    <w:rPr>
                      <w:rFonts w:hint="eastAsia" w:ascii="宋体" w:hAnsi="宋体" w:cs="宋体"/>
                      <w:sz w:val="24"/>
                      <w:szCs w:val="24"/>
                    </w:rPr>
                    <w:t>（3）中评分标准：保障措施较普通、完整性、规范性一般，思路不够清晰，内容合理性般，加</w:t>
                  </w:r>
                  <w:r>
                    <w:rPr>
                      <w:rFonts w:hint="eastAsia" w:ascii="宋体" w:hAnsi="宋体" w:cs="宋体"/>
                      <w:sz w:val="24"/>
                      <w:szCs w:val="24"/>
                      <w:lang w:val="en-US" w:eastAsia="zh-CN"/>
                    </w:rPr>
                    <w:t>20%</w:t>
                  </w:r>
                  <w:r>
                    <w:rPr>
                      <w:rFonts w:hint="eastAsia" w:ascii="宋体" w:hAnsi="宋体" w:cs="宋体"/>
                      <w:sz w:val="24"/>
                      <w:szCs w:val="24"/>
                    </w:rPr>
                    <w:t>；</w:t>
                  </w:r>
                </w:p>
                <w:p w14:paraId="7ACA78CF">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cs="宋体"/>
                      <w:sz w:val="24"/>
                      <w:szCs w:val="24"/>
                    </w:rPr>
                    <w:t>（4）差评分标准：保障措施不完整、不规范，思路不清晰，内容合理性较差或未提供，不得分。</w:t>
                  </w:r>
                  <w:r>
                    <w:rPr>
                      <w:rFonts w:hint="eastAsia" w:ascii="宋体" w:hAnsi="宋体" w:eastAsia="宋体" w:cs="宋体"/>
                      <w:sz w:val="24"/>
                      <w:szCs w:val="24"/>
                    </w:rPr>
                    <w:t>评价不得分的，专家需书面说明理由。</w:t>
                  </w:r>
                </w:p>
              </w:tc>
            </w:tr>
            <w:tr w14:paraId="4C96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CellSpacing w:w="0" w:type="dxa"/>
                <w:jc w:val="center"/>
              </w:trPr>
              <w:tc>
                <w:tcPr>
                  <w:tcW w:w="617" w:type="dxa"/>
                  <w:noWrap/>
                  <w:vAlign w:val="center"/>
                </w:tcPr>
                <w:p w14:paraId="363B072C">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841" w:type="dxa"/>
                  <w:noWrap/>
                  <w:vAlign w:val="center"/>
                </w:tcPr>
                <w:p w14:paraId="51F79EEE">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lang w:eastAsia="zh-CN"/>
                    </w:rPr>
                  </w:pPr>
                  <w:r>
                    <w:rPr>
                      <w:rFonts w:hint="eastAsia" w:ascii="宋体" w:hAnsi="宋体" w:cs="宋体"/>
                      <w:sz w:val="24"/>
                      <w:szCs w:val="24"/>
                    </w:rPr>
                    <w:t>安全管理方案</w:t>
                  </w:r>
                </w:p>
              </w:tc>
              <w:tc>
                <w:tcPr>
                  <w:tcW w:w="835" w:type="dxa"/>
                  <w:noWrap/>
                  <w:vAlign w:val="center"/>
                </w:tcPr>
                <w:p w14:paraId="4B16A8CD">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867" w:type="dxa"/>
                  <w:noWrap/>
                  <w:vAlign w:val="center"/>
                </w:tcPr>
                <w:p w14:paraId="5087AEB1">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专家</w:t>
                  </w:r>
                </w:p>
                <w:p w14:paraId="29C901E3">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打分</w:t>
                  </w:r>
                </w:p>
              </w:tc>
              <w:tc>
                <w:tcPr>
                  <w:tcW w:w="5249" w:type="dxa"/>
                  <w:noWrap/>
                  <w:vAlign w:val="top"/>
                </w:tcPr>
                <w:p w14:paraId="515AE8A4">
                  <w:pPr>
                    <w:spacing w:line="276" w:lineRule="auto"/>
                    <w:textAlignment w:val="top"/>
                    <w:rPr>
                      <w:rFonts w:ascii="宋体" w:hAnsi="宋体" w:cs="宋体"/>
                      <w:b/>
                      <w:sz w:val="24"/>
                      <w:szCs w:val="24"/>
                    </w:rPr>
                  </w:pPr>
                  <w:r>
                    <w:rPr>
                      <w:rFonts w:hint="eastAsia" w:ascii="宋体" w:hAnsi="宋体" w:cs="宋体"/>
                      <w:b/>
                      <w:sz w:val="24"/>
                      <w:szCs w:val="24"/>
                    </w:rPr>
                    <w:t>评审内容</w:t>
                  </w:r>
                  <w:r>
                    <w:rPr>
                      <w:rFonts w:hint="eastAsia" w:ascii="宋体" w:hAnsi="宋体" w:cs="宋体"/>
                      <w:sz w:val="24"/>
                      <w:szCs w:val="24"/>
                    </w:rPr>
                    <w:t>：</w:t>
                  </w:r>
                </w:p>
                <w:p w14:paraId="408CFCAF">
                  <w:pPr>
                    <w:spacing w:line="276" w:lineRule="auto"/>
                    <w:textAlignment w:val="top"/>
                    <w:rPr>
                      <w:rFonts w:ascii="宋体" w:hAnsi="宋体" w:cs="宋体"/>
                      <w:sz w:val="24"/>
                      <w:szCs w:val="24"/>
                    </w:rPr>
                  </w:pPr>
                  <w:r>
                    <w:rPr>
                      <w:rFonts w:hint="eastAsia" w:ascii="宋体" w:hAnsi="宋体" w:cs="宋体"/>
                      <w:sz w:val="24"/>
                      <w:szCs w:val="24"/>
                    </w:rPr>
                    <w:t>根据投标人的项目安全管理方案进行评审，包括但不限于以下内容：</w:t>
                  </w:r>
                </w:p>
                <w:p w14:paraId="6A3439AD">
                  <w:pPr>
                    <w:spacing w:line="276" w:lineRule="auto"/>
                    <w:rPr>
                      <w:rFonts w:ascii="宋体" w:hAnsi="宋体" w:cs="宋体"/>
                      <w:sz w:val="24"/>
                      <w:szCs w:val="24"/>
                    </w:rPr>
                  </w:pPr>
                  <w:r>
                    <w:rPr>
                      <w:rFonts w:hint="eastAsia" w:ascii="宋体" w:hAnsi="宋体" w:cs="宋体"/>
                      <w:sz w:val="24"/>
                      <w:szCs w:val="24"/>
                    </w:rPr>
                    <w:t>1.安全文明施工保证措施；</w:t>
                  </w:r>
                </w:p>
                <w:p w14:paraId="074BDBEF">
                  <w:pPr>
                    <w:spacing w:line="276" w:lineRule="auto"/>
                    <w:rPr>
                      <w:rFonts w:hint="eastAsia" w:ascii="宋体" w:hAnsi="宋体" w:eastAsia="宋体" w:cs="宋体"/>
                      <w:sz w:val="24"/>
                      <w:szCs w:val="24"/>
                      <w:lang w:eastAsia="zh-CN"/>
                    </w:rPr>
                  </w:pPr>
                  <w:r>
                    <w:rPr>
                      <w:rFonts w:hint="eastAsia" w:ascii="宋体" w:hAnsi="宋体" w:cs="宋体"/>
                      <w:sz w:val="24"/>
                      <w:szCs w:val="24"/>
                    </w:rPr>
                    <w:t>2.安全生产事故专项预案</w:t>
                  </w:r>
                  <w:r>
                    <w:rPr>
                      <w:rFonts w:hint="eastAsia" w:ascii="宋体" w:hAnsi="宋体" w:cs="宋体"/>
                      <w:sz w:val="24"/>
                      <w:szCs w:val="24"/>
                      <w:lang w:eastAsia="zh-CN"/>
                    </w:rPr>
                    <w:t>。</w:t>
                  </w:r>
                </w:p>
                <w:p w14:paraId="58D99101">
                  <w:pPr>
                    <w:spacing w:line="276" w:lineRule="auto"/>
                    <w:textAlignment w:val="top"/>
                    <w:rPr>
                      <w:rFonts w:ascii="宋体" w:hAnsi="宋体" w:cs="宋体"/>
                      <w:b/>
                      <w:sz w:val="24"/>
                      <w:szCs w:val="24"/>
                    </w:rPr>
                  </w:pPr>
                  <w:r>
                    <w:rPr>
                      <w:rFonts w:hint="eastAsia" w:ascii="宋体" w:hAnsi="宋体" w:cs="宋体"/>
                      <w:b/>
                      <w:sz w:val="24"/>
                      <w:szCs w:val="24"/>
                    </w:rPr>
                    <w:t>评分标准：</w:t>
                  </w:r>
                </w:p>
                <w:p w14:paraId="67C68C5D">
                  <w:pPr>
                    <w:spacing w:line="276" w:lineRule="auto"/>
                    <w:textAlignment w:val="top"/>
                    <w:rPr>
                      <w:rFonts w:ascii="宋体" w:hAnsi="宋体" w:cs="宋体"/>
                      <w:sz w:val="24"/>
                      <w:szCs w:val="24"/>
                    </w:rPr>
                  </w:pPr>
                  <w:r>
                    <w:rPr>
                      <w:rFonts w:hint="eastAsia" w:ascii="宋体" w:hAnsi="宋体" w:cs="宋体"/>
                      <w:sz w:val="24"/>
                      <w:szCs w:val="24"/>
                    </w:rPr>
                    <w:t>1、每提供上述任意一项内容得</w:t>
                  </w:r>
                  <w:r>
                    <w:rPr>
                      <w:rFonts w:hint="eastAsia" w:ascii="宋体" w:hAnsi="宋体" w:cs="宋体"/>
                      <w:sz w:val="24"/>
                      <w:szCs w:val="24"/>
                      <w:lang w:val="en-US" w:eastAsia="zh-CN"/>
                    </w:rPr>
                    <w:t>10%</w:t>
                  </w:r>
                  <w:r>
                    <w:rPr>
                      <w:rFonts w:hint="eastAsia" w:ascii="宋体" w:hAnsi="宋体" w:cs="宋体"/>
                      <w:sz w:val="24"/>
                      <w:szCs w:val="24"/>
                    </w:rPr>
                    <w:t>，本小项累计最高得</w:t>
                  </w:r>
                  <w:r>
                    <w:rPr>
                      <w:rFonts w:hint="eastAsia" w:ascii="宋体" w:hAnsi="宋体" w:cs="宋体"/>
                      <w:sz w:val="24"/>
                      <w:szCs w:val="24"/>
                      <w:lang w:val="en-US" w:eastAsia="zh-CN"/>
                    </w:rPr>
                    <w:t>20%</w:t>
                  </w:r>
                  <w:r>
                    <w:rPr>
                      <w:rFonts w:hint="eastAsia" w:ascii="宋体" w:hAnsi="宋体" w:cs="宋体"/>
                      <w:sz w:val="24"/>
                      <w:szCs w:val="24"/>
                    </w:rPr>
                    <w:t>；</w:t>
                  </w:r>
                </w:p>
                <w:p w14:paraId="6E957D01">
                  <w:pPr>
                    <w:spacing w:line="276" w:lineRule="auto"/>
                    <w:textAlignment w:val="top"/>
                    <w:rPr>
                      <w:rFonts w:ascii="宋体" w:hAnsi="宋体" w:cs="宋体"/>
                      <w:sz w:val="24"/>
                      <w:szCs w:val="24"/>
                    </w:rPr>
                  </w:pPr>
                  <w:r>
                    <w:rPr>
                      <w:rFonts w:hint="eastAsia" w:ascii="宋体" w:hAnsi="宋体" w:cs="宋体"/>
                      <w:sz w:val="24"/>
                      <w:szCs w:val="24"/>
                    </w:rPr>
                    <w:t>2、在此基础上，专家根据各供应商的具体响应内容按照量化的评审因素指标进一步评审：</w:t>
                  </w:r>
                </w:p>
                <w:p w14:paraId="42AB4AC4">
                  <w:pPr>
                    <w:spacing w:line="276" w:lineRule="auto"/>
                    <w:textAlignment w:val="top"/>
                    <w:rPr>
                      <w:rFonts w:ascii="宋体" w:hAnsi="宋体" w:cs="宋体"/>
                      <w:sz w:val="24"/>
                      <w:szCs w:val="24"/>
                    </w:rPr>
                  </w:pPr>
                  <w:r>
                    <w:rPr>
                      <w:rFonts w:hint="eastAsia" w:ascii="宋体" w:hAnsi="宋体" w:cs="宋体"/>
                      <w:sz w:val="24"/>
                      <w:szCs w:val="24"/>
                    </w:rPr>
                    <w:t>（1）优评分标准：方案符合实际、完整、规范、思路清晰，内容合理性强，加</w:t>
                  </w:r>
                  <w:r>
                    <w:rPr>
                      <w:rFonts w:hint="eastAsia" w:ascii="宋体" w:hAnsi="宋体" w:cs="宋体"/>
                      <w:sz w:val="24"/>
                      <w:szCs w:val="24"/>
                      <w:lang w:val="en-US" w:eastAsia="zh-CN"/>
                    </w:rPr>
                    <w:t>80%</w:t>
                  </w:r>
                  <w:r>
                    <w:rPr>
                      <w:rFonts w:hint="eastAsia" w:ascii="宋体" w:hAnsi="宋体" w:cs="宋体"/>
                      <w:sz w:val="24"/>
                      <w:szCs w:val="24"/>
                    </w:rPr>
                    <w:t>；</w:t>
                  </w:r>
                </w:p>
                <w:p w14:paraId="47B2AF0F">
                  <w:pPr>
                    <w:spacing w:line="276" w:lineRule="auto"/>
                    <w:textAlignment w:val="top"/>
                    <w:rPr>
                      <w:rFonts w:ascii="宋体" w:hAnsi="宋体" w:cs="宋体"/>
                      <w:sz w:val="24"/>
                      <w:szCs w:val="24"/>
                    </w:rPr>
                  </w:pPr>
                  <w:r>
                    <w:rPr>
                      <w:rFonts w:hint="eastAsia" w:ascii="宋体" w:hAnsi="宋体" w:cs="宋体"/>
                      <w:sz w:val="24"/>
                      <w:szCs w:val="24"/>
                    </w:rPr>
                    <w:t>（2）良评分标准：方案较符合实际、较完整规范、思路较清晰，内容合理性较强，加</w:t>
                  </w:r>
                  <w:r>
                    <w:rPr>
                      <w:rFonts w:hint="eastAsia" w:ascii="宋体" w:hAnsi="宋体" w:cs="宋体"/>
                      <w:sz w:val="24"/>
                      <w:szCs w:val="24"/>
                      <w:lang w:val="en-US" w:eastAsia="zh-CN"/>
                    </w:rPr>
                    <w:t>50%</w:t>
                  </w:r>
                  <w:r>
                    <w:rPr>
                      <w:rFonts w:hint="eastAsia" w:ascii="宋体" w:hAnsi="宋体" w:cs="宋体"/>
                      <w:sz w:val="24"/>
                      <w:szCs w:val="24"/>
                    </w:rPr>
                    <w:t>；</w:t>
                  </w:r>
                </w:p>
                <w:p w14:paraId="3A070F9A">
                  <w:pPr>
                    <w:spacing w:line="276" w:lineRule="auto"/>
                    <w:textAlignment w:val="top"/>
                    <w:rPr>
                      <w:rFonts w:ascii="宋体" w:hAnsi="宋体" w:cs="宋体"/>
                      <w:sz w:val="24"/>
                      <w:szCs w:val="24"/>
                    </w:rPr>
                  </w:pPr>
                  <w:r>
                    <w:rPr>
                      <w:rFonts w:hint="eastAsia" w:ascii="宋体" w:hAnsi="宋体" w:cs="宋体"/>
                      <w:sz w:val="24"/>
                      <w:szCs w:val="24"/>
                    </w:rPr>
                    <w:t>（3）中评分标准：方案较普通、完整性、规范性一般，思路不够清晰，内容合理性般，加</w:t>
                  </w:r>
                  <w:r>
                    <w:rPr>
                      <w:rFonts w:hint="eastAsia" w:ascii="宋体" w:hAnsi="宋体" w:cs="宋体"/>
                      <w:sz w:val="24"/>
                      <w:szCs w:val="24"/>
                      <w:lang w:val="en-US" w:eastAsia="zh-CN"/>
                    </w:rPr>
                    <w:t>20%</w:t>
                  </w:r>
                  <w:r>
                    <w:rPr>
                      <w:rFonts w:hint="eastAsia" w:ascii="宋体" w:hAnsi="宋体" w:cs="宋体"/>
                      <w:sz w:val="24"/>
                      <w:szCs w:val="24"/>
                    </w:rPr>
                    <w:t>；</w:t>
                  </w:r>
                </w:p>
                <w:p w14:paraId="66273CE4">
                  <w:pPr>
                    <w:spacing w:line="276" w:lineRule="auto"/>
                    <w:textAlignment w:val="top"/>
                    <w:rPr>
                      <w:rFonts w:hint="eastAsia" w:ascii="宋体" w:hAnsi="宋体" w:cs="宋体"/>
                      <w:sz w:val="24"/>
                      <w:szCs w:val="24"/>
                    </w:rPr>
                  </w:pPr>
                  <w:r>
                    <w:rPr>
                      <w:rFonts w:hint="eastAsia" w:ascii="宋体" w:hAnsi="宋体" w:cs="宋体"/>
                      <w:sz w:val="24"/>
                      <w:szCs w:val="24"/>
                    </w:rPr>
                    <w:t>（4）差评分标准：方案不完整、不规范，思路不清晰，内容合理性较差或未提供，不得分。</w:t>
                  </w:r>
                </w:p>
                <w:p w14:paraId="6DAFF243">
                  <w:pPr>
                    <w:spacing w:line="276" w:lineRule="auto"/>
                    <w:textAlignment w:val="top"/>
                    <w:rPr>
                      <w:rFonts w:hint="eastAsia" w:ascii="宋体" w:hAnsi="宋体" w:cs="宋体"/>
                      <w:sz w:val="24"/>
                      <w:szCs w:val="24"/>
                    </w:rPr>
                  </w:pPr>
                  <w:r>
                    <w:rPr>
                      <w:rFonts w:hint="eastAsia" w:ascii="宋体" w:hAnsi="宋体" w:eastAsia="宋体" w:cs="宋体"/>
                      <w:sz w:val="24"/>
                      <w:szCs w:val="24"/>
                    </w:rPr>
                    <w:t>评价不得分的，专家需书面说明理由。</w:t>
                  </w:r>
                </w:p>
              </w:tc>
            </w:tr>
            <w:tr w14:paraId="30BA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CellSpacing w:w="0" w:type="dxa"/>
                <w:jc w:val="center"/>
              </w:trPr>
              <w:tc>
                <w:tcPr>
                  <w:tcW w:w="617" w:type="dxa"/>
                  <w:noWrap/>
                  <w:vAlign w:val="center"/>
                </w:tcPr>
                <w:p w14:paraId="0BD285C5">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841" w:type="dxa"/>
                  <w:noWrap/>
                  <w:vAlign w:val="center"/>
                </w:tcPr>
                <w:p w14:paraId="50E18FA1">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应急保障措施</w:t>
                  </w:r>
                </w:p>
              </w:tc>
              <w:tc>
                <w:tcPr>
                  <w:tcW w:w="835" w:type="dxa"/>
                  <w:noWrap/>
                  <w:vAlign w:val="center"/>
                </w:tcPr>
                <w:p w14:paraId="2DD079E4">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867" w:type="dxa"/>
                  <w:noWrap/>
                  <w:vAlign w:val="center"/>
                </w:tcPr>
                <w:p w14:paraId="06AE3815">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专家</w:t>
                  </w:r>
                </w:p>
                <w:p w14:paraId="4680D430">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打分</w:t>
                  </w:r>
                </w:p>
              </w:tc>
              <w:tc>
                <w:tcPr>
                  <w:tcW w:w="5249" w:type="dxa"/>
                  <w:noWrap/>
                  <w:vAlign w:val="center"/>
                </w:tcPr>
                <w:p w14:paraId="6D7D6259">
                  <w:pPr>
                    <w:pStyle w:val="17"/>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b/>
                      <w:bCs/>
                      <w:sz w:val="24"/>
                      <w:szCs w:val="24"/>
                    </w:rPr>
                  </w:pPr>
                  <w:r>
                    <w:rPr>
                      <w:rFonts w:hint="eastAsia" w:ascii="宋体" w:hAnsi="宋体" w:eastAsia="宋体" w:cs="宋体"/>
                      <w:b/>
                      <w:bCs/>
                      <w:sz w:val="24"/>
                      <w:szCs w:val="24"/>
                    </w:rPr>
                    <w:t>评审内容：</w:t>
                  </w:r>
                </w:p>
                <w:p w14:paraId="370F0C23">
                  <w:pPr>
                    <w:spacing w:line="276" w:lineRule="auto"/>
                    <w:textAlignment w:val="top"/>
                    <w:rPr>
                      <w:rFonts w:ascii="宋体" w:hAnsi="宋体" w:cs="宋体"/>
                      <w:sz w:val="24"/>
                      <w:szCs w:val="24"/>
                    </w:rPr>
                  </w:pPr>
                  <w:r>
                    <w:rPr>
                      <w:rFonts w:hint="eastAsia" w:ascii="宋体" w:hAnsi="宋体" w:cs="宋体"/>
                      <w:sz w:val="24"/>
                      <w:szCs w:val="24"/>
                    </w:rPr>
                    <w:t>根据投标人的</w:t>
                  </w:r>
                  <w:r>
                    <w:rPr>
                      <w:rFonts w:hint="eastAsia" w:ascii="宋体" w:hAnsi="宋体" w:eastAsia="宋体" w:cs="宋体"/>
                      <w:sz w:val="24"/>
                      <w:szCs w:val="24"/>
                    </w:rPr>
                    <w:t>应急保障措施</w:t>
                  </w:r>
                  <w:r>
                    <w:rPr>
                      <w:rFonts w:hint="eastAsia" w:ascii="宋体" w:hAnsi="宋体" w:cs="宋体"/>
                      <w:sz w:val="24"/>
                      <w:szCs w:val="24"/>
                    </w:rPr>
                    <w:t>进行评审，包括但不限于以下内容：</w:t>
                  </w:r>
                </w:p>
                <w:p w14:paraId="43A1A36E">
                  <w:pPr>
                    <w:keepNext w:val="0"/>
                    <w:keepLines w:val="0"/>
                    <w:pageBreakBefore w:val="0"/>
                    <w:widowControl/>
                    <w:numPr>
                      <w:ilvl w:val="0"/>
                      <w:numId w:val="3"/>
                    </w:numPr>
                    <w:kinsoku/>
                    <w:wordWrap/>
                    <w:overflowPunct/>
                    <w:topLinePunct w:val="0"/>
                    <w:autoSpaceDE/>
                    <w:autoSpaceDN/>
                    <w:bidi w:val="0"/>
                    <w:adjustRightInd/>
                    <w:spacing w:line="360" w:lineRule="atLeast"/>
                    <w:jc w:val="left"/>
                    <w:textAlignment w:val="auto"/>
                    <w:rPr>
                      <w:rFonts w:hint="eastAsia" w:ascii="宋体" w:hAnsi="宋体" w:cs="宋体"/>
                      <w:sz w:val="24"/>
                      <w:szCs w:val="24"/>
                      <w:lang w:eastAsia="zh-CN"/>
                    </w:rPr>
                  </w:pPr>
                  <w:r>
                    <w:rPr>
                      <w:rFonts w:hint="eastAsia" w:ascii="宋体" w:hAnsi="宋体" w:eastAsia="宋体" w:cs="宋体"/>
                      <w:sz w:val="24"/>
                      <w:szCs w:val="24"/>
                    </w:rPr>
                    <w:t>突发事件处理方案</w:t>
                  </w:r>
                  <w:r>
                    <w:rPr>
                      <w:rFonts w:hint="eastAsia" w:ascii="宋体" w:hAnsi="宋体" w:cs="宋体"/>
                      <w:sz w:val="24"/>
                      <w:szCs w:val="24"/>
                      <w:lang w:eastAsia="zh-CN"/>
                    </w:rPr>
                    <w:t>；</w:t>
                  </w:r>
                </w:p>
                <w:p w14:paraId="6762A542">
                  <w:pPr>
                    <w:keepNext w:val="0"/>
                    <w:keepLines w:val="0"/>
                    <w:pageBreakBefore w:val="0"/>
                    <w:widowControl/>
                    <w:numPr>
                      <w:ilvl w:val="0"/>
                      <w:numId w:val="3"/>
                    </w:numPr>
                    <w:kinsoku/>
                    <w:wordWrap/>
                    <w:overflowPunct/>
                    <w:topLinePunct w:val="0"/>
                    <w:autoSpaceDE/>
                    <w:autoSpaceDN/>
                    <w:bidi w:val="0"/>
                    <w:adjustRightInd/>
                    <w:spacing w:line="360" w:lineRule="atLeast"/>
                    <w:jc w:val="left"/>
                    <w:textAlignment w:val="auto"/>
                    <w:rPr>
                      <w:rFonts w:hint="eastAsia" w:ascii="宋体" w:hAnsi="宋体" w:eastAsia="宋体" w:cs="宋体"/>
                      <w:sz w:val="24"/>
                      <w:szCs w:val="24"/>
                    </w:rPr>
                  </w:pPr>
                  <w:r>
                    <w:rPr>
                      <w:rFonts w:hint="eastAsia" w:ascii="宋体" w:hAnsi="宋体" w:eastAsia="宋体" w:cs="宋体"/>
                      <w:sz w:val="24"/>
                      <w:szCs w:val="24"/>
                    </w:rPr>
                    <w:t>应急预案及措施等进行评审。</w:t>
                  </w:r>
                </w:p>
                <w:p w14:paraId="73084E30">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b/>
                      <w:sz w:val="24"/>
                      <w:szCs w:val="24"/>
                    </w:rPr>
                  </w:pPr>
                  <w:r>
                    <w:rPr>
                      <w:rFonts w:hint="eastAsia" w:ascii="宋体" w:hAnsi="宋体" w:eastAsia="宋体" w:cs="宋体"/>
                      <w:b/>
                      <w:sz w:val="24"/>
                      <w:szCs w:val="24"/>
                    </w:rPr>
                    <w:t>评分标准：</w:t>
                  </w:r>
                </w:p>
                <w:p w14:paraId="6EACB00A">
                  <w:pPr>
                    <w:spacing w:line="276" w:lineRule="auto"/>
                    <w:textAlignment w:val="top"/>
                    <w:rPr>
                      <w:rFonts w:ascii="宋体" w:hAnsi="宋体" w:cs="宋体"/>
                      <w:sz w:val="24"/>
                      <w:szCs w:val="24"/>
                    </w:rPr>
                  </w:pPr>
                  <w:r>
                    <w:rPr>
                      <w:rFonts w:hint="eastAsia" w:ascii="宋体" w:hAnsi="宋体" w:cs="宋体"/>
                      <w:sz w:val="24"/>
                      <w:szCs w:val="24"/>
                    </w:rPr>
                    <w:t>1、每提供上述任意一项内容得</w:t>
                  </w:r>
                  <w:r>
                    <w:rPr>
                      <w:rFonts w:hint="eastAsia" w:ascii="宋体" w:hAnsi="宋体" w:cs="宋体"/>
                      <w:sz w:val="24"/>
                      <w:szCs w:val="24"/>
                      <w:lang w:val="en-US" w:eastAsia="zh-CN"/>
                    </w:rPr>
                    <w:t>10%</w:t>
                  </w:r>
                  <w:r>
                    <w:rPr>
                      <w:rFonts w:hint="eastAsia" w:ascii="宋体" w:hAnsi="宋体" w:cs="宋体"/>
                      <w:sz w:val="24"/>
                      <w:szCs w:val="24"/>
                    </w:rPr>
                    <w:t>，本小项累计最高得</w:t>
                  </w:r>
                  <w:r>
                    <w:rPr>
                      <w:rFonts w:hint="eastAsia" w:ascii="宋体" w:hAnsi="宋体" w:cs="宋体"/>
                      <w:sz w:val="24"/>
                      <w:szCs w:val="24"/>
                      <w:lang w:val="en-US" w:eastAsia="zh-CN"/>
                    </w:rPr>
                    <w:t>20%</w:t>
                  </w:r>
                  <w:r>
                    <w:rPr>
                      <w:rFonts w:hint="eastAsia" w:ascii="宋体" w:hAnsi="宋体" w:cs="宋体"/>
                      <w:sz w:val="24"/>
                      <w:szCs w:val="24"/>
                    </w:rPr>
                    <w:t>；</w:t>
                  </w:r>
                </w:p>
                <w:p w14:paraId="09D489D5">
                  <w:pPr>
                    <w:spacing w:line="276" w:lineRule="auto"/>
                    <w:textAlignment w:val="top"/>
                    <w:rPr>
                      <w:rFonts w:ascii="宋体" w:hAnsi="宋体" w:cs="宋体"/>
                      <w:sz w:val="24"/>
                      <w:szCs w:val="24"/>
                    </w:rPr>
                  </w:pPr>
                  <w:r>
                    <w:rPr>
                      <w:rFonts w:hint="eastAsia" w:ascii="宋体" w:hAnsi="宋体" w:cs="宋体"/>
                      <w:sz w:val="24"/>
                      <w:szCs w:val="24"/>
                    </w:rPr>
                    <w:t>2、在此基础上，专家根据各供应商的具体响应内容按照量化的评审因素指标进一步评审：</w:t>
                  </w:r>
                </w:p>
                <w:p w14:paraId="1F26533F">
                  <w:pPr>
                    <w:spacing w:line="276" w:lineRule="auto"/>
                    <w:textAlignment w:val="top"/>
                    <w:rPr>
                      <w:rFonts w:ascii="宋体" w:hAnsi="宋体" w:cs="宋体"/>
                      <w:sz w:val="24"/>
                      <w:szCs w:val="24"/>
                    </w:rPr>
                  </w:pPr>
                  <w:r>
                    <w:rPr>
                      <w:rFonts w:hint="eastAsia" w:ascii="宋体" w:hAnsi="宋体" w:cs="宋体"/>
                      <w:sz w:val="24"/>
                      <w:szCs w:val="24"/>
                    </w:rPr>
                    <w:t>（1）优评分标准：</w:t>
                  </w:r>
                  <w:r>
                    <w:rPr>
                      <w:rFonts w:hint="eastAsia" w:ascii="宋体" w:hAnsi="宋体" w:eastAsia="宋体" w:cs="宋体"/>
                      <w:sz w:val="24"/>
                      <w:szCs w:val="24"/>
                    </w:rPr>
                    <w:t>应急保障措施</w:t>
                  </w:r>
                  <w:r>
                    <w:rPr>
                      <w:rFonts w:hint="eastAsia" w:ascii="宋体" w:hAnsi="宋体" w:cs="宋体"/>
                      <w:sz w:val="24"/>
                      <w:szCs w:val="24"/>
                    </w:rPr>
                    <w:t>方案符合实际、完整、规范、思路清晰，内容合理性强，加</w:t>
                  </w:r>
                  <w:r>
                    <w:rPr>
                      <w:rFonts w:hint="eastAsia" w:ascii="宋体" w:hAnsi="宋体" w:cs="宋体"/>
                      <w:sz w:val="24"/>
                      <w:szCs w:val="24"/>
                      <w:lang w:val="en-US" w:eastAsia="zh-CN"/>
                    </w:rPr>
                    <w:t>80%</w:t>
                  </w:r>
                  <w:r>
                    <w:rPr>
                      <w:rFonts w:hint="eastAsia" w:ascii="宋体" w:hAnsi="宋体" w:cs="宋体"/>
                      <w:sz w:val="24"/>
                      <w:szCs w:val="24"/>
                    </w:rPr>
                    <w:t>；</w:t>
                  </w:r>
                </w:p>
                <w:p w14:paraId="5851F84C">
                  <w:pPr>
                    <w:spacing w:line="276" w:lineRule="auto"/>
                    <w:textAlignment w:val="top"/>
                    <w:rPr>
                      <w:rFonts w:ascii="宋体" w:hAnsi="宋体" w:cs="宋体"/>
                      <w:sz w:val="24"/>
                      <w:szCs w:val="24"/>
                    </w:rPr>
                  </w:pPr>
                  <w:r>
                    <w:rPr>
                      <w:rFonts w:hint="eastAsia" w:ascii="宋体" w:hAnsi="宋体" w:cs="宋体"/>
                      <w:sz w:val="24"/>
                      <w:szCs w:val="24"/>
                    </w:rPr>
                    <w:t>（2）良评分标准：</w:t>
                  </w:r>
                  <w:r>
                    <w:rPr>
                      <w:rFonts w:hint="eastAsia" w:ascii="宋体" w:hAnsi="宋体" w:eastAsia="宋体" w:cs="宋体"/>
                      <w:sz w:val="24"/>
                      <w:szCs w:val="24"/>
                    </w:rPr>
                    <w:t>应急保障措施</w:t>
                  </w:r>
                  <w:r>
                    <w:rPr>
                      <w:rFonts w:hint="eastAsia" w:ascii="宋体" w:hAnsi="宋体" w:cs="宋体"/>
                      <w:sz w:val="24"/>
                      <w:szCs w:val="24"/>
                    </w:rPr>
                    <w:t>方案较符合实际、较完整规范、思路较清晰，内容合理性较强，加</w:t>
                  </w:r>
                  <w:r>
                    <w:rPr>
                      <w:rFonts w:hint="eastAsia" w:ascii="宋体" w:hAnsi="宋体" w:cs="宋体"/>
                      <w:sz w:val="24"/>
                      <w:szCs w:val="24"/>
                      <w:lang w:val="en-US" w:eastAsia="zh-CN"/>
                    </w:rPr>
                    <w:t>50%</w:t>
                  </w:r>
                  <w:r>
                    <w:rPr>
                      <w:rFonts w:hint="eastAsia" w:ascii="宋体" w:hAnsi="宋体" w:cs="宋体"/>
                      <w:sz w:val="24"/>
                      <w:szCs w:val="24"/>
                    </w:rPr>
                    <w:t>；</w:t>
                  </w:r>
                </w:p>
                <w:p w14:paraId="417AF1AD">
                  <w:pPr>
                    <w:spacing w:line="276" w:lineRule="auto"/>
                    <w:textAlignment w:val="top"/>
                    <w:rPr>
                      <w:rFonts w:ascii="宋体" w:hAnsi="宋体" w:cs="宋体"/>
                      <w:sz w:val="24"/>
                      <w:szCs w:val="24"/>
                    </w:rPr>
                  </w:pPr>
                  <w:r>
                    <w:rPr>
                      <w:rFonts w:hint="eastAsia" w:ascii="宋体" w:hAnsi="宋体" w:cs="宋体"/>
                      <w:sz w:val="24"/>
                      <w:szCs w:val="24"/>
                    </w:rPr>
                    <w:t>（3）中评分标准：</w:t>
                  </w:r>
                  <w:r>
                    <w:rPr>
                      <w:rFonts w:hint="eastAsia" w:ascii="宋体" w:hAnsi="宋体" w:eastAsia="宋体" w:cs="宋体"/>
                      <w:sz w:val="24"/>
                      <w:szCs w:val="24"/>
                    </w:rPr>
                    <w:t>应急保障</w:t>
                  </w:r>
                  <w:r>
                    <w:rPr>
                      <w:rFonts w:hint="eastAsia" w:ascii="宋体" w:hAnsi="宋体" w:cs="宋体"/>
                      <w:sz w:val="24"/>
                      <w:szCs w:val="24"/>
                    </w:rPr>
                    <w:t>措施方案较普通、完整性、规范性一般，思路不够清晰，内容合理性般，加</w:t>
                  </w:r>
                  <w:r>
                    <w:rPr>
                      <w:rFonts w:hint="eastAsia" w:ascii="宋体" w:hAnsi="宋体" w:cs="宋体"/>
                      <w:sz w:val="24"/>
                      <w:szCs w:val="24"/>
                      <w:lang w:val="en-US" w:eastAsia="zh-CN"/>
                    </w:rPr>
                    <w:t>20%</w:t>
                  </w:r>
                  <w:r>
                    <w:rPr>
                      <w:rFonts w:hint="eastAsia" w:ascii="宋体" w:hAnsi="宋体" w:cs="宋体"/>
                      <w:sz w:val="24"/>
                      <w:szCs w:val="24"/>
                    </w:rPr>
                    <w:t>；</w:t>
                  </w:r>
                </w:p>
                <w:p w14:paraId="510CDC3A">
                  <w:pPr>
                    <w:spacing w:line="276" w:lineRule="auto"/>
                    <w:textAlignment w:val="top"/>
                    <w:rPr>
                      <w:rFonts w:hint="eastAsia" w:ascii="宋体" w:hAnsi="宋体" w:cs="宋体"/>
                      <w:sz w:val="24"/>
                      <w:szCs w:val="24"/>
                    </w:rPr>
                  </w:pPr>
                  <w:r>
                    <w:rPr>
                      <w:rFonts w:hint="eastAsia" w:ascii="宋体" w:hAnsi="宋体" w:cs="宋体"/>
                      <w:sz w:val="24"/>
                      <w:szCs w:val="24"/>
                    </w:rPr>
                    <w:t>（4）差评分标准：</w:t>
                  </w:r>
                  <w:r>
                    <w:rPr>
                      <w:rFonts w:hint="eastAsia" w:ascii="宋体" w:hAnsi="宋体" w:eastAsia="宋体" w:cs="宋体"/>
                      <w:sz w:val="24"/>
                      <w:szCs w:val="24"/>
                    </w:rPr>
                    <w:t>应急保障措施</w:t>
                  </w:r>
                  <w:r>
                    <w:rPr>
                      <w:rFonts w:hint="eastAsia" w:ascii="宋体" w:hAnsi="宋体" w:cs="宋体"/>
                      <w:sz w:val="24"/>
                      <w:szCs w:val="24"/>
                    </w:rPr>
                    <w:t>方案不完整、不规范，思路不清晰，内容合理性较差或未提供，不得分。</w:t>
                  </w:r>
                </w:p>
                <w:p w14:paraId="2952306B">
                  <w:pPr>
                    <w:pStyle w:val="2"/>
                    <w:keepNext w:val="0"/>
                    <w:keepLines w:val="0"/>
                    <w:pageBreakBefore w:val="0"/>
                    <w:widowControl/>
                    <w:tabs>
                      <w:tab w:val="left" w:pos="4760"/>
                    </w:tabs>
                    <w:kinsoku/>
                    <w:wordWrap/>
                    <w:overflowPunct/>
                    <w:topLinePunct w:val="0"/>
                    <w:autoSpaceDE/>
                    <w:autoSpaceDN/>
                    <w:bidi w:val="0"/>
                    <w:adjustRightInd/>
                    <w:spacing w:after="0" w:line="360" w:lineRule="atLeast"/>
                    <w:textAlignment w:val="auto"/>
                    <w:rPr>
                      <w:rFonts w:hint="eastAsia" w:ascii="宋体" w:hAnsi="宋体" w:eastAsia="宋体" w:cs="宋体"/>
                      <w:sz w:val="24"/>
                      <w:szCs w:val="24"/>
                    </w:rPr>
                  </w:pPr>
                  <w:r>
                    <w:rPr>
                      <w:rFonts w:hint="eastAsia" w:ascii="宋体" w:hAnsi="宋体" w:eastAsia="宋体" w:cs="宋体"/>
                      <w:b w:val="0"/>
                      <w:bCs w:val="0"/>
                      <w:sz w:val="24"/>
                      <w:szCs w:val="24"/>
                    </w:rPr>
                    <w:t>评价不得分的，专家需书面说明理由。</w:t>
                  </w:r>
                </w:p>
              </w:tc>
            </w:tr>
            <w:tr w14:paraId="43B1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CellSpacing w:w="0" w:type="dxa"/>
                <w:jc w:val="center"/>
              </w:trPr>
              <w:tc>
                <w:tcPr>
                  <w:tcW w:w="4160" w:type="dxa"/>
                  <w:gridSpan w:val="4"/>
                  <w:noWrap/>
                  <w:vAlign w:val="center"/>
                </w:tcPr>
                <w:p w14:paraId="3FC5D33F">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b/>
                      <w:bCs/>
                      <w:color w:val="0000FF"/>
                      <w:sz w:val="24"/>
                      <w:szCs w:val="24"/>
                    </w:rPr>
                  </w:pPr>
                  <w:r>
                    <w:rPr>
                      <w:rFonts w:hint="eastAsia" w:ascii="宋体" w:hAnsi="宋体" w:eastAsia="宋体" w:cs="宋体"/>
                      <w:b/>
                      <w:bCs/>
                      <w:color w:val="0000FF"/>
                      <w:sz w:val="24"/>
                      <w:szCs w:val="24"/>
                      <w:lang w:eastAsia="zh-CN"/>
                    </w:rPr>
                    <w:t>综合实力</w:t>
                  </w:r>
                  <w:r>
                    <w:rPr>
                      <w:rFonts w:hint="eastAsia" w:ascii="宋体" w:hAnsi="宋体" w:eastAsia="宋体" w:cs="宋体"/>
                      <w:b/>
                      <w:bCs/>
                      <w:color w:val="0000FF"/>
                      <w:sz w:val="24"/>
                      <w:szCs w:val="24"/>
                    </w:rPr>
                    <w:t>部分</w:t>
                  </w:r>
                </w:p>
              </w:tc>
              <w:tc>
                <w:tcPr>
                  <w:tcW w:w="5249" w:type="dxa"/>
                  <w:noWrap/>
                  <w:vAlign w:val="center"/>
                </w:tcPr>
                <w:p w14:paraId="208104AF">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default" w:ascii="宋体" w:hAnsi="宋体" w:eastAsia="宋体" w:cs="宋体"/>
                      <w:b/>
                      <w:bCs/>
                      <w:color w:val="0000FF"/>
                      <w:sz w:val="24"/>
                      <w:szCs w:val="24"/>
                      <w:lang w:val="en-US" w:eastAsia="zh-CN"/>
                    </w:rPr>
                  </w:pPr>
                  <w:r>
                    <w:rPr>
                      <w:rFonts w:hint="eastAsia" w:ascii="宋体" w:hAnsi="宋体" w:cs="宋体"/>
                      <w:b/>
                      <w:bCs/>
                      <w:color w:val="0000FF"/>
                      <w:sz w:val="24"/>
                      <w:szCs w:val="24"/>
                      <w:lang w:val="en-US" w:eastAsia="zh-CN"/>
                    </w:rPr>
                    <w:t>33</w:t>
                  </w:r>
                </w:p>
              </w:tc>
            </w:tr>
            <w:tr w14:paraId="37AA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CellSpacing w:w="0" w:type="dxa"/>
                <w:jc w:val="center"/>
              </w:trPr>
              <w:tc>
                <w:tcPr>
                  <w:tcW w:w="617" w:type="dxa"/>
                  <w:noWrap/>
                  <w:vAlign w:val="center"/>
                </w:tcPr>
                <w:p w14:paraId="1015DEBF">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841" w:type="dxa"/>
                  <w:noWrap/>
                  <w:vAlign w:val="center"/>
                </w:tcPr>
                <w:p w14:paraId="5CA0DAF1">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评分因素</w:t>
                  </w:r>
                </w:p>
              </w:tc>
              <w:tc>
                <w:tcPr>
                  <w:tcW w:w="835" w:type="dxa"/>
                  <w:noWrap/>
                  <w:vAlign w:val="center"/>
                </w:tcPr>
                <w:p w14:paraId="47D296BB">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权重（%）</w:t>
                  </w:r>
                </w:p>
              </w:tc>
              <w:tc>
                <w:tcPr>
                  <w:tcW w:w="867" w:type="dxa"/>
                  <w:noWrap/>
                  <w:vAlign w:val="center"/>
                </w:tcPr>
                <w:p w14:paraId="147EB44E">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评分</w:t>
                  </w:r>
                </w:p>
                <w:p w14:paraId="438C3997">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方式</w:t>
                  </w:r>
                </w:p>
              </w:tc>
              <w:tc>
                <w:tcPr>
                  <w:tcW w:w="5249" w:type="dxa"/>
                  <w:noWrap/>
                  <w:vAlign w:val="center"/>
                </w:tcPr>
                <w:p w14:paraId="7C24EB38">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评分准则</w:t>
                  </w:r>
                </w:p>
              </w:tc>
            </w:tr>
            <w:tr w14:paraId="6B47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CellSpacing w:w="0" w:type="dxa"/>
                <w:jc w:val="center"/>
              </w:trPr>
              <w:tc>
                <w:tcPr>
                  <w:tcW w:w="617" w:type="dxa"/>
                  <w:noWrap/>
                  <w:vAlign w:val="center"/>
                </w:tcPr>
                <w:p w14:paraId="2A89C18F">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1841" w:type="dxa"/>
                  <w:noWrap/>
                  <w:vAlign w:val="center"/>
                </w:tcPr>
                <w:p w14:paraId="3B4103D5">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同类项目业</w:t>
                  </w:r>
                  <w:r>
                    <w:rPr>
                      <w:rFonts w:hint="eastAsia" w:ascii="宋体" w:hAnsi="宋体" w:eastAsia="宋体" w:cs="宋体"/>
                      <w:sz w:val="24"/>
                      <w:szCs w:val="24"/>
                      <w:highlight w:val="none"/>
                    </w:rPr>
                    <w:t>绩情</w:t>
                  </w:r>
                  <w:r>
                    <w:rPr>
                      <w:rFonts w:hint="eastAsia" w:ascii="宋体" w:hAnsi="宋体" w:eastAsia="宋体" w:cs="宋体"/>
                      <w:sz w:val="24"/>
                      <w:szCs w:val="24"/>
                    </w:rPr>
                    <w:t>况</w:t>
                  </w:r>
                </w:p>
              </w:tc>
              <w:tc>
                <w:tcPr>
                  <w:tcW w:w="835" w:type="dxa"/>
                  <w:noWrap/>
                  <w:vAlign w:val="center"/>
                </w:tcPr>
                <w:p w14:paraId="3117834F">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18</w:t>
                  </w:r>
                </w:p>
              </w:tc>
              <w:tc>
                <w:tcPr>
                  <w:tcW w:w="867" w:type="dxa"/>
                  <w:noWrap/>
                  <w:vAlign w:val="center"/>
                </w:tcPr>
                <w:p w14:paraId="1886F119">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专家</w:t>
                  </w:r>
                </w:p>
                <w:p w14:paraId="78851B59">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打分</w:t>
                  </w:r>
                </w:p>
              </w:tc>
              <w:tc>
                <w:tcPr>
                  <w:tcW w:w="5249" w:type="dxa"/>
                  <w:noWrap/>
                  <w:vAlign w:val="center"/>
                </w:tcPr>
                <w:p w14:paraId="4B86D456">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b/>
                      <w:sz w:val="24"/>
                      <w:szCs w:val="24"/>
                    </w:rPr>
                  </w:pPr>
                  <w:r>
                    <w:rPr>
                      <w:rFonts w:hint="eastAsia" w:ascii="宋体" w:hAnsi="宋体" w:eastAsia="宋体" w:cs="宋体"/>
                      <w:b/>
                      <w:sz w:val="24"/>
                      <w:szCs w:val="24"/>
                    </w:rPr>
                    <w:t>评审内容：</w:t>
                  </w:r>
                </w:p>
                <w:p w14:paraId="4E7B464E">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eastAsia="宋体" w:cs="宋体"/>
                      <w:sz w:val="24"/>
                      <w:szCs w:val="24"/>
                    </w:rPr>
                    <w:t>投标人20</w:t>
                  </w:r>
                  <w:r>
                    <w:rPr>
                      <w:rFonts w:hint="eastAsia" w:ascii="宋体" w:hAnsi="宋体" w:cs="宋体"/>
                      <w:sz w:val="24"/>
                      <w:szCs w:val="24"/>
                      <w:lang w:val="en-US" w:eastAsia="zh-CN"/>
                    </w:rPr>
                    <w:t>20</w:t>
                  </w:r>
                  <w:r>
                    <w:rPr>
                      <w:rFonts w:hint="eastAsia" w:ascii="宋体" w:hAnsi="宋体" w:eastAsia="宋体" w:cs="宋体"/>
                      <w:sz w:val="24"/>
                      <w:szCs w:val="24"/>
                    </w:rPr>
                    <w:t>年0</w:t>
                  </w:r>
                  <w:r>
                    <w:rPr>
                      <w:rFonts w:hint="eastAsia" w:ascii="宋体" w:hAnsi="宋体" w:eastAsia="宋体" w:cs="宋体"/>
                      <w:sz w:val="24"/>
                      <w:szCs w:val="24"/>
                      <w:lang w:val="en-US" w:eastAsia="zh-CN"/>
                    </w:rPr>
                    <w:t>1</w:t>
                  </w:r>
                  <w:r>
                    <w:rPr>
                      <w:rFonts w:hint="eastAsia" w:ascii="宋体" w:hAnsi="宋体" w:eastAsia="宋体" w:cs="宋体"/>
                      <w:sz w:val="24"/>
                      <w:szCs w:val="24"/>
                    </w:rPr>
                    <w:t>月01日至本项目投标截止之日止（以项目合同签订时间为准）具有</w:t>
                  </w:r>
                  <w:r>
                    <w:rPr>
                      <w:rFonts w:hint="eastAsia" w:ascii="宋体" w:hAnsi="宋体" w:cs="宋体"/>
                      <w:sz w:val="24"/>
                      <w:szCs w:val="24"/>
                      <w:lang w:val="en-US" w:eastAsia="zh-CN"/>
                    </w:rPr>
                    <w:t>同类</w:t>
                  </w:r>
                  <w:r>
                    <w:rPr>
                      <w:rFonts w:hint="eastAsia" w:ascii="宋体" w:hAnsi="宋体" w:cs="宋体"/>
                      <w:sz w:val="24"/>
                      <w:szCs w:val="24"/>
                      <w:lang w:eastAsia="zh-CN"/>
                    </w:rPr>
                    <w:t>拆除项目</w:t>
                  </w:r>
                  <w:r>
                    <w:rPr>
                      <w:rFonts w:hint="eastAsia" w:ascii="宋体" w:hAnsi="宋体" w:eastAsia="宋体" w:cs="宋体"/>
                      <w:sz w:val="24"/>
                      <w:szCs w:val="24"/>
                    </w:rPr>
                    <w:t>业绩，每提供1个得</w:t>
                  </w:r>
                  <w:r>
                    <w:rPr>
                      <w:rFonts w:hint="eastAsia" w:ascii="宋体" w:hAnsi="宋体" w:cs="宋体"/>
                      <w:sz w:val="24"/>
                      <w:szCs w:val="24"/>
                      <w:lang w:val="en-US" w:eastAsia="zh-CN"/>
                    </w:rPr>
                    <w:t>20</w:t>
                  </w:r>
                  <w:r>
                    <w:rPr>
                      <w:rFonts w:hint="eastAsia" w:ascii="宋体" w:hAnsi="宋体" w:eastAsia="宋体" w:cs="宋体"/>
                      <w:sz w:val="24"/>
                      <w:szCs w:val="24"/>
                    </w:rPr>
                    <w:t>%，最高得100%。</w:t>
                  </w:r>
                </w:p>
                <w:p w14:paraId="24F4E4F1">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b/>
                      <w:sz w:val="24"/>
                      <w:szCs w:val="24"/>
                    </w:rPr>
                  </w:pPr>
                  <w:r>
                    <w:rPr>
                      <w:rFonts w:hint="eastAsia" w:ascii="宋体" w:hAnsi="宋体" w:eastAsia="宋体" w:cs="宋体"/>
                      <w:b/>
                      <w:sz w:val="24"/>
                      <w:szCs w:val="24"/>
                    </w:rPr>
                    <w:t xml:space="preserve">评分依据： </w:t>
                  </w:r>
                </w:p>
                <w:p w14:paraId="1046B086">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eastAsia="宋体" w:cs="宋体"/>
                      <w:sz w:val="24"/>
                      <w:szCs w:val="24"/>
                    </w:rPr>
                    <w:t>提供合同关键页扫描件，原件备查。评分中出现无证明资料或专家无法凭所提供资料判断是否得分的情况，一律作不得分处理。</w:t>
                  </w:r>
                </w:p>
              </w:tc>
            </w:tr>
            <w:tr w14:paraId="43F2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CellSpacing w:w="0" w:type="dxa"/>
                <w:jc w:val="center"/>
              </w:trPr>
              <w:tc>
                <w:tcPr>
                  <w:tcW w:w="617" w:type="dxa"/>
                  <w:noWrap/>
                  <w:vAlign w:val="center"/>
                </w:tcPr>
                <w:p w14:paraId="12854155">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cs="宋体"/>
                      <w:sz w:val="24"/>
                      <w:szCs w:val="24"/>
                      <w:lang w:val="en-US" w:eastAsia="zh-CN"/>
                    </w:rPr>
                  </w:pPr>
                </w:p>
              </w:tc>
              <w:tc>
                <w:tcPr>
                  <w:tcW w:w="1841" w:type="dxa"/>
                  <w:noWrap/>
                  <w:vAlign w:val="center"/>
                </w:tcPr>
                <w:p w14:paraId="0047A098">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企业认证情况</w:t>
                  </w:r>
                </w:p>
              </w:tc>
              <w:tc>
                <w:tcPr>
                  <w:tcW w:w="835" w:type="dxa"/>
                  <w:noWrap/>
                  <w:vAlign w:val="center"/>
                </w:tcPr>
                <w:p w14:paraId="1EA9D6F7">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867" w:type="dxa"/>
                  <w:noWrap/>
                  <w:vAlign w:val="center"/>
                </w:tcPr>
                <w:p w14:paraId="5C923A1F">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专家</w:t>
                  </w:r>
                </w:p>
                <w:p w14:paraId="54A0D5EB">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打分</w:t>
                  </w:r>
                </w:p>
              </w:tc>
              <w:tc>
                <w:tcPr>
                  <w:tcW w:w="5249" w:type="dxa"/>
                  <w:noWrap/>
                  <w:vAlign w:val="center"/>
                </w:tcPr>
                <w:p w14:paraId="51F58F78">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评审内容：</w:t>
                  </w:r>
                </w:p>
                <w:p w14:paraId="3C99C283">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eastAsia="宋体" w:cs="宋体"/>
                      <w:sz w:val="24"/>
                      <w:szCs w:val="24"/>
                    </w:rPr>
                    <w:t>投标人具有有效期内的认证证书:</w:t>
                  </w:r>
                </w:p>
                <w:p w14:paraId="11ECEF88">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质量管理体系认证；</w:t>
                  </w:r>
                </w:p>
                <w:p w14:paraId="1A352904">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环境管理体系认证；</w:t>
                  </w:r>
                </w:p>
                <w:p w14:paraId="1DCD4176">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职业健康安全管理体系认证；</w:t>
                  </w:r>
                </w:p>
                <w:p w14:paraId="6F6D33D5">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eastAsia="宋体" w:cs="宋体"/>
                      <w:sz w:val="24"/>
                      <w:szCs w:val="24"/>
                    </w:rPr>
                    <w:t>每提供一项证书得35分，满分100分。</w:t>
                  </w:r>
                </w:p>
                <w:p w14:paraId="18CBF9D7">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评分依据： </w:t>
                  </w:r>
                </w:p>
                <w:p w14:paraId="4A4BA3A9">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提供有效期内的认证证书扫描件；</w:t>
                  </w:r>
                </w:p>
                <w:p w14:paraId="7D9EDCD9">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认证证书需同时提供在全国认证认可信息公共服务平台（认e云）（http://cx.cnca.cn）查询截图且证书状态显示有效及编号一致；</w:t>
                  </w:r>
                </w:p>
                <w:p w14:paraId="0B23CE2D">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eastAsia="宋体" w:cs="宋体"/>
                      <w:sz w:val="24"/>
                      <w:szCs w:val="24"/>
                    </w:rPr>
                    <w:t>3、如未按要求提供证明材料，或所提供的证明材料未能体现上述评分内容的，视为该证明材料无效。</w:t>
                  </w:r>
                </w:p>
              </w:tc>
            </w:tr>
            <w:tr w14:paraId="43EB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CellSpacing w:w="0" w:type="dxa"/>
                <w:jc w:val="center"/>
              </w:trPr>
              <w:tc>
                <w:tcPr>
                  <w:tcW w:w="617" w:type="dxa"/>
                  <w:noWrap/>
                  <w:vAlign w:val="center"/>
                </w:tcPr>
                <w:p w14:paraId="723DF13F">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1841" w:type="dxa"/>
                  <w:noWrap/>
                  <w:vAlign w:val="center"/>
                </w:tcPr>
                <w:p w14:paraId="7F635D6B">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拟安排的项目负责人（仅限1人）情况</w:t>
                  </w:r>
                </w:p>
              </w:tc>
              <w:tc>
                <w:tcPr>
                  <w:tcW w:w="835" w:type="dxa"/>
                  <w:noWrap/>
                  <w:vAlign w:val="center"/>
                </w:tcPr>
                <w:p w14:paraId="3037C752">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867" w:type="dxa"/>
                  <w:noWrap/>
                  <w:vAlign w:val="center"/>
                </w:tcPr>
                <w:p w14:paraId="50D39678">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专家</w:t>
                  </w:r>
                </w:p>
                <w:p w14:paraId="5FC4DB33">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打分</w:t>
                  </w:r>
                </w:p>
              </w:tc>
              <w:tc>
                <w:tcPr>
                  <w:tcW w:w="5249" w:type="dxa"/>
                  <w:noWrap/>
                  <w:vAlign w:val="center"/>
                </w:tcPr>
                <w:p w14:paraId="73491BD0">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b/>
                      <w:bCs/>
                      <w:sz w:val="24"/>
                      <w:szCs w:val="24"/>
                    </w:rPr>
                  </w:pPr>
                  <w:r>
                    <w:rPr>
                      <w:rFonts w:hint="eastAsia" w:ascii="宋体" w:hAnsi="宋体" w:eastAsia="宋体" w:cs="宋体"/>
                      <w:b/>
                      <w:bCs/>
                      <w:sz w:val="24"/>
                      <w:szCs w:val="24"/>
                    </w:rPr>
                    <w:t>评审内容：</w:t>
                  </w:r>
                </w:p>
                <w:p w14:paraId="16997FEC">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eastAsia="宋体" w:cs="宋体"/>
                      <w:sz w:val="24"/>
                      <w:szCs w:val="24"/>
                    </w:rPr>
                    <w:t>拟派项目</w:t>
                  </w:r>
                  <w:r>
                    <w:rPr>
                      <w:rFonts w:hint="eastAsia" w:ascii="宋体" w:hAnsi="宋体" w:cs="宋体"/>
                      <w:sz w:val="24"/>
                      <w:szCs w:val="24"/>
                      <w:lang w:eastAsia="zh-CN"/>
                    </w:rPr>
                    <w:t>负责人</w:t>
                  </w:r>
                  <w:r>
                    <w:rPr>
                      <w:rFonts w:hint="eastAsia" w:ascii="宋体" w:hAnsi="宋体" w:eastAsia="宋体" w:cs="宋体"/>
                      <w:sz w:val="24"/>
                      <w:szCs w:val="24"/>
                    </w:rPr>
                    <w:t>须是投标单位员工【提供投标单位提供为其缴纳的近一个月社保证明】，在此基础上进行以下评审：</w:t>
                  </w:r>
                </w:p>
                <w:p w14:paraId="162C7326">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1、具备建筑工程类相关专业本科或以上学历得</w:t>
                  </w:r>
                  <w:r>
                    <w:rPr>
                      <w:rFonts w:hint="eastAsia" w:ascii="宋体" w:hAnsi="宋体" w:cs="宋体"/>
                      <w:sz w:val="24"/>
                      <w:szCs w:val="24"/>
                      <w:lang w:val="en-US" w:eastAsia="zh-CN"/>
                    </w:rPr>
                    <w:t>20</w:t>
                  </w:r>
                  <w:r>
                    <w:rPr>
                      <w:rFonts w:hint="eastAsia" w:ascii="宋体" w:hAnsi="宋体" w:eastAsia="宋体" w:cs="宋体"/>
                      <w:sz w:val="24"/>
                      <w:szCs w:val="24"/>
                      <w:lang w:val="en-US" w:eastAsia="zh-CN"/>
                    </w:rPr>
                    <w:t>%。</w:t>
                  </w:r>
                </w:p>
                <w:p w14:paraId="5E367C6F">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、具备二级或以上注册建造师证书（建筑工程专业）得</w:t>
                  </w:r>
                  <w:r>
                    <w:rPr>
                      <w:rFonts w:hint="eastAsia" w:ascii="宋体" w:hAnsi="宋体" w:cs="宋体"/>
                      <w:sz w:val="24"/>
                      <w:szCs w:val="24"/>
                      <w:lang w:val="en-US" w:eastAsia="zh-CN"/>
                    </w:rPr>
                    <w:t>20</w:t>
                  </w:r>
                  <w:r>
                    <w:rPr>
                      <w:rFonts w:hint="eastAsia" w:ascii="宋体" w:hAnsi="宋体" w:eastAsia="宋体" w:cs="宋体"/>
                      <w:sz w:val="24"/>
                      <w:szCs w:val="24"/>
                      <w:lang w:val="en-US" w:eastAsia="zh-CN"/>
                    </w:rPr>
                    <w:t>%。</w:t>
                  </w:r>
                </w:p>
                <w:p w14:paraId="5C48B42B">
                  <w:pPr>
                    <w:keepNext w:val="0"/>
                    <w:keepLines w:val="0"/>
                    <w:pageBreakBefore w:val="0"/>
                    <w:widowControl/>
                    <w:kinsoku/>
                    <w:wordWrap/>
                    <w:overflowPunct/>
                    <w:topLinePunct w:val="0"/>
                    <w:autoSpaceDE/>
                    <w:autoSpaceDN/>
                    <w:bidi w:val="0"/>
                    <w:adjustRightInd/>
                    <w:spacing w:line="360" w:lineRule="atLeas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、具备有效期内的安全生产考核合格证书得</w:t>
                  </w:r>
                  <w:r>
                    <w:rPr>
                      <w:rFonts w:hint="eastAsia" w:ascii="宋体" w:hAnsi="宋体" w:cs="宋体"/>
                      <w:sz w:val="24"/>
                      <w:szCs w:val="24"/>
                      <w:lang w:val="en-US" w:eastAsia="zh-CN"/>
                    </w:rPr>
                    <w:t>20</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w:t>
                  </w:r>
                </w:p>
                <w:p w14:paraId="730F89AB">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、项目经理202</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年01月01日至本项目投标截止之日止（以项目合同签订时间为准）具有拆除工程类业绩经验的，每提供1个得</w:t>
                  </w:r>
                  <w:r>
                    <w:rPr>
                      <w:rFonts w:hint="eastAsia" w:ascii="宋体" w:hAnsi="宋体" w:cs="宋体"/>
                      <w:sz w:val="24"/>
                      <w:szCs w:val="24"/>
                      <w:lang w:val="en-US" w:eastAsia="zh-CN"/>
                    </w:rPr>
                    <w:t>20</w:t>
                  </w:r>
                  <w:r>
                    <w:rPr>
                      <w:rFonts w:hint="eastAsia" w:ascii="宋体" w:hAnsi="宋体" w:eastAsia="宋体" w:cs="宋体"/>
                      <w:sz w:val="24"/>
                      <w:szCs w:val="24"/>
                      <w:lang w:val="en-US" w:eastAsia="zh-CN"/>
                    </w:rPr>
                    <w:t>%，最高得</w:t>
                  </w:r>
                  <w:r>
                    <w:rPr>
                      <w:rFonts w:hint="eastAsia" w:ascii="宋体" w:hAnsi="宋体" w:cs="宋体"/>
                      <w:sz w:val="24"/>
                      <w:szCs w:val="24"/>
                      <w:lang w:val="en-US" w:eastAsia="zh-CN"/>
                    </w:rPr>
                    <w:t>40</w:t>
                  </w:r>
                  <w:r>
                    <w:rPr>
                      <w:rFonts w:hint="eastAsia" w:ascii="宋体" w:hAnsi="宋体" w:eastAsia="宋体" w:cs="宋体"/>
                      <w:sz w:val="24"/>
                      <w:szCs w:val="24"/>
                      <w:lang w:val="en-US" w:eastAsia="zh-CN"/>
                    </w:rPr>
                    <w:t>%。</w:t>
                  </w:r>
                </w:p>
                <w:p w14:paraId="32D2D102">
                  <w:pPr>
                    <w:keepNext w:val="0"/>
                    <w:keepLines w:val="0"/>
                    <w:pageBreakBefore w:val="0"/>
                    <w:widowControl/>
                    <w:kinsoku/>
                    <w:wordWrap/>
                    <w:overflowPunct/>
                    <w:topLinePunct w:val="0"/>
                    <w:autoSpaceDE/>
                    <w:autoSpaceDN/>
                    <w:bidi w:val="0"/>
                    <w:adjustRightInd/>
                    <w:spacing w:line="360" w:lineRule="atLeas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以上累积得100%。</w:t>
                  </w:r>
                </w:p>
                <w:p w14:paraId="30EC97BD">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b/>
                      <w:bCs/>
                      <w:sz w:val="24"/>
                      <w:szCs w:val="24"/>
                    </w:rPr>
                  </w:pPr>
                  <w:r>
                    <w:rPr>
                      <w:rFonts w:hint="eastAsia" w:ascii="宋体" w:hAnsi="宋体" w:eastAsia="宋体" w:cs="宋体"/>
                      <w:b/>
                      <w:bCs/>
                      <w:sz w:val="24"/>
                      <w:szCs w:val="24"/>
                    </w:rPr>
                    <w:t>评分依据：</w:t>
                  </w:r>
                </w:p>
                <w:p w14:paraId="0040383A">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bCs/>
                      <w:color w:val="000000"/>
                      <w:kern w:val="0"/>
                      <w:sz w:val="24"/>
                      <w:szCs w:val="24"/>
                    </w:rPr>
                  </w:pPr>
                  <w:r>
                    <w:rPr>
                      <w:rFonts w:hint="eastAsia" w:ascii="宋体" w:hAnsi="宋体" w:eastAsia="宋体" w:cs="宋体"/>
                      <w:sz w:val="24"/>
                      <w:szCs w:val="24"/>
                    </w:rPr>
                    <w:t>1、</w:t>
                  </w:r>
                  <w:r>
                    <w:rPr>
                      <w:rFonts w:hint="eastAsia" w:ascii="宋体" w:hAnsi="宋体" w:eastAsia="宋体" w:cs="宋体"/>
                      <w:bCs/>
                      <w:color w:val="000000"/>
                      <w:kern w:val="0"/>
                      <w:sz w:val="24"/>
                      <w:szCs w:val="24"/>
                    </w:rPr>
                    <w:t>提供由投标单位为其缴交的载有社保部门公章的近一个月社保缴交证明材料，如开标日上一个月的社保材料因社保部门原因暂时无法取得，则可以往前顺延一个月，原件备查；</w:t>
                  </w:r>
                </w:p>
                <w:p w14:paraId="36FC94FB">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提供学历证书扫描件以及学信网查询记录。对于较早颁发的学历证书，学信网无法查询的，除要求提供证书扫描件，需要提供其他佐证材料（如毕业院校、人力资源和社会保障部等颁发机构或监管机构等单位出具的证明）作为得分依据；在海外留学并取得学历的，学信网无法查询的，可提供教育部留学服务中心出具的国外学历认证证书扫描件以及教育部留学服务中心官网查询截图作为得分依据。</w:t>
                  </w:r>
                </w:p>
                <w:p w14:paraId="7C9D072F">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提供</w:t>
                  </w:r>
                  <w:r>
                    <w:rPr>
                      <w:rFonts w:hint="eastAsia" w:ascii="宋体" w:hAnsi="宋体" w:eastAsia="宋体" w:cs="宋体"/>
                      <w:sz w:val="24"/>
                      <w:szCs w:val="24"/>
                      <w:lang w:val="en-US" w:eastAsia="zh-CN"/>
                    </w:rPr>
                    <w:t>有效的</w:t>
                  </w:r>
                  <w:r>
                    <w:rPr>
                      <w:rFonts w:hint="eastAsia" w:ascii="宋体" w:hAnsi="宋体" w:eastAsia="宋体" w:cs="宋体"/>
                      <w:sz w:val="24"/>
                      <w:szCs w:val="24"/>
                    </w:rPr>
                    <w:t>证书</w:t>
                  </w:r>
                  <w:r>
                    <w:rPr>
                      <w:rFonts w:hint="eastAsia" w:ascii="宋体" w:hAnsi="宋体" w:eastAsia="宋体" w:cs="宋体"/>
                      <w:sz w:val="24"/>
                      <w:szCs w:val="24"/>
                      <w:lang w:val="en-US" w:eastAsia="zh-CN"/>
                    </w:rPr>
                    <w:t>扫描件</w:t>
                  </w:r>
                  <w:r>
                    <w:rPr>
                      <w:rFonts w:hint="eastAsia" w:ascii="宋体" w:hAnsi="宋体" w:eastAsia="宋体" w:cs="宋体"/>
                      <w:sz w:val="24"/>
                      <w:szCs w:val="24"/>
                    </w:rPr>
                    <w:t>。</w:t>
                  </w:r>
                </w:p>
                <w:p w14:paraId="1D6AD655">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cs="宋体"/>
                      <w:sz w:val="24"/>
                      <w:szCs w:val="24"/>
                      <w:lang w:val="en-US" w:eastAsia="zh-CN"/>
                    </w:rPr>
                    <w:t>4、业绩经验</w:t>
                  </w:r>
                  <w:r>
                    <w:rPr>
                      <w:rFonts w:hint="eastAsia" w:ascii="宋体" w:hAnsi="宋体" w:eastAsia="宋体" w:cs="宋体"/>
                      <w:sz w:val="24"/>
                      <w:szCs w:val="24"/>
                    </w:rPr>
                    <w:t>提供合同关键页扫描件</w:t>
                  </w:r>
                  <w:r>
                    <w:rPr>
                      <w:rFonts w:hint="eastAsia" w:ascii="宋体" w:hAnsi="宋体" w:cs="宋体"/>
                      <w:sz w:val="24"/>
                      <w:szCs w:val="24"/>
                      <w:lang w:eastAsia="zh-CN"/>
                    </w:rPr>
                    <w:t>，需体现项目经理信息，如合同关键页无法体现的，可提供合同甲方盖章的证明文件。</w:t>
                  </w:r>
                  <w:r>
                    <w:rPr>
                      <w:rFonts w:hint="eastAsia" w:ascii="宋体" w:hAnsi="宋体" w:eastAsia="宋体" w:cs="宋体"/>
                      <w:sz w:val="24"/>
                      <w:szCs w:val="24"/>
                      <w:lang w:val="en-US" w:eastAsia="zh-CN"/>
                    </w:rPr>
                    <w:t>上述原件备查，</w:t>
                  </w:r>
                  <w:r>
                    <w:rPr>
                      <w:rFonts w:hint="eastAsia" w:ascii="宋体" w:hAnsi="宋体" w:eastAsia="宋体" w:cs="宋体"/>
                      <w:sz w:val="24"/>
                      <w:szCs w:val="24"/>
                    </w:rPr>
                    <w:t>未按要求提供或提供不清晰导致专家无法有效判断的不得分。</w:t>
                  </w:r>
                </w:p>
              </w:tc>
            </w:tr>
            <w:tr w14:paraId="71D7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CellSpacing w:w="0" w:type="dxa"/>
                <w:jc w:val="center"/>
              </w:trPr>
              <w:tc>
                <w:tcPr>
                  <w:tcW w:w="617" w:type="dxa"/>
                  <w:noWrap/>
                  <w:vAlign w:val="center"/>
                </w:tcPr>
                <w:p w14:paraId="6F0F89F7">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1841" w:type="dxa"/>
                  <w:noWrap/>
                  <w:vAlign w:val="center"/>
                </w:tcPr>
                <w:p w14:paraId="592A4E20">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拟配备项目团队成员情况</w:t>
                  </w:r>
                  <w:r>
                    <w:rPr>
                      <w:rFonts w:hint="eastAsia" w:ascii="宋体" w:hAnsi="宋体" w:cs="宋体"/>
                      <w:sz w:val="24"/>
                      <w:szCs w:val="24"/>
                      <w:lang w:eastAsia="zh-CN"/>
                    </w:rPr>
                    <w:t>（项目负责人除外）</w:t>
                  </w:r>
                </w:p>
              </w:tc>
              <w:tc>
                <w:tcPr>
                  <w:tcW w:w="835" w:type="dxa"/>
                  <w:noWrap/>
                  <w:vAlign w:val="center"/>
                </w:tcPr>
                <w:p w14:paraId="0C255034">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867" w:type="dxa"/>
                  <w:noWrap/>
                  <w:vAlign w:val="center"/>
                </w:tcPr>
                <w:p w14:paraId="43CC9864">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专家</w:t>
                  </w:r>
                </w:p>
                <w:p w14:paraId="4BD1BC96">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打分</w:t>
                  </w:r>
                </w:p>
              </w:tc>
              <w:tc>
                <w:tcPr>
                  <w:tcW w:w="5249" w:type="dxa"/>
                  <w:noWrap/>
                  <w:vAlign w:val="center"/>
                </w:tcPr>
                <w:p w14:paraId="22DCA7B5">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b/>
                      <w:sz w:val="24"/>
                      <w:szCs w:val="24"/>
                    </w:rPr>
                  </w:pPr>
                  <w:r>
                    <w:rPr>
                      <w:rFonts w:hint="eastAsia" w:ascii="宋体" w:hAnsi="宋体" w:eastAsia="宋体" w:cs="宋体"/>
                      <w:b/>
                      <w:sz w:val="24"/>
                      <w:szCs w:val="24"/>
                    </w:rPr>
                    <w:t>评审内容：</w:t>
                  </w:r>
                </w:p>
                <w:p w14:paraId="48228C0E">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eastAsia="宋体" w:cs="宋体"/>
                      <w:sz w:val="24"/>
                      <w:szCs w:val="24"/>
                    </w:rPr>
                    <w:t>根据投标人拟配备项目团队成员情况进行评审：</w:t>
                  </w:r>
                </w:p>
                <w:p w14:paraId="2EB34072">
                  <w:pPr>
                    <w:keepNext w:val="0"/>
                    <w:keepLines w:val="0"/>
                    <w:pageBreakBefore w:val="0"/>
                    <w:widowControl/>
                    <w:numPr>
                      <w:ilvl w:val="0"/>
                      <w:numId w:val="4"/>
                    </w:numPr>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eastAsia="宋体" w:cs="宋体"/>
                      <w:sz w:val="24"/>
                      <w:szCs w:val="24"/>
                    </w:rPr>
                    <w:t>团队成员中具有政府人力资源或人事部门颁发的</w:t>
                  </w:r>
                  <w:r>
                    <w:rPr>
                      <w:rFonts w:hint="eastAsia" w:ascii="宋体" w:hAnsi="宋体" w:eastAsia="宋体" w:cs="宋体"/>
                      <w:sz w:val="24"/>
                      <w:szCs w:val="24"/>
                      <w:lang w:val="en-US" w:eastAsia="zh-CN"/>
                    </w:rPr>
                    <w:t>建筑</w:t>
                  </w:r>
                  <w:r>
                    <w:rPr>
                      <w:rFonts w:hint="eastAsia" w:ascii="宋体" w:hAnsi="宋体" w:eastAsia="宋体" w:cs="宋体"/>
                      <w:sz w:val="24"/>
                      <w:szCs w:val="24"/>
                    </w:rPr>
                    <w:t>工程</w:t>
                  </w:r>
                  <w:r>
                    <w:rPr>
                      <w:rFonts w:hint="eastAsia" w:ascii="宋体" w:hAnsi="宋体" w:cs="宋体"/>
                      <w:sz w:val="24"/>
                      <w:szCs w:val="24"/>
                      <w:lang w:eastAsia="zh-CN"/>
                    </w:rPr>
                    <w:t>类</w:t>
                  </w:r>
                  <w:r>
                    <w:rPr>
                      <w:rFonts w:hint="eastAsia" w:ascii="宋体" w:hAnsi="宋体" w:eastAsia="宋体" w:cs="宋体"/>
                      <w:sz w:val="24"/>
                      <w:szCs w:val="24"/>
                    </w:rPr>
                    <w:t>中级或以上职称证书的，每提供一人得</w:t>
                  </w:r>
                  <w:r>
                    <w:rPr>
                      <w:rFonts w:hint="eastAsia" w:ascii="宋体" w:hAnsi="宋体" w:cs="宋体"/>
                      <w:sz w:val="24"/>
                      <w:szCs w:val="24"/>
                      <w:lang w:val="en-US" w:eastAsia="zh-CN"/>
                    </w:rPr>
                    <w:t>25</w:t>
                  </w:r>
                  <w:r>
                    <w:rPr>
                      <w:rFonts w:hint="eastAsia" w:ascii="宋体" w:hAnsi="宋体" w:eastAsia="宋体" w:cs="宋体"/>
                      <w:sz w:val="24"/>
                      <w:szCs w:val="24"/>
                    </w:rPr>
                    <w:t>%，最高得</w:t>
                  </w:r>
                  <w:r>
                    <w:rPr>
                      <w:rFonts w:hint="eastAsia" w:ascii="宋体" w:hAnsi="宋体" w:cs="宋体"/>
                      <w:sz w:val="24"/>
                      <w:szCs w:val="24"/>
                      <w:lang w:val="en-US" w:eastAsia="zh-CN"/>
                    </w:rPr>
                    <w:t>50</w:t>
                  </w:r>
                  <w:r>
                    <w:rPr>
                      <w:rFonts w:hint="eastAsia" w:ascii="宋体" w:hAnsi="宋体" w:eastAsia="宋体" w:cs="宋体"/>
                      <w:sz w:val="24"/>
                      <w:szCs w:val="24"/>
                    </w:rPr>
                    <w:t>%。</w:t>
                  </w:r>
                </w:p>
                <w:p w14:paraId="40CDF99C">
                  <w:pPr>
                    <w:pStyle w:val="2"/>
                    <w:rPr>
                      <w:rFonts w:hint="default" w:eastAsia="宋体"/>
                      <w:b w:val="0"/>
                      <w:bCs w:val="0"/>
                      <w:sz w:val="24"/>
                      <w:szCs w:val="24"/>
                      <w:lang w:val="en-US" w:eastAsia="zh-CN"/>
                    </w:rPr>
                  </w:pPr>
                  <w:r>
                    <w:rPr>
                      <w:rFonts w:hint="eastAsia" w:ascii="宋体" w:hAnsi="宋体" w:cs="宋体"/>
                      <w:b w:val="0"/>
                      <w:bCs w:val="0"/>
                      <w:sz w:val="24"/>
                      <w:szCs w:val="24"/>
                      <w:lang w:val="en-US" w:eastAsia="zh-CN"/>
                    </w:rPr>
                    <w:t>2、团队成员中同时具备施工员、材料员、安全员、质量员、资料员的得50%。提供不齐全或不满足要求的不得分。</w:t>
                  </w:r>
                </w:p>
                <w:p w14:paraId="277B0D76">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注：以上累计得分，最高得100%，同一人员符合多项要求的不重复得分，只计分值最高一项。</w:t>
                  </w:r>
                </w:p>
                <w:p w14:paraId="2B410EC1">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b/>
                      <w:sz w:val="24"/>
                      <w:szCs w:val="24"/>
                    </w:rPr>
                  </w:pPr>
                  <w:r>
                    <w:rPr>
                      <w:rFonts w:hint="eastAsia" w:ascii="宋体" w:hAnsi="宋体" w:eastAsia="宋体" w:cs="宋体"/>
                      <w:b/>
                      <w:sz w:val="24"/>
                      <w:szCs w:val="24"/>
                    </w:rPr>
                    <w:t>评分依据：</w:t>
                  </w:r>
                </w:p>
                <w:p w14:paraId="7FCAC60A">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bCs/>
                      <w:color w:val="000000"/>
                      <w:kern w:val="0"/>
                      <w:sz w:val="24"/>
                      <w:szCs w:val="24"/>
                    </w:rPr>
                  </w:pPr>
                  <w:r>
                    <w:rPr>
                      <w:rFonts w:hint="eastAsia" w:ascii="宋体" w:hAnsi="宋体" w:eastAsia="宋体" w:cs="宋体"/>
                      <w:sz w:val="24"/>
                      <w:szCs w:val="24"/>
                    </w:rPr>
                    <w:t>1.</w:t>
                  </w:r>
                  <w:r>
                    <w:rPr>
                      <w:rFonts w:hint="eastAsia" w:ascii="宋体" w:hAnsi="宋体" w:eastAsia="宋体" w:cs="宋体"/>
                      <w:bCs/>
                      <w:color w:val="000000"/>
                      <w:kern w:val="0"/>
                      <w:sz w:val="24"/>
                      <w:szCs w:val="24"/>
                    </w:rPr>
                    <w:t>提供由投标单位为其缴交的载有社保部门公章的近一个月社保缴交证明材料，如开标日上一个月的社保材料因社保部门原因暂时无法取得，则可以往前顺延一个月，原件备查；</w:t>
                  </w:r>
                </w:p>
                <w:p w14:paraId="306F968F">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eastAsia="宋体" w:cs="宋体"/>
                      <w:sz w:val="24"/>
                      <w:szCs w:val="24"/>
                    </w:rPr>
                    <w:t>2、提供上述人员的有效的证书扫描件，原件备查。评分中出现无证明资料或专家无法凭所提供资料判断是否得分的情况，一律作不得分处理。</w:t>
                  </w:r>
                </w:p>
              </w:tc>
            </w:tr>
            <w:tr w14:paraId="388B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CellSpacing w:w="0" w:type="dxa"/>
                <w:jc w:val="center"/>
              </w:trPr>
              <w:tc>
                <w:tcPr>
                  <w:tcW w:w="617" w:type="dxa"/>
                  <w:noWrap/>
                  <w:vAlign w:val="center"/>
                </w:tcPr>
                <w:p w14:paraId="5E3937B5">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1841" w:type="dxa"/>
                  <w:noWrap/>
                  <w:vAlign w:val="center"/>
                </w:tcPr>
                <w:p w14:paraId="432DFEE7">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诚信管理情况</w:t>
                  </w:r>
                </w:p>
              </w:tc>
              <w:tc>
                <w:tcPr>
                  <w:tcW w:w="835" w:type="dxa"/>
                  <w:noWrap/>
                  <w:vAlign w:val="center"/>
                </w:tcPr>
                <w:p w14:paraId="2CAA831C">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867" w:type="dxa"/>
                  <w:noWrap/>
                  <w:vAlign w:val="center"/>
                </w:tcPr>
                <w:p w14:paraId="26EAAE55">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专家</w:t>
                  </w:r>
                </w:p>
                <w:p w14:paraId="0030FB11">
                  <w:pPr>
                    <w:keepNext w:val="0"/>
                    <w:keepLines w:val="0"/>
                    <w:pageBreakBefore w:val="0"/>
                    <w:widowControl/>
                    <w:kinsoku/>
                    <w:wordWrap/>
                    <w:overflowPunct/>
                    <w:topLinePunct w:val="0"/>
                    <w:autoSpaceDE/>
                    <w:autoSpaceDN/>
                    <w:bidi w:val="0"/>
                    <w:adjustRightInd/>
                    <w:snapToGrid w:val="0"/>
                    <w:spacing w:line="36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w:t>打分</w:t>
                  </w:r>
                </w:p>
              </w:tc>
              <w:tc>
                <w:tcPr>
                  <w:tcW w:w="5249" w:type="dxa"/>
                  <w:noWrap/>
                  <w:vAlign w:val="top"/>
                </w:tcPr>
                <w:p w14:paraId="4BA6A447">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b/>
                      <w:bCs/>
                      <w:sz w:val="24"/>
                      <w:szCs w:val="24"/>
                    </w:rPr>
                  </w:pPr>
                  <w:r>
                    <w:rPr>
                      <w:rFonts w:hint="eastAsia" w:ascii="宋体" w:hAnsi="宋体" w:eastAsia="宋体" w:cs="宋体"/>
                      <w:b/>
                      <w:bCs/>
                      <w:sz w:val="24"/>
                      <w:szCs w:val="24"/>
                    </w:rPr>
                    <w:t>评审内容：</w:t>
                  </w:r>
                </w:p>
                <w:p w14:paraId="7710D32C">
                  <w:pPr>
                    <w:keepNext w:val="0"/>
                    <w:keepLines w:val="0"/>
                    <w:pageBreakBefore w:val="0"/>
                    <w:widowControl/>
                    <w:kinsoku/>
                    <w:wordWrap/>
                    <w:overflowPunct/>
                    <w:topLinePunct w:val="0"/>
                    <w:autoSpaceDE/>
                    <w:autoSpaceDN/>
                    <w:bidi w:val="0"/>
                    <w:adjustRightInd/>
                    <w:spacing w:line="360" w:lineRule="atLeast"/>
                    <w:textAlignment w:val="auto"/>
                    <w:rPr>
                      <w:rFonts w:hint="eastAsia" w:ascii="宋体" w:hAnsi="宋体" w:eastAsia="宋体" w:cs="宋体"/>
                      <w:sz w:val="24"/>
                      <w:szCs w:val="24"/>
                    </w:rPr>
                  </w:pPr>
                  <w:r>
                    <w:rPr>
                      <w:rFonts w:hint="eastAsia" w:ascii="宋体" w:hAnsi="宋体" w:eastAsia="宋体" w:cs="宋体"/>
                      <w:sz w:val="24"/>
                      <w:szCs w:val="24"/>
                    </w:rPr>
                    <w:t>投标人在参与政府采购活动中存在诚信相关问题且在主管部门相关处理措施实施期限内的本项不得分，否则得满分。投标人无需提供任何证明材料，由工作人员向评审委员会提供相关信息。</w:t>
                  </w:r>
                </w:p>
              </w:tc>
            </w:tr>
          </w:tbl>
          <w:p w14:paraId="5DC7E79C">
            <w:pPr>
              <w:spacing w:line="360" w:lineRule="auto"/>
              <w:rPr>
                <w:rFonts w:hint="eastAsia" w:ascii="宋体" w:hAnsi="宋体" w:eastAsia="宋体" w:cs="宋体"/>
                <w:sz w:val="24"/>
                <w:szCs w:val="24"/>
              </w:rPr>
            </w:pPr>
          </w:p>
          <w:p w14:paraId="0A80422F">
            <w:pPr>
              <w:spacing w:line="360" w:lineRule="auto"/>
              <w:rPr>
                <w:rFonts w:hint="eastAsia" w:ascii="宋体" w:hAnsi="宋体" w:eastAsia="宋体" w:cs="宋体"/>
                <w:sz w:val="24"/>
                <w:szCs w:val="24"/>
              </w:rPr>
            </w:pPr>
            <w:r>
              <w:rPr>
                <w:rFonts w:hint="eastAsia" w:ascii="宋体" w:hAnsi="宋体" w:eastAsia="宋体" w:cs="宋体"/>
                <w:sz w:val="24"/>
                <w:szCs w:val="24"/>
              </w:rPr>
              <w:t>备注：</w:t>
            </w:r>
          </w:p>
          <w:p w14:paraId="0B0BE9AF">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1.每一项的得分均不能超过该项最高分值。</w:t>
            </w:r>
          </w:p>
          <w:p w14:paraId="4BAEE850">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2.缺项则该项为0分或不合格为0分。</w:t>
            </w:r>
          </w:p>
          <w:p w14:paraId="323F3DBE">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3.价格、技术、综合实力部分为针对项目具体情况设置项目，累加满分为100分。</w:t>
            </w:r>
          </w:p>
          <w:p w14:paraId="48E32245">
            <w:pPr>
              <w:spacing w:line="360" w:lineRule="auto"/>
              <w:ind w:firstLine="484" w:firstLineChars="202"/>
              <w:rPr>
                <w:rFonts w:hint="eastAsia" w:ascii="宋体" w:hAnsi="宋体" w:eastAsia="宋体" w:cs="宋体"/>
                <w:snapToGrid w:val="0"/>
                <w:sz w:val="24"/>
                <w:szCs w:val="24"/>
              </w:rPr>
            </w:pPr>
            <w:r>
              <w:rPr>
                <w:rFonts w:hint="eastAsia" w:ascii="宋体" w:hAnsi="宋体" w:eastAsia="宋体" w:cs="宋体"/>
                <w:sz w:val="24"/>
                <w:szCs w:val="24"/>
              </w:rPr>
              <w:t>4.综合以上</w:t>
            </w:r>
            <w:r>
              <w:rPr>
                <w:rFonts w:hint="eastAsia" w:ascii="宋体" w:hAnsi="宋体" w:eastAsia="宋体" w:cs="宋体"/>
                <w:snapToGrid w:val="0"/>
                <w:sz w:val="24"/>
                <w:szCs w:val="24"/>
              </w:rPr>
              <w:t>分析比较，评委会将对各投标文件进行书面的量化评定，得分精确到小数点后两位。</w:t>
            </w:r>
          </w:p>
          <w:p w14:paraId="7C25C81E">
            <w:pPr>
              <w:spacing w:line="360" w:lineRule="auto"/>
              <w:ind w:firstLine="484" w:firstLineChars="202"/>
              <w:rPr>
                <w:rFonts w:hint="eastAsia" w:ascii="宋体" w:hAnsi="宋体" w:eastAsia="宋体" w:cs="宋体"/>
                <w:bCs/>
                <w:color w:val="000000"/>
                <w:sz w:val="24"/>
                <w:szCs w:val="24"/>
              </w:rPr>
            </w:pPr>
            <w:r>
              <w:rPr>
                <w:rFonts w:hint="eastAsia" w:ascii="宋体" w:hAnsi="宋体" w:eastAsia="宋体" w:cs="宋体"/>
                <w:bCs/>
                <w:color w:val="000000"/>
                <w:sz w:val="24"/>
                <w:szCs w:val="24"/>
              </w:rPr>
              <w:t>5.客观评分项，所有评审专家应当统一打分分值；主观评分项，评审专家应当按照打分标准独立打分，对于方案评审</w:t>
            </w:r>
            <w:r>
              <w:rPr>
                <w:rFonts w:hint="eastAsia" w:ascii="宋体" w:hAnsi="宋体" w:eastAsia="宋体" w:cs="宋体"/>
                <w:sz w:val="24"/>
                <w:szCs w:val="24"/>
              </w:rPr>
              <w:t>为差的</w:t>
            </w:r>
            <w:r>
              <w:rPr>
                <w:rFonts w:hint="eastAsia" w:ascii="宋体" w:hAnsi="宋体" w:eastAsia="宋体" w:cs="宋体"/>
                <w:bCs/>
                <w:color w:val="000000"/>
                <w:sz w:val="24"/>
                <w:szCs w:val="24"/>
              </w:rPr>
              <w:t>，评审专家需要做出书面合理说明。</w:t>
            </w:r>
          </w:p>
          <w:p w14:paraId="6CED24AE">
            <w:pPr>
              <w:spacing w:line="360" w:lineRule="auto"/>
              <w:ind w:firstLine="484" w:firstLineChars="202"/>
              <w:jc w:val="left"/>
              <w:rPr>
                <w:rFonts w:hint="eastAsia" w:ascii="宋体" w:hAnsi="宋体" w:eastAsia="宋体" w:cs="宋体"/>
                <w:sz w:val="24"/>
                <w:szCs w:val="24"/>
                <w:lang w:val="en-US" w:eastAsia="zh-CN"/>
              </w:rPr>
            </w:pPr>
            <w:bookmarkStart w:id="0" w:name="_Hlk14428026"/>
            <w:r>
              <w:rPr>
                <w:rFonts w:hint="eastAsia" w:ascii="宋体" w:hAnsi="宋体" w:eastAsia="宋体" w:cs="宋体"/>
                <w:bCs/>
                <w:color w:val="000000"/>
                <w:sz w:val="24"/>
                <w:szCs w:val="24"/>
              </w:rPr>
              <w:t>6.供应商信用信息的查询渠道为“信用中国（https://www.creditchina.gov.cn/）”、“中国政府采购网（http://www.ccgp.gov.cn/）”、“深圳市政府采购监管网（http://www.zfcg.sz.gov.cn/）”，</w:t>
            </w:r>
            <w:r>
              <w:rPr>
                <w:rFonts w:hint="eastAsia" w:ascii="宋体" w:hAnsi="宋体" w:eastAsia="宋体" w:cs="宋体"/>
                <w:bCs/>
                <w:color w:val="000000" w:themeColor="text1"/>
                <w:sz w:val="24"/>
                <w:szCs w:val="24"/>
                <w:lang w:eastAsia="zh-CN"/>
                <w14:textFill>
                  <w14:solidFill>
                    <w14:schemeClr w14:val="tx1"/>
                  </w14:solidFill>
                </w14:textFill>
              </w:rPr>
              <w:t>深圳信用网</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（www.szcredit.org.cn）</w:t>
            </w:r>
            <w:r>
              <w:rPr>
                <w:rFonts w:hint="eastAsia" w:ascii="宋体" w:hAnsi="宋体" w:eastAsia="宋体" w:cs="宋体"/>
                <w:bCs/>
                <w:color w:val="000000"/>
                <w:sz w:val="24"/>
                <w:szCs w:val="24"/>
              </w:rPr>
              <w:t>相关信息以开标当天的查询结果为准。</w:t>
            </w:r>
            <w:bookmarkEnd w:id="0"/>
          </w:p>
        </w:tc>
      </w:tr>
    </w:tbl>
    <w:p w14:paraId="75A49BF0">
      <w:pPr>
        <w:rPr>
          <w:rFonts w:hint="eastAsia" w:ascii="宋体" w:hAnsi="宋体" w:eastAsia="宋体" w:cs="宋体"/>
          <w:vanish/>
        </w:rPr>
      </w:pPr>
    </w:p>
    <w:p w14:paraId="025FEE28">
      <w:pPr>
        <w:pStyle w:val="4"/>
        <w:rPr>
          <w:rFonts w:hint="eastAsia" w:ascii="宋体" w:hAnsi="宋体" w:eastAsia="宋体" w:cs="宋体"/>
          <w:sz w:val="40"/>
          <w:szCs w:val="40"/>
        </w:rPr>
      </w:pPr>
      <w:r>
        <w:rPr>
          <w:rFonts w:hint="eastAsia" w:ascii="宋体" w:hAnsi="宋体" w:eastAsia="宋体" w:cs="宋体"/>
        </w:rPr>
        <w:br w:type="page"/>
      </w:r>
      <w:r>
        <w:rPr>
          <w:rFonts w:hint="eastAsia" w:ascii="宋体" w:hAnsi="宋体" w:eastAsia="宋体" w:cs="宋体"/>
          <w:sz w:val="40"/>
          <w:szCs w:val="40"/>
        </w:rPr>
        <w:t>招标书目录</w:t>
      </w:r>
    </w:p>
    <w:p w14:paraId="73CF93D5">
      <w:pPr>
        <w:pStyle w:val="77"/>
        <w:spacing w:line="480" w:lineRule="auto"/>
        <w:jc w:val="center"/>
        <w:rPr>
          <w:rFonts w:hint="eastAsia" w:ascii="宋体" w:hAnsi="宋体" w:eastAsia="宋体" w:cs="宋体"/>
          <w:b/>
        </w:rPr>
      </w:pPr>
      <w:r>
        <w:rPr>
          <w:rFonts w:hint="eastAsia" w:ascii="宋体" w:hAnsi="宋体" w:eastAsia="宋体" w:cs="宋体"/>
          <w:b/>
        </w:rPr>
        <w:t>第一册  专用条款</w:t>
      </w:r>
    </w:p>
    <w:p w14:paraId="4676F45D">
      <w:pPr>
        <w:pStyle w:val="77"/>
        <w:numPr>
          <w:ilvl w:val="0"/>
          <w:numId w:val="5"/>
        </w:numPr>
        <w:spacing w:line="480" w:lineRule="auto"/>
        <w:rPr>
          <w:rFonts w:hint="eastAsia" w:ascii="宋体" w:hAnsi="宋体" w:eastAsia="宋体" w:cs="宋体"/>
        </w:rPr>
      </w:pPr>
      <w:r>
        <w:rPr>
          <w:rFonts w:hint="eastAsia" w:ascii="宋体" w:hAnsi="宋体" w:eastAsia="宋体" w:cs="宋体"/>
        </w:rPr>
        <w:t xml:space="preserve"> 招标公告</w:t>
      </w:r>
    </w:p>
    <w:p w14:paraId="4B6A9B1A">
      <w:pPr>
        <w:pStyle w:val="77"/>
        <w:numPr>
          <w:ilvl w:val="0"/>
          <w:numId w:val="5"/>
        </w:numPr>
        <w:spacing w:line="480" w:lineRule="auto"/>
        <w:rPr>
          <w:rFonts w:hint="eastAsia" w:ascii="宋体" w:hAnsi="宋体" w:eastAsia="宋体" w:cs="宋体"/>
        </w:rPr>
      </w:pPr>
      <w:r>
        <w:rPr>
          <w:rFonts w:hint="eastAsia" w:ascii="宋体" w:hAnsi="宋体" w:eastAsia="宋体" w:cs="宋体"/>
        </w:rPr>
        <w:t>对通用条款的补充内容及其他关键信息</w:t>
      </w:r>
    </w:p>
    <w:p w14:paraId="7EA013CF">
      <w:pPr>
        <w:pStyle w:val="77"/>
        <w:spacing w:line="480" w:lineRule="auto"/>
        <w:rPr>
          <w:rFonts w:hint="eastAsia" w:ascii="宋体" w:hAnsi="宋体" w:eastAsia="宋体" w:cs="宋体"/>
        </w:rPr>
      </w:pPr>
      <w:r>
        <w:rPr>
          <w:rFonts w:hint="eastAsia" w:ascii="宋体" w:hAnsi="宋体" w:eastAsia="宋体" w:cs="宋体"/>
        </w:rPr>
        <w:t>第三章  招标项目需求</w:t>
      </w:r>
    </w:p>
    <w:p w14:paraId="68043B1D">
      <w:pPr>
        <w:pStyle w:val="77"/>
        <w:spacing w:line="480" w:lineRule="auto"/>
        <w:rPr>
          <w:rFonts w:hint="eastAsia" w:ascii="宋体" w:hAnsi="宋体" w:eastAsia="宋体" w:cs="宋体"/>
        </w:rPr>
      </w:pPr>
      <w:r>
        <w:rPr>
          <w:rFonts w:hint="eastAsia" w:ascii="宋体" w:hAnsi="宋体" w:eastAsia="宋体" w:cs="宋体"/>
        </w:rPr>
        <w:t>第四章  投标文件格式、附件</w:t>
      </w:r>
    </w:p>
    <w:p w14:paraId="76674E2E">
      <w:pPr>
        <w:spacing w:line="480" w:lineRule="auto"/>
        <w:jc w:val="center"/>
        <w:rPr>
          <w:rFonts w:hint="eastAsia" w:ascii="宋体" w:hAnsi="宋体" w:eastAsia="宋体" w:cs="宋体"/>
          <w:b/>
          <w:sz w:val="24"/>
        </w:rPr>
      </w:pPr>
      <w:r>
        <w:rPr>
          <w:rFonts w:hint="eastAsia" w:ascii="宋体" w:hAnsi="宋体" w:eastAsia="宋体" w:cs="宋体"/>
          <w:b/>
          <w:sz w:val="24"/>
        </w:rPr>
        <w:t>第二册  通用条款</w:t>
      </w:r>
    </w:p>
    <w:p w14:paraId="4B529C17">
      <w:pPr>
        <w:rPr>
          <w:rFonts w:hint="eastAsia" w:ascii="宋体" w:hAnsi="宋体" w:eastAsia="宋体" w:cs="宋体"/>
          <w:b/>
          <w:sz w:val="24"/>
        </w:rPr>
      </w:pPr>
    </w:p>
    <w:p w14:paraId="7EDB6B77">
      <w:pPr>
        <w:pStyle w:val="77"/>
        <w:spacing w:line="480" w:lineRule="auto"/>
        <w:rPr>
          <w:rFonts w:hint="eastAsia" w:ascii="宋体" w:hAnsi="宋体" w:eastAsia="宋体" w:cs="宋体"/>
        </w:rPr>
      </w:pPr>
      <w:r>
        <w:rPr>
          <w:rFonts w:hint="eastAsia" w:ascii="宋体" w:hAnsi="宋体" w:eastAsia="宋体" w:cs="宋体"/>
        </w:rPr>
        <w:t>第一章  投标文件的编制</w:t>
      </w:r>
    </w:p>
    <w:p w14:paraId="11137181">
      <w:pPr>
        <w:pStyle w:val="77"/>
        <w:spacing w:line="480" w:lineRule="auto"/>
        <w:rPr>
          <w:rFonts w:hint="eastAsia" w:ascii="宋体" w:hAnsi="宋体" w:eastAsia="宋体" w:cs="宋体"/>
        </w:rPr>
      </w:pPr>
      <w:r>
        <w:rPr>
          <w:rFonts w:hint="eastAsia" w:ascii="宋体" w:hAnsi="宋体" w:eastAsia="宋体" w:cs="宋体"/>
        </w:rPr>
        <w:t>第二章  投标文件的递交</w:t>
      </w:r>
    </w:p>
    <w:p w14:paraId="3D6844DC">
      <w:pPr>
        <w:pStyle w:val="77"/>
        <w:spacing w:line="480" w:lineRule="auto"/>
        <w:rPr>
          <w:rFonts w:hint="eastAsia" w:ascii="宋体" w:hAnsi="宋体" w:eastAsia="宋体" w:cs="宋体"/>
        </w:rPr>
      </w:pPr>
      <w:r>
        <w:rPr>
          <w:rFonts w:hint="eastAsia" w:ascii="宋体" w:hAnsi="宋体" w:eastAsia="宋体" w:cs="宋体"/>
        </w:rPr>
        <w:t>第三章  开标前、开标与评标</w:t>
      </w:r>
    </w:p>
    <w:p w14:paraId="75F9DF76">
      <w:pPr>
        <w:pStyle w:val="77"/>
        <w:spacing w:line="480" w:lineRule="auto"/>
        <w:rPr>
          <w:rFonts w:hint="eastAsia" w:ascii="宋体" w:hAnsi="宋体" w:eastAsia="宋体" w:cs="宋体"/>
        </w:rPr>
      </w:pPr>
      <w:r>
        <w:rPr>
          <w:rFonts w:hint="eastAsia" w:ascii="宋体" w:hAnsi="宋体" w:eastAsia="宋体" w:cs="宋体"/>
        </w:rPr>
        <w:t>第四章  异议的提出与答复</w:t>
      </w:r>
    </w:p>
    <w:p w14:paraId="6F9CCBE3">
      <w:pPr>
        <w:pStyle w:val="77"/>
        <w:spacing w:line="480" w:lineRule="auto"/>
        <w:rPr>
          <w:rFonts w:hint="eastAsia" w:ascii="宋体" w:hAnsi="宋体" w:eastAsia="宋体" w:cs="宋体"/>
        </w:rPr>
      </w:pPr>
      <w:r>
        <w:rPr>
          <w:rFonts w:hint="eastAsia" w:ascii="宋体" w:hAnsi="宋体" w:eastAsia="宋体" w:cs="宋体"/>
        </w:rPr>
        <w:t>第五章  授予合同</w:t>
      </w:r>
    </w:p>
    <w:p w14:paraId="55231A15">
      <w:pPr>
        <w:pStyle w:val="77"/>
        <w:spacing w:line="480" w:lineRule="auto"/>
        <w:rPr>
          <w:rFonts w:hint="eastAsia" w:ascii="宋体" w:hAnsi="宋体" w:eastAsia="宋体" w:cs="宋体"/>
        </w:rPr>
      </w:pPr>
      <w:r>
        <w:rPr>
          <w:rFonts w:hint="eastAsia" w:ascii="宋体" w:hAnsi="宋体" w:eastAsia="宋体" w:cs="宋体"/>
        </w:rPr>
        <w:t>第六章  其他</w:t>
      </w:r>
    </w:p>
    <w:p w14:paraId="7EE47AEB">
      <w:pPr>
        <w:jc w:val="center"/>
        <w:rPr>
          <w:rFonts w:hint="eastAsia" w:ascii="宋体" w:hAnsi="宋体" w:eastAsia="宋体" w:cs="宋体"/>
        </w:rPr>
      </w:pPr>
      <w:r>
        <w:rPr>
          <w:rFonts w:hint="eastAsia" w:ascii="宋体" w:hAnsi="宋体" w:eastAsia="宋体" w:cs="宋体"/>
          <w:b/>
          <w:sz w:val="28"/>
          <w:szCs w:val="28"/>
        </w:rPr>
        <w:br w:type="page"/>
      </w:r>
      <w:r>
        <w:rPr>
          <w:rFonts w:hint="eastAsia" w:ascii="宋体" w:hAnsi="宋体" w:eastAsia="宋体" w:cs="宋体"/>
          <w:b/>
          <w:sz w:val="28"/>
          <w:szCs w:val="28"/>
        </w:rPr>
        <w:t>第一册  专用条款</w:t>
      </w:r>
    </w:p>
    <w:p w14:paraId="0DCAFE04">
      <w:pPr>
        <w:pStyle w:val="5"/>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第一章  招标公告</w:t>
      </w:r>
    </w:p>
    <w:p w14:paraId="5464861C">
      <w:pPr>
        <w:keepNext/>
        <w:keepLines/>
        <w:pageBreakBefore w:val="0"/>
        <w:widowControl w:val="0"/>
        <w:kinsoku/>
        <w:wordWrap/>
        <w:overflowPunct/>
        <w:topLinePunct w:val="0"/>
        <w:autoSpaceDE/>
        <w:autoSpaceDN/>
        <w:bidi w:val="0"/>
        <w:adjustRightInd/>
        <w:snapToGrid/>
        <w:spacing w:before="260" w:after="260" w:line="360" w:lineRule="auto"/>
        <w:ind w:left="0" w:leftChars="0" w:firstLine="482" w:firstLineChars="200"/>
        <w:jc w:val="both"/>
        <w:textAlignment w:val="auto"/>
        <w:outlineLvl w:val="1"/>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一、项目基本情况</w:t>
      </w:r>
    </w:p>
    <w:p w14:paraId="1133053A">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深圳市工人文化宫（沙头角体育馆改造）项目建（构）筑物拆除工程</w:t>
      </w:r>
    </w:p>
    <w:p w14:paraId="79A0095A">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lang w:val="en-US" w:eastAsia="zh-CN"/>
        </w:rPr>
        <w:t>1284602.71</w:t>
      </w:r>
      <w:r>
        <w:rPr>
          <w:rFonts w:hint="eastAsia" w:ascii="宋体" w:hAnsi="宋体" w:eastAsia="宋体" w:cs="宋体"/>
          <w:color w:val="auto"/>
          <w:sz w:val="24"/>
          <w:szCs w:val="24"/>
          <w:highlight w:val="none"/>
        </w:rPr>
        <w:t>元</w:t>
      </w:r>
    </w:p>
    <w:p w14:paraId="78BB1FF9">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最高限价：1284602.71元</w:t>
      </w:r>
    </w:p>
    <w:p w14:paraId="4A110F78">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color w:val="auto"/>
          <w:sz w:val="24"/>
          <w:szCs w:val="24"/>
          <w:highlight w:val="none"/>
        </w:rPr>
        <w:t>采购需求：</w:t>
      </w:r>
      <w:r>
        <w:rPr>
          <w:rFonts w:hint="eastAsia" w:ascii="宋体" w:hAnsi="宋体" w:cs="宋体"/>
          <w:color w:val="auto"/>
          <w:sz w:val="24"/>
          <w:szCs w:val="24"/>
          <w:highlight w:val="none"/>
          <w:lang w:eastAsia="zh-CN"/>
        </w:rPr>
        <w:t>本工程</w:t>
      </w:r>
      <w:r>
        <w:rPr>
          <w:rFonts w:hint="eastAsia" w:hAnsi="宋体"/>
          <w:sz w:val="24"/>
          <w:szCs w:val="24"/>
        </w:rPr>
        <w:t>位于广东省深圳市盐田区沙头角街道海涛路33 号，</w:t>
      </w:r>
      <w:r>
        <w:rPr>
          <w:rFonts w:hint="eastAsia" w:hAnsi="宋体"/>
          <w:sz w:val="24"/>
          <w:szCs w:val="24"/>
          <w:lang w:eastAsia="zh-CN"/>
        </w:rPr>
        <w:t>需</w:t>
      </w:r>
      <w:r>
        <w:rPr>
          <w:rFonts w:hint="eastAsia" w:hAnsi="宋体"/>
          <w:sz w:val="24"/>
          <w:szCs w:val="24"/>
        </w:rPr>
        <w:t>拆除现有</w:t>
      </w:r>
      <w:r>
        <w:rPr>
          <w:rFonts w:hint="eastAsia" w:hAnsi="宋体"/>
          <w:sz w:val="24"/>
          <w:szCs w:val="24"/>
          <w:lang w:eastAsia="zh-CN"/>
        </w:rPr>
        <w:t>沙头角体育馆</w:t>
      </w:r>
      <w:r>
        <w:rPr>
          <w:rFonts w:hint="eastAsia" w:hAnsi="宋体"/>
          <w:sz w:val="24"/>
          <w:szCs w:val="24"/>
        </w:rPr>
        <w:t>。项目占地面积约</w:t>
      </w:r>
      <w:r>
        <w:rPr>
          <w:rFonts w:hint="eastAsia" w:hAnsi="宋体"/>
          <w:sz w:val="24"/>
          <w:szCs w:val="24"/>
          <w:lang w:val="en-US" w:eastAsia="zh-CN"/>
        </w:rPr>
        <w:t>4493.91</w:t>
      </w:r>
      <w:r>
        <w:rPr>
          <w:rFonts w:hint="eastAsia" w:hAnsi="宋体"/>
          <w:sz w:val="24"/>
          <w:szCs w:val="24"/>
        </w:rPr>
        <w:t>平方米，拆迁建筑物面积约</w:t>
      </w:r>
      <w:r>
        <w:rPr>
          <w:rFonts w:hint="eastAsia" w:hAnsi="宋体"/>
          <w:sz w:val="24"/>
          <w:szCs w:val="24"/>
          <w:lang w:eastAsia="zh-CN"/>
        </w:rPr>
        <w:t>5864.76</w:t>
      </w:r>
      <w:r>
        <w:rPr>
          <w:rFonts w:hint="eastAsia" w:hAnsi="宋体"/>
          <w:sz w:val="24"/>
          <w:szCs w:val="24"/>
        </w:rPr>
        <w:t xml:space="preserve"> 平方米，涉及建筑物1栋，框架、钢结构，球场区地上层高(含夹层)21.5 米，非球场区地上层高 17.4 米。</w:t>
      </w:r>
    </w:p>
    <w:p w14:paraId="30E7ABD2">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合同履行期限：</w:t>
      </w:r>
      <w:r>
        <w:rPr>
          <w:rFonts w:hint="eastAsia" w:ascii="宋体" w:hAnsi="宋体" w:cs="宋体"/>
          <w:color w:val="auto"/>
          <w:sz w:val="24"/>
          <w:szCs w:val="24"/>
          <w:highlight w:val="none"/>
          <w:lang w:val="en-US" w:eastAsia="zh-CN"/>
        </w:rPr>
        <w:t>详见招标文件</w:t>
      </w:r>
      <w:r>
        <w:rPr>
          <w:rFonts w:hint="eastAsia" w:ascii="宋体" w:hAnsi="宋体" w:eastAsia="宋体" w:cs="宋体"/>
          <w:color w:val="auto"/>
          <w:sz w:val="24"/>
          <w:szCs w:val="24"/>
          <w:highlight w:val="none"/>
          <w:lang w:eastAsia="zh-CN"/>
        </w:rPr>
        <w:t>。</w:t>
      </w:r>
    </w:p>
    <w:p w14:paraId="7D35B0A3">
      <w:pPr>
        <w:keepNext/>
        <w:keepLines/>
        <w:pageBreakBefore w:val="0"/>
        <w:widowControl w:val="0"/>
        <w:kinsoku/>
        <w:wordWrap/>
        <w:overflowPunct/>
        <w:topLinePunct w:val="0"/>
        <w:autoSpaceDE/>
        <w:autoSpaceDN/>
        <w:bidi w:val="0"/>
        <w:adjustRightInd/>
        <w:snapToGrid/>
        <w:spacing w:before="260" w:after="260" w:line="360" w:lineRule="auto"/>
        <w:ind w:left="0" w:leftChars="0" w:firstLine="482" w:firstLineChars="200"/>
        <w:jc w:val="both"/>
        <w:textAlignment w:val="auto"/>
        <w:outlineLvl w:val="1"/>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二、供应商的资格要求</w:t>
      </w:r>
    </w:p>
    <w:p w14:paraId="30B7C249">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具有独立法人资格或是具有独立承担民事责任能力的其它组织（提供营业执照或事业单位法人证书等证明资料扫描件）；</w:t>
      </w:r>
    </w:p>
    <w:p w14:paraId="1F1784AD">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2、具备建筑工程施工总承包三级或以上资质（提供有效的证书扫描件）；</w:t>
      </w:r>
    </w:p>
    <w:p w14:paraId="18CC44A2">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3、具备建设主管部门颁发的安全生产许可证（提供有效的证书扫描件）；</w:t>
      </w:r>
    </w:p>
    <w:p w14:paraId="214DB7BE">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本项目不接受联合体投标,不允许分包、转包；</w:t>
      </w:r>
    </w:p>
    <w:p w14:paraId="173683DC">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、参与本项目投标前三年内，在经营活动中没有重大违法记录（由供应商在《政府采购投标及履约承诺函》中作出声明）；</w:t>
      </w:r>
    </w:p>
    <w:p w14:paraId="1D896845">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、参与本项目政府采购活动时不存在被有关部门禁止参与政府采购活动且在有效期内的情况（由供应商在《政府采购投标及履约承诺函》中作出声明）；</w:t>
      </w:r>
    </w:p>
    <w:p w14:paraId="3E710A14">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、具备《中华人民共和国政府采购法》第二十二条第一款的条件（由供应商在《政府采购投标及履约承诺函》中作出声明）；</w:t>
      </w:r>
    </w:p>
    <w:p w14:paraId="2682AC30">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、未被列入失信被执行人、重大税收违法案件当事人名单、政府采购严重违法失信行为记录名单（由供应商在《政府采购投标及履约承诺函》中作出声明）；</w:t>
      </w:r>
    </w:p>
    <w:p w14:paraId="504BD171">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zh-CN"/>
        </w:rPr>
        <w:t>、与其他投标供应商不存在单位负责人为同一人或者存在直接控股、管理关系；未对本次</w:t>
      </w:r>
      <w:r>
        <w:rPr>
          <w:rFonts w:hint="eastAsia" w:ascii="宋体" w:hAnsi="宋体" w:eastAsia="宋体" w:cs="宋体"/>
          <w:color w:val="auto"/>
          <w:sz w:val="24"/>
          <w:szCs w:val="24"/>
          <w:highlight w:val="none"/>
        </w:rPr>
        <w:t>采购项目提供整体设计、规范编制或者项目管理、监理、检测等服务（</w:t>
      </w:r>
      <w:r>
        <w:rPr>
          <w:rFonts w:hint="eastAsia" w:ascii="宋体" w:hAnsi="宋体" w:eastAsia="宋体" w:cs="宋体"/>
          <w:color w:val="auto"/>
          <w:sz w:val="24"/>
          <w:szCs w:val="24"/>
          <w:highlight w:val="none"/>
          <w:lang w:val="zh-CN"/>
        </w:rPr>
        <w:t>由供应商在《政府采购投标及履约承诺函》中作出声明</w:t>
      </w:r>
      <w:r>
        <w:rPr>
          <w:rFonts w:hint="eastAsia" w:ascii="宋体" w:hAnsi="宋体" w:eastAsia="宋体" w:cs="宋体"/>
          <w:color w:val="auto"/>
          <w:sz w:val="24"/>
          <w:szCs w:val="24"/>
          <w:highlight w:val="none"/>
        </w:rPr>
        <w:t>）；</w:t>
      </w:r>
    </w:p>
    <w:p w14:paraId="66ED071F">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79790D1E">
      <w:pPr>
        <w:keepNext/>
        <w:keepLines/>
        <w:pageBreakBefore w:val="0"/>
        <w:widowControl w:val="0"/>
        <w:kinsoku/>
        <w:wordWrap/>
        <w:overflowPunct/>
        <w:topLinePunct w:val="0"/>
        <w:autoSpaceDE/>
        <w:autoSpaceDN/>
        <w:bidi w:val="0"/>
        <w:adjustRightInd/>
        <w:snapToGrid/>
        <w:spacing w:before="260" w:after="260" w:line="360" w:lineRule="auto"/>
        <w:ind w:left="0" w:leftChars="0" w:firstLine="482" w:firstLineChars="200"/>
        <w:jc w:val="both"/>
        <w:textAlignment w:val="auto"/>
        <w:outlineLvl w:val="1"/>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三、供应商提供采购文件主要内容（需盖公章）</w:t>
      </w:r>
    </w:p>
    <w:p w14:paraId="50403830">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详见招标文件要求。</w:t>
      </w:r>
    </w:p>
    <w:p w14:paraId="5F785675">
      <w:pPr>
        <w:keepNext/>
        <w:keepLines/>
        <w:pageBreakBefore w:val="0"/>
        <w:widowControl w:val="0"/>
        <w:kinsoku/>
        <w:wordWrap/>
        <w:overflowPunct/>
        <w:topLinePunct w:val="0"/>
        <w:autoSpaceDE/>
        <w:autoSpaceDN/>
        <w:bidi w:val="0"/>
        <w:adjustRightInd/>
        <w:snapToGrid/>
        <w:spacing w:before="260" w:after="260" w:line="360" w:lineRule="auto"/>
        <w:ind w:left="0" w:leftChars="0" w:firstLine="482" w:firstLineChars="200"/>
        <w:jc w:val="both"/>
        <w:textAlignment w:val="auto"/>
        <w:outlineLvl w:val="1"/>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四、评定方式</w:t>
      </w:r>
    </w:p>
    <w:p w14:paraId="0C8F3C1D">
      <w:pPr>
        <w:keepNext/>
        <w:keepLines/>
        <w:pageBreakBefore w:val="0"/>
        <w:widowControl w:val="0"/>
        <w:kinsoku/>
        <w:wordWrap/>
        <w:overflowPunct/>
        <w:topLinePunct w:val="0"/>
        <w:autoSpaceDE/>
        <w:autoSpaceDN/>
        <w:bidi w:val="0"/>
        <w:adjustRightInd/>
        <w:snapToGrid/>
        <w:spacing w:before="260" w:after="260" w:line="360" w:lineRule="auto"/>
        <w:ind w:left="0" w:leftChars="0" w:firstLine="480" w:firstLineChars="200"/>
        <w:jc w:val="both"/>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综合评分法</w:t>
      </w:r>
    </w:p>
    <w:p w14:paraId="39A3A897">
      <w:pPr>
        <w:keepNext/>
        <w:keepLines/>
        <w:pageBreakBefore w:val="0"/>
        <w:widowControl w:val="0"/>
        <w:kinsoku/>
        <w:wordWrap/>
        <w:overflowPunct/>
        <w:topLinePunct w:val="0"/>
        <w:autoSpaceDE/>
        <w:autoSpaceDN/>
        <w:bidi w:val="0"/>
        <w:adjustRightInd/>
        <w:snapToGrid/>
        <w:spacing w:before="260" w:after="260" w:line="360" w:lineRule="auto"/>
        <w:ind w:left="0" w:leftChars="0" w:firstLine="482" w:firstLineChars="200"/>
        <w:jc w:val="both"/>
        <w:textAlignment w:val="auto"/>
        <w:outlineLvl w:val="1"/>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五、公告期限</w:t>
      </w:r>
    </w:p>
    <w:p w14:paraId="50191C5F">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日。</w:t>
      </w:r>
    </w:p>
    <w:p w14:paraId="6DAC2B84">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本项目相关公告在以下媒体发布，相关公告在法定媒体上公布之日即视为有效送达，不再另行通知。</w:t>
      </w:r>
    </w:p>
    <w:p w14:paraId="592EB71B">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（1）深圳盐田政府在线（http://www.yantian.gov.cn/）。</w:t>
      </w:r>
    </w:p>
    <w:p w14:paraId="04B32489">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（2）采购代理机构网站（http://www.sz-gdx.com）。</w:t>
      </w:r>
    </w:p>
    <w:p w14:paraId="423DBAC7">
      <w:pPr>
        <w:keepNext/>
        <w:keepLines/>
        <w:pageBreakBefore w:val="0"/>
        <w:widowControl w:val="0"/>
        <w:kinsoku/>
        <w:wordWrap/>
        <w:overflowPunct/>
        <w:topLinePunct w:val="0"/>
        <w:autoSpaceDE/>
        <w:autoSpaceDN/>
        <w:bidi w:val="0"/>
        <w:adjustRightInd/>
        <w:snapToGrid/>
        <w:spacing w:before="260" w:after="260" w:line="360" w:lineRule="auto"/>
        <w:ind w:left="0" w:leftChars="0" w:firstLine="482" w:firstLineChars="200"/>
        <w:jc w:val="both"/>
        <w:textAlignment w:val="auto"/>
        <w:outlineLvl w:val="1"/>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六、供应商提交采购文件截止时间、评审时间和地点</w:t>
      </w:r>
    </w:p>
    <w:p w14:paraId="26FC63E3">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1.投标报名</w:t>
      </w:r>
    </w:p>
    <w:p w14:paraId="27D9E83B">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时间： 2025年02月25日 至 2025 年02月27日，每天上午9:00至12:00，下午14:00至17:00（北京时间）</w:t>
      </w:r>
    </w:p>
    <w:p w14:paraId="66EE8DFC">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地点：深圳市广得信工程造价咨询有限公司【详细地址：深圳市龙岗区横岗街道荣德国际B座701】</w:t>
      </w:r>
    </w:p>
    <w:p w14:paraId="33EEF324">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方式：（1）现场报名。报名时须提交投标报名申请表（投标报名申请表http://www.sz-gdx.com下载中心下载）及营业执照副本复印件、资质证书及安全生产许可证复印件、法定代表人证明书、授权委托书、经办人身份证复印件。以上证明材料须加盖公章用A4纸装订成册，原件备查。（2）网上报名。报名时须提交投标报名申请表（投标报名申请表http://www.sz-gdx.com下载中心下载）及营业执照副本复印件、资质证书及安全生产许可证复印件、法定代表人证明书、授权委托书、经办人身份证复印件。以上证明材料须加盖公章，扫描件发至邮箱    2534042642@qq.com。</w:t>
      </w:r>
    </w:p>
    <w:p w14:paraId="48E9AA49">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.提交采购文件截止时间：202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下午02</w:t>
      </w:r>
      <w:r>
        <w:rPr>
          <w:rFonts w:hint="eastAsia" w:ascii="宋体" w:hAnsi="宋体" w:eastAsia="宋体" w:cs="宋体"/>
          <w:color w:val="auto"/>
          <w:sz w:val="24"/>
          <w:szCs w:val="24"/>
          <w:highlight w:val="none"/>
          <w:lang w:val="en-US" w:eastAsia="zh-CN"/>
        </w:rPr>
        <w:t>点30分</w:t>
      </w:r>
    </w:p>
    <w:p w14:paraId="2FDD93BB">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采购文件提交方式：（1）现场递交：招标代理机构只接受在截标当日递交投标文件时间之前由投标人法定代表人或其授权代表亲自现场递交的投标文件，逾期收到或不符合规定的投标文件恕不接受。（2）邮寄递交：邮寄地址：深圳市龙岗区横岗街道荣德国际B座701，收件人：周工，联系电话：0755-28703515。为避免快递未按时送达，投标人邮寄投标文件的，应确保开标前一个工作日下午18时00分之前送达指定地点，并及时与收件人联系确认是否收到投标文件（邮寄方式的递交时间为送达我司由我司代表签收的时间），逾期收到或不符合规定的投标文件恕不接受。</w:t>
      </w:r>
    </w:p>
    <w:p w14:paraId="4A9FB2C9">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3.投标文件递交份数：详见招标文件要求。</w:t>
      </w:r>
    </w:p>
    <w:p w14:paraId="4BEA0CE6">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4.开标时间、地点：定</w:t>
      </w:r>
      <w:r>
        <w:rPr>
          <w:rFonts w:hint="eastAsia" w:ascii="宋体" w:hAnsi="宋体" w:eastAsia="宋体" w:cs="宋体"/>
          <w:color w:val="auto"/>
          <w:sz w:val="24"/>
          <w:szCs w:val="24"/>
          <w:highlight w:val="none"/>
          <w:lang w:val="en-US" w:eastAsia="zh-CN"/>
        </w:rPr>
        <w:t>于202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下午02</w:t>
      </w:r>
      <w:r>
        <w:rPr>
          <w:rFonts w:hint="eastAsia" w:ascii="宋体" w:hAnsi="宋体" w:eastAsia="宋体" w:cs="宋体"/>
          <w:color w:val="auto"/>
          <w:sz w:val="24"/>
          <w:szCs w:val="24"/>
          <w:highlight w:val="none"/>
          <w:lang w:val="en-US" w:eastAsia="zh-CN"/>
        </w:rPr>
        <w:t>点30分(北京时间)，在深圳市广得信工程造价咨询有限公司评标一室开标。投标人未参加开标的，视同认可开标结果。</w:t>
      </w:r>
    </w:p>
    <w:p w14:paraId="4F354BE0">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5.采购评审时间和地点：定于202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下午02</w:t>
      </w:r>
      <w:r>
        <w:rPr>
          <w:rFonts w:hint="eastAsia" w:ascii="宋体" w:hAnsi="宋体" w:eastAsia="宋体" w:cs="宋体"/>
          <w:color w:val="auto"/>
          <w:sz w:val="24"/>
          <w:szCs w:val="24"/>
          <w:highlight w:val="none"/>
          <w:lang w:val="en-US" w:eastAsia="zh-CN"/>
        </w:rPr>
        <w:t>点30分（北京时间）</w:t>
      </w:r>
      <w:r>
        <w:rPr>
          <w:rFonts w:hint="eastAsia" w:ascii="宋体" w:hAnsi="宋体" w:eastAsia="宋体" w:cs="宋体"/>
          <w:color w:val="auto"/>
          <w:sz w:val="24"/>
          <w:szCs w:val="24"/>
          <w:lang w:val="en-US" w:eastAsia="zh-CN"/>
        </w:rPr>
        <w:t>，地址：深圳市龙岗区横岗街道荣德国际B座701。</w:t>
      </w:r>
    </w:p>
    <w:p w14:paraId="06CA1B00">
      <w:pPr>
        <w:keepNext/>
        <w:keepLines/>
        <w:pageBreakBefore w:val="0"/>
        <w:widowControl w:val="0"/>
        <w:kinsoku/>
        <w:wordWrap/>
        <w:overflowPunct/>
        <w:topLinePunct w:val="0"/>
        <w:autoSpaceDE/>
        <w:autoSpaceDN/>
        <w:bidi w:val="0"/>
        <w:adjustRightInd/>
        <w:snapToGrid/>
        <w:spacing w:before="260" w:after="260" w:line="360" w:lineRule="auto"/>
        <w:ind w:left="0" w:leftChars="0" w:firstLine="482" w:firstLineChars="200"/>
        <w:jc w:val="both"/>
        <w:textAlignment w:val="auto"/>
        <w:outlineLvl w:val="1"/>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七、本单位负责对项目的询问、质疑和投诉进行处理。</w:t>
      </w:r>
    </w:p>
    <w:p w14:paraId="50553A79">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30CDDDDE">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sz w:val="24"/>
          <w:highlight w:val="none"/>
        </w:rPr>
        <w:t>深圳市盐田区土地整备事务中心</w:t>
      </w:r>
    </w:p>
    <w:p w14:paraId="0679CEFB">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地　址：深圳市盐田区海山街道深圳市盐田区沙头角东和路人福大厦3楼 </w:t>
      </w:r>
    </w:p>
    <w:p w14:paraId="541B3672">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联系方式：谢工、25161972 / 18688981205</w:t>
      </w:r>
    </w:p>
    <w:p w14:paraId="11B0F7C2">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48C73A54">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称：深圳市广得信工程造价咨询有限公司</w:t>
      </w:r>
    </w:p>
    <w:p w14:paraId="53D32C50">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址：深圳市龙岗区横岗街道荣德国际B座701</w:t>
      </w:r>
    </w:p>
    <w:p w14:paraId="383A144B">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联系方式：周工、0755-28703515</w:t>
      </w:r>
    </w:p>
    <w:p w14:paraId="18D9975F">
      <w:pPr>
        <w:keepNext/>
        <w:keepLines/>
        <w:pageBreakBefore w:val="0"/>
        <w:widowControl w:val="0"/>
        <w:numPr>
          <w:ilvl w:val="-1"/>
          <w:numId w:val="0"/>
        </w:numPr>
        <w:kinsoku/>
        <w:wordWrap/>
        <w:overflowPunct/>
        <w:topLinePunct w:val="0"/>
        <w:autoSpaceDE/>
        <w:autoSpaceDN/>
        <w:bidi w:val="0"/>
        <w:adjustRightInd/>
        <w:snapToGrid/>
        <w:spacing w:before="260" w:after="260" w:line="360" w:lineRule="auto"/>
        <w:ind w:leftChars="0" w:firstLine="482" w:firstLineChars="200"/>
        <w:jc w:val="both"/>
        <w:textAlignment w:val="auto"/>
        <w:outlineLvl w:val="1"/>
        <w:rPr>
          <w:rFonts w:hint="eastAsia" w:ascii="宋体" w:hAnsi="宋体" w:eastAsia="宋体" w:cs="宋体"/>
          <w:b/>
          <w:bCs w:val="0"/>
          <w:color w:val="auto"/>
          <w:sz w:val="24"/>
          <w:szCs w:val="24"/>
          <w:highlight w:val="none"/>
          <w:u w:val="none"/>
          <w:lang w:eastAsia="zh-CN"/>
        </w:rPr>
      </w:pPr>
      <w:r>
        <w:rPr>
          <w:rFonts w:hint="eastAsia" w:ascii="宋体" w:hAnsi="宋体" w:eastAsia="宋体" w:cs="宋体"/>
          <w:b/>
          <w:bCs w:val="0"/>
          <w:color w:val="auto"/>
          <w:sz w:val="24"/>
          <w:szCs w:val="24"/>
          <w:highlight w:val="none"/>
          <w:u w:val="none"/>
          <w:lang w:eastAsia="zh-CN"/>
        </w:rPr>
        <w:t>八、评审评分规则</w:t>
      </w:r>
    </w:p>
    <w:p w14:paraId="46EFB728">
      <w:pPr>
        <w:pageBreakBefore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详见招标文件要求。</w:t>
      </w:r>
    </w:p>
    <w:p w14:paraId="3123BCAD">
      <w:pPr>
        <w:spacing w:before="156" w:beforeLines="50"/>
        <w:jc w:val="left"/>
        <w:rPr>
          <w:rFonts w:hint="eastAsia" w:ascii="宋体" w:hAnsi="宋体" w:eastAsia="宋体" w:cs="宋体"/>
          <w:color w:val="000000"/>
          <w:sz w:val="24"/>
          <w:highlight w:val="none"/>
        </w:rPr>
      </w:pPr>
    </w:p>
    <w:p w14:paraId="7DE9ED18">
      <w:pPr>
        <w:jc w:val="center"/>
        <w:rPr>
          <w:rFonts w:hint="eastAsia" w:ascii="宋体" w:hAnsi="宋体" w:eastAsia="宋体" w:cs="宋体"/>
          <w:sz w:val="24"/>
          <w:highlight w:val="none"/>
        </w:rPr>
      </w:pPr>
    </w:p>
    <w:p w14:paraId="1E70A87B">
      <w:pPr>
        <w:pStyle w:val="171"/>
        <w:rPr>
          <w:rFonts w:hint="eastAsia" w:ascii="宋体" w:hAnsi="宋体" w:eastAsia="宋体" w:cs="宋体"/>
          <w:sz w:val="24"/>
          <w:highlight w:val="none"/>
        </w:rPr>
      </w:pPr>
    </w:p>
    <w:p w14:paraId="407FD87F">
      <w:pPr>
        <w:pStyle w:val="171"/>
        <w:jc w:val="right"/>
        <w:rPr>
          <w:rFonts w:hint="eastAsia" w:ascii="宋体" w:hAnsi="宋体" w:eastAsia="宋体" w:cs="宋体"/>
          <w:sz w:val="24"/>
          <w:highlight w:val="none"/>
        </w:rPr>
      </w:pPr>
      <w:r>
        <w:rPr>
          <w:rFonts w:hint="eastAsia" w:ascii="宋体" w:hAnsi="宋体" w:eastAsia="宋体" w:cs="宋体"/>
          <w:sz w:val="24"/>
          <w:highlight w:val="none"/>
        </w:rPr>
        <w:t>深圳市盐田区土地整备事务中心</w:t>
      </w:r>
    </w:p>
    <w:p w14:paraId="252B365E">
      <w:pPr>
        <w:pStyle w:val="171"/>
        <w:rPr>
          <w:rFonts w:hint="eastAsia" w:ascii="宋体" w:hAnsi="宋体" w:eastAsia="宋体" w:cs="宋体"/>
          <w:sz w:val="24"/>
          <w:highlight w:val="none"/>
        </w:rPr>
      </w:pPr>
    </w:p>
    <w:p w14:paraId="08472912">
      <w:pPr>
        <w:pageBreakBefore w:val="0"/>
        <w:kinsoku/>
        <w:wordWrap/>
        <w:overflowPunct/>
        <w:topLinePunct w:val="0"/>
        <w:autoSpaceDE/>
        <w:autoSpaceDN/>
        <w:bidi w:val="0"/>
        <w:adjustRightInd/>
        <w:snapToGrid/>
        <w:spacing w:line="360" w:lineRule="auto"/>
        <w:ind w:left="0" w:leftChars="0" w:firstLine="480" w:firstLineChars="200"/>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深圳市广得信工程造价咨询有限公司</w:t>
      </w:r>
    </w:p>
    <w:p w14:paraId="6C7C7334">
      <w:pPr>
        <w:pageBreakBefore w:val="0"/>
        <w:kinsoku/>
        <w:wordWrap/>
        <w:overflowPunct/>
        <w:topLinePunct w:val="0"/>
        <w:autoSpaceDE/>
        <w:autoSpaceDN/>
        <w:bidi w:val="0"/>
        <w:adjustRightInd/>
        <w:snapToGrid/>
        <w:spacing w:line="360" w:lineRule="auto"/>
        <w:ind w:left="0" w:leftChars="0" w:firstLine="480" w:firstLineChars="200"/>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日</w:t>
      </w:r>
    </w:p>
    <w:p w14:paraId="5E9CF89B">
      <w:pPr>
        <w:pageBreakBefore w:val="0"/>
        <w:kinsoku/>
        <w:wordWrap/>
        <w:overflowPunct/>
        <w:topLinePunct w:val="0"/>
        <w:autoSpaceDE/>
        <w:autoSpaceDN/>
        <w:bidi w:val="0"/>
        <w:adjustRightInd/>
        <w:snapToGrid/>
        <w:spacing w:line="360" w:lineRule="auto"/>
        <w:ind w:left="0" w:leftChars="0" w:firstLine="480" w:firstLineChars="200"/>
        <w:jc w:val="right"/>
        <w:textAlignment w:val="auto"/>
        <w:rPr>
          <w:rFonts w:hint="eastAsia" w:ascii="宋体" w:hAnsi="宋体" w:eastAsia="宋体" w:cs="宋体"/>
          <w:color w:val="auto"/>
          <w:sz w:val="24"/>
          <w:szCs w:val="24"/>
          <w:lang w:val="en-US" w:eastAsia="zh-CN"/>
        </w:rPr>
      </w:pPr>
    </w:p>
    <w:p w14:paraId="5DF61794">
      <w:pPr>
        <w:pageBreakBefore w:val="0"/>
        <w:kinsoku/>
        <w:wordWrap/>
        <w:overflowPunct/>
        <w:topLinePunct w:val="0"/>
        <w:autoSpaceDE/>
        <w:autoSpaceDN/>
        <w:bidi w:val="0"/>
        <w:adjustRightInd/>
        <w:snapToGrid/>
        <w:spacing w:line="360" w:lineRule="auto"/>
        <w:ind w:left="0" w:leftChars="0" w:firstLine="480" w:firstLineChars="200"/>
        <w:jc w:val="right"/>
        <w:textAlignment w:val="auto"/>
        <w:rPr>
          <w:rFonts w:hint="eastAsia" w:ascii="宋体" w:hAnsi="宋体" w:eastAsia="宋体" w:cs="宋体"/>
          <w:color w:val="auto"/>
          <w:sz w:val="24"/>
          <w:szCs w:val="24"/>
          <w:lang w:val="en-US" w:eastAsia="zh-CN"/>
        </w:rPr>
      </w:pPr>
    </w:p>
    <w:p w14:paraId="36CA2CFC">
      <w:pPr>
        <w:pStyle w:val="171"/>
        <w:rPr>
          <w:rFonts w:hint="eastAsia" w:ascii="宋体" w:hAnsi="宋体" w:eastAsia="宋体" w:cs="宋体"/>
          <w:sz w:val="24"/>
        </w:rPr>
      </w:pPr>
    </w:p>
    <w:p w14:paraId="0A8E7C5F">
      <w:pPr>
        <w:pStyle w:val="171"/>
        <w:rPr>
          <w:rFonts w:hint="eastAsia" w:ascii="宋体" w:hAnsi="宋体" w:eastAsia="宋体" w:cs="宋体"/>
          <w:sz w:val="24"/>
        </w:rPr>
      </w:pPr>
    </w:p>
    <w:p w14:paraId="529F546A">
      <w:pPr>
        <w:pStyle w:val="171"/>
        <w:rPr>
          <w:rFonts w:hint="eastAsia" w:ascii="宋体" w:hAnsi="宋体" w:eastAsia="宋体" w:cs="宋体"/>
          <w:sz w:val="24"/>
        </w:rPr>
      </w:pPr>
    </w:p>
    <w:p w14:paraId="6E6F9075">
      <w:pPr>
        <w:pStyle w:val="171"/>
        <w:rPr>
          <w:rFonts w:hint="eastAsia" w:ascii="宋体" w:hAnsi="宋体" w:eastAsia="宋体" w:cs="宋体"/>
          <w:sz w:val="24"/>
        </w:rPr>
      </w:pPr>
    </w:p>
    <w:p w14:paraId="4F282D74">
      <w:pPr>
        <w:pStyle w:val="171"/>
        <w:rPr>
          <w:rFonts w:hint="eastAsia" w:ascii="宋体" w:hAnsi="宋体" w:eastAsia="宋体" w:cs="宋体"/>
          <w:sz w:val="24"/>
        </w:rPr>
      </w:pPr>
    </w:p>
    <w:p w14:paraId="34DEF4D8">
      <w:pPr>
        <w:pStyle w:val="171"/>
        <w:rPr>
          <w:rFonts w:hint="eastAsia" w:ascii="宋体" w:hAnsi="宋体" w:eastAsia="宋体" w:cs="宋体"/>
          <w:sz w:val="24"/>
        </w:rPr>
      </w:pPr>
    </w:p>
    <w:p w14:paraId="1C68E544">
      <w:pPr>
        <w:pStyle w:val="171"/>
        <w:rPr>
          <w:rFonts w:hint="eastAsia" w:ascii="宋体" w:hAnsi="宋体" w:eastAsia="宋体" w:cs="宋体"/>
          <w:sz w:val="24"/>
        </w:rPr>
      </w:pPr>
    </w:p>
    <w:p w14:paraId="568D500E">
      <w:pPr>
        <w:pStyle w:val="171"/>
        <w:rPr>
          <w:rFonts w:hint="eastAsia" w:ascii="宋体" w:hAnsi="宋体" w:eastAsia="宋体" w:cs="宋体"/>
          <w:sz w:val="24"/>
        </w:rPr>
      </w:pPr>
    </w:p>
    <w:p w14:paraId="26D5A356">
      <w:pPr>
        <w:pStyle w:val="171"/>
        <w:rPr>
          <w:rFonts w:hint="eastAsia" w:ascii="宋体" w:hAnsi="宋体" w:eastAsia="宋体" w:cs="宋体"/>
          <w:sz w:val="24"/>
        </w:rPr>
      </w:pPr>
    </w:p>
    <w:p w14:paraId="3ABB124C">
      <w:pPr>
        <w:pStyle w:val="171"/>
        <w:rPr>
          <w:rFonts w:hint="eastAsia" w:ascii="宋体" w:hAnsi="宋体" w:eastAsia="宋体" w:cs="宋体"/>
          <w:sz w:val="24"/>
        </w:rPr>
      </w:pPr>
    </w:p>
    <w:p w14:paraId="73FF6B91">
      <w:pPr>
        <w:rPr>
          <w:rFonts w:hint="eastAsia" w:ascii="宋体" w:hAnsi="宋体" w:eastAsia="宋体" w:cs="宋体"/>
          <w:sz w:val="24"/>
        </w:rPr>
      </w:pPr>
      <w:r>
        <w:rPr>
          <w:rFonts w:hint="eastAsia" w:ascii="宋体" w:hAnsi="宋体" w:eastAsia="宋体" w:cs="宋体"/>
          <w:sz w:val="24"/>
        </w:rPr>
        <w:br w:type="page"/>
      </w:r>
    </w:p>
    <w:p w14:paraId="445EB7D0">
      <w:pPr>
        <w:jc w:val="center"/>
        <w:rPr>
          <w:rFonts w:hint="eastAsia" w:ascii="宋体" w:hAnsi="宋体" w:eastAsia="宋体" w:cs="宋体"/>
          <w:b/>
          <w:bCs/>
          <w:sz w:val="28"/>
          <w:szCs w:val="28"/>
        </w:rPr>
      </w:pPr>
      <w:r>
        <w:rPr>
          <w:rFonts w:hint="eastAsia" w:ascii="宋体" w:hAnsi="宋体" w:eastAsia="宋体" w:cs="宋体"/>
          <w:b/>
          <w:bCs/>
          <w:sz w:val="28"/>
          <w:szCs w:val="28"/>
        </w:rPr>
        <w:t>第二章 对通用条款的补充内容及其他关键信息</w:t>
      </w:r>
    </w:p>
    <w:p w14:paraId="6CC0A19D">
      <w:pPr>
        <w:pStyle w:val="5"/>
        <w:spacing w:before="156" w:beforeLines="50" w:after="156" w:afterLines="50"/>
        <w:rPr>
          <w:rFonts w:hint="eastAsia" w:ascii="宋体" w:hAnsi="宋体" w:eastAsia="宋体" w:cs="宋体"/>
          <w:sz w:val="28"/>
          <w:szCs w:val="28"/>
        </w:rPr>
      </w:pPr>
      <w:r>
        <w:rPr>
          <w:rFonts w:hint="eastAsia" w:ascii="宋体" w:hAnsi="宋体" w:eastAsia="宋体" w:cs="宋体"/>
          <w:sz w:val="28"/>
          <w:szCs w:val="28"/>
        </w:rPr>
        <w:t>一、对通用条款的补充内容</w:t>
      </w:r>
    </w:p>
    <w:p w14:paraId="1C1C7EB1">
      <w:pPr>
        <w:pStyle w:val="5"/>
        <w:spacing w:before="156" w:beforeLines="50" w:after="156" w:afterLines="50"/>
        <w:rPr>
          <w:rFonts w:hint="eastAsia" w:ascii="宋体" w:hAnsi="宋体" w:eastAsia="宋体" w:cs="宋体"/>
          <w:sz w:val="28"/>
          <w:szCs w:val="28"/>
        </w:rPr>
      </w:pPr>
      <w:r>
        <w:rPr>
          <w:rFonts w:hint="eastAsia" w:ascii="宋体" w:hAnsi="宋体" w:eastAsia="宋体" w:cs="宋体"/>
          <w:sz w:val="28"/>
          <w:szCs w:val="28"/>
        </w:rPr>
        <w:t>（一）投标须知前附表</w:t>
      </w:r>
    </w:p>
    <w:tbl>
      <w:tblPr>
        <w:tblStyle w:val="50"/>
        <w:tblW w:w="81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9"/>
        <w:gridCol w:w="2160"/>
        <w:gridCol w:w="5400"/>
      </w:tblGrid>
      <w:tr w14:paraId="67646B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0"/>
            <w:vAlign w:val="center"/>
          </w:tcPr>
          <w:p w14:paraId="3BAEE98F">
            <w:pPr>
              <w:jc w:val="center"/>
              <w:rPr>
                <w:rFonts w:hint="eastAsia" w:ascii="宋体" w:hAnsi="宋体" w:eastAsia="宋体" w:cs="宋体"/>
                <w:b/>
                <w:bCs/>
              </w:rPr>
            </w:pPr>
            <w:r>
              <w:rPr>
                <w:rFonts w:hint="eastAsia" w:ascii="宋体" w:hAnsi="宋体" w:eastAsia="宋体" w:cs="宋体"/>
                <w:b/>
                <w:bCs/>
              </w:rPr>
              <w:t>序号</w:t>
            </w:r>
          </w:p>
        </w:tc>
        <w:tc>
          <w:tcPr>
            <w:tcW w:w="2160" w:type="dxa"/>
            <w:noWrap w:val="0"/>
            <w:vAlign w:val="center"/>
          </w:tcPr>
          <w:p w14:paraId="576C22D7">
            <w:pPr>
              <w:jc w:val="center"/>
              <w:rPr>
                <w:rFonts w:hint="eastAsia" w:ascii="宋体" w:hAnsi="宋体" w:eastAsia="宋体" w:cs="宋体"/>
                <w:b/>
                <w:bCs/>
              </w:rPr>
            </w:pPr>
            <w:r>
              <w:rPr>
                <w:rFonts w:hint="eastAsia" w:ascii="宋体" w:hAnsi="宋体" w:eastAsia="宋体" w:cs="宋体"/>
                <w:b/>
                <w:bCs/>
              </w:rPr>
              <w:t>内   容</w:t>
            </w:r>
          </w:p>
        </w:tc>
        <w:tc>
          <w:tcPr>
            <w:tcW w:w="5400" w:type="dxa"/>
            <w:noWrap w:val="0"/>
            <w:vAlign w:val="center"/>
          </w:tcPr>
          <w:p w14:paraId="49DCE4D2">
            <w:pPr>
              <w:jc w:val="center"/>
              <w:rPr>
                <w:rFonts w:hint="eastAsia" w:ascii="宋体" w:hAnsi="宋体" w:eastAsia="宋体" w:cs="宋体"/>
                <w:b/>
                <w:bCs/>
              </w:rPr>
            </w:pPr>
            <w:r>
              <w:rPr>
                <w:rFonts w:hint="eastAsia" w:ascii="宋体" w:hAnsi="宋体" w:eastAsia="宋体" w:cs="宋体"/>
                <w:b/>
                <w:bCs/>
              </w:rPr>
              <w:t>规      定</w:t>
            </w:r>
          </w:p>
        </w:tc>
      </w:tr>
      <w:tr w14:paraId="0D020F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0"/>
            <w:vAlign w:val="center"/>
          </w:tcPr>
          <w:p w14:paraId="06CC689F">
            <w:pPr>
              <w:jc w:val="center"/>
              <w:rPr>
                <w:rFonts w:hint="eastAsia" w:ascii="宋体" w:hAnsi="宋体" w:eastAsia="宋体" w:cs="宋体"/>
                <w:b/>
                <w:bCs/>
              </w:rPr>
            </w:pPr>
            <w:r>
              <w:rPr>
                <w:rFonts w:hint="eastAsia" w:ascii="宋体" w:hAnsi="宋体" w:eastAsia="宋体" w:cs="宋体"/>
                <w:b/>
                <w:bCs/>
              </w:rPr>
              <w:t>1</w:t>
            </w:r>
          </w:p>
        </w:tc>
        <w:tc>
          <w:tcPr>
            <w:tcW w:w="2160" w:type="dxa"/>
            <w:noWrap w:val="0"/>
            <w:vAlign w:val="center"/>
          </w:tcPr>
          <w:p w14:paraId="4D8921C7">
            <w:pPr>
              <w:rPr>
                <w:rFonts w:hint="eastAsia" w:ascii="宋体" w:hAnsi="宋体" w:eastAsia="宋体" w:cs="宋体"/>
                <w:b/>
                <w:bCs/>
              </w:rPr>
            </w:pPr>
            <w:r>
              <w:rPr>
                <w:rFonts w:hint="eastAsia" w:ascii="宋体" w:hAnsi="宋体" w:eastAsia="宋体" w:cs="宋体"/>
                <w:b/>
                <w:bCs/>
              </w:rPr>
              <w:t>投标人的资质要求</w:t>
            </w:r>
          </w:p>
        </w:tc>
        <w:tc>
          <w:tcPr>
            <w:tcW w:w="5400" w:type="dxa"/>
            <w:noWrap w:val="0"/>
            <w:vAlign w:val="center"/>
          </w:tcPr>
          <w:p w14:paraId="46032AFC">
            <w:pPr>
              <w:rPr>
                <w:rFonts w:hint="eastAsia" w:ascii="宋体" w:hAnsi="宋体" w:eastAsia="宋体" w:cs="宋体"/>
                <w:snapToGrid w:val="0"/>
                <w:kern w:val="0"/>
                <w:szCs w:val="32"/>
                <w:u w:val="single"/>
                <w:lang w:val="zh-CN"/>
              </w:rPr>
            </w:pPr>
            <w:r>
              <w:rPr>
                <w:rFonts w:hint="eastAsia" w:ascii="宋体" w:hAnsi="宋体" w:eastAsia="宋体" w:cs="宋体"/>
                <w:bCs/>
                <w:szCs w:val="21"/>
                <w:u w:val="single"/>
              </w:rPr>
              <w:t>见招标公告中“投标人资质要求”</w:t>
            </w:r>
          </w:p>
        </w:tc>
      </w:tr>
      <w:tr w14:paraId="2BB70E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0"/>
            <w:vAlign w:val="center"/>
          </w:tcPr>
          <w:p w14:paraId="00FBC1C9">
            <w:pPr>
              <w:jc w:val="center"/>
              <w:rPr>
                <w:rFonts w:hint="eastAsia" w:ascii="宋体" w:hAnsi="宋体" w:eastAsia="宋体" w:cs="宋体"/>
              </w:rPr>
            </w:pPr>
            <w:r>
              <w:rPr>
                <w:rFonts w:hint="eastAsia" w:ascii="宋体" w:hAnsi="宋体" w:eastAsia="宋体" w:cs="宋体"/>
              </w:rPr>
              <w:t>2</w:t>
            </w:r>
          </w:p>
        </w:tc>
        <w:tc>
          <w:tcPr>
            <w:tcW w:w="2160" w:type="dxa"/>
            <w:noWrap w:val="0"/>
            <w:vAlign w:val="center"/>
          </w:tcPr>
          <w:p w14:paraId="12D785D8">
            <w:pPr>
              <w:rPr>
                <w:rFonts w:hint="eastAsia" w:ascii="宋体" w:hAnsi="宋体" w:eastAsia="宋体" w:cs="宋体"/>
              </w:rPr>
            </w:pPr>
            <w:r>
              <w:rPr>
                <w:rFonts w:hint="eastAsia" w:ascii="宋体" w:hAnsi="宋体" w:eastAsia="宋体" w:cs="宋体"/>
              </w:rPr>
              <w:t>联合体投标</w:t>
            </w:r>
          </w:p>
        </w:tc>
        <w:tc>
          <w:tcPr>
            <w:tcW w:w="5400" w:type="dxa"/>
            <w:noWrap w:val="0"/>
            <w:vAlign w:val="center"/>
          </w:tcPr>
          <w:p w14:paraId="70D3ED0B">
            <w:pPr>
              <w:rPr>
                <w:rFonts w:hint="eastAsia" w:ascii="宋体" w:hAnsi="宋体" w:eastAsia="宋体" w:cs="宋体"/>
                <w:snapToGrid w:val="0"/>
                <w:kern w:val="0"/>
                <w:szCs w:val="32"/>
                <w:u w:val="single"/>
                <w:lang w:val="zh-CN"/>
              </w:rPr>
            </w:pPr>
            <w:r>
              <w:rPr>
                <w:rFonts w:hint="eastAsia" w:ascii="宋体" w:hAnsi="宋体" w:eastAsia="宋体" w:cs="宋体"/>
                <w:snapToGrid w:val="0"/>
                <w:kern w:val="0"/>
                <w:szCs w:val="32"/>
                <w:u w:val="single"/>
                <w:lang w:val="zh-CN"/>
              </w:rPr>
              <w:t>不接受</w:t>
            </w:r>
          </w:p>
        </w:tc>
      </w:tr>
      <w:tr w14:paraId="13EDAC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0"/>
            <w:vAlign w:val="center"/>
          </w:tcPr>
          <w:p w14:paraId="081CC596">
            <w:pPr>
              <w:jc w:val="center"/>
              <w:rPr>
                <w:rFonts w:hint="eastAsia" w:ascii="宋体" w:hAnsi="宋体" w:eastAsia="宋体" w:cs="宋体"/>
              </w:rPr>
            </w:pPr>
            <w:r>
              <w:rPr>
                <w:rFonts w:hint="eastAsia" w:ascii="宋体" w:hAnsi="宋体" w:eastAsia="宋体" w:cs="宋体"/>
              </w:rPr>
              <w:t>3</w:t>
            </w:r>
          </w:p>
        </w:tc>
        <w:tc>
          <w:tcPr>
            <w:tcW w:w="2160" w:type="dxa"/>
            <w:noWrap w:val="0"/>
            <w:vAlign w:val="center"/>
          </w:tcPr>
          <w:p w14:paraId="2B090AC2">
            <w:pPr>
              <w:rPr>
                <w:rFonts w:hint="eastAsia" w:ascii="宋体" w:hAnsi="宋体" w:eastAsia="宋体" w:cs="宋体"/>
              </w:rPr>
            </w:pPr>
            <w:r>
              <w:rPr>
                <w:rFonts w:hint="eastAsia" w:ascii="宋体" w:hAnsi="宋体" w:eastAsia="宋体" w:cs="宋体"/>
              </w:rPr>
              <w:t>投标有效期</w:t>
            </w:r>
          </w:p>
        </w:tc>
        <w:tc>
          <w:tcPr>
            <w:tcW w:w="5400" w:type="dxa"/>
            <w:noWrap w:val="0"/>
            <w:vAlign w:val="center"/>
          </w:tcPr>
          <w:p w14:paraId="1B4023B4">
            <w:pPr>
              <w:rPr>
                <w:rFonts w:hint="eastAsia" w:ascii="宋体" w:hAnsi="宋体" w:eastAsia="宋体" w:cs="宋体"/>
              </w:rPr>
            </w:pPr>
            <w:r>
              <w:rPr>
                <w:rFonts w:hint="eastAsia" w:ascii="宋体" w:hAnsi="宋体" w:eastAsia="宋体" w:cs="宋体"/>
                <w:u w:val="single"/>
              </w:rPr>
              <w:t>90个日历日</w:t>
            </w:r>
            <w:r>
              <w:rPr>
                <w:rFonts w:hint="eastAsia" w:ascii="宋体" w:hAnsi="宋体" w:eastAsia="宋体" w:cs="宋体"/>
              </w:rPr>
              <w:t>（从投标截止之日算起）</w:t>
            </w:r>
          </w:p>
        </w:tc>
      </w:tr>
      <w:tr w14:paraId="3AF78E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0"/>
            <w:vAlign w:val="center"/>
          </w:tcPr>
          <w:p w14:paraId="66B694C2">
            <w:pPr>
              <w:jc w:val="center"/>
              <w:rPr>
                <w:rFonts w:hint="eastAsia" w:ascii="宋体" w:hAnsi="宋体" w:eastAsia="宋体" w:cs="宋体"/>
              </w:rPr>
            </w:pPr>
            <w:r>
              <w:rPr>
                <w:rFonts w:hint="eastAsia" w:ascii="宋体" w:hAnsi="宋体" w:eastAsia="宋体" w:cs="宋体"/>
              </w:rPr>
              <w:t>4</w:t>
            </w:r>
          </w:p>
        </w:tc>
        <w:tc>
          <w:tcPr>
            <w:tcW w:w="2160" w:type="dxa"/>
            <w:noWrap w:val="0"/>
            <w:vAlign w:val="center"/>
          </w:tcPr>
          <w:p w14:paraId="5521DBD1">
            <w:pPr>
              <w:rPr>
                <w:rFonts w:hint="eastAsia" w:ascii="宋体" w:hAnsi="宋体" w:eastAsia="宋体" w:cs="宋体"/>
              </w:rPr>
            </w:pPr>
            <w:r>
              <w:rPr>
                <w:rFonts w:hint="eastAsia" w:ascii="宋体" w:hAnsi="宋体" w:eastAsia="宋体" w:cs="宋体"/>
              </w:rPr>
              <w:t>提交投标文件</w:t>
            </w:r>
          </w:p>
        </w:tc>
        <w:tc>
          <w:tcPr>
            <w:tcW w:w="5400" w:type="dxa"/>
            <w:noWrap w:val="0"/>
            <w:vAlign w:val="center"/>
          </w:tcPr>
          <w:p w14:paraId="113A1C60">
            <w:pPr>
              <w:numPr>
                <w:ilvl w:val="0"/>
                <w:numId w:val="6"/>
              </w:numPr>
              <w:rPr>
                <w:rFonts w:hint="eastAsia" w:ascii="宋体" w:hAnsi="宋体" w:eastAsia="宋体" w:cs="宋体"/>
                <w:szCs w:val="21"/>
              </w:rPr>
            </w:pPr>
            <w:r>
              <w:rPr>
                <w:rFonts w:hint="eastAsia" w:ascii="宋体" w:hAnsi="宋体" w:eastAsia="宋体" w:cs="宋体"/>
                <w:szCs w:val="21"/>
              </w:rPr>
              <w:t>纸质投标文件：正本一份，副本四份</w:t>
            </w:r>
          </w:p>
          <w:p w14:paraId="449FD419">
            <w:pPr>
              <w:rPr>
                <w:rFonts w:hint="eastAsia" w:ascii="宋体" w:hAnsi="宋体" w:eastAsia="宋体" w:cs="宋体"/>
                <w:szCs w:val="21"/>
              </w:rPr>
            </w:pPr>
            <w:r>
              <w:rPr>
                <w:rFonts w:hint="eastAsia" w:ascii="宋体" w:hAnsi="宋体" w:eastAsia="宋体" w:cs="宋体"/>
                <w:szCs w:val="21"/>
              </w:rPr>
              <w:t>2、唱标文件：开标一览表一份</w:t>
            </w:r>
          </w:p>
          <w:p w14:paraId="7448A6AF">
            <w:pPr>
              <w:rPr>
                <w:rFonts w:hint="eastAsia" w:ascii="宋体" w:hAnsi="宋体" w:eastAsia="宋体" w:cs="宋体"/>
              </w:rPr>
            </w:pPr>
            <w:r>
              <w:rPr>
                <w:rFonts w:hint="eastAsia" w:ascii="宋体" w:hAnsi="宋体" w:eastAsia="宋体" w:cs="宋体"/>
                <w:szCs w:val="21"/>
              </w:rPr>
              <w:t>3、电子投标文件一份（附有投标文件的光盘或U盘，为正本盖章后的彩色扫描件，扫描件要求为PDF格式)</w:t>
            </w:r>
          </w:p>
        </w:tc>
      </w:tr>
      <w:tr w14:paraId="00EB14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0"/>
            <w:vAlign w:val="center"/>
          </w:tcPr>
          <w:p w14:paraId="58EC789A">
            <w:pPr>
              <w:jc w:val="center"/>
              <w:rPr>
                <w:rFonts w:hint="eastAsia" w:ascii="宋体" w:hAnsi="宋体" w:eastAsia="宋体" w:cs="宋体"/>
              </w:rPr>
            </w:pPr>
            <w:r>
              <w:rPr>
                <w:rFonts w:hint="eastAsia" w:ascii="宋体" w:hAnsi="宋体" w:eastAsia="宋体" w:cs="宋体"/>
              </w:rPr>
              <w:t>5</w:t>
            </w:r>
          </w:p>
        </w:tc>
        <w:tc>
          <w:tcPr>
            <w:tcW w:w="2160" w:type="dxa"/>
            <w:noWrap w:val="0"/>
            <w:vAlign w:val="center"/>
          </w:tcPr>
          <w:p w14:paraId="3C2DFBA1">
            <w:pPr>
              <w:rPr>
                <w:rFonts w:hint="eastAsia" w:ascii="宋体" w:hAnsi="宋体" w:eastAsia="宋体" w:cs="宋体"/>
              </w:rPr>
            </w:pPr>
            <w:r>
              <w:rPr>
                <w:rFonts w:hint="eastAsia" w:ascii="宋体" w:hAnsi="宋体" w:eastAsia="宋体" w:cs="宋体"/>
              </w:rPr>
              <w:t>评标标准及方法</w:t>
            </w:r>
          </w:p>
        </w:tc>
        <w:tc>
          <w:tcPr>
            <w:tcW w:w="5400" w:type="dxa"/>
            <w:noWrap w:val="0"/>
            <w:vAlign w:val="center"/>
          </w:tcPr>
          <w:p w14:paraId="09E6315F">
            <w:pPr>
              <w:rPr>
                <w:rFonts w:hint="eastAsia" w:ascii="宋体" w:hAnsi="宋体" w:eastAsia="宋体" w:cs="宋体"/>
              </w:rPr>
            </w:pPr>
            <w:r>
              <w:rPr>
                <w:rFonts w:hint="eastAsia" w:ascii="宋体" w:hAnsi="宋体" w:eastAsia="宋体" w:cs="宋体"/>
              </w:rPr>
              <w:t>综合评分法</w:t>
            </w:r>
          </w:p>
        </w:tc>
      </w:tr>
      <w:tr w14:paraId="5F52D4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0"/>
            <w:vAlign w:val="center"/>
          </w:tcPr>
          <w:p w14:paraId="2F3C0F5C">
            <w:pPr>
              <w:jc w:val="center"/>
              <w:rPr>
                <w:rFonts w:hint="eastAsia" w:ascii="宋体" w:hAnsi="宋体" w:eastAsia="宋体" w:cs="宋体"/>
              </w:rPr>
            </w:pPr>
            <w:r>
              <w:rPr>
                <w:rFonts w:hint="eastAsia" w:ascii="宋体" w:hAnsi="宋体" w:eastAsia="宋体" w:cs="宋体"/>
              </w:rPr>
              <w:t>6</w:t>
            </w:r>
          </w:p>
        </w:tc>
        <w:tc>
          <w:tcPr>
            <w:tcW w:w="2160" w:type="dxa"/>
            <w:noWrap w:val="0"/>
            <w:vAlign w:val="center"/>
          </w:tcPr>
          <w:p w14:paraId="47BE646A">
            <w:pPr>
              <w:jc w:val="center"/>
              <w:rPr>
                <w:rFonts w:hint="eastAsia" w:ascii="宋体" w:hAnsi="宋体" w:eastAsia="宋体" w:cs="宋体"/>
                <w:szCs w:val="21"/>
              </w:rPr>
            </w:pPr>
            <w:r>
              <w:rPr>
                <w:rFonts w:hint="eastAsia" w:ascii="宋体" w:hAnsi="宋体" w:eastAsia="宋体" w:cs="宋体"/>
                <w:szCs w:val="21"/>
              </w:rPr>
              <w:t>是否评定分离</w:t>
            </w:r>
          </w:p>
        </w:tc>
        <w:tc>
          <w:tcPr>
            <w:tcW w:w="5400" w:type="dxa"/>
            <w:noWrap w:val="0"/>
            <w:vAlign w:val="center"/>
          </w:tcPr>
          <w:p w14:paraId="3D28F18B">
            <w:pPr>
              <w:rPr>
                <w:rFonts w:hint="eastAsia" w:ascii="宋体" w:hAnsi="宋体" w:eastAsia="宋体" w:cs="宋体"/>
                <w:szCs w:val="21"/>
              </w:rPr>
            </w:pPr>
            <w:r>
              <w:rPr>
                <w:rFonts w:hint="eastAsia" w:ascii="宋体" w:hAnsi="宋体" w:eastAsia="宋体" w:cs="宋体"/>
                <w:szCs w:val="21"/>
              </w:rPr>
              <w:t>否</w:t>
            </w:r>
          </w:p>
        </w:tc>
      </w:tr>
      <w:tr w14:paraId="673AA4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0"/>
            <w:vAlign w:val="center"/>
          </w:tcPr>
          <w:p w14:paraId="537CC7D6">
            <w:pPr>
              <w:jc w:val="center"/>
              <w:rPr>
                <w:rFonts w:hint="eastAsia" w:ascii="宋体" w:hAnsi="宋体" w:eastAsia="宋体" w:cs="宋体"/>
              </w:rPr>
            </w:pPr>
            <w:r>
              <w:rPr>
                <w:rFonts w:hint="eastAsia" w:ascii="宋体" w:hAnsi="宋体" w:eastAsia="宋体" w:cs="宋体"/>
              </w:rPr>
              <w:t>7</w:t>
            </w:r>
          </w:p>
        </w:tc>
        <w:tc>
          <w:tcPr>
            <w:tcW w:w="2160" w:type="dxa"/>
            <w:noWrap w:val="0"/>
            <w:vAlign w:val="center"/>
          </w:tcPr>
          <w:p w14:paraId="1B67165A">
            <w:pPr>
              <w:jc w:val="center"/>
              <w:rPr>
                <w:rFonts w:hint="eastAsia" w:ascii="宋体" w:hAnsi="宋体" w:eastAsia="宋体" w:cs="宋体"/>
                <w:szCs w:val="21"/>
              </w:rPr>
            </w:pPr>
            <w:r>
              <w:rPr>
                <w:rFonts w:hint="eastAsia" w:ascii="宋体" w:hAnsi="宋体" w:eastAsia="宋体" w:cs="宋体"/>
                <w:szCs w:val="21"/>
              </w:rPr>
              <w:t>中标供应商家数</w:t>
            </w:r>
          </w:p>
        </w:tc>
        <w:tc>
          <w:tcPr>
            <w:tcW w:w="5400" w:type="dxa"/>
            <w:noWrap w:val="0"/>
            <w:vAlign w:val="center"/>
          </w:tcPr>
          <w:p w14:paraId="42E328AB">
            <w:pPr>
              <w:rPr>
                <w:rFonts w:hint="eastAsia" w:ascii="宋体" w:hAnsi="宋体" w:eastAsia="宋体" w:cs="宋体"/>
                <w:szCs w:val="21"/>
              </w:rPr>
            </w:pPr>
            <w:r>
              <w:rPr>
                <w:rFonts w:hint="eastAsia" w:ascii="宋体" w:hAnsi="宋体" w:eastAsia="宋体" w:cs="宋体"/>
                <w:szCs w:val="21"/>
              </w:rPr>
              <w:t>1</w:t>
            </w:r>
          </w:p>
        </w:tc>
      </w:tr>
      <w:tr w14:paraId="0AC35C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0"/>
            <w:vAlign w:val="center"/>
          </w:tcPr>
          <w:p w14:paraId="6660FAA4">
            <w:pPr>
              <w:jc w:val="center"/>
              <w:rPr>
                <w:rFonts w:hint="eastAsia" w:ascii="宋体" w:hAnsi="宋体" w:eastAsia="宋体" w:cs="宋体"/>
              </w:rPr>
            </w:pPr>
            <w:r>
              <w:rPr>
                <w:rFonts w:hint="eastAsia" w:ascii="宋体" w:hAnsi="宋体" w:eastAsia="宋体" w:cs="宋体"/>
              </w:rPr>
              <w:t>8</w:t>
            </w:r>
          </w:p>
        </w:tc>
        <w:tc>
          <w:tcPr>
            <w:tcW w:w="2160" w:type="dxa"/>
            <w:noWrap w:val="0"/>
            <w:vAlign w:val="center"/>
          </w:tcPr>
          <w:p w14:paraId="41AD667E">
            <w:pPr>
              <w:jc w:val="center"/>
              <w:rPr>
                <w:rFonts w:hint="eastAsia" w:ascii="宋体" w:hAnsi="宋体" w:eastAsia="宋体" w:cs="宋体"/>
                <w:szCs w:val="21"/>
              </w:rPr>
            </w:pPr>
            <w:r>
              <w:rPr>
                <w:rFonts w:hint="eastAsia" w:ascii="宋体" w:hAnsi="宋体" w:eastAsia="宋体" w:cs="宋体"/>
                <w:szCs w:val="21"/>
              </w:rPr>
              <w:t>候选中标供应商家数</w:t>
            </w:r>
          </w:p>
        </w:tc>
        <w:tc>
          <w:tcPr>
            <w:tcW w:w="5400" w:type="dxa"/>
            <w:noWrap w:val="0"/>
            <w:vAlign w:val="center"/>
          </w:tcPr>
          <w:p w14:paraId="725E1B5B">
            <w:pPr>
              <w:rPr>
                <w:rFonts w:hint="eastAsia" w:ascii="宋体" w:hAnsi="宋体" w:eastAsia="宋体" w:cs="宋体"/>
                <w:szCs w:val="21"/>
              </w:rPr>
            </w:pPr>
            <w:r>
              <w:rPr>
                <w:rFonts w:hint="eastAsia" w:ascii="宋体" w:hAnsi="宋体" w:eastAsia="宋体" w:cs="宋体"/>
                <w:szCs w:val="21"/>
              </w:rPr>
              <w:t>3</w:t>
            </w:r>
          </w:p>
        </w:tc>
      </w:tr>
      <w:tr w14:paraId="126B73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0"/>
            <w:vAlign w:val="center"/>
          </w:tcPr>
          <w:p w14:paraId="6F1672C4">
            <w:pPr>
              <w:jc w:val="center"/>
              <w:rPr>
                <w:rFonts w:hint="eastAsia" w:ascii="宋体" w:hAnsi="宋体" w:eastAsia="宋体" w:cs="宋体"/>
              </w:rPr>
            </w:pPr>
            <w:r>
              <w:rPr>
                <w:rFonts w:hint="eastAsia" w:ascii="宋体" w:hAnsi="宋体" w:eastAsia="宋体" w:cs="宋体"/>
              </w:rPr>
              <w:t>9</w:t>
            </w:r>
          </w:p>
        </w:tc>
        <w:tc>
          <w:tcPr>
            <w:tcW w:w="2160" w:type="dxa"/>
            <w:noWrap w:val="0"/>
            <w:vAlign w:val="center"/>
          </w:tcPr>
          <w:p w14:paraId="419A4EAF">
            <w:pPr>
              <w:rPr>
                <w:rFonts w:hint="eastAsia" w:ascii="宋体" w:hAnsi="宋体" w:eastAsia="宋体" w:cs="宋体"/>
                <w:szCs w:val="21"/>
              </w:rPr>
            </w:pPr>
            <w:r>
              <w:rPr>
                <w:rFonts w:hint="eastAsia" w:ascii="宋体" w:hAnsi="宋体" w:eastAsia="宋体" w:cs="宋体"/>
                <w:szCs w:val="21"/>
              </w:rPr>
              <w:t>投标担保金额</w:t>
            </w:r>
          </w:p>
        </w:tc>
        <w:tc>
          <w:tcPr>
            <w:tcW w:w="5400" w:type="dxa"/>
            <w:noWrap w:val="0"/>
            <w:vAlign w:val="center"/>
          </w:tcPr>
          <w:p w14:paraId="38DC9D6F">
            <w:pPr>
              <w:rPr>
                <w:rFonts w:hint="eastAsia" w:ascii="宋体" w:hAnsi="宋体" w:eastAsia="宋体" w:cs="宋体"/>
                <w:szCs w:val="21"/>
              </w:rPr>
            </w:pPr>
            <w:r>
              <w:rPr>
                <w:rFonts w:hint="eastAsia" w:ascii="宋体" w:hAnsi="宋体" w:eastAsia="宋体" w:cs="宋体"/>
              </w:rPr>
              <w:t>无</w:t>
            </w:r>
          </w:p>
        </w:tc>
      </w:tr>
      <w:tr w14:paraId="5D38C7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0"/>
            <w:vAlign w:val="center"/>
          </w:tcPr>
          <w:p w14:paraId="400D65C0">
            <w:pPr>
              <w:jc w:val="center"/>
              <w:rPr>
                <w:rFonts w:hint="eastAsia" w:ascii="宋体" w:hAnsi="宋体" w:eastAsia="宋体" w:cs="宋体"/>
              </w:rPr>
            </w:pPr>
            <w:r>
              <w:rPr>
                <w:rFonts w:hint="eastAsia" w:ascii="宋体" w:hAnsi="宋体" w:eastAsia="宋体" w:cs="宋体"/>
              </w:rPr>
              <w:t>10</w:t>
            </w:r>
          </w:p>
        </w:tc>
        <w:tc>
          <w:tcPr>
            <w:tcW w:w="2160" w:type="dxa"/>
            <w:noWrap w:val="0"/>
            <w:vAlign w:val="center"/>
          </w:tcPr>
          <w:p w14:paraId="2ADFC479">
            <w:pPr>
              <w:rPr>
                <w:rFonts w:hint="eastAsia" w:ascii="宋体" w:hAnsi="宋体" w:eastAsia="宋体" w:cs="宋体"/>
              </w:rPr>
            </w:pPr>
            <w:r>
              <w:rPr>
                <w:rFonts w:hint="eastAsia" w:ascii="宋体" w:hAnsi="宋体" w:eastAsia="宋体" w:cs="宋体"/>
              </w:rPr>
              <w:t>履约保证金</w:t>
            </w:r>
          </w:p>
        </w:tc>
        <w:tc>
          <w:tcPr>
            <w:tcW w:w="5400" w:type="dxa"/>
            <w:noWrap w:val="0"/>
            <w:vAlign w:val="center"/>
          </w:tcPr>
          <w:p w14:paraId="26044049">
            <w:pPr>
              <w:pStyle w:val="24"/>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□不提交 ■提交 </w:t>
            </w:r>
          </w:p>
          <w:p w14:paraId="42392D9F">
            <w:pPr>
              <w:pStyle w:val="24"/>
              <w:jc w:val="both"/>
              <w:rPr>
                <w:rFonts w:hint="eastAsia" w:ascii="宋体" w:hAnsi="宋体" w:eastAsia="宋体" w:cs="宋体"/>
                <w:color w:val="auto"/>
                <w:sz w:val="21"/>
                <w:szCs w:val="21"/>
              </w:rPr>
            </w:pPr>
            <w:r>
              <w:rPr>
                <w:rFonts w:hint="eastAsia" w:ascii="宋体" w:hAnsi="宋体" w:eastAsia="宋体" w:cs="宋体"/>
                <w:color w:val="auto"/>
                <w:sz w:val="21"/>
                <w:szCs w:val="21"/>
              </w:rPr>
              <w:t>担保金额：为中标价的</w:t>
            </w:r>
            <w:r>
              <w:rPr>
                <w:rFonts w:hint="eastAsia" w:ascii="宋体" w:hAnsi="宋体" w:eastAsia="宋体" w:cs="宋体"/>
                <w:color w:val="auto"/>
                <w:sz w:val="21"/>
                <w:szCs w:val="21"/>
                <w:u w:val="single"/>
              </w:rPr>
              <w:t xml:space="preserve"> </w:t>
            </w:r>
            <w:r>
              <w:rPr>
                <w:rFonts w:hint="eastAsia" w:hAnsi="宋体" w:cs="宋体"/>
                <w:color w:val="auto"/>
                <w:sz w:val="21"/>
                <w:szCs w:val="21"/>
                <w:u w:val="single"/>
                <w:lang w:val="en-US" w:eastAsia="zh-CN"/>
              </w:rPr>
              <w:t>10</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50CD57EC">
            <w:pPr>
              <w:pStyle w:val="24"/>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担保形式：银行保函 </w:t>
            </w:r>
          </w:p>
          <w:p w14:paraId="3DACC990">
            <w:pPr>
              <w:rPr>
                <w:rFonts w:hint="eastAsia" w:ascii="宋体" w:hAnsi="宋体" w:eastAsia="宋体" w:cs="宋体"/>
              </w:rPr>
            </w:pPr>
            <w:r>
              <w:rPr>
                <w:rFonts w:hint="eastAsia" w:ascii="宋体" w:hAnsi="宋体" w:eastAsia="宋体" w:cs="宋体"/>
                <w:szCs w:val="21"/>
              </w:rPr>
              <w:t>担保提交时间：收到中标通知书后，签订合同时提交。</w:t>
            </w:r>
          </w:p>
        </w:tc>
      </w:tr>
    </w:tbl>
    <w:p w14:paraId="043F9E1B">
      <w:pPr>
        <w:rPr>
          <w:rFonts w:hint="eastAsia" w:ascii="宋体" w:hAnsi="宋体" w:eastAsia="宋体" w:cs="宋体"/>
          <w:szCs w:val="21"/>
        </w:rPr>
      </w:pPr>
      <w:r>
        <w:rPr>
          <w:rFonts w:hint="eastAsia" w:ascii="宋体" w:hAnsi="宋体" w:eastAsia="宋体" w:cs="宋体"/>
          <w:szCs w:val="21"/>
        </w:rPr>
        <w:t>备注：本表为通用条款相关内容的补充和明确，如与通用条款相冲突的以本表为准。</w:t>
      </w:r>
    </w:p>
    <w:p w14:paraId="30F40300">
      <w:pPr>
        <w:widowControl/>
        <w:tabs>
          <w:tab w:val="left" w:pos="426"/>
        </w:tabs>
        <w:jc w:val="center"/>
        <w:rPr>
          <w:rFonts w:hint="eastAsia" w:ascii="宋体" w:hAnsi="宋体" w:eastAsia="宋体" w:cs="宋体"/>
          <w:b/>
          <w:kern w:val="0"/>
          <w:sz w:val="28"/>
          <w:szCs w:val="28"/>
        </w:rPr>
      </w:pPr>
      <w:bookmarkStart w:id="1" w:name="工程技术要求"/>
      <w:bookmarkStart w:id="2" w:name="_Toc77407614"/>
    </w:p>
    <w:p w14:paraId="1885C76E">
      <w:pPr>
        <w:pStyle w:val="5"/>
        <w:spacing w:before="156" w:beforeLines="50" w:after="156" w:afterLines="50"/>
        <w:rPr>
          <w:rFonts w:hint="eastAsia" w:ascii="宋体" w:hAnsi="宋体" w:eastAsia="宋体" w:cs="宋体"/>
          <w:szCs w:val="24"/>
        </w:rPr>
      </w:pPr>
      <w:r>
        <w:rPr>
          <w:rFonts w:hint="eastAsia" w:ascii="宋体" w:hAnsi="宋体" w:eastAsia="宋体" w:cs="宋体"/>
          <w:szCs w:val="24"/>
        </w:rPr>
        <w:t>二、其他关键信息</w:t>
      </w:r>
    </w:p>
    <w:p w14:paraId="75CA1112">
      <w:pPr>
        <w:ind w:firstLine="422" w:firstLineChars="200"/>
        <w:rPr>
          <w:rFonts w:hint="eastAsia" w:ascii="宋体" w:hAnsi="宋体" w:eastAsia="宋体" w:cs="宋体"/>
          <w:b/>
          <w:bCs/>
        </w:rPr>
      </w:pPr>
      <w:r>
        <w:rPr>
          <w:rFonts w:hint="eastAsia" w:ascii="宋体" w:hAnsi="宋体" w:eastAsia="宋体" w:cs="宋体"/>
          <w:b/>
          <w:bCs/>
        </w:rPr>
        <w:t>（一）与“对通用条款的补充内容”章节相关的事项</w:t>
      </w:r>
    </w:p>
    <w:p w14:paraId="5D7DBB11">
      <w:pPr>
        <w:widowControl/>
        <w:ind w:firstLine="480"/>
        <w:jc w:val="left"/>
        <w:rPr>
          <w:rFonts w:hint="eastAsia" w:ascii="宋体" w:hAnsi="宋体" w:eastAsia="宋体" w:cs="宋体"/>
          <w:color w:val="000000"/>
          <w:kern w:val="0"/>
          <w:sz w:val="24"/>
        </w:rPr>
      </w:pPr>
      <w:bookmarkStart w:id="3" w:name="_Hlk72579465"/>
      <w:r>
        <w:rPr>
          <w:rFonts w:hint="eastAsia" w:ascii="宋体" w:hAnsi="宋体" w:eastAsia="宋体" w:cs="宋体"/>
          <w:color w:val="000000"/>
          <w:kern w:val="0"/>
          <w:sz w:val="24"/>
        </w:rPr>
        <w:t>无</w:t>
      </w:r>
    </w:p>
    <w:p w14:paraId="393FBE80">
      <w:pPr>
        <w:widowControl/>
        <w:ind w:firstLine="480"/>
        <w:jc w:val="left"/>
        <w:rPr>
          <w:rFonts w:hint="eastAsia" w:ascii="宋体" w:hAnsi="宋体" w:eastAsia="宋体" w:cs="宋体"/>
          <w:color w:val="FF0000"/>
          <w:kern w:val="0"/>
          <w:sz w:val="24"/>
        </w:rPr>
      </w:pPr>
    </w:p>
    <w:bookmarkEnd w:id="3"/>
    <w:p w14:paraId="7E7399BE">
      <w:pPr>
        <w:ind w:firstLine="482" w:firstLineChars="200"/>
        <w:rPr>
          <w:rFonts w:hint="eastAsia" w:ascii="宋体" w:hAnsi="宋体" w:eastAsia="宋体" w:cs="宋体"/>
          <w:b/>
          <w:bCs/>
          <w:sz w:val="24"/>
        </w:rPr>
      </w:pPr>
      <w:r>
        <w:rPr>
          <w:rFonts w:hint="eastAsia" w:ascii="宋体" w:hAnsi="宋体" w:eastAsia="宋体" w:cs="宋体"/>
          <w:b/>
          <w:sz w:val="24"/>
        </w:rPr>
        <w:t>（二）其他事项</w:t>
      </w:r>
    </w:p>
    <w:p w14:paraId="7040F229">
      <w:pPr>
        <w:ind w:firstLine="480" w:firstLineChars="200"/>
        <w:rPr>
          <w:rFonts w:hint="eastAsia" w:ascii="宋体" w:hAnsi="宋体" w:eastAsia="宋体" w:cs="宋体"/>
          <w:sz w:val="24"/>
        </w:rPr>
      </w:pPr>
      <w:r>
        <w:rPr>
          <w:rFonts w:hint="eastAsia" w:ascii="宋体" w:hAnsi="宋体" w:eastAsia="宋体" w:cs="宋体"/>
          <w:sz w:val="24"/>
        </w:rPr>
        <w:t>1、关于享受优惠政策的主体及价格扣除比例</w:t>
      </w:r>
    </w:p>
    <w:p w14:paraId="01B07DB5">
      <w:pPr>
        <w:ind w:firstLine="480" w:firstLineChars="200"/>
        <w:rPr>
          <w:rFonts w:hint="eastAsia" w:ascii="宋体" w:hAnsi="宋体" w:eastAsia="宋体" w:cs="宋体"/>
          <w:color w:val="auto"/>
          <w:sz w:val="24"/>
        </w:rPr>
      </w:pPr>
      <w:r>
        <w:rPr>
          <w:rFonts w:hint="eastAsia" w:ascii="宋体" w:hAnsi="宋体" w:eastAsia="宋体" w:cs="宋体"/>
          <w:sz w:val="24"/>
          <w:highlight w:val="yellow"/>
        </w:rPr>
        <w:t>（1）投标人提供的服务全部均由优惠主体承接，则对其投标总价给予</w:t>
      </w:r>
      <w:r>
        <w:rPr>
          <w:rFonts w:hint="eastAsia" w:ascii="宋体" w:hAnsi="宋体" w:eastAsia="宋体" w:cs="宋体"/>
          <w:b/>
          <w:bCs/>
          <w:color w:val="0000FF"/>
          <w:sz w:val="24"/>
          <w:highlight w:val="yellow"/>
          <w:u w:val="single"/>
        </w:rPr>
        <w:t>10%</w:t>
      </w:r>
      <w:r>
        <w:rPr>
          <w:rFonts w:hint="eastAsia" w:ascii="宋体" w:hAnsi="宋体" w:eastAsia="宋体" w:cs="宋体"/>
          <w:sz w:val="24"/>
          <w:highlight w:val="yellow"/>
        </w:rPr>
        <w:t>的扣除，用扣除后的价格参与评审。满足多项优惠政策的企业，不重复享受多项价格扣除政策。</w:t>
      </w:r>
    </w:p>
    <w:p w14:paraId="217E0137">
      <w:pPr>
        <w:ind w:firstLine="480" w:firstLineChars="200"/>
        <w:rPr>
          <w:rFonts w:hint="eastAsia" w:ascii="宋体" w:hAnsi="宋体" w:eastAsia="宋体" w:cs="宋体"/>
          <w:sz w:val="24"/>
        </w:rPr>
      </w:pPr>
      <w:r>
        <w:rPr>
          <w:rFonts w:hint="eastAsia" w:ascii="宋体" w:hAnsi="宋体" w:eastAsia="宋体" w:cs="宋体"/>
          <w:sz w:val="24"/>
        </w:rPr>
        <w:t>备注：（a）优惠主体包括小型企业、微型企业、监狱企业、残疾人福利性单位；中小企业是指在中华人民共和国境内依法设立，依据国务院批准的</w:t>
      </w:r>
      <w:bookmarkStart w:id="4" w:name="_Hlk81319386"/>
      <w:r>
        <w:rPr>
          <w:rFonts w:hint="eastAsia" w:ascii="宋体" w:hAnsi="宋体" w:eastAsia="宋体" w:cs="宋体"/>
          <w:sz w:val="24"/>
        </w:rPr>
        <w:t>中小企业</w:t>
      </w:r>
      <w:bookmarkEnd w:id="4"/>
      <w:r>
        <w:rPr>
          <w:rFonts w:hint="eastAsia" w:ascii="宋体" w:hAnsi="宋体" w:eastAsia="宋体" w:cs="宋体"/>
          <w:sz w:val="24"/>
        </w:rPr>
        <w:t>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09855B45">
      <w:pPr>
        <w:ind w:firstLine="480" w:firstLineChars="200"/>
        <w:rPr>
          <w:rFonts w:hint="eastAsia" w:ascii="宋体" w:hAnsi="宋体" w:eastAsia="宋体" w:cs="宋体"/>
          <w:color w:val="FF0000"/>
          <w:sz w:val="24"/>
        </w:rPr>
      </w:pPr>
      <w:r>
        <w:rPr>
          <w:rFonts w:hint="eastAsia" w:ascii="宋体" w:hAnsi="宋体" w:eastAsia="宋体" w:cs="宋体"/>
          <w:sz w:val="24"/>
        </w:rPr>
        <w:t>（2）根据</w:t>
      </w:r>
      <w:r>
        <w:rPr>
          <w:rFonts w:hint="eastAsia" w:ascii="宋体" w:hAnsi="宋体" w:eastAsia="宋体" w:cs="宋体"/>
          <w:sz w:val="24"/>
          <w:szCs w:val="24"/>
        </w:rPr>
        <w:t>《工业和信息化部、国家统计局、国家发展和改革委员会、财政部关于印发中小企业划型标准规定的通知》（工信部联企业〔2011〕300 号）</w:t>
      </w:r>
      <w:r>
        <w:rPr>
          <w:rFonts w:hint="eastAsia" w:ascii="宋体" w:hAnsi="宋体" w:eastAsia="宋体" w:cs="宋体"/>
          <w:sz w:val="24"/>
        </w:rPr>
        <w:t>，本项目采购标的（服务需求）对应的中小企业划分标准所属行业为</w:t>
      </w:r>
      <w:r>
        <w:rPr>
          <w:rFonts w:hint="eastAsia" w:ascii="宋体" w:hAnsi="宋体" w:cs="宋体"/>
          <w:b/>
          <w:bCs/>
          <w:color w:val="0000FF"/>
          <w:sz w:val="24"/>
          <w:u w:val="single"/>
          <w:lang w:eastAsia="zh-CN"/>
        </w:rPr>
        <w:t>建筑业</w:t>
      </w:r>
      <w:r>
        <w:rPr>
          <w:rFonts w:hint="eastAsia" w:ascii="宋体" w:hAnsi="宋体" w:eastAsia="宋体" w:cs="宋体"/>
          <w:b/>
          <w:bCs/>
          <w:color w:val="0000FF"/>
          <w:sz w:val="24"/>
          <w:u w:val="single"/>
        </w:rPr>
        <w:t>。</w:t>
      </w:r>
    </w:p>
    <w:p w14:paraId="7EAC819A">
      <w:pPr>
        <w:numPr>
          <w:ilvl w:val="0"/>
          <w:numId w:val="0"/>
        </w:numPr>
        <w:ind w:firstLine="480" w:firstLineChars="200"/>
        <w:rPr>
          <w:rFonts w:hint="eastAsia" w:ascii="宋体" w:hAnsi="宋体" w:eastAsia="宋体" w:cs="宋体"/>
          <w:sz w:val="24"/>
        </w:rPr>
      </w:pPr>
      <w:r>
        <w:rPr>
          <w:rFonts w:hint="eastAsia" w:ascii="宋体" w:hAnsi="宋体" w:eastAsia="宋体" w:cs="宋体"/>
          <w:color w:val="auto"/>
          <w:sz w:val="24"/>
        </w:rPr>
        <w:t>（3）小型企业、微型企业、残疾人福利性单位作为优惠主体的认定资料</w:t>
      </w:r>
      <w:r>
        <w:rPr>
          <w:rFonts w:hint="eastAsia" w:ascii="宋体" w:hAnsi="宋体" w:eastAsia="宋体" w:cs="宋体"/>
          <w:sz w:val="24"/>
        </w:rPr>
        <w:t>为《中小企业声明函》、《残疾人福利性单位声明函》；监狱企业作为优惠主体的认定资料为省级以上监狱管理局、戒毒管理局出具的监狱企业证明文件。声明函样式见本招标文件第一册</w:t>
      </w:r>
      <w:r>
        <w:rPr>
          <w:rFonts w:hint="eastAsia" w:ascii="宋体" w:hAnsi="宋体" w:eastAsia="宋体" w:cs="宋体"/>
          <w:color w:val="auto"/>
          <w:sz w:val="24"/>
        </w:rPr>
        <w:t>专用</w:t>
      </w:r>
      <w:r>
        <w:rPr>
          <w:rFonts w:hint="eastAsia" w:ascii="宋体" w:hAnsi="宋体" w:eastAsia="宋体" w:cs="宋体"/>
          <w:sz w:val="24"/>
        </w:rPr>
        <w:t>条款第四章“投标文件组成要求及格式”中“投标人情况及资格证明文件”章节提供的格式）。</w:t>
      </w:r>
    </w:p>
    <w:p w14:paraId="726547A6">
      <w:pPr>
        <w:ind w:firstLine="480" w:firstLineChars="200"/>
        <w:rPr>
          <w:rFonts w:hint="eastAsia" w:ascii="宋体" w:hAnsi="宋体" w:eastAsia="宋体" w:cs="宋体"/>
          <w:sz w:val="24"/>
        </w:rPr>
      </w:pPr>
      <w:r>
        <w:rPr>
          <w:rFonts w:hint="eastAsia" w:ascii="宋体" w:hAnsi="宋体" w:eastAsia="宋体" w:cs="宋体"/>
          <w:sz w:val="24"/>
        </w:rPr>
        <w:t>（4）享受价格扣除获得政府采购合同的，小微企业不得将合同分包给大中型企业。</w:t>
      </w:r>
    </w:p>
    <w:p w14:paraId="1F2E6E37">
      <w:pPr>
        <w:spacing w:before="50" w:after="50"/>
        <w:ind w:firstLine="480" w:firstLineChars="200"/>
        <w:rPr>
          <w:rFonts w:hint="eastAsia" w:ascii="宋体" w:hAnsi="宋体" w:eastAsia="宋体" w:cs="宋体"/>
          <w:sz w:val="24"/>
        </w:rPr>
      </w:pPr>
      <w:r>
        <w:rPr>
          <w:rFonts w:hint="eastAsia" w:ascii="宋体" w:hAnsi="宋体" w:eastAsia="宋体" w:cs="宋体"/>
          <w:sz w:val="24"/>
        </w:rPr>
        <w:t>2、中标供应商在领取《中标通知书》之前须向深圳市广得信工程造价咨询有限公司交纳代理服务费。若因中标供应商交纳代理服务费所产生的时间影响到合同签订的，由中标供应商自行承担责任。代理服务费标准参照深财购〔2018〕27号文所列标准收取。本项目类型为</w:t>
      </w:r>
      <w:r>
        <w:rPr>
          <w:rFonts w:hint="eastAsia" w:ascii="宋体" w:hAnsi="宋体" w:cs="宋体"/>
          <w:b/>
          <w:bCs/>
          <w:sz w:val="24"/>
          <w:lang w:eastAsia="zh-CN"/>
        </w:rPr>
        <w:t>工程</w:t>
      </w:r>
      <w:r>
        <w:rPr>
          <w:rFonts w:hint="eastAsia" w:ascii="宋体" w:hAnsi="宋体" w:eastAsia="宋体" w:cs="宋体"/>
          <w:b/>
          <w:bCs/>
          <w:sz w:val="24"/>
        </w:rPr>
        <w:t>类</w:t>
      </w:r>
      <w:r>
        <w:rPr>
          <w:rFonts w:hint="eastAsia" w:ascii="宋体" w:hAnsi="宋体" w:eastAsia="宋体" w:cs="宋体"/>
          <w:sz w:val="24"/>
        </w:rPr>
        <w:t>：</w:t>
      </w:r>
    </w:p>
    <w:p w14:paraId="77B603CB">
      <w:pPr>
        <w:widowControl/>
        <w:ind w:firstLine="480" w:firstLineChars="200"/>
        <w:jc w:val="left"/>
        <w:rPr>
          <w:rFonts w:hint="eastAsia" w:ascii="宋体" w:hAnsi="宋体" w:eastAsia="宋体" w:cs="宋体"/>
          <w:sz w:val="24"/>
        </w:rPr>
      </w:pPr>
      <w:r>
        <w:rPr>
          <w:rFonts w:hint="eastAsia" w:ascii="宋体" w:hAnsi="宋体" w:eastAsia="宋体" w:cs="宋体"/>
          <w:sz w:val="24"/>
        </w:rPr>
        <w:t>（一）代理服务费以《中标通知书》确定的中标金额作为计算基数，按差额定率累进法计算。</w:t>
      </w:r>
    </w:p>
    <w:p w14:paraId="032BCD58">
      <w:pPr>
        <w:widowControl/>
        <w:ind w:firstLine="480" w:firstLineChars="200"/>
        <w:jc w:val="left"/>
        <w:rPr>
          <w:rFonts w:hint="eastAsia" w:ascii="宋体" w:hAnsi="宋体" w:eastAsia="宋体" w:cs="宋体"/>
          <w:sz w:val="24"/>
        </w:rPr>
      </w:pPr>
      <w:r>
        <w:rPr>
          <w:rFonts w:hint="eastAsia" w:ascii="宋体" w:hAnsi="宋体" w:eastAsia="宋体" w:cs="宋体"/>
          <w:sz w:val="24"/>
        </w:rPr>
        <w:t>（二）中标金额的各部分费率如下表：</w:t>
      </w:r>
    </w:p>
    <w:tbl>
      <w:tblPr>
        <w:tblStyle w:val="50"/>
        <w:tblW w:w="7161" w:type="dxa"/>
        <w:jc w:val="center"/>
        <w:tblLayout w:type="fixed"/>
        <w:tblCellMar>
          <w:top w:w="0" w:type="dxa"/>
          <w:left w:w="108" w:type="dxa"/>
          <w:bottom w:w="0" w:type="dxa"/>
          <w:right w:w="108" w:type="dxa"/>
        </w:tblCellMar>
      </w:tblPr>
      <w:tblGrid>
        <w:gridCol w:w="2887"/>
        <w:gridCol w:w="1440"/>
        <w:gridCol w:w="1395"/>
        <w:gridCol w:w="1439"/>
      </w:tblGrid>
      <w:tr w14:paraId="776A7FC4">
        <w:tblPrEx>
          <w:tblCellMar>
            <w:top w:w="0" w:type="dxa"/>
            <w:left w:w="108" w:type="dxa"/>
            <w:bottom w:w="0" w:type="dxa"/>
            <w:right w:w="108" w:type="dxa"/>
          </w:tblCellMar>
        </w:tblPrEx>
        <w:trPr>
          <w:trHeight w:val="752" w:hRule="atLeast"/>
          <w:jc w:val="center"/>
        </w:trPr>
        <w:tc>
          <w:tcPr>
            <w:tcW w:w="2887"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6CA462B5">
            <w:pPr>
              <w:widowControl/>
              <w:snapToGrid w:val="0"/>
              <w:spacing w:before="156" w:beforeLines="50" w:after="156" w:afterLines="50"/>
              <w:ind w:firstLine="1920" w:firstLineChars="800"/>
              <w:jc w:val="left"/>
              <w:rPr>
                <w:rFonts w:hint="eastAsia" w:ascii="宋体" w:hAnsi="宋体" w:eastAsia="宋体" w:cs="宋体"/>
                <w:sz w:val="24"/>
              </w:rPr>
            </w:pPr>
            <w:r>
              <w:rPr>
                <w:rFonts w:hint="eastAsia" w:ascii="宋体" w:hAnsi="宋体" w:eastAsia="宋体" w:cs="宋体"/>
                <w:sz w:val="24"/>
              </w:rPr>
              <w:t>类别</w:t>
            </w:r>
          </w:p>
          <w:p w14:paraId="57040F6B">
            <w:pPr>
              <w:widowControl/>
              <w:snapToGrid w:val="0"/>
              <w:spacing w:before="156" w:beforeLines="50" w:after="156" w:afterLines="50"/>
              <w:jc w:val="left"/>
              <w:rPr>
                <w:rFonts w:hint="eastAsia" w:ascii="宋体" w:hAnsi="宋体" w:eastAsia="宋体" w:cs="宋体"/>
                <w:sz w:val="24"/>
              </w:rPr>
            </w:pPr>
            <w:r>
              <w:rPr>
                <w:rFonts w:hint="eastAsia" w:ascii="宋体" w:hAnsi="宋体" w:eastAsia="宋体" w:cs="宋体"/>
                <w:sz w:val="24"/>
              </w:rPr>
              <w:t>金额(万元)</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A24E39D">
            <w:pPr>
              <w:widowControl/>
              <w:snapToGrid w:val="0"/>
              <w:spacing w:before="156" w:beforeLines="50" w:after="156" w:afterLines="50"/>
              <w:jc w:val="center"/>
              <w:rPr>
                <w:rFonts w:hint="eastAsia" w:ascii="宋体" w:hAnsi="宋体" w:eastAsia="宋体" w:cs="宋体"/>
                <w:sz w:val="24"/>
              </w:rPr>
            </w:pPr>
            <w:r>
              <w:rPr>
                <w:rFonts w:hint="eastAsia" w:ascii="宋体" w:hAnsi="宋体" w:eastAsia="宋体" w:cs="宋体"/>
                <w:sz w:val="24"/>
              </w:rPr>
              <w:t>工程采购</w:t>
            </w:r>
          </w:p>
        </w:tc>
        <w:tc>
          <w:tcPr>
            <w:tcW w:w="1395" w:type="dxa"/>
            <w:tcBorders>
              <w:top w:val="single" w:color="auto" w:sz="4" w:space="0"/>
              <w:left w:val="nil"/>
              <w:bottom w:val="single" w:color="auto" w:sz="4" w:space="0"/>
              <w:right w:val="single" w:color="auto" w:sz="4" w:space="0"/>
            </w:tcBorders>
            <w:noWrap w:val="0"/>
            <w:vAlign w:val="center"/>
          </w:tcPr>
          <w:p w14:paraId="1A519602">
            <w:pPr>
              <w:widowControl/>
              <w:snapToGrid w:val="0"/>
              <w:spacing w:before="156" w:beforeLines="50" w:after="156" w:afterLines="50"/>
              <w:jc w:val="center"/>
              <w:rPr>
                <w:rFonts w:hint="eastAsia" w:ascii="宋体" w:hAnsi="宋体" w:eastAsia="宋体" w:cs="宋体"/>
                <w:sz w:val="24"/>
              </w:rPr>
            </w:pPr>
            <w:r>
              <w:rPr>
                <w:rFonts w:hint="eastAsia" w:ascii="宋体" w:hAnsi="宋体" w:eastAsia="宋体" w:cs="宋体"/>
                <w:sz w:val="24"/>
              </w:rPr>
              <w:t>货物采购</w:t>
            </w:r>
          </w:p>
        </w:tc>
        <w:tc>
          <w:tcPr>
            <w:tcW w:w="1439" w:type="dxa"/>
            <w:tcBorders>
              <w:top w:val="single" w:color="auto" w:sz="4" w:space="0"/>
              <w:left w:val="nil"/>
              <w:bottom w:val="single" w:color="auto" w:sz="4" w:space="0"/>
              <w:right w:val="single" w:color="auto" w:sz="4" w:space="0"/>
            </w:tcBorders>
            <w:noWrap w:val="0"/>
            <w:vAlign w:val="center"/>
          </w:tcPr>
          <w:p w14:paraId="4A4E6DDD">
            <w:pPr>
              <w:widowControl/>
              <w:snapToGrid w:val="0"/>
              <w:spacing w:before="156" w:beforeLines="50" w:after="156" w:afterLines="50"/>
              <w:jc w:val="center"/>
              <w:rPr>
                <w:rFonts w:hint="eastAsia" w:ascii="宋体" w:hAnsi="宋体" w:eastAsia="宋体" w:cs="宋体"/>
                <w:sz w:val="24"/>
              </w:rPr>
            </w:pPr>
            <w:r>
              <w:rPr>
                <w:rFonts w:hint="eastAsia" w:ascii="宋体" w:hAnsi="宋体" w:eastAsia="宋体" w:cs="宋体"/>
                <w:sz w:val="24"/>
              </w:rPr>
              <w:t>服务采购</w:t>
            </w:r>
          </w:p>
        </w:tc>
      </w:tr>
      <w:tr w14:paraId="22D5ECD3">
        <w:tblPrEx>
          <w:tblCellMar>
            <w:top w:w="0" w:type="dxa"/>
            <w:left w:w="108" w:type="dxa"/>
            <w:bottom w:w="0" w:type="dxa"/>
            <w:right w:w="108" w:type="dxa"/>
          </w:tblCellMar>
        </w:tblPrEx>
        <w:trPr>
          <w:trHeight w:val="402" w:hRule="atLeast"/>
          <w:jc w:val="center"/>
        </w:trPr>
        <w:tc>
          <w:tcPr>
            <w:tcW w:w="2887" w:type="dxa"/>
            <w:tcBorders>
              <w:top w:val="single" w:color="auto" w:sz="4" w:space="0"/>
              <w:left w:val="single" w:color="auto" w:sz="8" w:space="0"/>
              <w:bottom w:val="single" w:color="auto" w:sz="8" w:space="0"/>
              <w:right w:val="single" w:color="auto" w:sz="8" w:space="0"/>
            </w:tcBorders>
            <w:noWrap w:val="0"/>
            <w:vAlign w:val="top"/>
          </w:tcPr>
          <w:p w14:paraId="33563E67">
            <w:pPr>
              <w:widowControl/>
              <w:snapToGrid w:val="0"/>
              <w:spacing w:before="156" w:beforeLines="50" w:after="156" w:afterLines="50"/>
              <w:jc w:val="center"/>
              <w:rPr>
                <w:rFonts w:hint="eastAsia" w:ascii="宋体" w:hAnsi="宋体" w:eastAsia="宋体" w:cs="宋体"/>
                <w:sz w:val="24"/>
              </w:rPr>
            </w:pPr>
            <w:r>
              <w:rPr>
                <w:rFonts w:hint="eastAsia" w:ascii="宋体" w:hAnsi="宋体" w:eastAsia="宋体" w:cs="宋体"/>
                <w:sz w:val="24"/>
              </w:rPr>
              <w:t>100以下</w:t>
            </w:r>
          </w:p>
        </w:tc>
        <w:tc>
          <w:tcPr>
            <w:tcW w:w="1440" w:type="dxa"/>
            <w:tcBorders>
              <w:top w:val="nil"/>
              <w:left w:val="nil"/>
              <w:bottom w:val="single" w:color="auto" w:sz="8" w:space="0"/>
              <w:right w:val="single" w:color="auto" w:sz="8" w:space="0"/>
            </w:tcBorders>
            <w:noWrap w:val="0"/>
            <w:vAlign w:val="top"/>
          </w:tcPr>
          <w:p w14:paraId="28EC9C99">
            <w:pPr>
              <w:widowControl/>
              <w:snapToGrid w:val="0"/>
              <w:spacing w:before="156" w:beforeLines="50" w:after="156" w:afterLines="50"/>
              <w:jc w:val="center"/>
              <w:rPr>
                <w:rFonts w:hint="eastAsia" w:ascii="宋体" w:hAnsi="宋体" w:eastAsia="宋体" w:cs="宋体"/>
                <w:sz w:val="24"/>
              </w:rPr>
            </w:pPr>
            <w:r>
              <w:rPr>
                <w:rFonts w:hint="eastAsia" w:ascii="宋体" w:hAnsi="宋体" w:eastAsia="宋体" w:cs="宋体"/>
                <w:sz w:val="24"/>
              </w:rPr>
              <w:t>1.00%</w:t>
            </w:r>
          </w:p>
        </w:tc>
        <w:tc>
          <w:tcPr>
            <w:tcW w:w="1395" w:type="dxa"/>
            <w:tcBorders>
              <w:top w:val="nil"/>
              <w:left w:val="nil"/>
              <w:bottom w:val="single" w:color="auto" w:sz="8" w:space="0"/>
              <w:right w:val="single" w:color="auto" w:sz="8" w:space="0"/>
            </w:tcBorders>
            <w:noWrap w:val="0"/>
            <w:vAlign w:val="top"/>
          </w:tcPr>
          <w:p w14:paraId="48A3962A">
            <w:pPr>
              <w:widowControl/>
              <w:snapToGrid w:val="0"/>
              <w:spacing w:before="156" w:beforeLines="50" w:after="156" w:afterLines="50"/>
              <w:jc w:val="center"/>
              <w:rPr>
                <w:rFonts w:hint="eastAsia" w:ascii="宋体" w:hAnsi="宋体" w:eastAsia="宋体" w:cs="宋体"/>
                <w:sz w:val="24"/>
              </w:rPr>
            </w:pPr>
            <w:r>
              <w:rPr>
                <w:rFonts w:hint="eastAsia" w:ascii="宋体" w:hAnsi="宋体" w:eastAsia="宋体" w:cs="宋体"/>
                <w:sz w:val="24"/>
              </w:rPr>
              <w:t>1.50%</w:t>
            </w:r>
          </w:p>
        </w:tc>
        <w:tc>
          <w:tcPr>
            <w:tcW w:w="1439" w:type="dxa"/>
            <w:tcBorders>
              <w:top w:val="nil"/>
              <w:left w:val="nil"/>
              <w:bottom w:val="single" w:color="auto" w:sz="8" w:space="0"/>
              <w:right w:val="single" w:color="auto" w:sz="8" w:space="0"/>
            </w:tcBorders>
            <w:noWrap w:val="0"/>
            <w:vAlign w:val="top"/>
          </w:tcPr>
          <w:p w14:paraId="47B3F12E">
            <w:pPr>
              <w:widowControl/>
              <w:snapToGrid w:val="0"/>
              <w:spacing w:before="156" w:beforeLines="50" w:after="156" w:afterLines="50"/>
              <w:jc w:val="center"/>
              <w:rPr>
                <w:rFonts w:hint="eastAsia" w:ascii="宋体" w:hAnsi="宋体" w:eastAsia="宋体" w:cs="宋体"/>
                <w:sz w:val="24"/>
              </w:rPr>
            </w:pPr>
            <w:r>
              <w:rPr>
                <w:rFonts w:hint="eastAsia" w:ascii="宋体" w:hAnsi="宋体" w:eastAsia="宋体" w:cs="宋体"/>
                <w:sz w:val="24"/>
              </w:rPr>
              <w:t>1.50%</w:t>
            </w:r>
          </w:p>
        </w:tc>
      </w:tr>
      <w:tr w14:paraId="59AC8AD0">
        <w:tblPrEx>
          <w:tblCellMar>
            <w:top w:w="0" w:type="dxa"/>
            <w:left w:w="108" w:type="dxa"/>
            <w:bottom w:w="0" w:type="dxa"/>
            <w:right w:w="108" w:type="dxa"/>
          </w:tblCellMar>
        </w:tblPrEx>
        <w:trPr>
          <w:trHeight w:val="402" w:hRule="atLeast"/>
          <w:jc w:val="center"/>
        </w:trPr>
        <w:tc>
          <w:tcPr>
            <w:tcW w:w="2887" w:type="dxa"/>
            <w:tcBorders>
              <w:top w:val="nil"/>
              <w:left w:val="single" w:color="auto" w:sz="8" w:space="0"/>
              <w:bottom w:val="single" w:color="auto" w:sz="8" w:space="0"/>
              <w:right w:val="single" w:color="auto" w:sz="8" w:space="0"/>
            </w:tcBorders>
            <w:noWrap w:val="0"/>
            <w:vAlign w:val="top"/>
          </w:tcPr>
          <w:p w14:paraId="518FC0D0">
            <w:pPr>
              <w:widowControl/>
              <w:snapToGrid w:val="0"/>
              <w:spacing w:before="156" w:beforeLines="50" w:after="156" w:afterLines="50"/>
              <w:jc w:val="center"/>
              <w:rPr>
                <w:rFonts w:hint="eastAsia" w:ascii="宋体" w:hAnsi="宋体" w:eastAsia="宋体" w:cs="宋体"/>
                <w:sz w:val="24"/>
              </w:rPr>
            </w:pPr>
            <w:r>
              <w:rPr>
                <w:rFonts w:hint="eastAsia" w:ascii="宋体" w:hAnsi="宋体" w:eastAsia="宋体" w:cs="宋体"/>
                <w:sz w:val="24"/>
              </w:rPr>
              <w:t>100-500</w:t>
            </w:r>
          </w:p>
        </w:tc>
        <w:tc>
          <w:tcPr>
            <w:tcW w:w="1440" w:type="dxa"/>
            <w:tcBorders>
              <w:top w:val="nil"/>
              <w:left w:val="nil"/>
              <w:bottom w:val="single" w:color="auto" w:sz="8" w:space="0"/>
              <w:right w:val="single" w:color="auto" w:sz="8" w:space="0"/>
            </w:tcBorders>
            <w:noWrap w:val="0"/>
            <w:vAlign w:val="top"/>
          </w:tcPr>
          <w:p w14:paraId="4A8A6144">
            <w:pPr>
              <w:widowControl/>
              <w:snapToGrid w:val="0"/>
              <w:spacing w:before="156" w:beforeLines="50" w:after="156" w:afterLines="50"/>
              <w:jc w:val="center"/>
              <w:rPr>
                <w:rFonts w:hint="eastAsia" w:ascii="宋体" w:hAnsi="宋体" w:eastAsia="宋体" w:cs="宋体"/>
                <w:sz w:val="24"/>
              </w:rPr>
            </w:pPr>
            <w:r>
              <w:rPr>
                <w:rFonts w:hint="eastAsia" w:ascii="宋体" w:hAnsi="宋体" w:eastAsia="宋体" w:cs="宋体"/>
                <w:sz w:val="24"/>
              </w:rPr>
              <w:t>0.70%</w:t>
            </w:r>
          </w:p>
        </w:tc>
        <w:tc>
          <w:tcPr>
            <w:tcW w:w="1395" w:type="dxa"/>
            <w:tcBorders>
              <w:top w:val="nil"/>
              <w:left w:val="nil"/>
              <w:bottom w:val="single" w:color="auto" w:sz="8" w:space="0"/>
              <w:right w:val="single" w:color="auto" w:sz="8" w:space="0"/>
            </w:tcBorders>
            <w:noWrap w:val="0"/>
            <w:vAlign w:val="top"/>
          </w:tcPr>
          <w:p w14:paraId="5209C83A">
            <w:pPr>
              <w:widowControl/>
              <w:snapToGrid w:val="0"/>
              <w:spacing w:before="156" w:beforeLines="50" w:after="156" w:afterLines="50"/>
              <w:jc w:val="center"/>
              <w:rPr>
                <w:rFonts w:hint="eastAsia" w:ascii="宋体" w:hAnsi="宋体" w:eastAsia="宋体" w:cs="宋体"/>
                <w:sz w:val="24"/>
              </w:rPr>
            </w:pPr>
            <w:r>
              <w:rPr>
                <w:rFonts w:hint="eastAsia" w:ascii="宋体" w:hAnsi="宋体" w:eastAsia="宋体" w:cs="宋体"/>
                <w:sz w:val="24"/>
              </w:rPr>
              <w:t>1.10%</w:t>
            </w:r>
          </w:p>
        </w:tc>
        <w:tc>
          <w:tcPr>
            <w:tcW w:w="1439" w:type="dxa"/>
            <w:tcBorders>
              <w:top w:val="nil"/>
              <w:left w:val="nil"/>
              <w:bottom w:val="single" w:color="auto" w:sz="8" w:space="0"/>
              <w:right w:val="single" w:color="auto" w:sz="8" w:space="0"/>
            </w:tcBorders>
            <w:noWrap w:val="0"/>
            <w:vAlign w:val="top"/>
          </w:tcPr>
          <w:p w14:paraId="34E9B9AD">
            <w:pPr>
              <w:widowControl/>
              <w:snapToGrid w:val="0"/>
              <w:spacing w:before="156" w:beforeLines="50" w:after="156" w:afterLines="50"/>
              <w:jc w:val="center"/>
              <w:rPr>
                <w:rFonts w:hint="eastAsia" w:ascii="宋体" w:hAnsi="宋体" w:eastAsia="宋体" w:cs="宋体"/>
                <w:sz w:val="24"/>
              </w:rPr>
            </w:pPr>
            <w:r>
              <w:rPr>
                <w:rFonts w:hint="eastAsia" w:ascii="宋体" w:hAnsi="宋体" w:eastAsia="宋体" w:cs="宋体"/>
                <w:sz w:val="24"/>
              </w:rPr>
              <w:t>0.80%</w:t>
            </w:r>
          </w:p>
        </w:tc>
      </w:tr>
      <w:tr w14:paraId="2E70E472">
        <w:tblPrEx>
          <w:tblCellMar>
            <w:top w:w="0" w:type="dxa"/>
            <w:left w:w="108" w:type="dxa"/>
            <w:bottom w:w="0" w:type="dxa"/>
            <w:right w:w="108" w:type="dxa"/>
          </w:tblCellMar>
        </w:tblPrEx>
        <w:trPr>
          <w:trHeight w:val="402" w:hRule="atLeast"/>
          <w:jc w:val="center"/>
        </w:trPr>
        <w:tc>
          <w:tcPr>
            <w:tcW w:w="2887" w:type="dxa"/>
            <w:tcBorders>
              <w:top w:val="nil"/>
              <w:left w:val="single" w:color="auto" w:sz="8" w:space="0"/>
              <w:bottom w:val="single" w:color="auto" w:sz="8" w:space="0"/>
              <w:right w:val="single" w:color="auto" w:sz="8" w:space="0"/>
            </w:tcBorders>
            <w:noWrap w:val="0"/>
            <w:vAlign w:val="top"/>
          </w:tcPr>
          <w:p w14:paraId="46D21BD4">
            <w:pPr>
              <w:widowControl/>
              <w:snapToGrid w:val="0"/>
              <w:spacing w:before="156" w:beforeLines="50" w:after="156" w:afterLines="50"/>
              <w:jc w:val="center"/>
              <w:rPr>
                <w:rFonts w:hint="eastAsia" w:ascii="宋体" w:hAnsi="宋体" w:eastAsia="宋体" w:cs="宋体"/>
                <w:sz w:val="24"/>
              </w:rPr>
            </w:pPr>
            <w:r>
              <w:rPr>
                <w:rFonts w:hint="eastAsia" w:ascii="宋体" w:hAnsi="宋体" w:eastAsia="宋体" w:cs="宋体"/>
                <w:sz w:val="24"/>
              </w:rPr>
              <w:t>500-1000</w:t>
            </w:r>
          </w:p>
        </w:tc>
        <w:tc>
          <w:tcPr>
            <w:tcW w:w="1440" w:type="dxa"/>
            <w:tcBorders>
              <w:top w:val="nil"/>
              <w:left w:val="nil"/>
              <w:bottom w:val="single" w:color="auto" w:sz="8" w:space="0"/>
              <w:right w:val="single" w:color="auto" w:sz="8" w:space="0"/>
            </w:tcBorders>
            <w:noWrap w:val="0"/>
            <w:vAlign w:val="top"/>
          </w:tcPr>
          <w:p w14:paraId="45F6A10C">
            <w:pPr>
              <w:widowControl/>
              <w:snapToGrid w:val="0"/>
              <w:spacing w:before="156" w:beforeLines="50" w:after="156" w:afterLines="50"/>
              <w:jc w:val="center"/>
              <w:rPr>
                <w:rFonts w:hint="eastAsia" w:ascii="宋体" w:hAnsi="宋体" w:eastAsia="宋体" w:cs="宋体"/>
                <w:sz w:val="24"/>
              </w:rPr>
            </w:pPr>
            <w:r>
              <w:rPr>
                <w:rFonts w:hint="eastAsia" w:ascii="宋体" w:hAnsi="宋体" w:eastAsia="宋体" w:cs="宋体"/>
                <w:sz w:val="24"/>
              </w:rPr>
              <w:t>0.55%</w:t>
            </w:r>
          </w:p>
        </w:tc>
        <w:tc>
          <w:tcPr>
            <w:tcW w:w="1395" w:type="dxa"/>
            <w:tcBorders>
              <w:top w:val="nil"/>
              <w:left w:val="nil"/>
              <w:bottom w:val="single" w:color="auto" w:sz="8" w:space="0"/>
              <w:right w:val="single" w:color="auto" w:sz="8" w:space="0"/>
            </w:tcBorders>
            <w:noWrap w:val="0"/>
            <w:vAlign w:val="top"/>
          </w:tcPr>
          <w:p w14:paraId="3A5083CB">
            <w:pPr>
              <w:widowControl/>
              <w:snapToGrid w:val="0"/>
              <w:spacing w:before="156" w:beforeLines="50" w:after="156" w:afterLines="50"/>
              <w:jc w:val="center"/>
              <w:rPr>
                <w:rFonts w:hint="eastAsia" w:ascii="宋体" w:hAnsi="宋体" w:eastAsia="宋体" w:cs="宋体"/>
                <w:sz w:val="24"/>
              </w:rPr>
            </w:pPr>
            <w:r>
              <w:rPr>
                <w:rFonts w:hint="eastAsia" w:ascii="宋体" w:hAnsi="宋体" w:eastAsia="宋体" w:cs="宋体"/>
                <w:sz w:val="24"/>
              </w:rPr>
              <w:t>0.80%</w:t>
            </w:r>
          </w:p>
        </w:tc>
        <w:tc>
          <w:tcPr>
            <w:tcW w:w="1439" w:type="dxa"/>
            <w:tcBorders>
              <w:top w:val="nil"/>
              <w:left w:val="nil"/>
              <w:bottom w:val="single" w:color="auto" w:sz="8" w:space="0"/>
              <w:right w:val="single" w:color="auto" w:sz="8" w:space="0"/>
            </w:tcBorders>
            <w:noWrap w:val="0"/>
            <w:vAlign w:val="top"/>
          </w:tcPr>
          <w:p w14:paraId="0B81DE36">
            <w:pPr>
              <w:widowControl/>
              <w:snapToGrid w:val="0"/>
              <w:spacing w:before="156" w:beforeLines="50" w:after="156" w:afterLines="50"/>
              <w:jc w:val="center"/>
              <w:rPr>
                <w:rFonts w:hint="eastAsia" w:ascii="宋体" w:hAnsi="宋体" w:eastAsia="宋体" w:cs="宋体"/>
                <w:sz w:val="24"/>
              </w:rPr>
            </w:pPr>
            <w:r>
              <w:rPr>
                <w:rFonts w:hint="eastAsia" w:ascii="宋体" w:hAnsi="宋体" w:eastAsia="宋体" w:cs="宋体"/>
                <w:sz w:val="24"/>
              </w:rPr>
              <w:t>0.45%</w:t>
            </w:r>
          </w:p>
        </w:tc>
      </w:tr>
    </w:tbl>
    <w:p w14:paraId="11D19A0F">
      <w:pPr>
        <w:widowControl/>
        <w:ind w:firstLine="480" w:firstLineChars="200"/>
        <w:jc w:val="left"/>
        <w:rPr>
          <w:rFonts w:hint="eastAsia" w:ascii="宋体" w:hAnsi="宋体" w:eastAsia="宋体" w:cs="宋体"/>
          <w:sz w:val="24"/>
        </w:rPr>
      </w:pPr>
    </w:p>
    <w:p w14:paraId="1A57A917">
      <w:pPr>
        <w:widowControl/>
        <w:ind w:firstLine="480" w:firstLineChars="200"/>
        <w:jc w:val="left"/>
        <w:rPr>
          <w:rFonts w:hint="eastAsia" w:ascii="宋体" w:hAnsi="宋体" w:eastAsia="宋体" w:cs="宋体"/>
          <w:sz w:val="24"/>
        </w:rPr>
      </w:pPr>
      <w:r>
        <w:rPr>
          <w:rFonts w:hint="eastAsia" w:ascii="宋体" w:hAnsi="宋体" w:eastAsia="宋体" w:cs="宋体"/>
          <w:sz w:val="24"/>
        </w:rPr>
        <w:t>如某货物采购项目，中标金额为600万元，总共交纳的代理服务费的具体计算过程如下：</w:t>
      </w:r>
    </w:p>
    <w:p w14:paraId="24810E41">
      <w:pPr>
        <w:widowControl/>
        <w:ind w:firstLine="480" w:firstLineChars="200"/>
        <w:jc w:val="left"/>
        <w:rPr>
          <w:rFonts w:hint="eastAsia" w:ascii="宋体" w:hAnsi="宋体" w:eastAsia="宋体" w:cs="宋体"/>
          <w:color w:val="auto"/>
          <w:sz w:val="24"/>
        </w:rPr>
      </w:pPr>
      <w:r>
        <w:rPr>
          <w:rFonts w:hint="eastAsia" w:ascii="宋体" w:hAnsi="宋体" w:eastAsia="宋体" w:cs="宋体"/>
          <w:sz w:val="24"/>
        </w:rPr>
        <w:t>标准代理服务费＝（100万以下部分的代理服务费）+（100万～500万部分的代理服务费）+（500万～600万部分的代理服务费）＝100万元×1.5%+（500-100）万元×1.1%+（600-500）万元×0.8%=1.5万元+4.4万元+0.8万元＝6.</w:t>
      </w:r>
      <w:r>
        <w:rPr>
          <w:rFonts w:hint="eastAsia" w:ascii="宋体" w:hAnsi="宋体" w:eastAsia="宋体" w:cs="宋体"/>
          <w:color w:val="auto"/>
          <w:sz w:val="24"/>
        </w:rPr>
        <w:t>7万元</w:t>
      </w:r>
    </w:p>
    <w:p w14:paraId="41C7FCC7">
      <w:pPr>
        <w:ind w:firstLine="480" w:firstLineChars="200"/>
        <w:rPr>
          <w:rFonts w:hint="eastAsia" w:ascii="宋体" w:hAnsi="宋体" w:eastAsia="宋体" w:cs="宋体"/>
          <w:color w:val="FF0000"/>
          <w:sz w:val="24"/>
        </w:rPr>
      </w:pPr>
      <w:r>
        <w:rPr>
          <w:rFonts w:hint="eastAsia" w:ascii="宋体" w:hAnsi="宋体" w:eastAsia="宋体" w:cs="宋体"/>
          <w:color w:val="auto"/>
          <w:sz w:val="24"/>
        </w:rPr>
        <w:t>每宗交易代理服务费不低于6000元。</w:t>
      </w:r>
    </w:p>
    <w:p w14:paraId="7E9BFD76">
      <w:pPr>
        <w:widowControl/>
        <w:ind w:firstLine="480" w:firstLineChars="200"/>
        <w:jc w:val="left"/>
        <w:rPr>
          <w:rFonts w:hint="eastAsia" w:ascii="宋体" w:hAnsi="宋体" w:eastAsia="宋体" w:cs="宋体"/>
          <w:sz w:val="24"/>
        </w:rPr>
      </w:pPr>
      <w:r>
        <w:rPr>
          <w:rFonts w:hint="eastAsia" w:ascii="宋体" w:hAnsi="宋体" w:eastAsia="宋体" w:cs="宋体"/>
          <w:sz w:val="24"/>
        </w:rPr>
        <w:t>（三）中标供应商中标后，必须按规定采用银行对公转账方式向深圳市广得信工程造价咨询有限公司直接交纳代理服务费，交纳信息及要求按以下规定执行：</w:t>
      </w:r>
    </w:p>
    <w:p w14:paraId="27B23B09">
      <w:pPr>
        <w:widowControl/>
        <w:ind w:firstLine="482" w:firstLineChars="200"/>
        <w:jc w:val="left"/>
        <w:rPr>
          <w:rFonts w:hint="eastAsia" w:ascii="宋体" w:hAnsi="宋体" w:eastAsia="宋体" w:cs="宋体"/>
          <w:b/>
          <w:bCs/>
          <w:sz w:val="24"/>
        </w:rPr>
      </w:pPr>
      <w:r>
        <w:rPr>
          <w:rFonts w:hint="eastAsia" w:ascii="宋体" w:hAnsi="宋体" w:eastAsia="宋体" w:cs="宋体"/>
          <w:b/>
          <w:bCs/>
          <w:sz w:val="24"/>
        </w:rPr>
        <w:t>中标服务费缴纳至：</w:t>
      </w:r>
    </w:p>
    <w:p w14:paraId="56A2ACF4">
      <w:pPr>
        <w:widowControl/>
        <w:ind w:firstLine="480" w:firstLineChars="200"/>
        <w:jc w:val="left"/>
        <w:rPr>
          <w:rFonts w:hint="eastAsia" w:ascii="宋体" w:hAnsi="宋体" w:eastAsia="宋体" w:cs="宋体"/>
          <w:sz w:val="24"/>
        </w:rPr>
      </w:pPr>
      <w:r>
        <w:rPr>
          <w:rFonts w:hint="eastAsia" w:ascii="宋体" w:hAnsi="宋体" w:eastAsia="宋体" w:cs="宋体"/>
          <w:sz w:val="24"/>
        </w:rPr>
        <w:t>开户名称：深圳市广得信工程造价咨询有限公司</w:t>
      </w:r>
    </w:p>
    <w:p w14:paraId="3CC1EFD4">
      <w:pPr>
        <w:widowControl/>
        <w:ind w:firstLine="480" w:firstLineChars="200"/>
        <w:jc w:val="left"/>
        <w:rPr>
          <w:rFonts w:hint="eastAsia" w:ascii="宋体" w:hAnsi="宋体" w:eastAsia="宋体" w:cs="宋体"/>
          <w:sz w:val="24"/>
        </w:rPr>
      </w:pPr>
      <w:r>
        <w:rPr>
          <w:rFonts w:hint="eastAsia" w:ascii="宋体" w:hAnsi="宋体" w:eastAsia="宋体" w:cs="宋体"/>
          <w:sz w:val="24"/>
        </w:rPr>
        <w:t>银行帐号：4000025109201798117</w:t>
      </w:r>
    </w:p>
    <w:p w14:paraId="3705B99F">
      <w:pPr>
        <w:widowControl/>
        <w:ind w:firstLine="480" w:firstLineChars="200"/>
        <w:jc w:val="left"/>
        <w:rPr>
          <w:rFonts w:hint="eastAsia" w:ascii="宋体" w:hAnsi="宋体" w:eastAsia="宋体" w:cs="宋体"/>
          <w:sz w:val="24"/>
        </w:rPr>
      </w:pPr>
      <w:r>
        <w:rPr>
          <w:rFonts w:hint="eastAsia" w:ascii="宋体" w:hAnsi="宋体" w:eastAsia="宋体" w:cs="宋体"/>
          <w:sz w:val="24"/>
        </w:rPr>
        <w:t>开户银行：工商银行深圳荣德支行</w:t>
      </w:r>
    </w:p>
    <w:p w14:paraId="6EA5E488">
      <w:pPr>
        <w:ind w:firstLine="482" w:firstLineChars="200"/>
        <w:rPr>
          <w:rFonts w:hint="eastAsia" w:ascii="宋体" w:hAnsi="宋体" w:eastAsia="宋体" w:cs="宋体"/>
          <w:szCs w:val="21"/>
        </w:rPr>
      </w:pPr>
      <w:r>
        <w:rPr>
          <w:rFonts w:hint="eastAsia" w:ascii="宋体" w:hAnsi="宋体" w:eastAsia="宋体" w:cs="宋体"/>
          <w:b/>
          <w:bCs/>
          <w:sz w:val="24"/>
        </w:rPr>
        <w:t>转账备注：</w:t>
      </w:r>
      <w:r>
        <w:rPr>
          <w:rFonts w:hint="eastAsia" w:ascii="宋体" w:hAnsi="宋体" w:eastAsia="宋体" w:cs="宋体"/>
          <w:sz w:val="24"/>
        </w:rPr>
        <w:t>项目名称</w:t>
      </w:r>
    </w:p>
    <w:p w14:paraId="125F1D27">
      <w:pPr>
        <w:pStyle w:val="2"/>
        <w:jc w:val="center"/>
        <w:rPr>
          <w:rFonts w:hint="eastAsia" w:ascii="宋体" w:hAnsi="宋体" w:eastAsia="宋体" w:cs="宋体"/>
          <w:b w:val="0"/>
          <w:kern w:val="0"/>
          <w:sz w:val="28"/>
          <w:szCs w:val="28"/>
        </w:rPr>
      </w:pPr>
      <w:r>
        <w:rPr>
          <w:rFonts w:hint="eastAsia" w:ascii="宋体" w:hAnsi="宋体" w:eastAsia="宋体" w:cs="宋体"/>
        </w:rPr>
        <w:br w:type="page"/>
      </w:r>
      <w:r>
        <w:rPr>
          <w:rFonts w:hint="eastAsia" w:ascii="宋体" w:hAnsi="宋体" w:eastAsia="宋体" w:cs="宋体"/>
          <w:sz w:val="28"/>
          <w:szCs w:val="28"/>
        </w:rPr>
        <w:t>第三章 招标项目需求</w:t>
      </w:r>
    </w:p>
    <w:p w14:paraId="01628CC5">
      <w:pPr>
        <w:pStyle w:val="5"/>
        <w:spacing w:before="120" w:beforeLines="50" w:after="120" w:afterLines="50"/>
        <w:rPr>
          <w:rFonts w:hint="eastAsia" w:ascii="宋体" w:hAnsi="宋体" w:eastAsia="宋体" w:cs="宋体"/>
          <w:b/>
          <w:bCs w:val="0"/>
          <w:kern w:val="2"/>
          <w:sz w:val="24"/>
          <w:szCs w:val="24"/>
          <w:lang w:val="en-US" w:eastAsia="zh-CN" w:bidi="ar-SA"/>
        </w:rPr>
      </w:pPr>
      <w:bookmarkStart w:id="5" w:name="_Toc269225695"/>
      <w:bookmarkStart w:id="6" w:name="_Toc222751156"/>
      <w:bookmarkStart w:id="7" w:name="_Toc354571431"/>
      <w:bookmarkStart w:id="8" w:name="_Toc222751161"/>
      <w:bookmarkStart w:id="9" w:name="_Toc222480778"/>
      <w:bookmarkStart w:id="10" w:name="_Toc283323487"/>
      <w:bookmarkStart w:id="11" w:name="_Toc222480773"/>
      <w:r>
        <w:rPr>
          <w:rFonts w:hint="eastAsia" w:ascii="宋体" w:hAnsi="宋体" w:eastAsia="宋体" w:cs="宋体"/>
          <w:b/>
          <w:bCs w:val="0"/>
          <w:kern w:val="2"/>
          <w:sz w:val="24"/>
          <w:szCs w:val="24"/>
          <w:lang w:val="en-US" w:eastAsia="zh-CN" w:bidi="ar-SA"/>
        </w:rPr>
        <w:t>一、实质性条款</w:t>
      </w:r>
    </w:p>
    <w:tbl>
      <w:tblPr>
        <w:tblStyle w:val="5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6819"/>
      </w:tblGrid>
      <w:tr w14:paraId="662D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9" w:type="dxa"/>
            <w:vAlign w:val="center"/>
          </w:tcPr>
          <w:p w14:paraId="2C4BCD48">
            <w:pPr>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6819" w:type="dxa"/>
            <w:vAlign w:val="center"/>
          </w:tcPr>
          <w:p w14:paraId="264543C4">
            <w:pPr>
              <w:jc w:val="center"/>
              <w:rPr>
                <w:rFonts w:hint="eastAsia" w:ascii="宋体" w:hAnsi="宋体" w:eastAsia="宋体" w:cs="宋体"/>
                <w:bCs/>
                <w:sz w:val="24"/>
                <w:szCs w:val="24"/>
              </w:rPr>
            </w:pPr>
            <w:r>
              <w:rPr>
                <w:rFonts w:hint="eastAsia" w:ascii="宋体" w:hAnsi="宋体" w:eastAsia="宋体" w:cs="宋体"/>
                <w:bCs/>
                <w:sz w:val="24"/>
                <w:szCs w:val="24"/>
              </w:rPr>
              <w:t>实质性条款具体内容</w:t>
            </w:r>
          </w:p>
        </w:tc>
      </w:tr>
      <w:tr w14:paraId="09BC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9" w:type="dxa"/>
            <w:vAlign w:val="center"/>
          </w:tcPr>
          <w:p w14:paraId="06DB57D5">
            <w:pPr>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6819" w:type="dxa"/>
            <w:vAlign w:val="center"/>
          </w:tcPr>
          <w:p w14:paraId="4A0EE33F">
            <w:pPr>
              <w:jc w:val="center"/>
              <w:rPr>
                <w:rFonts w:hint="eastAsia" w:ascii="宋体" w:hAnsi="宋体" w:eastAsia="宋体" w:cs="宋体"/>
                <w:bCs/>
                <w:sz w:val="24"/>
                <w:szCs w:val="24"/>
              </w:rPr>
            </w:pPr>
            <w:r>
              <w:rPr>
                <w:rFonts w:hint="eastAsia" w:ascii="宋体" w:hAnsi="宋体" w:eastAsia="宋体" w:cs="宋体"/>
                <w:bCs/>
                <w:sz w:val="24"/>
                <w:szCs w:val="24"/>
              </w:rPr>
              <w:t>招标文件规定的带★部分</w:t>
            </w:r>
          </w:p>
        </w:tc>
      </w:tr>
    </w:tbl>
    <w:p w14:paraId="7B8A4849">
      <w:pPr>
        <w:spacing w:line="240" w:lineRule="auto"/>
        <w:ind w:firstLine="482" w:firstLineChars="200"/>
        <w:rPr>
          <w:rFonts w:hint="eastAsia" w:ascii="宋体" w:hAnsi="宋体" w:eastAsia="宋体" w:cs="宋体"/>
          <w:b/>
          <w:bCs/>
          <w:kern w:val="2"/>
          <w:sz w:val="24"/>
          <w:szCs w:val="24"/>
          <w:highlight w:val="none"/>
        </w:rPr>
      </w:pPr>
    </w:p>
    <w:p w14:paraId="4A512F6E">
      <w:pPr>
        <w:spacing w:line="240" w:lineRule="auto"/>
        <w:ind w:firstLine="482" w:firstLineChars="200"/>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注：上表所列内容为不可负偏离条款，负偏离将视为未实质性满足</w:t>
      </w:r>
      <w:r>
        <w:rPr>
          <w:rFonts w:hint="eastAsia" w:ascii="宋体" w:hAnsi="宋体" w:eastAsia="宋体" w:cs="宋体"/>
          <w:b/>
          <w:bCs/>
          <w:kern w:val="2"/>
          <w:sz w:val="24"/>
          <w:szCs w:val="24"/>
          <w:highlight w:val="none"/>
          <w:lang w:eastAsia="zh-CN"/>
        </w:rPr>
        <w:t>招标</w:t>
      </w:r>
      <w:r>
        <w:rPr>
          <w:rFonts w:hint="eastAsia" w:ascii="宋体" w:hAnsi="宋体" w:eastAsia="宋体" w:cs="宋体"/>
          <w:b/>
          <w:bCs/>
          <w:kern w:val="2"/>
          <w:sz w:val="24"/>
          <w:szCs w:val="24"/>
          <w:highlight w:val="none"/>
        </w:rPr>
        <w:t>文件要求和条件作投标无效处理。</w:t>
      </w:r>
    </w:p>
    <w:p w14:paraId="2667E3A7">
      <w:pPr>
        <w:widowControl/>
        <w:spacing w:line="360" w:lineRule="exact"/>
        <w:jc w:val="center"/>
        <w:outlineLvl w:val="2"/>
        <w:rPr>
          <w:rStyle w:val="134"/>
          <w:rFonts w:hint="eastAsia" w:ascii="宋体" w:hAnsi="宋体" w:eastAsia="宋体" w:cs="宋体"/>
          <w:color w:val="000000"/>
          <w:sz w:val="24"/>
          <w:szCs w:val="24"/>
          <w:lang w:val="en-US"/>
        </w:rPr>
      </w:pPr>
    </w:p>
    <w:p w14:paraId="4A18F15B">
      <w:pPr>
        <w:pStyle w:val="6"/>
        <w:jc w:val="center"/>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二</w:t>
      </w:r>
      <w:r>
        <w:rPr>
          <w:rFonts w:hint="eastAsia" w:ascii="宋体" w:hAnsi="宋体" w:eastAsia="宋体" w:cs="宋体"/>
          <w:bCs w:val="0"/>
          <w:sz w:val="24"/>
          <w:szCs w:val="24"/>
        </w:rPr>
        <w:t>、</w:t>
      </w:r>
      <w:r>
        <w:rPr>
          <w:rFonts w:hint="eastAsia" w:cs="宋体"/>
          <w:bCs w:val="0"/>
          <w:sz w:val="24"/>
          <w:szCs w:val="24"/>
          <w:lang w:eastAsia="zh-CN"/>
        </w:rPr>
        <w:t>技术条款要求</w:t>
      </w:r>
    </w:p>
    <w:tbl>
      <w:tblPr>
        <w:tblStyle w:val="50"/>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5"/>
      </w:tblGrid>
      <w:tr w14:paraId="1175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5" w:type="dxa"/>
            <w:vAlign w:val="center"/>
          </w:tcPr>
          <w:p w14:paraId="6985F0C4">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（一）项目基本情况</w:t>
            </w:r>
          </w:p>
          <w:p w14:paraId="4BDAD843">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1.基本情况</w:t>
            </w:r>
          </w:p>
          <w:p w14:paraId="42E97BA4">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本工程位于广东省深圳市盐田区沙头角街道海涛路33 号，需拆除现有</w:t>
            </w:r>
            <w:r>
              <w:rPr>
                <w:rFonts w:hint="eastAsia" w:ascii="宋体" w:hAnsi="宋体" w:cs="宋体"/>
                <w:sz w:val="21"/>
                <w:szCs w:val="21"/>
                <w:lang w:val="en-US" w:eastAsia="zh-CN"/>
              </w:rPr>
              <w:t>沙头角体育馆</w:t>
            </w:r>
            <w:r>
              <w:rPr>
                <w:rFonts w:hint="eastAsia" w:ascii="宋体" w:hAnsi="宋体" w:eastAsia="宋体" w:cs="宋体"/>
                <w:sz w:val="21"/>
                <w:szCs w:val="21"/>
                <w:lang w:val="en-US" w:eastAsia="zh-CN"/>
              </w:rPr>
              <w:t xml:space="preserve">。项目占地面积约 </w:t>
            </w:r>
            <w:r>
              <w:rPr>
                <w:rFonts w:hint="eastAsia" w:ascii="宋体" w:hAnsi="宋体" w:cs="宋体"/>
                <w:sz w:val="21"/>
                <w:szCs w:val="21"/>
                <w:lang w:val="en-US" w:eastAsia="zh-CN"/>
              </w:rPr>
              <w:t>4493.91</w:t>
            </w:r>
            <w:r>
              <w:rPr>
                <w:rFonts w:hint="eastAsia" w:ascii="宋体" w:hAnsi="宋体" w:eastAsia="宋体" w:cs="宋体"/>
                <w:sz w:val="21"/>
                <w:szCs w:val="21"/>
                <w:lang w:val="en-US" w:eastAsia="zh-CN"/>
              </w:rPr>
              <w:t>平方米，拆迁建筑物面积约</w:t>
            </w:r>
            <w:r>
              <w:rPr>
                <w:rFonts w:hint="eastAsia" w:ascii="宋体" w:hAnsi="宋体" w:cs="宋体"/>
                <w:sz w:val="21"/>
                <w:szCs w:val="21"/>
                <w:lang w:val="en-US" w:eastAsia="zh-CN"/>
              </w:rPr>
              <w:t>5864.76</w:t>
            </w:r>
            <w:r>
              <w:rPr>
                <w:rFonts w:hint="eastAsia" w:ascii="宋体" w:hAnsi="宋体" w:eastAsia="宋体" w:cs="宋体"/>
                <w:sz w:val="21"/>
                <w:szCs w:val="21"/>
                <w:lang w:val="en-US" w:eastAsia="zh-CN"/>
              </w:rPr>
              <w:t xml:space="preserve"> 平方米，涉及建筑物1栋，框架、钢结构，球场区地上层高(含夹层)21.5 米，非球场区地上层高 17.4 米。</w:t>
            </w:r>
          </w:p>
          <w:p w14:paraId="1E80AFE8">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2.预算金额</w:t>
            </w:r>
          </w:p>
          <w:p w14:paraId="7F572F1B">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1284602.71元</w:t>
            </w:r>
            <w:r>
              <w:rPr>
                <w:rFonts w:hint="eastAsia" w:ascii="宋体" w:hAnsi="宋体" w:cs="宋体"/>
                <w:sz w:val="21"/>
                <w:szCs w:val="21"/>
                <w:lang w:val="en-US" w:eastAsia="zh-CN"/>
              </w:rPr>
              <w:t>（其中不可竞争费为322280.60元）</w:t>
            </w:r>
            <w:r>
              <w:rPr>
                <w:rFonts w:hint="eastAsia" w:ascii="宋体" w:hAnsi="宋体" w:eastAsia="宋体" w:cs="宋体"/>
                <w:sz w:val="21"/>
                <w:szCs w:val="21"/>
                <w:lang w:val="en-US" w:eastAsia="zh-CN"/>
              </w:rPr>
              <w:t>。</w:t>
            </w:r>
          </w:p>
          <w:p w14:paraId="2362BD58">
            <w:pPr>
              <w:spacing w:line="48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（二）</w:t>
            </w:r>
            <w:r>
              <w:rPr>
                <w:rFonts w:hint="eastAsia" w:ascii="宋体" w:hAnsi="宋体" w:eastAsia="宋体" w:cs="宋体"/>
                <w:sz w:val="21"/>
                <w:szCs w:val="21"/>
                <w:lang w:eastAsia="zh-CN"/>
              </w:rPr>
              <w:t>工作</w:t>
            </w:r>
            <w:r>
              <w:rPr>
                <w:rFonts w:hint="eastAsia" w:ascii="宋体" w:hAnsi="宋体" w:eastAsia="宋体" w:cs="宋体"/>
                <w:sz w:val="21"/>
                <w:szCs w:val="21"/>
              </w:rPr>
              <w:t>内容</w:t>
            </w:r>
            <w:r>
              <w:rPr>
                <w:rFonts w:hint="eastAsia" w:ascii="宋体" w:hAnsi="宋体" w:eastAsia="宋体" w:cs="宋体"/>
                <w:sz w:val="21"/>
                <w:szCs w:val="21"/>
                <w:lang w:eastAsia="zh-CN"/>
              </w:rPr>
              <w:t>和要求</w:t>
            </w:r>
          </w:p>
          <w:p w14:paraId="0079A7CD">
            <w:pPr>
              <w:spacing w:line="48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eastAsia="zh-CN"/>
              </w:rPr>
              <w:t>中标人</w:t>
            </w:r>
            <w:r>
              <w:rPr>
                <w:rFonts w:hint="eastAsia" w:ascii="宋体" w:hAnsi="宋体" w:eastAsia="宋体" w:cs="宋体"/>
                <w:b/>
                <w:bCs/>
                <w:sz w:val="21"/>
                <w:szCs w:val="21"/>
                <w:lang w:eastAsia="zh-CN"/>
              </w:rPr>
              <w:t>工作</w:t>
            </w:r>
            <w:r>
              <w:rPr>
                <w:rFonts w:hint="eastAsia" w:ascii="宋体" w:hAnsi="宋体" w:eastAsia="宋体" w:cs="宋体"/>
                <w:b/>
                <w:bCs/>
                <w:sz w:val="21"/>
                <w:szCs w:val="21"/>
              </w:rPr>
              <w:t>内容：</w:t>
            </w:r>
          </w:p>
          <w:p w14:paraId="371EF5D9">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1、负责</w:t>
            </w:r>
            <w:r>
              <w:rPr>
                <w:rFonts w:hint="eastAsia" w:ascii="宋体" w:hAnsi="宋体" w:cs="宋体"/>
                <w:sz w:val="21"/>
                <w:szCs w:val="21"/>
                <w:lang w:val="en-US" w:eastAsia="zh-CN"/>
              </w:rPr>
              <w:t>沙头角体育馆</w:t>
            </w:r>
            <w:r>
              <w:rPr>
                <w:rFonts w:hint="eastAsia" w:ascii="宋体" w:hAnsi="宋体" w:eastAsia="宋体" w:cs="宋体"/>
                <w:sz w:val="21"/>
                <w:szCs w:val="21"/>
                <w:lang w:val="en-US" w:eastAsia="zh-CN"/>
              </w:rPr>
              <w:t>建(构)筑物拆除，以及报批等行政许可手续办理、配合验收确认手续办理等。</w:t>
            </w:r>
          </w:p>
          <w:p w14:paraId="25967D61">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对沙头角体育馆红线范围内所有建（构）筑物进行拆除（沙头角体育馆地下一层除外）</w:t>
            </w:r>
            <w:r>
              <w:rPr>
                <w:rFonts w:hint="eastAsia" w:ascii="宋体" w:hAnsi="宋体" w:eastAsia="宋体" w:cs="宋体"/>
                <w:sz w:val="21"/>
                <w:szCs w:val="21"/>
                <w:lang w:val="en-US" w:eastAsia="zh-CN"/>
              </w:rPr>
              <w:t>(因现场施工场地狭小，无法设置堆场，拆除构件需及时外运处置)。</w:t>
            </w:r>
          </w:p>
          <w:p w14:paraId="70235BA0">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3、设置临时围挡，形成封闭施工环境，做法按照 2023年11月深圳市住房和建设局发布的《深圳市建设工程安全文明施工标准》(SJG46-2023)，并拆除完成后根据实际情况调整围挡的位置。</w:t>
            </w:r>
          </w:p>
          <w:p w14:paraId="1723032B">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4、建筑物四周的脚手架搭设(搭设高度高出建筑物高度1.5米)。</w:t>
            </w:r>
          </w:p>
          <w:p w14:paraId="15E2E235">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cs="宋体"/>
                <w:sz w:val="21"/>
                <w:szCs w:val="21"/>
                <w:lang w:val="en-US" w:eastAsia="zh-CN"/>
              </w:rPr>
              <w:t>按照深圳市相关规定</w:t>
            </w:r>
            <w:r>
              <w:rPr>
                <w:rFonts w:hint="eastAsia" w:ascii="宋体" w:hAnsi="宋体" w:eastAsia="宋体" w:cs="宋体"/>
                <w:sz w:val="21"/>
                <w:szCs w:val="21"/>
                <w:lang w:val="en-US" w:eastAsia="zh-CN"/>
              </w:rPr>
              <w:t>设置</w:t>
            </w:r>
            <w:r>
              <w:rPr>
                <w:rFonts w:hint="eastAsia" w:ascii="宋体" w:hAnsi="宋体" w:cs="宋体"/>
                <w:sz w:val="21"/>
                <w:szCs w:val="21"/>
                <w:lang w:val="en-US" w:eastAsia="zh-CN"/>
              </w:rPr>
              <w:t>安全防护通道</w:t>
            </w:r>
            <w:r>
              <w:rPr>
                <w:rFonts w:hint="eastAsia" w:ascii="宋体" w:hAnsi="宋体" w:eastAsia="宋体" w:cs="宋体"/>
                <w:sz w:val="21"/>
                <w:szCs w:val="21"/>
                <w:lang w:val="en-US" w:eastAsia="zh-CN"/>
              </w:rPr>
              <w:t>。</w:t>
            </w:r>
          </w:p>
          <w:p w14:paraId="2839901D">
            <w:pPr>
              <w:spacing w:line="48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 w:val="21"/>
                <w:szCs w:val="21"/>
                <w:lang w:val="en-US" w:eastAsia="zh-CN"/>
              </w:rPr>
              <w:t>、根据项目竣工资料对地下管线进行物探工作，对项目范围内的管线进行迁移，无法迁移的做好保护，并负责办理相关手续</w:t>
            </w:r>
            <w:r>
              <w:rPr>
                <w:rFonts w:hint="eastAsia" w:ascii="宋体" w:hAnsi="宋体" w:cs="宋体"/>
                <w:sz w:val="21"/>
                <w:szCs w:val="21"/>
                <w:lang w:val="en-US" w:eastAsia="zh-CN"/>
              </w:rPr>
              <w:t>。</w:t>
            </w:r>
          </w:p>
          <w:p w14:paraId="44E92779">
            <w:pPr>
              <w:spacing w:line="48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7</w:t>
            </w:r>
            <w:r>
              <w:rPr>
                <w:rFonts w:hint="eastAsia" w:ascii="宋体" w:hAnsi="宋体" w:eastAsia="宋体" w:cs="宋体"/>
                <w:sz w:val="21"/>
                <w:szCs w:val="21"/>
                <w:lang w:val="en-US" w:eastAsia="zh-CN"/>
              </w:rPr>
              <w:t>、临近办公楼及小区侧的隔声屏障设置，项目西南侧搭设4米高隔音围挡(按深圳市现行隔音围挡规定施工)。</w:t>
            </w:r>
          </w:p>
          <w:p w14:paraId="56ED84B1">
            <w:pPr>
              <w:spacing w:line="48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、项目范围内涉及的交通监控迁移，并负责办理相关手续。</w:t>
            </w:r>
          </w:p>
          <w:p w14:paraId="01ABD1AA">
            <w:pPr>
              <w:spacing w:line="48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、办理项目范围内围挡及防护棚的占道施工手续。</w:t>
            </w:r>
          </w:p>
          <w:p w14:paraId="18F99CC3">
            <w:pPr>
              <w:spacing w:line="48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lang w:val="en-US" w:eastAsia="zh-CN"/>
              </w:rPr>
              <w:t>10</w:t>
            </w:r>
            <w:r>
              <w:rPr>
                <w:rFonts w:hint="eastAsia" w:ascii="宋体" w:hAnsi="宋体" w:eastAsia="宋体" w:cs="宋体"/>
                <w:sz w:val="21"/>
                <w:szCs w:val="21"/>
                <w:lang w:val="en-US" w:eastAsia="zh-CN"/>
              </w:rPr>
              <w:t>、周边建筑物的安全监测。</w:t>
            </w:r>
          </w:p>
          <w:p w14:paraId="63E4D339">
            <w:pPr>
              <w:spacing w:line="480" w:lineRule="exact"/>
              <w:ind w:firstLine="420" w:firstLineChars="200"/>
              <w:rPr>
                <w:rFonts w:hint="default"/>
                <w:lang w:val="en-US" w:eastAsia="zh-CN"/>
              </w:rPr>
            </w:pPr>
            <w:r>
              <w:rPr>
                <w:rFonts w:hint="eastAsia" w:ascii="宋体" w:hAnsi="宋体" w:cs="宋体"/>
                <w:sz w:val="21"/>
                <w:szCs w:val="21"/>
                <w:lang w:val="en-US" w:eastAsia="zh-CN"/>
              </w:rPr>
              <w:t>11</w:t>
            </w:r>
            <w:r>
              <w:rPr>
                <w:rFonts w:hint="eastAsia" w:ascii="宋体" w:hAnsi="宋体" w:eastAsia="宋体" w:cs="宋体"/>
                <w:sz w:val="21"/>
                <w:szCs w:val="21"/>
                <w:lang w:val="en-US" w:eastAsia="zh-CN"/>
              </w:rPr>
              <w:t>、完成所有拆除物的解体</w:t>
            </w:r>
            <w:r>
              <w:rPr>
                <w:rFonts w:hint="eastAsia" w:ascii="宋体" w:hAnsi="宋体" w:cs="宋体"/>
                <w:sz w:val="21"/>
                <w:szCs w:val="21"/>
                <w:lang w:val="en-US" w:eastAsia="zh-CN"/>
              </w:rPr>
              <w:t>、综合废物利用回收、</w:t>
            </w:r>
            <w:r>
              <w:rPr>
                <w:rFonts w:hint="eastAsia" w:ascii="宋体" w:hAnsi="宋体" w:eastAsia="宋体" w:cs="宋体"/>
                <w:sz w:val="21"/>
                <w:szCs w:val="21"/>
                <w:lang w:val="en-US" w:eastAsia="zh-CN"/>
              </w:rPr>
              <w:t>清理</w:t>
            </w:r>
            <w:r>
              <w:rPr>
                <w:rFonts w:hint="eastAsia" w:ascii="宋体" w:hAnsi="宋体" w:cs="宋体"/>
                <w:sz w:val="21"/>
                <w:szCs w:val="21"/>
                <w:lang w:val="en-US" w:eastAsia="zh-CN"/>
              </w:rPr>
              <w:t>外运</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 xml:space="preserve">    </w:t>
            </w:r>
          </w:p>
          <w:p w14:paraId="02D78F63">
            <w:pPr>
              <w:spacing w:line="480" w:lineRule="exact"/>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工程质量要求</w:t>
            </w:r>
          </w:p>
          <w:p w14:paraId="7956F958">
            <w:pPr>
              <w:spacing w:line="480" w:lineRule="exact"/>
              <w:ind w:firstLine="422" w:firstLineChars="200"/>
              <w:rPr>
                <w:rFonts w:hint="eastAsia" w:ascii="宋体" w:hAnsi="宋体" w:eastAsia="宋体" w:cs="宋体"/>
                <w:sz w:val="21"/>
                <w:szCs w:val="21"/>
                <w:lang w:val="en-US" w:eastAsia="zh-CN"/>
              </w:rPr>
            </w:pPr>
            <w:r>
              <w:rPr>
                <w:rFonts w:hint="eastAsia" w:ascii="宋体" w:hAnsi="宋体" w:eastAsia="宋体" w:cs="宋体"/>
                <w:b/>
                <w:bCs/>
                <w:color w:val="000000"/>
                <w:sz w:val="21"/>
                <w:szCs w:val="21"/>
              </w:rPr>
              <w:t>★</w:t>
            </w:r>
            <w:r>
              <w:rPr>
                <w:rFonts w:hint="eastAsia" w:ascii="宋体" w:hAnsi="宋体" w:eastAsia="宋体" w:cs="宋体"/>
                <w:sz w:val="21"/>
                <w:szCs w:val="21"/>
                <w:lang w:val="en-US" w:eastAsia="zh-CN"/>
              </w:rPr>
              <w:t>1、工程质量达到合格标准，工程质量应符合国家、广东省、深圳市现行有关法律、法规、规范和技术标准。</w:t>
            </w:r>
          </w:p>
          <w:p w14:paraId="29CE22A4">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2、满足建设单位的要求。</w:t>
            </w:r>
          </w:p>
          <w:p w14:paraId="7EF06A9F">
            <w:pPr>
              <w:spacing w:line="480" w:lineRule="exact"/>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工程安全要求</w:t>
            </w:r>
          </w:p>
          <w:p w14:paraId="29C582AB">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1、创造全封闭施工条件，加强对施工区的安全保卫、巡逻，严禁无关人员进入施工区。</w:t>
            </w:r>
          </w:p>
          <w:p w14:paraId="69C5D8CD">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2、施工过程采取安全可靠措施，保护好施工现场未切断的水、电设施及地下管线，以及相邻建筑、人员和外界环境的安全。</w:t>
            </w:r>
          </w:p>
          <w:p w14:paraId="48127A3F">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3、确保安全生产投入，落实各项安全技术措施(合理建立周边的围挡及脚手架、防护棚、特种作业人员技术培训和持证上岗、强化个人劳动防护和购买工程保险等)，提高和改善施工安全生产条件。</w:t>
            </w:r>
          </w:p>
          <w:p w14:paraId="2B176698">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4、拆除施工过程严格按国家有关规范标准作业，加强安全管理，强化安全监督检查、职工安全培训教育和劳动防护，确保施工人员自身安全。</w:t>
            </w:r>
          </w:p>
          <w:p w14:paraId="0E9DD18B">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5、调查施工区域及相关影响区域地下管线和隐蔽工程分布状况，并采取有效的保护措施。</w:t>
            </w:r>
          </w:p>
          <w:p w14:paraId="22E039E3">
            <w:pPr>
              <w:spacing w:line="48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6、本工程施工安全目标为零伤亡。</w:t>
            </w:r>
          </w:p>
        </w:tc>
      </w:tr>
    </w:tbl>
    <w:p w14:paraId="6906AFFC">
      <w:pPr>
        <w:widowControl/>
        <w:spacing w:line="360" w:lineRule="exact"/>
        <w:jc w:val="both"/>
        <w:outlineLvl w:val="2"/>
        <w:rPr>
          <w:rStyle w:val="134"/>
          <w:rFonts w:hint="eastAsia" w:ascii="宋体" w:hAnsi="宋体" w:eastAsia="宋体" w:cs="宋体"/>
          <w:color w:val="000000"/>
          <w:sz w:val="24"/>
          <w:szCs w:val="24"/>
          <w:lang w:val="en-US"/>
        </w:rPr>
      </w:pPr>
    </w:p>
    <w:p w14:paraId="52CDA080">
      <w:pPr>
        <w:pStyle w:val="6"/>
        <w:numPr>
          <w:ilvl w:val="0"/>
          <w:numId w:val="0"/>
        </w:numPr>
        <w:autoSpaceDE w:val="0"/>
        <w:spacing w:before="0" w:after="0" w:line="240" w:lineRule="auto"/>
        <w:jc w:val="center"/>
        <w:rPr>
          <w:rFonts w:hint="eastAsia" w:ascii="宋体" w:hAnsi="宋体" w:eastAsia="宋体" w:cs="宋体"/>
          <w:b/>
          <w:bCs/>
          <w:kern w:val="2"/>
          <w:sz w:val="24"/>
          <w:szCs w:val="24"/>
          <w:lang w:val="en-US" w:eastAsia="zh-CN" w:bidi="ar-SA"/>
        </w:rPr>
      </w:pPr>
    </w:p>
    <w:p w14:paraId="0288ADBA">
      <w:pPr>
        <w:pStyle w:val="6"/>
        <w:numPr>
          <w:ilvl w:val="0"/>
          <w:numId w:val="0"/>
        </w:numPr>
        <w:autoSpaceDE w:val="0"/>
        <w:spacing w:before="0" w:after="0" w:line="240" w:lineRule="auto"/>
        <w:jc w:val="center"/>
        <w:rPr>
          <w:rFonts w:hint="eastAsia" w:ascii="宋体" w:hAnsi="宋体" w:eastAsia="宋体" w:cs="宋体"/>
          <w:sz w:val="24"/>
          <w:szCs w:val="24"/>
        </w:rPr>
      </w:pPr>
      <w:bookmarkStart w:id="40" w:name="_GoBack"/>
      <w:bookmarkEnd w:id="40"/>
      <w:r>
        <w:rPr>
          <w:rFonts w:hint="eastAsia" w:ascii="宋体" w:hAnsi="宋体" w:eastAsia="宋体" w:cs="宋体"/>
          <w:b/>
          <w:bCs/>
          <w:kern w:val="2"/>
          <w:sz w:val="24"/>
          <w:szCs w:val="24"/>
          <w:lang w:val="en-US" w:eastAsia="zh-CN" w:bidi="ar-SA"/>
        </w:rPr>
        <w:t>三、</w:t>
      </w:r>
      <w:r>
        <w:rPr>
          <w:rFonts w:hint="eastAsia" w:ascii="宋体" w:hAnsi="宋体" w:eastAsia="宋体" w:cs="宋体"/>
          <w:sz w:val="24"/>
          <w:szCs w:val="24"/>
        </w:rPr>
        <w:t>商务</w:t>
      </w:r>
      <w:r>
        <w:rPr>
          <w:rFonts w:hint="eastAsia" w:ascii="宋体" w:hAnsi="宋体" w:eastAsia="宋体" w:cs="宋体"/>
          <w:sz w:val="24"/>
          <w:szCs w:val="24"/>
          <w:lang w:val="en-US" w:eastAsia="zh-CN"/>
        </w:rPr>
        <w:t>条款</w:t>
      </w:r>
      <w:r>
        <w:rPr>
          <w:rFonts w:hint="eastAsia" w:ascii="宋体" w:hAnsi="宋体" w:eastAsia="宋体" w:cs="宋体"/>
          <w:sz w:val="24"/>
          <w:szCs w:val="24"/>
        </w:rPr>
        <w:t>要求</w:t>
      </w:r>
    </w:p>
    <w:tbl>
      <w:tblPr>
        <w:tblStyle w:val="50"/>
        <w:tblpPr w:leftFromText="180" w:rightFromText="180" w:vertAnchor="text" w:horzAnchor="page" w:tblpX="911" w:tblpY="1371"/>
        <w:tblOverlap w:val="never"/>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377"/>
        <w:gridCol w:w="7724"/>
      </w:tblGrid>
      <w:tr w14:paraId="5925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16" w:type="dxa"/>
            <w:shd w:val="clear" w:color="auto" w:fill="F1F1F1"/>
            <w:vAlign w:val="center"/>
          </w:tcPr>
          <w:p w14:paraId="6BD64D8A">
            <w:pPr>
              <w:spacing w:line="48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377" w:type="dxa"/>
            <w:shd w:val="clear" w:color="auto" w:fill="F1F1F1"/>
            <w:vAlign w:val="center"/>
          </w:tcPr>
          <w:p w14:paraId="53DC03A0">
            <w:pPr>
              <w:spacing w:line="48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目录</w:t>
            </w:r>
          </w:p>
        </w:tc>
        <w:tc>
          <w:tcPr>
            <w:tcW w:w="7724" w:type="dxa"/>
            <w:shd w:val="clear" w:color="auto" w:fill="F1F1F1"/>
            <w:vAlign w:val="center"/>
          </w:tcPr>
          <w:p w14:paraId="4B158A68">
            <w:pPr>
              <w:spacing w:line="48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商务条款要求</w:t>
            </w:r>
          </w:p>
        </w:tc>
      </w:tr>
      <w:tr w14:paraId="6E1F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16" w:type="dxa"/>
            <w:vAlign w:val="center"/>
          </w:tcPr>
          <w:p w14:paraId="357B8D2E">
            <w:pPr>
              <w:jc w:val="center"/>
              <w:outlineLvl w:val="0"/>
              <w:rPr>
                <w:rFonts w:hint="eastAsia" w:ascii="宋体" w:hAnsi="宋体" w:eastAsia="宋体" w:cs="宋体"/>
                <w:b/>
                <w:bCs/>
                <w:sz w:val="21"/>
                <w:szCs w:val="21"/>
              </w:rPr>
            </w:pPr>
            <w:r>
              <w:rPr>
                <w:rFonts w:hint="eastAsia" w:ascii="宋体" w:hAnsi="宋体" w:eastAsia="宋体" w:cs="宋体"/>
                <w:b/>
                <w:bCs/>
                <w:sz w:val="21"/>
                <w:szCs w:val="21"/>
              </w:rPr>
              <w:t>1</w:t>
            </w:r>
          </w:p>
        </w:tc>
        <w:tc>
          <w:tcPr>
            <w:tcW w:w="1377" w:type="dxa"/>
            <w:vAlign w:val="center"/>
          </w:tcPr>
          <w:p w14:paraId="26195015">
            <w:pPr>
              <w:jc w:val="center"/>
              <w:outlineLvl w:val="0"/>
              <w:rPr>
                <w:rFonts w:hint="eastAsia" w:ascii="宋体" w:hAnsi="宋体" w:eastAsia="宋体" w:cs="宋体"/>
                <w:b/>
                <w:bCs/>
                <w:sz w:val="21"/>
                <w:szCs w:val="21"/>
              </w:rPr>
            </w:pPr>
            <w:r>
              <w:rPr>
                <w:rFonts w:hint="eastAsia" w:ascii="宋体" w:hAnsi="宋体" w:cs="宋体"/>
                <w:b/>
                <w:bCs/>
                <w:sz w:val="21"/>
                <w:szCs w:val="21"/>
                <w:lang w:eastAsia="zh-CN"/>
              </w:rPr>
              <w:t>工期</w:t>
            </w:r>
            <w:r>
              <w:rPr>
                <w:rFonts w:hint="eastAsia" w:ascii="宋体" w:hAnsi="宋体" w:eastAsia="宋体" w:cs="宋体"/>
                <w:b/>
                <w:bCs/>
                <w:sz w:val="21"/>
                <w:szCs w:val="21"/>
              </w:rPr>
              <w:t>要求</w:t>
            </w:r>
          </w:p>
        </w:tc>
        <w:tc>
          <w:tcPr>
            <w:tcW w:w="7724" w:type="dxa"/>
            <w:vAlign w:val="center"/>
          </w:tcPr>
          <w:p w14:paraId="06CF6DC9">
            <w:pPr>
              <w:rPr>
                <w:rFonts w:hint="eastAsia" w:ascii="宋体" w:hAnsi="宋体" w:eastAsia="宋体" w:cs="宋体"/>
                <w:sz w:val="21"/>
                <w:szCs w:val="21"/>
                <w:lang w:eastAsia="zh-CN"/>
              </w:rPr>
            </w:pPr>
            <w:r>
              <w:rPr>
                <w:rFonts w:hint="eastAsia" w:ascii="宋体" w:hAnsi="宋体" w:eastAsia="宋体" w:cs="宋体"/>
                <w:b/>
                <w:bCs/>
                <w:color w:val="000000"/>
                <w:sz w:val="21"/>
                <w:szCs w:val="21"/>
              </w:rPr>
              <w:t>★</w:t>
            </w:r>
            <w:r>
              <w:rPr>
                <w:rFonts w:hint="eastAsia" w:ascii="宋体" w:hAnsi="宋体" w:eastAsia="宋体" w:cs="宋体"/>
                <w:sz w:val="21"/>
                <w:szCs w:val="21"/>
                <w:lang w:eastAsia="zh-CN"/>
              </w:rPr>
              <w:t>合同签订之日起</w:t>
            </w:r>
            <w:r>
              <w:rPr>
                <w:rFonts w:hint="eastAsia" w:ascii="宋体" w:hAnsi="宋体" w:cs="宋体"/>
                <w:sz w:val="21"/>
                <w:szCs w:val="21"/>
                <w:lang w:val="en-US" w:eastAsia="zh-CN"/>
              </w:rPr>
              <w:t>45天（</w:t>
            </w:r>
            <w:r>
              <w:rPr>
                <w:rFonts w:hint="eastAsia" w:ascii="宋体" w:hAnsi="宋体" w:eastAsia="宋体" w:cs="宋体"/>
                <w:sz w:val="21"/>
                <w:szCs w:val="21"/>
                <w:lang w:val="en-US" w:eastAsia="zh-CN"/>
              </w:rPr>
              <w:t>日历日</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内完工</w:t>
            </w:r>
            <w:r>
              <w:rPr>
                <w:rFonts w:hint="eastAsia" w:ascii="宋体" w:hAnsi="宋体" w:eastAsia="宋体" w:cs="宋体"/>
                <w:sz w:val="21"/>
                <w:szCs w:val="21"/>
                <w:lang w:val="zh-CN" w:eastAsia="zh-CN"/>
              </w:rPr>
              <w:t>。</w:t>
            </w:r>
          </w:p>
        </w:tc>
      </w:tr>
      <w:tr w14:paraId="24D5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6" w:type="dxa"/>
            <w:vAlign w:val="center"/>
          </w:tcPr>
          <w:p w14:paraId="452D491B">
            <w:pPr>
              <w:jc w:val="center"/>
              <w:outlineLvl w:val="0"/>
              <w:rPr>
                <w:rFonts w:hint="eastAsia" w:ascii="宋体" w:hAnsi="宋体" w:eastAsia="宋体" w:cs="宋体"/>
                <w:b/>
                <w:bCs/>
                <w:sz w:val="21"/>
                <w:szCs w:val="21"/>
              </w:rPr>
            </w:pPr>
            <w:r>
              <w:rPr>
                <w:rFonts w:hint="eastAsia" w:ascii="宋体" w:hAnsi="宋体" w:eastAsia="宋体" w:cs="宋体"/>
                <w:b/>
                <w:bCs/>
                <w:sz w:val="21"/>
                <w:szCs w:val="21"/>
              </w:rPr>
              <w:t>2</w:t>
            </w:r>
          </w:p>
        </w:tc>
        <w:tc>
          <w:tcPr>
            <w:tcW w:w="1377" w:type="dxa"/>
            <w:vAlign w:val="center"/>
          </w:tcPr>
          <w:p w14:paraId="493BE0E9">
            <w:pPr>
              <w:jc w:val="center"/>
              <w:outlineLvl w:val="0"/>
              <w:rPr>
                <w:rFonts w:hint="eastAsia" w:ascii="宋体" w:hAnsi="宋体" w:eastAsia="宋体" w:cs="宋体"/>
                <w:b/>
                <w:bCs/>
                <w:sz w:val="21"/>
                <w:szCs w:val="21"/>
              </w:rPr>
            </w:pPr>
            <w:r>
              <w:rPr>
                <w:rFonts w:hint="eastAsia" w:ascii="宋体" w:hAnsi="宋体" w:cs="宋体"/>
                <w:b/>
                <w:bCs/>
                <w:sz w:val="21"/>
                <w:szCs w:val="21"/>
                <w:lang w:eastAsia="zh-CN"/>
              </w:rPr>
              <w:t>工程</w:t>
            </w:r>
            <w:r>
              <w:rPr>
                <w:rFonts w:hint="eastAsia" w:ascii="宋体" w:hAnsi="宋体" w:eastAsia="宋体" w:cs="宋体"/>
                <w:b/>
                <w:bCs/>
                <w:sz w:val="21"/>
                <w:szCs w:val="21"/>
              </w:rPr>
              <w:t>地点</w:t>
            </w:r>
          </w:p>
        </w:tc>
        <w:tc>
          <w:tcPr>
            <w:tcW w:w="7724" w:type="dxa"/>
            <w:vAlign w:val="center"/>
          </w:tcPr>
          <w:p w14:paraId="221ED02C">
            <w:pPr>
              <w:jc w:val="left"/>
              <w:outlineLvl w:val="0"/>
              <w:rPr>
                <w:rFonts w:hint="eastAsia" w:ascii="宋体" w:hAnsi="宋体" w:eastAsia="宋体" w:cs="宋体"/>
                <w:sz w:val="21"/>
                <w:szCs w:val="21"/>
                <w:lang w:eastAsia="zh-CN"/>
              </w:rPr>
            </w:pPr>
            <w:r>
              <w:rPr>
                <w:rFonts w:hint="eastAsia" w:ascii="宋体" w:hAnsi="宋体" w:eastAsia="宋体" w:cs="宋体"/>
                <w:color w:val="000000"/>
                <w:sz w:val="21"/>
                <w:szCs w:val="21"/>
                <w:lang w:eastAsia="zh-CN"/>
              </w:rPr>
              <w:t>盐田区</w:t>
            </w:r>
          </w:p>
        </w:tc>
      </w:tr>
      <w:tr w14:paraId="0D66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816" w:type="dxa"/>
            <w:vAlign w:val="center"/>
          </w:tcPr>
          <w:p w14:paraId="6E88CDD1">
            <w:pPr>
              <w:jc w:val="center"/>
              <w:outlineLvl w:val="0"/>
              <w:rPr>
                <w:rFonts w:hint="eastAsia" w:ascii="宋体" w:hAnsi="宋体" w:eastAsia="宋体" w:cs="宋体"/>
                <w:b/>
                <w:bCs/>
                <w:sz w:val="21"/>
                <w:szCs w:val="21"/>
              </w:rPr>
            </w:pPr>
            <w:r>
              <w:rPr>
                <w:rFonts w:hint="eastAsia" w:ascii="宋体" w:hAnsi="宋体" w:eastAsia="宋体" w:cs="宋体"/>
                <w:b/>
                <w:bCs/>
                <w:sz w:val="21"/>
                <w:szCs w:val="21"/>
              </w:rPr>
              <w:t>3</w:t>
            </w:r>
          </w:p>
        </w:tc>
        <w:tc>
          <w:tcPr>
            <w:tcW w:w="1377" w:type="dxa"/>
            <w:vAlign w:val="center"/>
          </w:tcPr>
          <w:p w14:paraId="14C9E304">
            <w:pPr>
              <w:jc w:val="center"/>
              <w:outlineLvl w:val="0"/>
              <w:rPr>
                <w:rFonts w:hint="eastAsia" w:ascii="宋体" w:hAnsi="宋体" w:eastAsia="宋体" w:cs="宋体"/>
                <w:b/>
                <w:bCs/>
                <w:sz w:val="21"/>
                <w:szCs w:val="21"/>
              </w:rPr>
            </w:pPr>
            <w:r>
              <w:rPr>
                <w:rFonts w:hint="eastAsia" w:ascii="宋体" w:hAnsi="宋体" w:eastAsia="宋体" w:cs="宋体"/>
                <w:b/>
                <w:bCs/>
                <w:sz w:val="21"/>
                <w:szCs w:val="21"/>
              </w:rPr>
              <w:t>付款方式</w:t>
            </w:r>
          </w:p>
        </w:tc>
        <w:tc>
          <w:tcPr>
            <w:tcW w:w="7724" w:type="dxa"/>
          </w:tcPr>
          <w:p w14:paraId="0991543B">
            <w:pPr>
              <w:spacing w:line="360" w:lineRule="auto"/>
              <w:rPr>
                <w:rFonts w:ascii="宋体" w:hAnsi="宋体"/>
                <w:sz w:val="21"/>
                <w:szCs w:val="21"/>
              </w:rPr>
            </w:pPr>
            <w:r>
              <w:rPr>
                <w:rFonts w:hint="eastAsia" w:ascii="宋体" w:hAnsi="宋体"/>
                <w:sz w:val="21"/>
                <w:szCs w:val="21"/>
                <w:lang w:val="en-US" w:eastAsia="zh-CN"/>
              </w:rPr>
              <w:t>3.</w:t>
            </w:r>
            <w:r>
              <w:rPr>
                <w:rFonts w:hint="eastAsia" w:ascii="宋体" w:hAnsi="宋体"/>
                <w:sz w:val="21"/>
                <w:szCs w:val="21"/>
              </w:rPr>
              <w:t>1付款原则：工程进度款根据拨款情况、监督、监理情况分期付给。由于</w:t>
            </w:r>
            <w:r>
              <w:rPr>
                <w:rFonts w:hint="eastAsia" w:ascii="宋体" w:hAnsi="宋体"/>
                <w:sz w:val="21"/>
                <w:szCs w:val="21"/>
                <w:lang w:eastAsia="zh-CN"/>
              </w:rPr>
              <w:t>施工</w:t>
            </w:r>
            <w:r>
              <w:rPr>
                <w:rFonts w:hint="eastAsia" w:ascii="宋体" w:hAnsi="宋体"/>
                <w:sz w:val="21"/>
                <w:szCs w:val="21"/>
              </w:rPr>
              <w:t>单位原因造成工程款不能支付，责任由</w:t>
            </w:r>
            <w:r>
              <w:rPr>
                <w:rFonts w:hint="eastAsia" w:ascii="宋体" w:hAnsi="宋体"/>
                <w:sz w:val="21"/>
                <w:szCs w:val="21"/>
                <w:lang w:eastAsia="zh-CN"/>
              </w:rPr>
              <w:t>施工</w:t>
            </w:r>
            <w:r>
              <w:rPr>
                <w:rFonts w:hint="eastAsia" w:ascii="宋体" w:hAnsi="宋体"/>
                <w:sz w:val="21"/>
                <w:szCs w:val="21"/>
              </w:rPr>
              <w:t>单位承担。</w:t>
            </w:r>
          </w:p>
          <w:p w14:paraId="6D44DAC5">
            <w:pPr>
              <w:adjustRightInd w:val="0"/>
              <w:snapToGrid w:val="0"/>
              <w:spacing w:line="360" w:lineRule="auto"/>
              <w:jc w:val="left"/>
              <w:rPr>
                <w:rFonts w:hint="eastAsia" w:ascii="宋体" w:hAnsi="宋体"/>
                <w:sz w:val="21"/>
                <w:szCs w:val="21"/>
              </w:rPr>
            </w:pPr>
            <w:r>
              <w:rPr>
                <w:rFonts w:hint="eastAsia" w:ascii="宋体" w:hAnsi="宋体"/>
                <w:sz w:val="21"/>
                <w:szCs w:val="21"/>
                <w:lang w:val="en-US" w:eastAsia="zh-CN"/>
              </w:rPr>
              <w:t>3.2</w:t>
            </w:r>
            <w:r>
              <w:rPr>
                <w:rFonts w:hint="eastAsia" w:ascii="宋体" w:hAnsi="宋体"/>
                <w:sz w:val="21"/>
                <w:szCs w:val="21"/>
              </w:rPr>
              <w:t>工程进度款的支付：</w:t>
            </w:r>
          </w:p>
          <w:p w14:paraId="2E59F413">
            <w:pPr>
              <w:spacing w:line="360" w:lineRule="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3.2.1 本工程无预付款，工程竣工验收通过后支付合同价的85%；</w:t>
            </w:r>
          </w:p>
          <w:p w14:paraId="295E8B33">
            <w:pPr>
              <w:spacing w:line="360" w:lineRule="auto"/>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3.2.2 工程结算审核完成后，按结算审核价支付剩余全部款项。</w:t>
            </w:r>
          </w:p>
          <w:p w14:paraId="7A9EA76F">
            <w:pPr>
              <w:spacing w:line="360" w:lineRule="auto"/>
              <w:rPr>
                <w:rFonts w:hint="eastAsia" w:ascii="宋体" w:hAnsi="宋体" w:eastAsia="宋体" w:cs="宋体"/>
                <w:sz w:val="21"/>
                <w:szCs w:val="21"/>
                <w:lang w:eastAsia="zh-CN"/>
              </w:rPr>
            </w:pPr>
            <w:r>
              <w:rPr>
                <w:rFonts w:hint="eastAsia" w:ascii="宋体" w:hAnsi="宋体" w:eastAsia="宋体" w:cs="Times New Roman"/>
                <w:sz w:val="21"/>
                <w:szCs w:val="21"/>
                <w:lang w:val="en-US" w:eastAsia="zh-CN"/>
              </w:rPr>
              <w:t>3.3.3</w:t>
            </w:r>
            <w:r>
              <w:rPr>
                <w:rFonts w:hint="eastAsia" w:ascii="宋体" w:hAnsi="宋体"/>
                <w:sz w:val="21"/>
                <w:szCs w:val="21"/>
                <w:u w:val="none"/>
              </w:rPr>
              <w:t>承包人应提前15日提供合规等额的发票，逾期未提供的，付款期限顺延</w:t>
            </w:r>
            <w:r>
              <w:rPr>
                <w:rFonts w:hint="eastAsia" w:ascii="宋体" w:hAnsi="宋体" w:eastAsia="宋体" w:cs="Times New Roman"/>
                <w:sz w:val="21"/>
                <w:szCs w:val="21"/>
              </w:rPr>
              <w:t>。</w:t>
            </w:r>
          </w:p>
        </w:tc>
      </w:tr>
      <w:tr w14:paraId="6AAB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795DDB35">
            <w:pPr>
              <w:jc w:val="center"/>
              <w:outlineLvl w:val="0"/>
              <w:rPr>
                <w:rFonts w:hint="eastAsia" w:ascii="宋体" w:hAnsi="宋体" w:eastAsia="宋体" w:cs="宋体"/>
                <w:b/>
                <w:bCs/>
                <w:sz w:val="21"/>
                <w:szCs w:val="21"/>
                <w:lang w:eastAsia="zh-CN"/>
              </w:rPr>
            </w:pPr>
            <w:r>
              <w:rPr>
                <w:rFonts w:hint="eastAsia" w:ascii="宋体" w:hAnsi="宋体" w:cs="宋体"/>
                <w:b/>
                <w:bCs/>
                <w:sz w:val="21"/>
                <w:szCs w:val="21"/>
                <w:lang w:val="en-US" w:eastAsia="zh-CN"/>
              </w:rPr>
              <w:t>4</w:t>
            </w:r>
          </w:p>
        </w:tc>
        <w:tc>
          <w:tcPr>
            <w:tcW w:w="1377" w:type="dxa"/>
            <w:vAlign w:val="center"/>
          </w:tcPr>
          <w:p w14:paraId="49EB0D23">
            <w:pPr>
              <w:outlineLvl w:val="0"/>
              <w:rPr>
                <w:rFonts w:hint="eastAsia" w:ascii="宋体" w:hAnsi="宋体" w:eastAsia="宋体" w:cs="宋体"/>
                <w:b/>
                <w:bCs/>
                <w:sz w:val="21"/>
                <w:szCs w:val="21"/>
              </w:rPr>
            </w:pPr>
            <w:r>
              <w:rPr>
                <w:rFonts w:hint="eastAsia" w:ascii="宋体" w:hAnsi="宋体" w:eastAsia="宋体" w:cs="宋体"/>
                <w:b/>
                <w:bCs/>
                <w:sz w:val="21"/>
                <w:szCs w:val="21"/>
              </w:rPr>
              <w:t>违约责任</w:t>
            </w:r>
          </w:p>
        </w:tc>
        <w:tc>
          <w:tcPr>
            <w:tcW w:w="7724" w:type="dxa"/>
          </w:tcPr>
          <w:p w14:paraId="46EDF17B">
            <w:pPr>
              <w:spacing w:line="480" w:lineRule="exact"/>
              <w:jc w:val="both"/>
              <w:rPr>
                <w:rFonts w:hint="eastAsia" w:ascii="宋体" w:hAnsi="宋体" w:eastAsia="宋体" w:cs="宋体"/>
                <w:sz w:val="21"/>
                <w:szCs w:val="21"/>
                <w:lang w:eastAsia="zh-CN"/>
              </w:rPr>
            </w:pPr>
            <w:r>
              <w:rPr>
                <w:rFonts w:hint="eastAsia" w:ascii="宋体" w:hAnsi="宋体" w:cs="宋体"/>
                <w:sz w:val="21"/>
                <w:szCs w:val="21"/>
                <w:lang w:eastAsia="zh-CN"/>
              </w:rPr>
              <w:t>详见施工合同</w:t>
            </w:r>
          </w:p>
        </w:tc>
      </w:tr>
      <w:bookmarkEnd w:id="5"/>
      <w:bookmarkEnd w:id="6"/>
      <w:bookmarkEnd w:id="7"/>
      <w:bookmarkEnd w:id="8"/>
      <w:bookmarkEnd w:id="9"/>
      <w:bookmarkEnd w:id="10"/>
      <w:bookmarkEnd w:id="11"/>
    </w:tbl>
    <w:p w14:paraId="5789FAD8">
      <w:pPr>
        <w:pStyle w:val="6"/>
        <w:spacing w:before="0" w:after="0"/>
        <w:jc w:val="center"/>
        <w:rPr>
          <w:rFonts w:hint="eastAsia" w:ascii="宋体" w:hAnsi="宋体" w:eastAsia="宋体" w:cs="宋体"/>
          <w:sz w:val="24"/>
          <w:szCs w:val="24"/>
          <w:lang w:eastAsia="zh-CN"/>
        </w:rPr>
      </w:pPr>
    </w:p>
    <w:p w14:paraId="5E8DCFEB">
      <w:pPr>
        <w:pStyle w:val="6"/>
        <w:numPr>
          <w:ilvl w:val="0"/>
          <w:numId w:val="7"/>
        </w:numPr>
        <w:autoSpaceDE w:val="0"/>
        <w:spacing w:before="0" w:after="0" w:line="24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投标报价要求</w:t>
      </w:r>
    </w:p>
    <w:p w14:paraId="36D48EBE">
      <w:pPr>
        <w:numPr>
          <w:ilvl w:val="0"/>
          <w:numId w:val="0"/>
        </w:numPr>
        <w:rPr>
          <w:rFonts w:hint="eastAsia"/>
          <w:lang w:val="en-US" w:eastAsia="zh-CN"/>
        </w:rPr>
      </w:pPr>
    </w:p>
    <w:p w14:paraId="3B853C01">
      <w:pPr>
        <w:spacing w:line="360" w:lineRule="auto"/>
        <w:ind w:firstLine="420" w:firstLineChars="200"/>
        <w:rPr>
          <w:rFonts w:hint="eastAsia" w:ascii="宋体" w:hAnsi="宋体" w:eastAsia="宋体"/>
          <w:szCs w:val="21"/>
          <w:lang w:val="en-US" w:eastAsia="zh-CN"/>
        </w:rPr>
      </w:pPr>
      <w:r>
        <w:rPr>
          <w:rFonts w:hint="eastAsia" w:ascii="宋体" w:hAnsi="宋体"/>
          <w:szCs w:val="21"/>
          <w:lang w:val="en-US" w:eastAsia="zh-CN"/>
        </w:rPr>
        <w:t>1、工程计价办法：</w:t>
      </w:r>
      <w:r>
        <w:rPr>
          <w:rFonts w:hint="eastAsia" w:ascii="宋体" w:hAnsi="宋体"/>
          <w:b/>
          <w:bCs/>
          <w:szCs w:val="21"/>
          <w:u w:val="single"/>
          <w:lang w:val="en-US" w:eastAsia="zh-CN"/>
        </w:rPr>
        <w:t>综合单价法</w:t>
      </w:r>
      <w:r>
        <w:rPr>
          <w:rFonts w:hint="eastAsia" w:ascii="宋体" w:hAnsi="宋体"/>
          <w:szCs w:val="21"/>
          <w:lang w:val="en-US" w:eastAsia="zh-CN"/>
        </w:rPr>
        <w:t>。</w:t>
      </w:r>
    </w:p>
    <w:p w14:paraId="352D26AB">
      <w:pPr>
        <w:spacing w:line="360" w:lineRule="auto"/>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、本工程的工程量清单的投标单价</w:t>
      </w:r>
      <w:bookmarkStart w:id="12" w:name="工程量清单计价方式"/>
      <w:r>
        <w:rPr>
          <w:rFonts w:hint="eastAsia" w:ascii="宋体" w:hAnsi="宋体"/>
          <w:szCs w:val="21"/>
        </w:rPr>
        <w:t>按综合单价方式</w:t>
      </w:r>
      <w:bookmarkEnd w:id="12"/>
      <w:r>
        <w:rPr>
          <w:rFonts w:hint="eastAsia" w:ascii="宋体" w:hAnsi="宋体"/>
          <w:szCs w:val="21"/>
        </w:rPr>
        <w:t>进行报价；</w:t>
      </w:r>
    </w:p>
    <w:p w14:paraId="0011EBB0">
      <w:pPr>
        <w:pStyle w:val="9"/>
        <w:spacing w:line="360" w:lineRule="auto"/>
        <w:ind w:firstLineChars="200"/>
        <w:rPr>
          <w:rFonts w:ascii="宋体" w:hAnsi="宋体"/>
          <w:szCs w:val="21"/>
        </w:rPr>
      </w:pPr>
      <w:r>
        <w:rPr>
          <w:rFonts w:hint="eastAsia" w:ascii="宋体" w:hAnsi="宋体"/>
          <w:szCs w:val="21"/>
          <w:lang w:val="en-US" w:eastAsia="zh-CN"/>
        </w:rPr>
        <w:t>3</w:t>
      </w:r>
      <w:r>
        <w:rPr>
          <w:rFonts w:hint="eastAsia" w:ascii="宋体" w:hAnsi="宋体"/>
          <w:szCs w:val="21"/>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A62BF5F">
      <w:pPr>
        <w:spacing w:line="360" w:lineRule="auto"/>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、投标人的投标报价，应是本项目招标范围和招标文件及合同条款上所列的各项内容中所述的全部，不得以任何理由予以重复，并以投标人在工程量清单中提出的综合单价或总价为依据；</w:t>
      </w:r>
    </w:p>
    <w:p w14:paraId="3FFADDA6">
      <w:pPr>
        <w:spacing w:line="360" w:lineRule="auto"/>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、除非</w:t>
      </w:r>
      <w:r>
        <w:rPr>
          <w:rFonts w:hint="eastAsia" w:ascii="宋体" w:hAnsi="宋体"/>
          <w:szCs w:val="21"/>
          <w:lang w:eastAsia="zh-CN"/>
        </w:rPr>
        <w:t>采购人</w:t>
      </w:r>
      <w:r>
        <w:rPr>
          <w:rFonts w:hint="eastAsia" w:ascii="宋体" w:hAnsi="宋体"/>
          <w:szCs w:val="21"/>
        </w:rPr>
        <w:t>通过修改招标文件予以更正，否则，投标人应毫无例外地按工程量清单中列出的工程项目和数量填报综合单价和合价。投标人未填综合单价或合价的项目，在实施后，将不得以支付，并视作该项费用已包括在其它有价款的综合单价或合价内；</w:t>
      </w:r>
    </w:p>
    <w:p w14:paraId="0635EC91">
      <w:pPr>
        <w:spacing w:line="360" w:lineRule="auto"/>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、投标人应先到工地踏勘以充分了解工地的位置、情况、道路、储存空间、装卸限制及任何其它足以影响投标报价的情况，任何因忽视或误解工地情况而导致的索赔或工期延长申请将不获批准；</w:t>
      </w:r>
    </w:p>
    <w:p w14:paraId="3F80FC02">
      <w:pPr>
        <w:spacing w:line="360" w:lineRule="auto"/>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投标人不得期望通过索赔、签证等方式获取补偿，否则，除可能遭到拒绝外，还可能将被作为不良行为记录在案，并可能影响其以后参加政府采购的项目投标。各投标人在投标报价时，应充分考虑投标报价的风险。</w:t>
      </w:r>
    </w:p>
    <w:p w14:paraId="2AE31E33">
      <w:pPr>
        <w:spacing w:line="360" w:lineRule="auto"/>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本项目采用固定单价合同。工程量清单所列的工程量系采购单位的估算，是临时的，作为投标报价的共同基础，不应被理解为是对采购单位要求工作内容的全部定义，也不能作为投标人应完成的实际工程量。承包人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14:paraId="174D29D3">
      <w:pPr>
        <w:spacing w:line="360" w:lineRule="auto"/>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投标人的投标报价必须充分考虑到在施工中实施的施工组织设计对工程造价的影响,并在投标报价中反映出来。</w:t>
      </w:r>
    </w:p>
    <w:p w14:paraId="1175CB33">
      <w:pPr>
        <w:spacing w:line="360" w:lineRule="auto"/>
        <w:ind w:firstLine="420" w:firstLineChars="200"/>
        <w:rPr>
          <w:rFonts w:hint="eastAsia" w:ascii="宋体" w:hAnsi="宋体"/>
          <w:szCs w:val="21"/>
        </w:rPr>
      </w:pPr>
      <w:r>
        <w:rPr>
          <w:rFonts w:hint="eastAsia" w:ascii="宋体" w:hAnsi="宋体"/>
          <w:szCs w:val="21"/>
          <w:lang w:val="en-US" w:eastAsia="zh-CN"/>
        </w:rPr>
        <w:t>10</w:t>
      </w:r>
      <w:r>
        <w:rPr>
          <w:rFonts w:hint="eastAsia" w:ascii="宋体" w:hAnsi="宋体"/>
          <w:szCs w:val="21"/>
        </w:rPr>
        <w:t>、本项目不接受总价优惠折扣形式的报价，投标人应将对项目的优惠直接在清单报价中体现出来。</w:t>
      </w:r>
    </w:p>
    <w:p w14:paraId="529974C3">
      <w:pPr>
        <w:spacing w:line="360" w:lineRule="auto"/>
        <w:ind w:firstLine="420" w:firstLineChars="200"/>
        <w:rPr>
          <w:rFonts w:hint="eastAsia" w:ascii="宋体" w:hAnsi="宋体"/>
          <w:szCs w:val="21"/>
        </w:rPr>
      </w:pPr>
      <w:r>
        <w:rPr>
          <w:rFonts w:hint="eastAsia" w:ascii="宋体" w:hAnsi="宋体"/>
          <w:szCs w:val="21"/>
          <w:lang w:val="en-US" w:eastAsia="zh-CN"/>
        </w:rPr>
        <w:t>11</w:t>
      </w:r>
      <w:r>
        <w:rPr>
          <w:rFonts w:hint="eastAsia" w:ascii="宋体" w:hAnsi="宋体"/>
          <w:szCs w:val="21"/>
        </w:rPr>
        <w:t>、采购单位委托承包人办理的保险事项：</w:t>
      </w:r>
      <w:bookmarkStart w:id="13" w:name="发包人委托承包人办理的保险事项"/>
      <w:r>
        <w:rPr>
          <w:rFonts w:hint="eastAsia" w:ascii="宋体" w:hAnsi="宋体"/>
          <w:szCs w:val="21"/>
        </w:rPr>
        <w:t>建设工程一切险和第三者责任险，所需的保险费应包含在投标价中</w:t>
      </w:r>
      <w:bookmarkEnd w:id="13"/>
      <w:r>
        <w:rPr>
          <w:rFonts w:hint="eastAsia" w:ascii="宋体" w:hAnsi="宋体"/>
          <w:szCs w:val="21"/>
        </w:rPr>
        <w:t>，施工中若发生安全事故，一切责任及费用由施工单位负责。</w:t>
      </w:r>
    </w:p>
    <w:p w14:paraId="2835A89A">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如本工程涉及取土和弃土项目，地点、时间、路线承包人应取得国土、城管部门的同意，不得由此带给采购人任何费用的增加。凡是因承包人措施不当而引起的罚款、索赔和指控等由承包人自行承担。投标价不因取土或弃土实际运距与分部分项工程量清单不同而作调整。土方回填料必须满足国家技术规范之要求，绿化填土面层必须选用适宜种植的填土。</w:t>
      </w:r>
    </w:p>
    <w:p w14:paraId="65B2F3EF">
      <w:pPr>
        <w:spacing w:line="360" w:lineRule="auto"/>
        <w:ind w:firstLine="420" w:firstLineChars="200"/>
        <w:rPr>
          <w:rFonts w:hint="eastAsia" w:ascii="宋体" w:hAnsi="宋体"/>
          <w:szCs w:val="21"/>
        </w:rPr>
      </w:pPr>
      <w:r>
        <w:rPr>
          <w:rFonts w:hint="eastAsia" w:ascii="宋体" w:hAnsi="宋体"/>
          <w:szCs w:val="21"/>
        </w:rPr>
        <w:t>12、一切与施工相关的检验实验费（政府有关部门规定由建设单位支付的检验实验费除外）已含在投标价中。</w:t>
      </w:r>
    </w:p>
    <w:p w14:paraId="4DF516C1">
      <w:pPr>
        <w:pStyle w:val="9"/>
        <w:spacing w:line="360" w:lineRule="auto"/>
        <w:ind w:firstLineChars="200"/>
        <w:rPr>
          <w:rFonts w:hint="eastAsia" w:ascii="宋体" w:hAnsi="宋体"/>
          <w:szCs w:val="21"/>
        </w:rPr>
      </w:pPr>
      <w:r>
        <w:rPr>
          <w:rFonts w:hint="eastAsia" w:ascii="宋体" w:hAnsi="宋体"/>
          <w:szCs w:val="21"/>
        </w:rPr>
        <w:t>13、承包人的交通维护方案必须保证施工期间的交通组织符合深圳市公安交通管理的有关规定，保证车辆运行通畅和施工安全，其费用已含在投标价中。</w:t>
      </w:r>
    </w:p>
    <w:p w14:paraId="408EA387">
      <w:pPr>
        <w:pStyle w:val="5"/>
        <w:keepNext/>
        <w:keepLines/>
        <w:pageBreakBefore/>
        <w:widowControl w:val="0"/>
        <w:kinsoku/>
        <w:wordWrap/>
        <w:overflowPunct/>
        <w:topLinePunct w:val="0"/>
        <w:autoSpaceDE/>
        <w:autoSpaceDN/>
        <w:bidi w:val="0"/>
        <w:adjustRightInd w:val="0"/>
        <w:snapToGrid/>
        <w:ind w:left="839"/>
        <w:textAlignment w:val="baseline"/>
        <w:rPr>
          <w:rFonts w:hint="eastAsia" w:ascii="宋体" w:hAnsi="宋体" w:eastAsia="宋体" w:cs="宋体"/>
          <w:kern w:val="2"/>
          <w:sz w:val="28"/>
          <w:szCs w:val="28"/>
        </w:rPr>
      </w:pPr>
      <w:r>
        <w:rPr>
          <w:rFonts w:hint="eastAsia" w:ascii="宋体" w:hAnsi="宋体" w:eastAsia="宋体" w:cs="宋体"/>
          <w:kern w:val="2"/>
          <w:sz w:val="28"/>
          <w:szCs w:val="28"/>
        </w:rPr>
        <w:t>第四章 投标文件格式、附件</w:t>
      </w:r>
    </w:p>
    <w:p w14:paraId="070D6FF1">
      <w:pPr>
        <w:pStyle w:val="110"/>
        <w:ind w:firstLine="480"/>
        <w:rPr>
          <w:rFonts w:hint="eastAsia" w:ascii="宋体" w:hAnsi="宋体" w:eastAsia="宋体" w:cs="宋体"/>
          <w:kern w:val="2"/>
          <w:sz w:val="24"/>
          <w:szCs w:val="24"/>
          <w:lang w:val="en-US" w:eastAsia="zh-CN" w:bidi="ar-SA"/>
        </w:rPr>
      </w:pPr>
      <w:r>
        <w:rPr>
          <w:rStyle w:val="132"/>
          <w:rFonts w:hint="eastAsia" w:ascii="宋体" w:hAnsi="宋体" w:eastAsia="宋体" w:cs="宋体"/>
        </w:rPr>
        <w:t>特别提醒：</w:t>
      </w:r>
      <w:r>
        <w:rPr>
          <w:rFonts w:hint="eastAsia" w:ascii="宋体" w:hAnsi="宋体" w:eastAsia="宋体" w:cs="宋体"/>
          <w:kern w:val="2"/>
          <w:sz w:val="24"/>
          <w:szCs w:val="24"/>
          <w:lang w:val="en-US" w:eastAsia="zh-CN" w:bidi="ar-SA"/>
        </w:rPr>
        <w:t>投标人在编制投标文件时，在投标文件目录中属于本节点内容的必须在本节点中填写，填写到其他节点或附件的将可能导致投标无效，投标人应自行承担不利后果。</w:t>
      </w:r>
    </w:p>
    <w:p w14:paraId="7D687809">
      <w:pPr>
        <w:pStyle w:val="110"/>
        <w:ind w:firstLine="480"/>
        <w:rPr>
          <w:rFonts w:hint="eastAsia" w:ascii="宋体" w:hAnsi="宋体" w:eastAsia="宋体" w:cs="宋体"/>
          <w:kern w:val="2"/>
          <w:sz w:val="24"/>
          <w:szCs w:val="24"/>
          <w:lang w:val="en-US" w:eastAsia="zh-CN" w:bidi="ar-SA"/>
        </w:rPr>
      </w:pPr>
    </w:p>
    <w:p w14:paraId="3DA47435">
      <w:pPr>
        <w:pStyle w:val="110"/>
        <w:ind w:firstLine="480"/>
        <w:rPr>
          <w:rFonts w:hint="eastAsia" w:ascii="宋体" w:hAnsi="宋体" w:eastAsia="宋体" w:cs="宋体"/>
        </w:rPr>
      </w:pPr>
    </w:p>
    <w:p w14:paraId="0F347B21">
      <w:pPr>
        <w:pStyle w:val="110"/>
        <w:ind w:firstLine="480"/>
        <w:rPr>
          <w:rFonts w:hint="eastAsia" w:ascii="宋体" w:hAnsi="宋体" w:eastAsia="宋体" w:cs="宋体"/>
        </w:rPr>
      </w:pPr>
    </w:p>
    <w:p w14:paraId="35ECA1DA">
      <w:pPr>
        <w:pStyle w:val="110"/>
        <w:ind w:firstLine="480"/>
        <w:rPr>
          <w:rFonts w:hint="eastAsia" w:ascii="宋体" w:hAnsi="宋体" w:eastAsia="宋体" w:cs="宋体"/>
        </w:rPr>
      </w:pPr>
    </w:p>
    <w:p w14:paraId="19F30F23">
      <w:pPr>
        <w:pStyle w:val="110"/>
        <w:ind w:firstLine="480"/>
        <w:rPr>
          <w:rFonts w:hint="eastAsia" w:ascii="宋体" w:hAnsi="宋体" w:eastAsia="宋体" w:cs="宋体"/>
        </w:rPr>
      </w:pPr>
    </w:p>
    <w:p w14:paraId="7FD9C857">
      <w:pPr>
        <w:pStyle w:val="110"/>
        <w:ind w:firstLine="480"/>
        <w:rPr>
          <w:rFonts w:hint="eastAsia" w:ascii="宋体" w:hAnsi="宋体" w:eastAsia="宋体" w:cs="宋体"/>
        </w:rPr>
      </w:pPr>
    </w:p>
    <w:p w14:paraId="17886F02">
      <w:pPr>
        <w:pStyle w:val="110"/>
        <w:ind w:firstLine="480"/>
        <w:rPr>
          <w:rFonts w:hint="eastAsia" w:ascii="宋体" w:hAnsi="宋体" w:eastAsia="宋体" w:cs="宋体"/>
        </w:rPr>
      </w:pPr>
    </w:p>
    <w:p w14:paraId="335B521D">
      <w:pPr>
        <w:pStyle w:val="110"/>
        <w:ind w:firstLine="480"/>
        <w:rPr>
          <w:rFonts w:hint="eastAsia" w:ascii="宋体" w:hAnsi="宋体" w:eastAsia="宋体" w:cs="宋体"/>
        </w:rPr>
      </w:pPr>
    </w:p>
    <w:p w14:paraId="6299F054">
      <w:pPr>
        <w:pStyle w:val="110"/>
        <w:ind w:firstLine="480"/>
        <w:rPr>
          <w:rFonts w:hint="eastAsia" w:ascii="宋体" w:hAnsi="宋体" w:eastAsia="宋体" w:cs="宋体"/>
        </w:rPr>
      </w:pPr>
    </w:p>
    <w:p w14:paraId="509EFE82">
      <w:pPr>
        <w:pStyle w:val="110"/>
        <w:ind w:firstLine="480"/>
        <w:rPr>
          <w:rFonts w:hint="eastAsia" w:ascii="宋体" w:hAnsi="宋体" w:eastAsia="宋体" w:cs="宋体"/>
        </w:rPr>
      </w:pPr>
    </w:p>
    <w:p w14:paraId="72B178EA">
      <w:pPr>
        <w:pStyle w:val="110"/>
        <w:ind w:firstLine="480"/>
        <w:rPr>
          <w:rFonts w:hint="eastAsia" w:ascii="宋体" w:hAnsi="宋体" w:eastAsia="宋体" w:cs="宋体"/>
        </w:rPr>
      </w:pPr>
    </w:p>
    <w:p w14:paraId="0DEF5F20">
      <w:pPr>
        <w:pStyle w:val="110"/>
        <w:ind w:firstLine="480"/>
        <w:rPr>
          <w:rFonts w:hint="eastAsia" w:ascii="宋体" w:hAnsi="宋体" w:eastAsia="宋体" w:cs="宋体"/>
        </w:rPr>
      </w:pPr>
    </w:p>
    <w:p w14:paraId="1411EA25">
      <w:pPr>
        <w:pStyle w:val="110"/>
        <w:ind w:firstLine="480"/>
        <w:rPr>
          <w:rFonts w:hint="eastAsia" w:ascii="宋体" w:hAnsi="宋体" w:eastAsia="宋体" w:cs="宋体"/>
        </w:rPr>
      </w:pPr>
    </w:p>
    <w:p w14:paraId="11072442">
      <w:pPr>
        <w:pStyle w:val="110"/>
        <w:ind w:firstLine="480"/>
        <w:rPr>
          <w:rFonts w:hint="eastAsia" w:ascii="宋体" w:hAnsi="宋体" w:eastAsia="宋体" w:cs="宋体"/>
        </w:rPr>
      </w:pPr>
    </w:p>
    <w:p w14:paraId="2C788DED">
      <w:pPr>
        <w:pStyle w:val="110"/>
        <w:ind w:firstLine="480"/>
        <w:rPr>
          <w:rFonts w:hint="eastAsia" w:ascii="宋体" w:hAnsi="宋体" w:eastAsia="宋体" w:cs="宋体"/>
        </w:rPr>
      </w:pPr>
    </w:p>
    <w:p w14:paraId="0646AEE9">
      <w:pPr>
        <w:pStyle w:val="110"/>
        <w:ind w:firstLine="480"/>
        <w:rPr>
          <w:rFonts w:hint="eastAsia" w:ascii="宋体" w:hAnsi="宋体" w:eastAsia="宋体" w:cs="宋体"/>
        </w:rPr>
      </w:pPr>
    </w:p>
    <w:p w14:paraId="01575855">
      <w:pPr>
        <w:pStyle w:val="110"/>
        <w:ind w:firstLine="480"/>
        <w:rPr>
          <w:rFonts w:hint="eastAsia" w:ascii="宋体" w:hAnsi="宋体" w:eastAsia="宋体" w:cs="宋体"/>
        </w:rPr>
      </w:pPr>
    </w:p>
    <w:p w14:paraId="535B00AF">
      <w:pPr>
        <w:pStyle w:val="110"/>
        <w:ind w:firstLine="480"/>
        <w:rPr>
          <w:rFonts w:hint="eastAsia" w:ascii="宋体" w:hAnsi="宋体" w:eastAsia="宋体" w:cs="宋体"/>
        </w:rPr>
      </w:pPr>
    </w:p>
    <w:p w14:paraId="33556B4C">
      <w:pPr>
        <w:pStyle w:val="110"/>
        <w:ind w:firstLine="480"/>
        <w:rPr>
          <w:rFonts w:hint="eastAsia" w:ascii="宋体" w:hAnsi="宋体" w:eastAsia="宋体" w:cs="宋体"/>
        </w:rPr>
      </w:pPr>
    </w:p>
    <w:p w14:paraId="7F5FFED2">
      <w:pPr>
        <w:pStyle w:val="110"/>
        <w:ind w:firstLine="480"/>
        <w:rPr>
          <w:rFonts w:hint="eastAsia" w:ascii="宋体" w:hAnsi="宋体" w:eastAsia="宋体" w:cs="宋体"/>
        </w:rPr>
      </w:pPr>
    </w:p>
    <w:p w14:paraId="63E2CD65">
      <w:pPr>
        <w:pStyle w:val="110"/>
        <w:ind w:firstLine="480"/>
        <w:rPr>
          <w:rFonts w:hint="eastAsia" w:ascii="宋体" w:hAnsi="宋体" w:eastAsia="宋体" w:cs="宋体"/>
        </w:rPr>
      </w:pPr>
    </w:p>
    <w:p w14:paraId="4F5A4DCB">
      <w:pPr>
        <w:pStyle w:val="110"/>
        <w:ind w:firstLine="480"/>
        <w:rPr>
          <w:rFonts w:hint="eastAsia" w:ascii="宋体" w:hAnsi="宋体" w:eastAsia="宋体" w:cs="宋体"/>
        </w:rPr>
      </w:pPr>
    </w:p>
    <w:p w14:paraId="268E1E2C">
      <w:pPr>
        <w:pStyle w:val="110"/>
        <w:ind w:firstLine="480"/>
        <w:rPr>
          <w:rFonts w:hint="eastAsia" w:ascii="宋体" w:hAnsi="宋体" w:eastAsia="宋体" w:cs="宋体"/>
        </w:rPr>
      </w:pPr>
    </w:p>
    <w:p w14:paraId="3946FAFE">
      <w:pPr>
        <w:pStyle w:val="110"/>
        <w:ind w:firstLine="480"/>
        <w:rPr>
          <w:rFonts w:hint="eastAsia" w:ascii="宋体" w:hAnsi="宋体" w:eastAsia="宋体" w:cs="宋体"/>
        </w:rPr>
      </w:pPr>
    </w:p>
    <w:p w14:paraId="29C44849">
      <w:pPr>
        <w:pStyle w:val="110"/>
        <w:ind w:firstLine="480"/>
        <w:rPr>
          <w:rFonts w:hint="eastAsia" w:ascii="宋体" w:hAnsi="宋体" w:eastAsia="宋体" w:cs="宋体"/>
        </w:rPr>
      </w:pPr>
    </w:p>
    <w:p w14:paraId="35683F42">
      <w:pPr>
        <w:pStyle w:val="110"/>
        <w:ind w:firstLine="480"/>
        <w:rPr>
          <w:rFonts w:hint="eastAsia" w:ascii="宋体" w:hAnsi="宋体" w:eastAsia="宋体" w:cs="宋体"/>
        </w:rPr>
      </w:pPr>
    </w:p>
    <w:p w14:paraId="51DC1E02">
      <w:pPr>
        <w:pStyle w:val="110"/>
        <w:ind w:firstLine="480"/>
        <w:rPr>
          <w:rFonts w:hint="eastAsia" w:ascii="宋体" w:hAnsi="宋体" w:eastAsia="宋体" w:cs="宋体"/>
        </w:rPr>
      </w:pPr>
    </w:p>
    <w:p w14:paraId="6005849C">
      <w:pPr>
        <w:pStyle w:val="110"/>
        <w:ind w:firstLine="480"/>
        <w:rPr>
          <w:rFonts w:hint="eastAsia" w:ascii="宋体" w:hAnsi="宋体" w:eastAsia="宋体" w:cs="宋体"/>
        </w:rPr>
      </w:pPr>
    </w:p>
    <w:p w14:paraId="69D8088D">
      <w:pPr>
        <w:pStyle w:val="110"/>
        <w:ind w:firstLine="480"/>
        <w:rPr>
          <w:rFonts w:hint="eastAsia" w:ascii="宋体" w:hAnsi="宋体" w:eastAsia="宋体" w:cs="宋体"/>
        </w:rPr>
      </w:pPr>
    </w:p>
    <w:p w14:paraId="3B83A3AE">
      <w:pPr>
        <w:pStyle w:val="110"/>
        <w:ind w:firstLine="480"/>
        <w:rPr>
          <w:rFonts w:hint="eastAsia" w:ascii="宋体" w:hAnsi="宋体" w:eastAsia="宋体" w:cs="宋体"/>
        </w:rPr>
      </w:pPr>
    </w:p>
    <w:p w14:paraId="6CC30814">
      <w:pPr>
        <w:pStyle w:val="110"/>
        <w:ind w:firstLine="480"/>
        <w:rPr>
          <w:rFonts w:hint="eastAsia" w:ascii="宋体" w:hAnsi="宋体" w:eastAsia="宋体" w:cs="宋体"/>
        </w:rPr>
      </w:pPr>
    </w:p>
    <w:p w14:paraId="18BFD7A0">
      <w:pPr>
        <w:pStyle w:val="110"/>
        <w:ind w:firstLine="480"/>
        <w:rPr>
          <w:rFonts w:hint="eastAsia" w:ascii="宋体" w:hAnsi="宋体" w:eastAsia="宋体" w:cs="宋体"/>
        </w:rPr>
      </w:pPr>
    </w:p>
    <w:p w14:paraId="7C51AE87">
      <w:pPr>
        <w:pStyle w:val="110"/>
        <w:ind w:firstLine="480"/>
        <w:rPr>
          <w:rFonts w:hint="eastAsia" w:ascii="宋体" w:hAnsi="宋体" w:eastAsia="宋体" w:cs="宋体"/>
        </w:rPr>
      </w:pPr>
    </w:p>
    <w:p w14:paraId="554A3C1B">
      <w:pPr>
        <w:pStyle w:val="110"/>
        <w:ind w:firstLine="480"/>
        <w:rPr>
          <w:rFonts w:hint="eastAsia" w:ascii="宋体" w:hAnsi="宋体" w:eastAsia="宋体" w:cs="宋体"/>
        </w:rPr>
      </w:pPr>
    </w:p>
    <w:p w14:paraId="5C946520">
      <w:pPr>
        <w:pStyle w:val="110"/>
        <w:rPr>
          <w:rFonts w:hint="eastAsia" w:ascii="宋体" w:hAnsi="宋体" w:eastAsia="宋体" w:cs="宋体"/>
        </w:rPr>
      </w:pPr>
    </w:p>
    <w:p w14:paraId="31F1D510">
      <w:pPr>
        <w:pStyle w:val="5"/>
        <w:rPr>
          <w:rFonts w:hint="eastAsia" w:ascii="宋体" w:hAnsi="宋体" w:eastAsia="宋体" w:cs="宋体"/>
          <w:bCs/>
          <w:kern w:val="28"/>
          <w:sz w:val="44"/>
          <w:szCs w:val="44"/>
        </w:rPr>
      </w:pPr>
      <w:r>
        <w:rPr>
          <w:rFonts w:hint="eastAsia" w:ascii="宋体" w:hAnsi="宋体" w:eastAsia="宋体" w:cs="宋体"/>
        </w:rPr>
        <w:br w:type="page"/>
      </w:r>
      <w:r>
        <w:rPr>
          <w:rFonts w:hint="eastAsia" w:ascii="宋体" w:hAnsi="宋体" w:eastAsia="宋体" w:cs="宋体"/>
          <w:sz w:val="32"/>
          <w:szCs w:val="32"/>
        </w:rPr>
        <w:t>附件1：开标文件</w:t>
      </w:r>
    </w:p>
    <w:p w14:paraId="29D1008C">
      <w:pPr>
        <w:pStyle w:val="101"/>
        <w:rPr>
          <w:rFonts w:hint="eastAsia" w:ascii="宋体" w:hAnsi="宋体" w:eastAsia="宋体" w:cs="宋体"/>
        </w:rPr>
      </w:pPr>
    </w:p>
    <w:p w14:paraId="3707B586">
      <w:pPr>
        <w:pStyle w:val="101"/>
        <w:rPr>
          <w:rFonts w:hint="eastAsia" w:ascii="宋体" w:hAnsi="宋体" w:eastAsia="宋体" w:cs="宋体"/>
        </w:rPr>
      </w:pPr>
    </w:p>
    <w:p w14:paraId="40E8C257">
      <w:pPr>
        <w:pStyle w:val="101"/>
        <w:rPr>
          <w:rFonts w:hint="eastAsia" w:ascii="宋体" w:hAnsi="宋体" w:eastAsia="宋体" w:cs="宋体"/>
        </w:rPr>
      </w:pPr>
    </w:p>
    <w:p w14:paraId="0E965A48">
      <w:pPr>
        <w:jc w:val="center"/>
        <w:rPr>
          <w:rFonts w:hint="eastAsia" w:ascii="宋体" w:hAnsi="宋体" w:eastAsia="宋体" w:cs="宋体"/>
          <w:sz w:val="36"/>
          <w:szCs w:val="36"/>
        </w:rPr>
      </w:pPr>
      <w:r>
        <w:rPr>
          <w:rFonts w:hint="eastAsia" w:ascii="宋体" w:hAnsi="宋体" w:cs="宋体"/>
          <w:b/>
          <w:color w:val="auto"/>
          <w:sz w:val="36"/>
          <w:szCs w:val="36"/>
          <w:lang w:eastAsia="zh-CN"/>
        </w:rPr>
        <w:t xml:space="preserve">深圳市东部工人文化宫（沙头角体育馆改造）项目建（构）筑物拆除工程 </w:t>
      </w:r>
    </w:p>
    <w:p w14:paraId="707DFAB9">
      <w:pPr>
        <w:jc w:val="center"/>
        <w:rPr>
          <w:rFonts w:hint="eastAsia" w:ascii="宋体" w:hAnsi="宋体" w:eastAsia="宋体" w:cs="宋体"/>
          <w:sz w:val="44"/>
          <w:szCs w:val="44"/>
        </w:rPr>
      </w:pPr>
      <w:r>
        <w:rPr>
          <w:rFonts w:hint="eastAsia" w:ascii="宋体" w:hAnsi="宋体" w:eastAsia="宋体" w:cs="宋体"/>
          <w:sz w:val="44"/>
          <w:szCs w:val="44"/>
        </w:rPr>
        <w:t>（唱标信封）</w:t>
      </w:r>
    </w:p>
    <w:p w14:paraId="05C08E5A">
      <w:pPr>
        <w:jc w:val="center"/>
        <w:rPr>
          <w:rFonts w:hint="eastAsia" w:ascii="宋体" w:hAnsi="宋体" w:eastAsia="宋体" w:cs="宋体"/>
          <w:sz w:val="44"/>
          <w:szCs w:val="44"/>
        </w:rPr>
      </w:pPr>
    </w:p>
    <w:p w14:paraId="6070EE87">
      <w:pPr>
        <w:jc w:val="center"/>
        <w:rPr>
          <w:rFonts w:hint="eastAsia" w:ascii="宋体" w:hAnsi="宋体" w:eastAsia="宋体" w:cs="宋体"/>
          <w:sz w:val="44"/>
          <w:szCs w:val="44"/>
        </w:rPr>
      </w:pPr>
    </w:p>
    <w:p w14:paraId="70246584">
      <w:pPr>
        <w:jc w:val="center"/>
        <w:rPr>
          <w:rFonts w:hint="eastAsia" w:ascii="宋体" w:hAnsi="宋体" w:eastAsia="宋体" w:cs="宋体"/>
          <w:sz w:val="44"/>
          <w:szCs w:val="44"/>
        </w:rPr>
      </w:pPr>
    </w:p>
    <w:p w14:paraId="2950E79E">
      <w:pPr>
        <w:jc w:val="center"/>
        <w:rPr>
          <w:rFonts w:hint="eastAsia" w:ascii="宋体" w:hAnsi="宋体" w:eastAsia="宋体" w:cs="宋体"/>
          <w:sz w:val="44"/>
          <w:szCs w:val="44"/>
        </w:rPr>
      </w:pPr>
    </w:p>
    <w:p w14:paraId="210E5C1D">
      <w:pPr>
        <w:rPr>
          <w:rFonts w:hint="eastAsia" w:ascii="宋体" w:hAnsi="宋体" w:eastAsia="宋体" w:cs="宋体"/>
          <w:sz w:val="44"/>
          <w:szCs w:val="44"/>
        </w:rPr>
      </w:pPr>
    </w:p>
    <w:p w14:paraId="2FDC5CD2">
      <w:pPr>
        <w:pStyle w:val="49"/>
        <w:ind w:firstLine="880"/>
        <w:rPr>
          <w:rFonts w:hint="eastAsia" w:ascii="宋体" w:hAnsi="宋体" w:eastAsia="宋体" w:cs="宋体"/>
          <w:sz w:val="44"/>
          <w:szCs w:val="44"/>
        </w:rPr>
      </w:pPr>
    </w:p>
    <w:p w14:paraId="246D2891">
      <w:pPr>
        <w:pStyle w:val="49"/>
        <w:ind w:firstLine="880"/>
        <w:rPr>
          <w:rFonts w:hint="eastAsia" w:ascii="宋体" w:hAnsi="宋体" w:eastAsia="宋体" w:cs="宋体"/>
          <w:sz w:val="44"/>
          <w:szCs w:val="44"/>
        </w:rPr>
      </w:pPr>
    </w:p>
    <w:p w14:paraId="262106AE">
      <w:pPr>
        <w:spacing w:line="480" w:lineRule="auto"/>
        <w:ind w:firstLine="1260" w:firstLineChars="450"/>
        <w:rPr>
          <w:rFonts w:hint="eastAsia" w:ascii="宋体" w:hAnsi="宋体" w:eastAsia="宋体" w:cs="宋体"/>
          <w:sz w:val="28"/>
          <w:szCs w:val="28"/>
          <w:u w:val="single"/>
        </w:rPr>
      </w:pPr>
      <w:r>
        <w:rPr>
          <w:rFonts w:hint="eastAsia" w:ascii="宋体" w:hAnsi="宋体" w:eastAsia="宋体" w:cs="宋体"/>
          <w:sz w:val="28"/>
          <w:szCs w:val="28"/>
        </w:rPr>
        <w:t>项目编号：_____________________________</w:t>
      </w:r>
    </w:p>
    <w:p w14:paraId="20381E86">
      <w:pPr>
        <w:spacing w:line="480" w:lineRule="auto"/>
        <w:ind w:firstLine="1260" w:firstLineChars="450"/>
        <w:rPr>
          <w:rFonts w:hint="eastAsia" w:ascii="宋体" w:hAnsi="宋体" w:eastAsia="宋体" w:cs="宋体"/>
          <w:sz w:val="28"/>
          <w:szCs w:val="28"/>
          <w:u w:val="single"/>
        </w:rPr>
      </w:pPr>
      <w:r>
        <w:rPr>
          <w:rFonts w:hint="eastAsia" w:ascii="宋体" w:hAnsi="宋体" w:eastAsia="宋体" w:cs="宋体"/>
          <w:sz w:val="28"/>
          <w:szCs w:val="28"/>
        </w:rPr>
        <w:t>供应商（盖章）：___________________________</w:t>
      </w:r>
    </w:p>
    <w:p w14:paraId="458E6399">
      <w:pPr>
        <w:spacing w:line="480" w:lineRule="auto"/>
        <w:ind w:firstLine="1260" w:firstLineChars="450"/>
        <w:rPr>
          <w:rFonts w:hint="eastAsia" w:ascii="宋体" w:hAnsi="宋体" w:eastAsia="宋体" w:cs="宋体"/>
          <w:sz w:val="28"/>
          <w:szCs w:val="28"/>
        </w:rPr>
      </w:pPr>
      <w:r>
        <w:rPr>
          <w:rFonts w:hint="eastAsia" w:ascii="宋体" w:hAnsi="宋体" w:eastAsia="宋体" w:cs="宋体"/>
          <w:sz w:val="28"/>
          <w:szCs w:val="28"/>
        </w:rPr>
        <w:t>法定代表人或授权委托人签字：__________________</w:t>
      </w:r>
    </w:p>
    <w:p w14:paraId="540AC6F5">
      <w:pPr>
        <w:spacing w:line="360" w:lineRule="auto"/>
        <w:ind w:firstLine="1260" w:firstLineChars="450"/>
        <w:rPr>
          <w:rFonts w:hint="eastAsia" w:ascii="宋体" w:hAnsi="宋体" w:eastAsia="宋体" w:cs="宋体"/>
          <w:sz w:val="28"/>
          <w:szCs w:val="28"/>
        </w:rPr>
      </w:pPr>
      <w:r>
        <w:rPr>
          <w:rFonts w:hint="eastAsia" w:ascii="宋体" w:hAnsi="宋体" w:eastAsia="宋体" w:cs="宋体"/>
          <w:sz w:val="28"/>
          <w:szCs w:val="28"/>
        </w:rPr>
        <w:t>投标日期：____________年_____月______日</w:t>
      </w:r>
    </w:p>
    <w:p w14:paraId="7CB55348">
      <w:pPr>
        <w:spacing w:line="360" w:lineRule="auto"/>
        <w:ind w:firstLine="1400" w:firstLineChars="500"/>
        <w:rPr>
          <w:rFonts w:hint="eastAsia" w:ascii="宋体" w:hAnsi="宋体" w:eastAsia="宋体" w:cs="宋体"/>
          <w:sz w:val="28"/>
          <w:szCs w:val="28"/>
        </w:rPr>
      </w:pPr>
    </w:p>
    <w:p w14:paraId="790A579B">
      <w:pPr>
        <w:spacing w:line="360" w:lineRule="auto"/>
        <w:ind w:firstLine="1400" w:firstLineChars="500"/>
        <w:rPr>
          <w:rFonts w:hint="eastAsia" w:ascii="宋体" w:hAnsi="宋体" w:eastAsia="宋体" w:cs="宋体"/>
          <w:sz w:val="28"/>
          <w:szCs w:val="28"/>
        </w:rPr>
      </w:pPr>
    </w:p>
    <w:p w14:paraId="500DEF59">
      <w:pPr>
        <w:spacing w:line="360" w:lineRule="auto"/>
        <w:ind w:firstLine="1400" w:firstLineChars="500"/>
        <w:rPr>
          <w:rFonts w:hint="eastAsia" w:ascii="宋体" w:hAnsi="宋体" w:eastAsia="宋体" w:cs="宋体"/>
          <w:sz w:val="28"/>
          <w:szCs w:val="28"/>
        </w:rPr>
      </w:pPr>
    </w:p>
    <w:p w14:paraId="5CEDE98D">
      <w:pPr>
        <w:pStyle w:val="64"/>
        <w:rPr>
          <w:rFonts w:hint="eastAsia" w:ascii="宋体" w:hAnsi="宋体" w:eastAsia="宋体" w:cs="宋体"/>
          <w:sz w:val="28"/>
          <w:szCs w:val="28"/>
        </w:rPr>
      </w:pPr>
    </w:p>
    <w:p w14:paraId="40751520">
      <w:pPr>
        <w:pStyle w:val="64"/>
        <w:rPr>
          <w:rFonts w:hint="eastAsia" w:ascii="宋体" w:hAnsi="宋体" w:eastAsia="宋体" w:cs="宋体"/>
          <w:sz w:val="28"/>
          <w:szCs w:val="28"/>
        </w:rPr>
      </w:pPr>
    </w:p>
    <w:p w14:paraId="60C137C9">
      <w:pPr>
        <w:spacing w:line="360" w:lineRule="auto"/>
        <w:ind w:firstLine="1400" w:firstLineChars="500"/>
        <w:rPr>
          <w:rFonts w:hint="eastAsia" w:ascii="宋体" w:hAnsi="宋体" w:eastAsia="宋体" w:cs="宋体"/>
          <w:sz w:val="28"/>
          <w:szCs w:val="28"/>
        </w:rPr>
      </w:pPr>
    </w:p>
    <w:p w14:paraId="618BC844">
      <w:pPr>
        <w:pStyle w:val="49"/>
        <w:ind w:left="0" w:leftChars="0" w:firstLine="0" w:firstLineChars="0"/>
        <w:jc w:val="center"/>
        <w:rPr>
          <w:rFonts w:hint="eastAsia" w:ascii="宋体" w:hAnsi="宋体" w:eastAsia="宋体" w:cs="宋体"/>
          <w:bCs/>
          <w:snapToGrid w:val="0"/>
          <w:sz w:val="18"/>
          <w:szCs w:val="18"/>
        </w:rPr>
      </w:pPr>
      <w:r>
        <w:rPr>
          <w:rFonts w:hint="eastAsia" w:ascii="宋体" w:hAnsi="宋体" w:eastAsia="宋体" w:cs="宋体"/>
          <w:b/>
          <w:bCs/>
          <w:kern w:val="0"/>
          <w:sz w:val="28"/>
          <w:szCs w:val="32"/>
        </w:rPr>
        <w:t>一、开标一览表</w:t>
      </w:r>
    </w:p>
    <w:p w14:paraId="502A4595">
      <w:pPr>
        <w:adjustRightInd w:val="0"/>
        <w:snapToGrid w:val="0"/>
        <w:spacing w:line="600" w:lineRule="exact"/>
        <w:ind w:left="-88" w:leftChars="-42" w:firstLine="360" w:firstLineChars="150"/>
        <w:outlineLvl w:val="0"/>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562BAE57">
      <w:pPr>
        <w:adjustRightInd w:val="0"/>
        <w:snapToGrid w:val="0"/>
        <w:spacing w:line="600" w:lineRule="exact"/>
        <w:ind w:left="-88" w:leftChars="-42" w:firstLine="360" w:firstLineChars="150"/>
        <w:outlineLvl w:val="0"/>
        <w:rPr>
          <w:rFonts w:hint="eastAsia" w:ascii="宋体" w:hAnsi="宋体" w:eastAsia="宋体" w:cs="宋体"/>
          <w:sz w:val="24"/>
          <w:u w:val="single"/>
        </w:rPr>
      </w:pPr>
      <w:r>
        <w:rPr>
          <w:rFonts w:hint="eastAsia" w:ascii="宋体" w:hAnsi="宋体" w:eastAsia="宋体" w:cs="宋体"/>
          <w:sz w:val="24"/>
        </w:rPr>
        <w:t>项目编号：</w:t>
      </w:r>
      <w:r>
        <w:rPr>
          <w:rFonts w:hint="eastAsia" w:ascii="宋体" w:hAnsi="宋体" w:eastAsia="宋体" w:cs="宋体"/>
          <w:sz w:val="24"/>
          <w:u w:val="single"/>
        </w:rPr>
        <w:t xml:space="preserve">                         </w:t>
      </w:r>
    </w:p>
    <w:p w14:paraId="37F473AD">
      <w:pPr>
        <w:pStyle w:val="2"/>
        <w:rPr>
          <w:rFonts w:hint="eastAsia"/>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4"/>
        <w:gridCol w:w="2850"/>
        <w:gridCol w:w="2208"/>
      </w:tblGrid>
      <w:tr w14:paraId="47CF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4" w:type="dxa"/>
          </w:tcPr>
          <w:p w14:paraId="5C47EE0E">
            <w:pPr>
              <w:pStyle w:val="2"/>
              <w:jc w:val="center"/>
              <w:rPr>
                <w:rFonts w:hint="default" w:eastAsia="宋体"/>
                <w:vertAlign w:val="baseline"/>
                <w:lang w:val="en-US" w:eastAsia="zh-CN"/>
              </w:rPr>
            </w:pPr>
            <w:r>
              <w:rPr>
                <w:rFonts w:hint="eastAsia"/>
                <w:vertAlign w:val="baseline"/>
                <w:lang w:val="en-US" w:eastAsia="zh-CN"/>
              </w:rPr>
              <w:t>投标总价（元）</w:t>
            </w:r>
          </w:p>
        </w:tc>
        <w:tc>
          <w:tcPr>
            <w:tcW w:w="2850" w:type="dxa"/>
          </w:tcPr>
          <w:p w14:paraId="6868DED7">
            <w:pPr>
              <w:pStyle w:val="2"/>
              <w:jc w:val="center"/>
              <w:rPr>
                <w:rFonts w:hint="default" w:eastAsia="宋体"/>
                <w:vertAlign w:val="baseline"/>
                <w:lang w:val="en-US" w:eastAsia="zh-CN"/>
              </w:rPr>
            </w:pPr>
            <w:r>
              <w:rPr>
                <w:rFonts w:hint="eastAsia"/>
                <w:vertAlign w:val="baseline"/>
                <w:lang w:val="en-US" w:eastAsia="zh-CN"/>
              </w:rPr>
              <w:t>投标净下浮率（%）</w:t>
            </w:r>
          </w:p>
        </w:tc>
        <w:tc>
          <w:tcPr>
            <w:tcW w:w="2208" w:type="dxa"/>
          </w:tcPr>
          <w:p w14:paraId="73DB611F">
            <w:pPr>
              <w:pStyle w:val="2"/>
              <w:jc w:val="center"/>
              <w:rPr>
                <w:rFonts w:hint="default" w:eastAsia="宋体"/>
                <w:vertAlign w:val="baseline"/>
                <w:lang w:val="en-US" w:eastAsia="zh-CN"/>
              </w:rPr>
            </w:pPr>
            <w:r>
              <w:rPr>
                <w:rFonts w:hint="eastAsia"/>
                <w:vertAlign w:val="baseline"/>
                <w:lang w:val="en-US" w:eastAsia="zh-CN"/>
              </w:rPr>
              <w:t>投标工期（天）</w:t>
            </w:r>
          </w:p>
        </w:tc>
      </w:tr>
      <w:tr w14:paraId="57C5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4" w:type="dxa"/>
          </w:tcPr>
          <w:p w14:paraId="14E10500">
            <w:pPr>
              <w:pStyle w:val="2"/>
              <w:rPr>
                <w:rFonts w:hint="eastAsia"/>
              </w:rPr>
            </w:pPr>
            <w:r>
              <w:rPr>
                <w:rFonts w:hint="eastAsia"/>
              </w:rPr>
              <w:t xml:space="preserve">人民币（小写）： </w:t>
            </w:r>
          </w:p>
          <w:p w14:paraId="176C0C15">
            <w:pPr>
              <w:pStyle w:val="3"/>
              <w:rPr>
                <w:rFonts w:hint="eastAsia"/>
              </w:rPr>
            </w:pPr>
            <w:r>
              <w:rPr>
                <w:rFonts w:hint="eastAsia" w:ascii="宋体" w:hAnsi="宋体" w:eastAsia="宋体" w:cs="宋体"/>
                <w:b/>
                <w:bCs/>
                <w:sz w:val="24"/>
              </w:rPr>
              <w:t>人民币（大写）：</w:t>
            </w:r>
          </w:p>
        </w:tc>
        <w:tc>
          <w:tcPr>
            <w:tcW w:w="2850" w:type="dxa"/>
          </w:tcPr>
          <w:p w14:paraId="544E2C14">
            <w:pPr>
              <w:pStyle w:val="2"/>
              <w:rPr>
                <w:rFonts w:hint="eastAsia"/>
                <w:vertAlign w:val="baseline"/>
              </w:rPr>
            </w:pPr>
          </w:p>
        </w:tc>
        <w:tc>
          <w:tcPr>
            <w:tcW w:w="2208" w:type="dxa"/>
          </w:tcPr>
          <w:p w14:paraId="0C8BF917">
            <w:pPr>
              <w:pStyle w:val="2"/>
              <w:rPr>
                <w:rFonts w:hint="eastAsia"/>
                <w:vertAlign w:val="baseline"/>
              </w:rPr>
            </w:pPr>
          </w:p>
        </w:tc>
      </w:tr>
    </w:tbl>
    <w:p w14:paraId="5FF6DAA3">
      <w:pPr>
        <w:pStyle w:val="2"/>
        <w:rPr>
          <w:rFonts w:hint="eastAsia"/>
        </w:rPr>
      </w:pPr>
    </w:p>
    <w:p w14:paraId="7EF15F5A">
      <w:pPr>
        <w:adjustRightInd w:val="0"/>
        <w:snapToGrid w:val="0"/>
        <w:spacing w:line="600" w:lineRule="exact"/>
        <w:ind w:firstLine="241" w:firstLineChars="100"/>
        <w:rPr>
          <w:rFonts w:hint="eastAsia" w:ascii="宋体" w:hAnsi="宋体" w:eastAsia="宋体" w:cs="宋体"/>
          <w:sz w:val="24"/>
        </w:rPr>
      </w:pPr>
      <w:r>
        <w:rPr>
          <w:rFonts w:hint="eastAsia" w:ascii="宋体" w:hAnsi="宋体" w:eastAsia="宋体" w:cs="宋体"/>
          <w:b/>
          <w:bCs/>
          <w:sz w:val="24"/>
        </w:rPr>
        <w:t>注：</w:t>
      </w:r>
      <w:r>
        <w:rPr>
          <w:rFonts w:hint="eastAsia" w:ascii="宋体" w:hAnsi="宋体" w:eastAsia="宋体" w:cs="宋体"/>
          <w:sz w:val="24"/>
        </w:rPr>
        <w:t>1．所有价格均以人民币计算。</w:t>
      </w:r>
    </w:p>
    <w:p w14:paraId="0056B8CF">
      <w:pPr>
        <w:pStyle w:val="2"/>
        <w:ind w:firstLine="720" w:firstLineChars="300"/>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 本工程预算价为1284602.71元（其中不可竞争费为322280.60元）。</w:t>
      </w:r>
    </w:p>
    <w:p w14:paraId="1A198860">
      <w:pPr>
        <w:adjustRightInd w:val="0"/>
        <w:snapToGrid w:val="0"/>
        <w:spacing w:line="600" w:lineRule="exact"/>
        <w:ind w:firstLine="720" w:firstLineChars="300"/>
        <w:rPr>
          <w:rFonts w:hint="eastAsia" w:ascii="宋体" w:hAnsi="宋体" w:eastAsia="宋体" w:cs="宋体"/>
          <w:sz w:val="24"/>
          <w:lang w:val="en-US" w:eastAsia="zh-CN"/>
        </w:rPr>
      </w:pPr>
      <w:r>
        <w:rPr>
          <w:rFonts w:hint="eastAsia" w:ascii="宋体" w:hAnsi="宋体" w:eastAsia="宋体" w:cs="宋体"/>
          <w:sz w:val="24"/>
          <w:lang w:val="en-US" w:eastAsia="zh-CN"/>
        </w:rPr>
        <w:t>3. 投标净下浮率=【1-（投标总价-不可竞争费）/（预算价-不可竞争费）】*100%</w:t>
      </w:r>
    </w:p>
    <w:p w14:paraId="2F7DB7BA">
      <w:pPr>
        <w:pStyle w:val="2"/>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4.投标净下浮率与计算投标总价不一致的，以投标总价为准修正投标净下浮率</w:t>
      </w:r>
    </w:p>
    <w:p w14:paraId="20BD341B">
      <w:pPr>
        <w:adjustRightInd w:val="0"/>
        <w:snapToGrid w:val="0"/>
        <w:spacing w:line="600" w:lineRule="exact"/>
        <w:ind w:firstLine="720" w:firstLineChars="3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．此表除装订在投标文件中外，还应另附一份单独封装在一个小信封中，作为唱标之用。</w:t>
      </w:r>
    </w:p>
    <w:p w14:paraId="5FD94ED0">
      <w:pPr>
        <w:adjustRightInd w:val="0"/>
        <w:snapToGrid w:val="0"/>
        <w:spacing w:line="600" w:lineRule="exact"/>
        <w:rPr>
          <w:rFonts w:hint="eastAsia" w:ascii="宋体" w:hAnsi="宋体" w:eastAsia="宋体" w:cs="宋体"/>
          <w:sz w:val="24"/>
        </w:rPr>
      </w:pPr>
      <w:r>
        <w:rPr>
          <w:rFonts w:hint="eastAsia" w:ascii="宋体" w:hAnsi="宋体" w:eastAsia="宋体" w:cs="宋体"/>
          <w:sz w:val="24"/>
        </w:rPr>
        <w:t xml:space="preserve">                           </w:t>
      </w:r>
    </w:p>
    <w:p w14:paraId="5FA11724">
      <w:pPr>
        <w:spacing w:line="360" w:lineRule="exact"/>
        <w:ind w:right="2100" w:rightChars="1000"/>
        <w:jc w:val="right"/>
        <w:rPr>
          <w:rFonts w:hint="eastAsia" w:ascii="宋体" w:hAnsi="宋体" w:eastAsia="宋体" w:cs="宋体"/>
          <w:snapToGrid w:val="0"/>
          <w:kern w:val="0"/>
          <w:sz w:val="22"/>
        </w:rPr>
      </w:pPr>
    </w:p>
    <w:p w14:paraId="0069117B">
      <w:pPr>
        <w:spacing w:line="360" w:lineRule="exact"/>
        <w:ind w:right="2100" w:rightChars="1000"/>
        <w:jc w:val="right"/>
        <w:rPr>
          <w:rFonts w:hint="eastAsia" w:ascii="宋体" w:hAnsi="宋体" w:eastAsia="宋体" w:cs="宋体"/>
          <w:snapToGrid w:val="0"/>
          <w:kern w:val="0"/>
          <w:sz w:val="22"/>
        </w:rPr>
      </w:pPr>
      <w:r>
        <w:rPr>
          <w:rFonts w:hint="eastAsia" w:ascii="宋体" w:hAnsi="宋体" w:eastAsia="宋体" w:cs="宋体"/>
          <w:snapToGrid w:val="0"/>
          <w:kern w:val="0"/>
          <w:sz w:val="22"/>
        </w:rPr>
        <w:t>法定代表人或被授权人签名：</w:t>
      </w:r>
    </w:p>
    <w:p w14:paraId="1860D2F9">
      <w:pPr>
        <w:spacing w:line="360" w:lineRule="exact"/>
        <w:ind w:right="2100" w:rightChars="1000"/>
        <w:jc w:val="right"/>
        <w:rPr>
          <w:rFonts w:hint="eastAsia" w:ascii="宋体" w:hAnsi="宋体" w:eastAsia="宋体" w:cs="宋体"/>
          <w:snapToGrid w:val="0"/>
          <w:kern w:val="0"/>
          <w:sz w:val="22"/>
        </w:rPr>
      </w:pPr>
    </w:p>
    <w:p w14:paraId="33F96318">
      <w:pPr>
        <w:spacing w:line="360" w:lineRule="exact"/>
        <w:ind w:right="2100" w:rightChars="1000"/>
        <w:jc w:val="right"/>
        <w:rPr>
          <w:rFonts w:hint="eastAsia" w:ascii="宋体" w:hAnsi="宋体" w:eastAsia="宋体" w:cs="宋体"/>
          <w:snapToGrid w:val="0"/>
          <w:kern w:val="0"/>
          <w:sz w:val="22"/>
        </w:rPr>
      </w:pPr>
      <w:r>
        <w:rPr>
          <w:rFonts w:hint="eastAsia" w:ascii="宋体" w:hAnsi="宋体" w:eastAsia="宋体" w:cs="宋体"/>
          <w:snapToGrid w:val="0"/>
          <w:kern w:val="0"/>
          <w:sz w:val="22"/>
        </w:rPr>
        <w:t>投标单位公章：</w:t>
      </w:r>
    </w:p>
    <w:p w14:paraId="1856E4EB">
      <w:pPr>
        <w:pStyle w:val="2"/>
        <w:rPr>
          <w:rFonts w:hint="eastAsia" w:ascii="宋体" w:hAnsi="宋体" w:eastAsia="宋体" w:cs="宋体"/>
          <w:snapToGrid w:val="0"/>
          <w:kern w:val="0"/>
          <w:sz w:val="22"/>
        </w:rPr>
      </w:pPr>
    </w:p>
    <w:p w14:paraId="163BF193">
      <w:pPr>
        <w:rPr>
          <w:rFonts w:hint="eastAsia" w:ascii="宋体" w:hAnsi="宋体" w:eastAsia="宋体" w:cs="宋体"/>
          <w:snapToGrid w:val="0"/>
          <w:kern w:val="0"/>
          <w:sz w:val="22"/>
        </w:rPr>
      </w:pPr>
    </w:p>
    <w:p w14:paraId="178D3D15">
      <w:pPr>
        <w:pStyle w:val="2"/>
        <w:rPr>
          <w:rFonts w:hint="eastAsia" w:ascii="宋体" w:hAnsi="宋体" w:eastAsia="宋体" w:cs="宋体"/>
          <w:snapToGrid w:val="0"/>
          <w:kern w:val="0"/>
          <w:sz w:val="22"/>
        </w:rPr>
      </w:pPr>
    </w:p>
    <w:p w14:paraId="7D829C50">
      <w:pPr>
        <w:rPr>
          <w:rFonts w:hint="eastAsia" w:ascii="宋体" w:hAnsi="宋体" w:eastAsia="宋体" w:cs="宋体"/>
          <w:snapToGrid w:val="0"/>
          <w:kern w:val="0"/>
          <w:sz w:val="22"/>
        </w:rPr>
      </w:pPr>
    </w:p>
    <w:p w14:paraId="04379933">
      <w:pPr>
        <w:pStyle w:val="2"/>
        <w:rPr>
          <w:rFonts w:hint="eastAsia" w:ascii="宋体" w:hAnsi="宋体" w:eastAsia="宋体" w:cs="宋体"/>
          <w:snapToGrid w:val="0"/>
          <w:kern w:val="0"/>
          <w:sz w:val="22"/>
        </w:rPr>
      </w:pPr>
    </w:p>
    <w:p w14:paraId="78B07EB6">
      <w:pPr>
        <w:rPr>
          <w:rFonts w:hint="eastAsia" w:ascii="宋体" w:hAnsi="宋体" w:eastAsia="宋体" w:cs="宋体"/>
          <w:snapToGrid w:val="0"/>
          <w:kern w:val="0"/>
          <w:sz w:val="22"/>
        </w:rPr>
      </w:pPr>
    </w:p>
    <w:p w14:paraId="580CC587">
      <w:pPr>
        <w:spacing w:line="360" w:lineRule="exact"/>
        <w:ind w:right="2100" w:rightChars="1000"/>
        <w:jc w:val="left"/>
        <w:rPr>
          <w:rFonts w:hint="eastAsia" w:ascii="宋体" w:hAnsi="宋体" w:eastAsia="宋体" w:cs="宋体"/>
          <w:snapToGrid w:val="0"/>
          <w:kern w:val="0"/>
        </w:rPr>
      </w:pPr>
    </w:p>
    <w:p w14:paraId="6D853E94">
      <w:pPr>
        <w:pStyle w:val="109"/>
        <w:ind w:left="602" w:leftChars="0" w:hanging="602" w:hangingChars="250"/>
        <w:jc w:val="center"/>
        <w:rPr>
          <w:rFonts w:hint="eastAsia" w:ascii="宋体" w:hAnsi="宋体" w:eastAsia="宋体" w:cs="宋体"/>
          <w:b/>
          <w:bCs/>
          <w:sz w:val="24"/>
          <w:szCs w:val="32"/>
        </w:rPr>
      </w:pPr>
      <w:r>
        <w:rPr>
          <w:rFonts w:hint="eastAsia" w:ascii="宋体" w:hAnsi="宋体" w:eastAsia="宋体" w:cs="宋体"/>
          <w:b/>
          <w:bCs/>
          <w:sz w:val="24"/>
          <w:szCs w:val="32"/>
        </w:rPr>
        <w:t>二、法定代表人证明书</w:t>
      </w:r>
    </w:p>
    <w:p w14:paraId="616F9840">
      <w:pPr>
        <w:rPr>
          <w:rFonts w:hint="eastAsia" w:ascii="宋体" w:hAnsi="宋体" w:eastAsia="宋体" w:cs="宋体"/>
          <w:sz w:val="24"/>
        </w:rPr>
      </w:pPr>
    </w:p>
    <w:p w14:paraId="081541B9">
      <w:pPr>
        <w:rPr>
          <w:rFonts w:hint="eastAsia" w:ascii="宋体" w:hAnsi="宋体" w:eastAsia="宋体" w:cs="宋体"/>
          <w:szCs w:val="21"/>
          <w:u w:val="single"/>
        </w:rPr>
      </w:pPr>
      <w:r>
        <w:rPr>
          <w:rFonts w:hint="eastAsia" w:ascii="宋体" w:hAnsi="宋体" w:eastAsia="宋体" w:cs="宋体"/>
          <w:szCs w:val="21"/>
        </w:rPr>
        <w:t>单位名称：</w:t>
      </w:r>
    </w:p>
    <w:p w14:paraId="354BF99B">
      <w:pPr>
        <w:rPr>
          <w:rFonts w:hint="eastAsia" w:ascii="宋体" w:hAnsi="宋体" w:eastAsia="宋体" w:cs="宋体"/>
          <w:szCs w:val="21"/>
          <w:u w:val="single"/>
        </w:rPr>
      </w:pPr>
      <w:r>
        <w:rPr>
          <w:rFonts w:hint="eastAsia" w:ascii="宋体" w:hAnsi="宋体" w:eastAsia="宋体" w:cs="宋体"/>
          <w:szCs w:val="21"/>
        </w:rPr>
        <w:t>地址：</w:t>
      </w:r>
    </w:p>
    <w:p w14:paraId="74F1C61B">
      <w:pPr>
        <w:rPr>
          <w:rFonts w:hint="eastAsia" w:ascii="宋体" w:hAnsi="宋体" w:eastAsia="宋体" w:cs="宋体"/>
          <w:szCs w:val="21"/>
          <w:u w:val="single"/>
        </w:rPr>
      </w:pPr>
      <w:r>
        <w:rPr>
          <w:rFonts w:hint="eastAsia" w:ascii="宋体" w:hAnsi="宋体" w:eastAsia="宋体" w:cs="宋体"/>
          <w:szCs w:val="21"/>
        </w:rPr>
        <w:t>姓名：  性别：    年龄：       身份证号码：                   职务：</w:t>
      </w:r>
    </w:p>
    <w:p w14:paraId="0BDC8940">
      <w:pPr>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（投标人名称）</w:t>
      </w:r>
      <w:r>
        <w:rPr>
          <w:rFonts w:hint="eastAsia" w:ascii="宋体" w:hAnsi="宋体" w:eastAsia="宋体" w:cs="宋体"/>
          <w:szCs w:val="21"/>
        </w:rPr>
        <w:t>的法定代表人。</w:t>
      </w:r>
    </w:p>
    <w:p w14:paraId="1A50485D">
      <w:pPr>
        <w:rPr>
          <w:rFonts w:hint="eastAsia" w:ascii="宋体" w:hAnsi="宋体" w:eastAsia="宋体" w:cs="宋体"/>
          <w:szCs w:val="21"/>
        </w:rPr>
      </w:pPr>
      <w:r>
        <w:rPr>
          <w:rFonts w:hint="eastAsia" w:ascii="宋体" w:hAnsi="宋体" w:eastAsia="宋体" w:cs="宋体"/>
          <w:szCs w:val="21"/>
        </w:rPr>
        <w:t>特此证明</w:t>
      </w:r>
    </w:p>
    <w:p w14:paraId="3DC6712A">
      <w:pPr>
        <w:ind w:right="420"/>
        <w:jc w:val="right"/>
        <w:rPr>
          <w:rFonts w:hint="eastAsia" w:ascii="宋体" w:hAnsi="宋体" w:eastAsia="宋体" w:cs="宋体"/>
          <w:szCs w:val="21"/>
        </w:rPr>
      </w:pPr>
      <w:r>
        <w:rPr>
          <w:rFonts w:hint="eastAsia" w:ascii="宋体" w:hAnsi="宋体" w:eastAsia="宋体" w:cs="宋体"/>
          <w:szCs w:val="21"/>
        </w:rPr>
        <w:t>投标单位（盖章）：</w:t>
      </w:r>
    </w:p>
    <w:p w14:paraId="0407E13C">
      <w:pPr>
        <w:ind w:right="420"/>
        <w:jc w:val="right"/>
        <w:rPr>
          <w:rFonts w:hint="eastAsia" w:ascii="宋体" w:hAnsi="宋体" w:eastAsia="宋体" w:cs="宋体"/>
          <w:szCs w:val="21"/>
        </w:rPr>
      </w:pPr>
      <w:r>
        <w:rPr>
          <w:rFonts w:hint="eastAsia" w:ascii="宋体" w:hAnsi="宋体" w:eastAsia="宋体" w:cs="宋体"/>
          <w:szCs w:val="21"/>
        </w:rPr>
        <w:t>日期：  年  月  日</w:t>
      </w:r>
    </w:p>
    <w:p w14:paraId="4CFC403F">
      <w:pPr>
        <w:jc w:val="left"/>
        <w:rPr>
          <w:rFonts w:hint="eastAsia" w:ascii="宋体" w:hAnsi="宋体" w:eastAsia="宋体" w:cs="宋体"/>
          <w:szCs w:val="21"/>
        </w:rPr>
      </w:pPr>
    </w:p>
    <w:p w14:paraId="18FA947C">
      <w:pPr>
        <w:jc w:val="left"/>
        <w:rPr>
          <w:rFonts w:hint="eastAsia" w:ascii="宋体" w:hAnsi="宋体" w:eastAsia="宋体" w:cs="宋体"/>
          <w:szCs w:val="21"/>
        </w:rPr>
      </w:pPr>
      <w:r>
        <w:rPr>
          <w:rFonts w:hint="eastAsia" w:ascii="宋体" w:hAnsi="宋体" w:eastAsia="宋体" w:cs="宋体"/>
          <w:szCs w:val="21"/>
        </w:rPr>
        <w:t>附：法定代表人身份证复印件。</w:t>
      </w:r>
    </w:p>
    <w:p w14:paraId="04D9EAA3">
      <w:pPr>
        <w:rPr>
          <w:rFonts w:hint="eastAsia" w:ascii="宋体" w:hAnsi="宋体" w:eastAsia="宋体" w:cs="宋体"/>
          <w:szCs w:val="21"/>
        </w:rPr>
      </w:pPr>
    </w:p>
    <w:p w14:paraId="442ABD61">
      <w:pPr>
        <w:ind w:firstLine="422" w:firstLineChars="200"/>
        <w:rPr>
          <w:rFonts w:hint="eastAsia" w:ascii="宋体" w:hAnsi="宋体" w:eastAsia="宋体" w:cs="宋体"/>
          <w:b/>
          <w:szCs w:val="21"/>
        </w:rPr>
      </w:pPr>
      <w:r>
        <w:rPr>
          <w:rFonts w:hint="eastAsia" w:ascii="宋体" w:hAnsi="宋体" w:eastAsia="宋体" w:cs="宋体"/>
          <w:b/>
          <w:szCs w:val="21"/>
        </w:rPr>
        <w:t>注：必须提供法定代表人（负责人）有效期内身份证（正反面）扫描件（非中国境内居民，可提供公安部门认可的身份证明材料），否则将导致投标无效。</w:t>
      </w:r>
    </w:p>
    <w:p w14:paraId="372C9CB8">
      <w:pPr>
        <w:ind w:firstLine="422" w:firstLineChars="200"/>
        <w:rPr>
          <w:rFonts w:hint="eastAsia" w:ascii="宋体" w:hAnsi="宋体" w:eastAsia="宋体" w:cs="宋体"/>
          <w:b/>
          <w:szCs w:val="21"/>
        </w:rPr>
      </w:pPr>
    </w:p>
    <w:p w14:paraId="7CC857FE">
      <w:pPr>
        <w:ind w:firstLine="422" w:firstLineChars="200"/>
        <w:rPr>
          <w:rFonts w:hint="eastAsia" w:ascii="宋体" w:hAnsi="宋体" w:eastAsia="宋体" w:cs="宋体"/>
          <w:b/>
          <w:szCs w:val="21"/>
        </w:rPr>
      </w:pPr>
    </w:p>
    <w:p w14:paraId="54E0DC76">
      <w:pPr>
        <w:ind w:firstLine="422" w:firstLineChars="200"/>
        <w:rPr>
          <w:rFonts w:hint="eastAsia" w:ascii="宋体" w:hAnsi="宋体" w:eastAsia="宋体" w:cs="宋体"/>
          <w:b/>
          <w:szCs w:val="21"/>
        </w:rPr>
      </w:pPr>
    </w:p>
    <w:p w14:paraId="304091B8">
      <w:pPr>
        <w:pStyle w:val="6"/>
        <w:jc w:val="center"/>
        <w:rPr>
          <w:rFonts w:hint="eastAsia" w:ascii="宋体" w:hAnsi="宋体" w:eastAsia="宋体" w:cs="宋体"/>
          <w:sz w:val="24"/>
        </w:rPr>
      </w:pPr>
      <w:r>
        <w:rPr>
          <w:rFonts w:hint="eastAsia" w:ascii="宋体" w:hAnsi="宋体" w:eastAsia="宋体" w:cs="宋体"/>
          <w:sz w:val="24"/>
        </w:rPr>
        <w:t>三、授权委托书</w:t>
      </w:r>
    </w:p>
    <w:p w14:paraId="0C36E57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我</w:t>
      </w:r>
      <w:r>
        <w:rPr>
          <w:rFonts w:hint="eastAsia" w:ascii="宋体" w:hAnsi="宋体" w:eastAsia="宋体" w:cs="宋体"/>
          <w:szCs w:val="21"/>
          <w:u w:val="single"/>
        </w:rPr>
        <w:t>（姓名）</w:t>
      </w:r>
      <w:r>
        <w:rPr>
          <w:rFonts w:hint="eastAsia" w:ascii="宋体" w:hAnsi="宋体" w:eastAsia="宋体" w:cs="宋体"/>
          <w:szCs w:val="21"/>
        </w:rPr>
        <w:t>系</w:t>
      </w:r>
      <w:r>
        <w:rPr>
          <w:rFonts w:hint="eastAsia" w:ascii="宋体" w:hAnsi="宋体" w:eastAsia="宋体" w:cs="宋体"/>
          <w:szCs w:val="21"/>
          <w:u w:val="single"/>
        </w:rPr>
        <w:t>（投标人名称）的</w:t>
      </w:r>
      <w:r>
        <w:rPr>
          <w:rFonts w:hint="eastAsia" w:ascii="宋体" w:hAnsi="宋体" w:eastAsia="宋体" w:cs="宋体"/>
          <w:szCs w:val="21"/>
        </w:rPr>
        <w:t>法定代表人，现授权我单位的</w:t>
      </w:r>
      <w:r>
        <w:rPr>
          <w:rFonts w:hint="eastAsia" w:ascii="宋体" w:hAnsi="宋体" w:eastAsia="宋体" w:cs="宋体"/>
          <w:szCs w:val="21"/>
          <w:u w:val="single"/>
        </w:rPr>
        <w:t>（姓名）（身份证号码：）</w:t>
      </w:r>
      <w:r>
        <w:rPr>
          <w:rFonts w:hint="eastAsia" w:ascii="宋体" w:hAnsi="宋体" w:eastAsia="宋体" w:cs="宋体"/>
          <w:szCs w:val="21"/>
        </w:rPr>
        <w:t>代表我单位签署</w:t>
      </w:r>
      <w:r>
        <w:rPr>
          <w:rFonts w:hint="eastAsia" w:ascii="宋体" w:hAnsi="宋体" w:eastAsia="宋体" w:cs="宋体"/>
          <w:szCs w:val="21"/>
          <w:u w:val="single"/>
        </w:rPr>
        <w:t>（项目名称）</w:t>
      </w:r>
      <w:r>
        <w:rPr>
          <w:rFonts w:hint="eastAsia" w:ascii="宋体" w:hAnsi="宋体" w:eastAsia="宋体" w:cs="宋体"/>
          <w:szCs w:val="21"/>
        </w:rPr>
        <w:t>的投标文件、参与项目投标、澄清投标文件、签署合同和处理与该项目有关的一切事务。在此过程中所签署的一切文件及处理与该项目有关的一切事务，我均予以承认；</w:t>
      </w:r>
    </w:p>
    <w:p w14:paraId="0C4C938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被授权人签署的所有文件不因授权的撤消而消失；被授权人无转委权。</w:t>
      </w:r>
    </w:p>
    <w:p w14:paraId="6C4A02C2">
      <w:pPr>
        <w:spacing w:line="360" w:lineRule="auto"/>
        <w:ind w:left="540" w:leftChars="257"/>
        <w:rPr>
          <w:rFonts w:hint="eastAsia" w:ascii="宋体" w:hAnsi="宋体" w:eastAsia="宋体" w:cs="宋体"/>
          <w:szCs w:val="21"/>
          <w:u w:val="single"/>
        </w:rPr>
      </w:pPr>
      <w:r>
        <w:rPr>
          <w:rFonts w:hint="eastAsia" w:ascii="宋体" w:hAnsi="宋体" w:eastAsia="宋体" w:cs="宋体"/>
          <w:szCs w:val="21"/>
        </w:rPr>
        <w:t>被授权人：性别：年龄：</w:t>
      </w:r>
    </w:p>
    <w:p w14:paraId="2650BF01">
      <w:pPr>
        <w:spacing w:line="360" w:lineRule="auto"/>
        <w:ind w:left="540" w:leftChars="257"/>
        <w:rPr>
          <w:rFonts w:hint="eastAsia" w:ascii="宋体" w:hAnsi="宋体" w:eastAsia="宋体" w:cs="宋体"/>
          <w:szCs w:val="21"/>
        </w:rPr>
      </w:pPr>
      <w:r>
        <w:rPr>
          <w:rFonts w:hint="eastAsia" w:ascii="宋体" w:hAnsi="宋体" w:eastAsia="宋体" w:cs="宋体"/>
          <w:szCs w:val="21"/>
        </w:rPr>
        <w:t>联系电话：手机：</w:t>
      </w:r>
    </w:p>
    <w:p w14:paraId="35F86DB2">
      <w:pPr>
        <w:spacing w:line="360" w:lineRule="auto"/>
        <w:ind w:left="540" w:leftChars="257"/>
        <w:jc w:val="right"/>
        <w:rPr>
          <w:rFonts w:hint="eastAsia" w:ascii="宋体" w:hAnsi="宋体" w:eastAsia="宋体" w:cs="宋体"/>
          <w:szCs w:val="21"/>
        </w:rPr>
      </w:pPr>
      <w:r>
        <w:rPr>
          <w:rFonts w:hint="eastAsia" w:ascii="宋体" w:hAnsi="宋体" w:eastAsia="宋体" w:cs="宋体"/>
          <w:szCs w:val="21"/>
        </w:rPr>
        <w:t xml:space="preserve">投标单位（盖章）：      </w:t>
      </w:r>
    </w:p>
    <w:p w14:paraId="65CD29BF">
      <w:pPr>
        <w:spacing w:line="360" w:lineRule="auto"/>
        <w:ind w:left="540" w:leftChars="257"/>
        <w:jc w:val="right"/>
        <w:rPr>
          <w:rFonts w:hint="eastAsia" w:ascii="宋体" w:hAnsi="宋体" w:eastAsia="宋体" w:cs="宋体"/>
          <w:szCs w:val="21"/>
        </w:rPr>
      </w:pPr>
      <w:r>
        <w:rPr>
          <w:rFonts w:hint="eastAsia" w:ascii="宋体" w:hAnsi="宋体" w:eastAsia="宋体" w:cs="宋体"/>
          <w:szCs w:val="21"/>
        </w:rPr>
        <w:t xml:space="preserve">法定代表人（签名或盖章）：       </w:t>
      </w:r>
    </w:p>
    <w:p w14:paraId="2E01DB21">
      <w:pPr>
        <w:spacing w:line="360" w:lineRule="auto"/>
        <w:ind w:left="540" w:leftChars="257"/>
        <w:jc w:val="right"/>
        <w:rPr>
          <w:rFonts w:hint="eastAsia" w:ascii="宋体" w:hAnsi="宋体" w:eastAsia="宋体" w:cs="宋体"/>
          <w:szCs w:val="21"/>
        </w:rPr>
      </w:pPr>
      <w:r>
        <w:rPr>
          <w:rFonts w:hint="eastAsia" w:ascii="宋体" w:hAnsi="宋体" w:eastAsia="宋体" w:cs="宋体"/>
          <w:szCs w:val="21"/>
        </w:rPr>
        <w:t>日期：  年  月   日</w:t>
      </w:r>
    </w:p>
    <w:p w14:paraId="3E0843A4">
      <w:pPr>
        <w:spacing w:line="360" w:lineRule="auto"/>
        <w:ind w:left="540" w:leftChars="257"/>
        <w:rPr>
          <w:rFonts w:hint="eastAsia" w:ascii="宋体" w:hAnsi="宋体" w:eastAsia="宋体" w:cs="宋体"/>
          <w:szCs w:val="21"/>
        </w:rPr>
      </w:pPr>
      <w:r>
        <w:rPr>
          <w:rFonts w:hint="eastAsia" w:ascii="宋体" w:hAnsi="宋体" w:eastAsia="宋体" w:cs="宋体"/>
          <w:szCs w:val="21"/>
        </w:rPr>
        <w:t>附：被授权人身份证复印件。</w:t>
      </w:r>
    </w:p>
    <w:p w14:paraId="1B3EF0E1">
      <w:pPr>
        <w:ind w:firstLine="422" w:firstLineChars="200"/>
        <w:rPr>
          <w:rFonts w:hint="eastAsia" w:ascii="宋体" w:hAnsi="宋体" w:eastAsia="宋体" w:cs="宋体"/>
          <w:b/>
          <w:szCs w:val="21"/>
        </w:rPr>
      </w:pPr>
    </w:p>
    <w:p w14:paraId="369F9E3D">
      <w:pPr>
        <w:ind w:firstLine="422" w:firstLineChars="200"/>
        <w:rPr>
          <w:rFonts w:hint="eastAsia" w:ascii="宋体" w:hAnsi="宋体" w:eastAsia="宋体" w:cs="宋体"/>
          <w:b/>
          <w:szCs w:val="21"/>
        </w:rPr>
      </w:pPr>
      <w:r>
        <w:rPr>
          <w:rFonts w:hint="eastAsia" w:ascii="宋体" w:hAnsi="宋体" w:eastAsia="宋体" w:cs="宋体"/>
          <w:b/>
          <w:szCs w:val="21"/>
        </w:rPr>
        <w:t>注：须提供被授权人有效期内身份证（正反面）扫描件。</w:t>
      </w:r>
    </w:p>
    <w:p w14:paraId="62199C57">
      <w:pPr>
        <w:ind w:firstLine="422" w:firstLineChars="200"/>
        <w:rPr>
          <w:rFonts w:hint="eastAsia" w:ascii="宋体" w:hAnsi="宋体" w:eastAsia="宋体" w:cs="宋体"/>
          <w:b/>
        </w:rPr>
      </w:pPr>
      <w:r>
        <w:rPr>
          <w:rFonts w:hint="eastAsia" w:ascii="宋体" w:hAnsi="宋体" w:eastAsia="宋体" w:cs="宋体"/>
          <w:b/>
        </w:rPr>
        <w:t>投标人确保被授权人的联系方式正确，并保证在项目开评标过程中及项目履约期间保持电话、手机畅通。如因投标人自身原因导致无法联系的情况，投标人应自行承担不利后果。</w:t>
      </w:r>
    </w:p>
    <w:p w14:paraId="42F6E1DE">
      <w:pPr>
        <w:spacing w:line="360" w:lineRule="auto"/>
        <w:ind w:firstLine="723" w:firstLineChars="300"/>
        <w:jc w:val="center"/>
        <w:rPr>
          <w:rFonts w:hint="eastAsia" w:ascii="宋体" w:hAnsi="宋体" w:eastAsia="宋体" w:cs="宋体"/>
          <w:b/>
          <w:sz w:val="24"/>
        </w:rPr>
      </w:pPr>
      <w:r>
        <w:rPr>
          <w:rFonts w:hint="eastAsia" w:ascii="宋体" w:hAnsi="宋体" w:eastAsia="宋体" w:cs="宋体"/>
          <w:b/>
          <w:sz w:val="24"/>
        </w:rPr>
        <w:br w:type="page"/>
      </w:r>
    </w:p>
    <w:p w14:paraId="24AB9196">
      <w:pPr>
        <w:spacing w:line="360" w:lineRule="auto"/>
        <w:ind w:firstLine="3213" w:firstLineChars="1000"/>
        <w:jc w:val="both"/>
        <w:rPr>
          <w:rFonts w:hint="eastAsia" w:ascii="宋体" w:hAnsi="宋体" w:eastAsia="宋体" w:cs="宋体"/>
          <w:sz w:val="32"/>
          <w:szCs w:val="32"/>
        </w:rPr>
      </w:pPr>
      <w:r>
        <w:rPr>
          <w:rFonts w:hint="eastAsia" w:ascii="宋体" w:hAnsi="宋体" w:eastAsia="宋体" w:cs="宋体"/>
          <w:b/>
          <w:bCs/>
          <w:sz w:val="32"/>
          <w:szCs w:val="32"/>
        </w:rPr>
        <w:t>附件2、投标文件</w:t>
      </w:r>
    </w:p>
    <w:p w14:paraId="40F091E9">
      <w:pPr>
        <w:rPr>
          <w:rFonts w:hint="eastAsia" w:ascii="宋体" w:hAnsi="宋体" w:eastAsia="宋体" w:cs="宋体"/>
          <w:szCs w:val="21"/>
        </w:rPr>
      </w:pPr>
    </w:p>
    <w:p w14:paraId="76697CF0">
      <w:pPr>
        <w:rPr>
          <w:rFonts w:hint="eastAsia" w:ascii="宋体" w:hAnsi="宋体" w:eastAsia="宋体" w:cs="宋体"/>
          <w:szCs w:val="21"/>
        </w:rPr>
      </w:pPr>
    </w:p>
    <w:p w14:paraId="10378BB7">
      <w:pPr>
        <w:pStyle w:val="49"/>
        <w:ind w:left="0" w:leftChars="0" w:firstLine="0" w:firstLineChars="0"/>
        <w:rPr>
          <w:rFonts w:hint="eastAsia" w:ascii="宋体" w:hAnsi="宋体" w:eastAsia="宋体" w:cs="宋体"/>
        </w:rPr>
      </w:pPr>
    </w:p>
    <w:p w14:paraId="02C19280">
      <w:pPr>
        <w:pStyle w:val="49"/>
        <w:ind w:left="0" w:leftChars="0" w:firstLine="0" w:firstLineChars="0"/>
        <w:rPr>
          <w:rFonts w:hint="eastAsia" w:ascii="宋体" w:hAnsi="宋体" w:eastAsia="宋体" w:cs="宋体"/>
        </w:rPr>
      </w:pPr>
    </w:p>
    <w:p w14:paraId="2C30FA76">
      <w:pPr>
        <w:pStyle w:val="49"/>
        <w:ind w:left="0" w:leftChars="0" w:firstLine="0" w:firstLineChars="0"/>
        <w:rPr>
          <w:rFonts w:hint="eastAsia" w:ascii="宋体" w:hAnsi="宋体" w:eastAsia="宋体" w:cs="宋体"/>
        </w:rPr>
      </w:pPr>
    </w:p>
    <w:p w14:paraId="0E16E463">
      <w:pPr>
        <w:jc w:val="center"/>
        <w:rPr>
          <w:rFonts w:hint="eastAsia" w:ascii="宋体" w:hAnsi="宋体" w:eastAsia="宋体" w:cs="宋体"/>
          <w:b/>
          <w:sz w:val="36"/>
          <w:szCs w:val="36"/>
          <w:lang w:eastAsia="zh-CN"/>
        </w:rPr>
      </w:pPr>
    </w:p>
    <w:p w14:paraId="43EDA7A9">
      <w:pPr>
        <w:jc w:val="center"/>
        <w:rPr>
          <w:rFonts w:hint="eastAsia" w:ascii="宋体" w:hAnsi="宋体" w:eastAsia="宋体" w:cs="宋体"/>
          <w:b/>
          <w:sz w:val="36"/>
          <w:szCs w:val="36"/>
          <w:lang w:eastAsia="zh-CN"/>
        </w:rPr>
      </w:pPr>
    </w:p>
    <w:p w14:paraId="0D82184C">
      <w:pPr>
        <w:jc w:val="center"/>
        <w:rPr>
          <w:rFonts w:hint="eastAsia" w:ascii="宋体" w:hAnsi="宋体" w:eastAsia="宋体" w:cs="宋体"/>
          <w:sz w:val="36"/>
          <w:szCs w:val="36"/>
        </w:rPr>
      </w:pPr>
      <w:r>
        <w:rPr>
          <w:rFonts w:hint="eastAsia" w:ascii="宋体" w:hAnsi="宋体" w:cs="宋体"/>
          <w:b/>
          <w:color w:val="auto"/>
          <w:sz w:val="36"/>
          <w:szCs w:val="36"/>
          <w:lang w:eastAsia="zh-CN"/>
        </w:rPr>
        <w:t xml:space="preserve">深圳市东部工人文化宫（沙头角体育馆改造）项目建（构）筑物拆除工程 </w:t>
      </w:r>
    </w:p>
    <w:p w14:paraId="102BCEF8">
      <w:pPr>
        <w:jc w:val="center"/>
        <w:rPr>
          <w:rFonts w:hint="eastAsia" w:ascii="宋体" w:hAnsi="宋体" w:eastAsia="宋体" w:cs="宋体"/>
          <w:sz w:val="44"/>
          <w:szCs w:val="44"/>
        </w:rPr>
      </w:pPr>
    </w:p>
    <w:p w14:paraId="1F4BA0AD">
      <w:pPr>
        <w:jc w:val="center"/>
        <w:rPr>
          <w:rFonts w:hint="eastAsia" w:ascii="宋体" w:hAnsi="宋体" w:eastAsia="宋体" w:cs="宋体"/>
          <w:sz w:val="44"/>
          <w:szCs w:val="44"/>
        </w:rPr>
      </w:pPr>
      <w:r>
        <w:rPr>
          <w:rFonts w:hint="eastAsia" w:ascii="宋体" w:hAnsi="宋体" w:eastAsia="宋体" w:cs="宋体"/>
          <w:sz w:val="44"/>
          <w:szCs w:val="44"/>
        </w:rPr>
        <w:t>（投标文件）</w:t>
      </w:r>
    </w:p>
    <w:p w14:paraId="411C5CD1">
      <w:pPr>
        <w:jc w:val="center"/>
        <w:rPr>
          <w:rFonts w:hint="eastAsia" w:ascii="宋体" w:hAnsi="宋体" w:eastAsia="宋体" w:cs="宋体"/>
          <w:sz w:val="44"/>
          <w:szCs w:val="44"/>
        </w:rPr>
      </w:pPr>
    </w:p>
    <w:p w14:paraId="0BE1F52B">
      <w:pPr>
        <w:jc w:val="center"/>
        <w:rPr>
          <w:rFonts w:hint="eastAsia" w:ascii="宋体" w:hAnsi="宋体" w:eastAsia="宋体" w:cs="宋体"/>
          <w:sz w:val="44"/>
          <w:szCs w:val="44"/>
        </w:rPr>
      </w:pPr>
    </w:p>
    <w:p w14:paraId="02E7F71E">
      <w:pPr>
        <w:jc w:val="both"/>
        <w:rPr>
          <w:rFonts w:hint="eastAsia" w:ascii="宋体" w:hAnsi="宋体" w:eastAsia="宋体" w:cs="宋体"/>
          <w:sz w:val="44"/>
          <w:szCs w:val="44"/>
        </w:rPr>
      </w:pPr>
    </w:p>
    <w:p w14:paraId="73F161F4">
      <w:pPr>
        <w:rPr>
          <w:rFonts w:hint="eastAsia" w:ascii="宋体" w:hAnsi="宋体" w:eastAsia="宋体" w:cs="宋体"/>
          <w:sz w:val="44"/>
          <w:szCs w:val="44"/>
        </w:rPr>
      </w:pPr>
    </w:p>
    <w:p w14:paraId="258327CE">
      <w:pPr>
        <w:spacing w:line="480" w:lineRule="auto"/>
        <w:ind w:firstLine="1400" w:firstLineChars="500"/>
        <w:rPr>
          <w:rFonts w:hint="eastAsia" w:ascii="宋体" w:hAnsi="宋体" w:eastAsia="宋体" w:cs="宋体"/>
          <w:sz w:val="28"/>
          <w:szCs w:val="28"/>
          <w:u w:val="single"/>
        </w:rPr>
      </w:pPr>
      <w:r>
        <w:rPr>
          <w:rFonts w:hint="eastAsia" w:ascii="宋体" w:hAnsi="宋体" w:eastAsia="宋体" w:cs="宋体"/>
          <w:sz w:val="28"/>
          <w:szCs w:val="28"/>
        </w:rPr>
        <w:t>项目编号：________________________</w:t>
      </w:r>
    </w:p>
    <w:p w14:paraId="50D42932">
      <w:pPr>
        <w:spacing w:line="480" w:lineRule="auto"/>
        <w:ind w:firstLine="1400" w:firstLineChars="500"/>
        <w:rPr>
          <w:rFonts w:hint="eastAsia" w:ascii="宋体" w:hAnsi="宋体" w:eastAsia="宋体" w:cs="宋体"/>
          <w:sz w:val="28"/>
          <w:szCs w:val="28"/>
          <w:u w:val="single"/>
        </w:rPr>
      </w:pPr>
      <w:r>
        <w:rPr>
          <w:rFonts w:hint="eastAsia" w:ascii="宋体" w:hAnsi="宋体" w:eastAsia="宋体" w:cs="宋体"/>
          <w:sz w:val="28"/>
          <w:szCs w:val="28"/>
        </w:rPr>
        <w:t>供应商（盖章）：___________________</w:t>
      </w:r>
    </w:p>
    <w:p w14:paraId="20FDE2AE">
      <w:pPr>
        <w:spacing w:line="480" w:lineRule="auto"/>
        <w:ind w:firstLine="1400" w:firstLineChars="500"/>
        <w:rPr>
          <w:rFonts w:hint="eastAsia" w:ascii="宋体" w:hAnsi="宋体" w:eastAsia="宋体" w:cs="宋体"/>
          <w:sz w:val="28"/>
          <w:szCs w:val="28"/>
        </w:rPr>
      </w:pPr>
      <w:r>
        <w:rPr>
          <w:rFonts w:hint="eastAsia" w:ascii="宋体" w:hAnsi="宋体" w:eastAsia="宋体" w:cs="宋体"/>
          <w:sz w:val="28"/>
          <w:szCs w:val="28"/>
        </w:rPr>
        <w:t>法定代表人或授权委托人签字：____________</w:t>
      </w:r>
    </w:p>
    <w:p w14:paraId="1725D802">
      <w:pPr>
        <w:ind w:firstLine="1400" w:firstLineChars="500"/>
        <w:rPr>
          <w:rFonts w:hint="eastAsia" w:ascii="宋体" w:hAnsi="宋体" w:eastAsia="宋体" w:cs="宋体"/>
          <w:sz w:val="28"/>
          <w:szCs w:val="28"/>
        </w:rPr>
      </w:pPr>
      <w:r>
        <w:rPr>
          <w:rFonts w:hint="eastAsia" w:ascii="宋体" w:hAnsi="宋体" w:eastAsia="宋体" w:cs="宋体"/>
          <w:sz w:val="28"/>
          <w:szCs w:val="28"/>
        </w:rPr>
        <w:t>投标日期：______年_____月______日</w:t>
      </w:r>
    </w:p>
    <w:p w14:paraId="36B05B8F">
      <w:pPr>
        <w:rPr>
          <w:rFonts w:hint="eastAsia" w:ascii="宋体" w:hAnsi="宋体" w:eastAsia="宋体" w:cs="宋体"/>
        </w:rPr>
      </w:pPr>
    </w:p>
    <w:p w14:paraId="29AD7A8A">
      <w:pPr>
        <w:pStyle w:val="6"/>
        <w:jc w:val="center"/>
        <w:rPr>
          <w:rFonts w:hint="eastAsia" w:ascii="宋体" w:hAnsi="宋体" w:eastAsia="宋体" w:cs="宋体"/>
          <w:sz w:val="24"/>
        </w:rPr>
      </w:pPr>
      <w:r>
        <w:rPr>
          <w:rFonts w:hint="eastAsia" w:ascii="宋体" w:hAnsi="宋体" w:eastAsia="宋体" w:cs="宋体"/>
        </w:rPr>
        <w:br w:type="page"/>
      </w:r>
      <w:r>
        <w:rPr>
          <w:rFonts w:hint="eastAsia" w:ascii="宋体" w:hAnsi="宋体" w:eastAsia="宋体" w:cs="宋体"/>
          <w:sz w:val="24"/>
        </w:rPr>
        <w:t>一、法定代表人证明书</w:t>
      </w:r>
    </w:p>
    <w:p w14:paraId="1EFB90B7">
      <w:pPr>
        <w:rPr>
          <w:rFonts w:hint="eastAsia" w:ascii="宋体" w:hAnsi="宋体" w:eastAsia="宋体" w:cs="宋体"/>
          <w:sz w:val="24"/>
        </w:rPr>
      </w:pPr>
    </w:p>
    <w:p w14:paraId="23BCB3FA">
      <w:pPr>
        <w:rPr>
          <w:rFonts w:hint="eastAsia" w:ascii="宋体" w:hAnsi="宋体" w:eastAsia="宋体" w:cs="宋体"/>
          <w:szCs w:val="21"/>
          <w:u w:val="single"/>
        </w:rPr>
      </w:pPr>
      <w:r>
        <w:rPr>
          <w:rFonts w:hint="eastAsia" w:ascii="宋体" w:hAnsi="宋体" w:eastAsia="宋体" w:cs="宋体"/>
          <w:szCs w:val="21"/>
        </w:rPr>
        <w:t>单位名称：</w:t>
      </w:r>
    </w:p>
    <w:p w14:paraId="07997F86">
      <w:pPr>
        <w:rPr>
          <w:rFonts w:hint="eastAsia" w:ascii="宋体" w:hAnsi="宋体" w:eastAsia="宋体" w:cs="宋体"/>
          <w:szCs w:val="21"/>
          <w:u w:val="single"/>
        </w:rPr>
      </w:pPr>
      <w:r>
        <w:rPr>
          <w:rFonts w:hint="eastAsia" w:ascii="宋体" w:hAnsi="宋体" w:eastAsia="宋体" w:cs="宋体"/>
          <w:szCs w:val="21"/>
        </w:rPr>
        <w:t>地址：</w:t>
      </w:r>
    </w:p>
    <w:p w14:paraId="55255855">
      <w:pPr>
        <w:rPr>
          <w:rFonts w:hint="eastAsia" w:ascii="宋体" w:hAnsi="宋体" w:eastAsia="宋体" w:cs="宋体"/>
          <w:szCs w:val="21"/>
          <w:u w:val="single"/>
        </w:rPr>
      </w:pPr>
      <w:r>
        <w:rPr>
          <w:rFonts w:hint="eastAsia" w:ascii="宋体" w:hAnsi="宋体" w:eastAsia="宋体" w:cs="宋体"/>
          <w:szCs w:val="21"/>
        </w:rPr>
        <w:t>姓名：  性别：    年龄：       身份证号码：                   职务：</w:t>
      </w:r>
    </w:p>
    <w:p w14:paraId="69894E7B">
      <w:pPr>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（投标人名称）</w:t>
      </w:r>
      <w:r>
        <w:rPr>
          <w:rFonts w:hint="eastAsia" w:ascii="宋体" w:hAnsi="宋体" w:eastAsia="宋体" w:cs="宋体"/>
          <w:szCs w:val="21"/>
        </w:rPr>
        <w:t>的法定代表人。</w:t>
      </w:r>
    </w:p>
    <w:p w14:paraId="62A2BDEF">
      <w:pPr>
        <w:rPr>
          <w:rFonts w:hint="eastAsia" w:ascii="宋体" w:hAnsi="宋体" w:eastAsia="宋体" w:cs="宋体"/>
          <w:szCs w:val="21"/>
        </w:rPr>
      </w:pPr>
      <w:r>
        <w:rPr>
          <w:rFonts w:hint="eastAsia" w:ascii="宋体" w:hAnsi="宋体" w:eastAsia="宋体" w:cs="宋体"/>
          <w:szCs w:val="21"/>
        </w:rPr>
        <w:t>特此证明</w:t>
      </w:r>
    </w:p>
    <w:p w14:paraId="50C9E700">
      <w:pPr>
        <w:ind w:right="420"/>
        <w:jc w:val="right"/>
        <w:rPr>
          <w:rFonts w:hint="eastAsia" w:ascii="宋体" w:hAnsi="宋体" w:eastAsia="宋体" w:cs="宋体"/>
          <w:szCs w:val="21"/>
        </w:rPr>
      </w:pPr>
      <w:r>
        <w:rPr>
          <w:rFonts w:hint="eastAsia" w:ascii="宋体" w:hAnsi="宋体" w:eastAsia="宋体" w:cs="宋体"/>
          <w:szCs w:val="21"/>
        </w:rPr>
        <w:t>投标单位（盖章）：</w:t>
      </w:r>
    </w:p>
    <w:p w14:paraId="56F0D9A4">
      <w:pPr>
        <w:ind w:right="420"/>
        <w:jc w:val="right"/>
        <w:rPr>
          <w:rFonts w:hint="eastAsia" w:ascii="宋体" w:hAnsi="宋体" w:eastAsia="宋体" w:cs="宋体"/>
          <w:szCs w:val="21"/>
        </w:rPr>
      </w:pPr>
      <w:r>
        <w:rPr>
          <w:rFonts w:hint="eastAsia" w:ascii="宋体" w:hAnsi="宋体" w:eastAsia="宋体" w:cs="宋体"/>
          <w:szCs w:val="21"/>
        </w:rPr>
        <w:t>日期：  年  月  日</w:t>
      </w:r>
    </w:p>
    <w:p w14:paraId="01967319">
      <w:pPr>
        <w:ind w:right="420"/>
        <w:jc w:val="right"/>
        <w:rPr>
          <w:rFonts w:hint="eastAsia" w:ascii="宋体" w:hAnsi="宋体" w:eastAsia="宋体" w:cs="宋体"/>
          <w:szCs w:val="21"/>
        </w:rPr>
      </w:pPr>
    </w:p>
    <w:p w14:paraId="32ACA6B1">
      <w:pPr>
        <w:jc w:val="left"/>
        <w:rPr>
          <w:rFonts w:hint="eastAsia" w:ascii="宋体" w:hAnsi="宋体" w:eastAsia="宋体" w:cs="宋体"/>
          <w:szCs w:val="21"/>
        </w:rPr>
      </w:pPr>
    </w:p>
    <w:p w14:paraId="73BA9488">
      <w:pPr>
        <w:jc w:val="left"/>
        <w:rPr>
          <w:rFonts w:hint="eastAsia" w:ascii="宋体" w:hAnsi="宋体" w:eastAsia="宋体" w:cs="宋体"/>
          <w:szCs w:val="21"/>
        </w:rPr>
      </w:pPr>
      <w:r>
        <w:rPr>
          <w:rFonts w:hint="eastAsia" w:ascii="宋体" w:hAnsi="宋体" w:eastAsia="宋体" w:cs="宋体"/>
          <w:szCs w:val="21"/>
        </w:rPr>
        <w:t>附：法定代表人身份证复印件。</w:t>
      </w:r>
    </w:p>
    <w:p w14:paraId="2CC9DB62">
      <w:pPr>
        <w:rPr>
          <w:rFonts w:hint="eastAsia" w:ascii="宋体" w:hAnsi="宋体" w:eastAsia="宋体" w:cs="宋体"/>
          <w:szCs w:val="21"/>
        </w:rPr>
      </w:pPr>
    </w:p>
    <w:p w14:paraId="53FD874F">
      <w:pPr>
        <w:ind w:firstLine="422" w:firstLineChars="200"/>
        <w:rPr>
          <w:rFonts w:hint="eastAsia" w:ascii="宋体" w:hAnsi="宋体" w:eastAsia="宋体" w:cs="宋体"/>
          <w:b/>
          <w:szCs w:val="21"/>
        </w:rPr>
      </w:pPr>
      <w:r>
        <w:rPr>
          <w:rFonts w:hint="eastAsia" w:ascii="宋体" w:hAnsi="宋体" w:eastAsia="宋体" w:cs="宋体"/>
          <w:b/>
          <w:szCs w:val="21"/>
        </w:rPr>
        <w:t>注：必须提供法定代表人（负责人）有效期内身份证（正反面）扫描件（非中国境内居民，可提供公安部门认可的身份证明材料），否则将导致投标无效。</w:t>
      </w:r>
    </w:p>
    <w:p w14:paraId="036C749A">
      <w:pPr>
        <w:ind w:firstLine="422" w:firstLineChars="200"/>
        <w:rPr>
          <w:rFonts w:hint="eastAsia" w:ascii="宋体" w:hAnsi="宋体" w:eastAsia="宋体" w:cs="宋体"/>
          <w:b/>
          <w:szCs w:val="21"/>
        </w:rPr>
      </w:pPr>
    </w:p>
    <w:p w14:paraId="592153B7">
      <w:pPr>
        <w:ind w:firstLine="422" w:firstLineChars="200"/>
        <w:rPr>
          <w:rFonts w:hint="eastAsia" w:ascii="宋体" w:hAnsi="宋体" w:eastAsia="宋体" w:cs="宋体"/>
          <w:b/>
          <w:szCs w:val="21"/>
        </w:rPr>
      </w:pPr>
    </w:p>
    <w:p w14:paraId="339574EC">
      <w:pPr>
        <w:ind w:firstLine="422" w:firstLineChars="200"/>
        <w:rPr>
          <w:rFonts w:hint="eastAsia" w:ascii="宋体" w:hAnsi="宋体" w:eastAsia="宋体" w:cs="宋体"/>
          <w:b/>
          <w:szCs w:val="21"/>
        </w:rPr>
      </w:pPr>
    </w:p>
    <w:p w14:paraId="398A17CA">
      <w:pPr>
        <w:pStyle w:val="6"/>
        <w:jc w:val="center"/>
        <w:rPr>
          <w:rFonts w:hint="eastAsia" w:ascii="宋体" w:hAnsi="宋体" w:eastAsia="宋体" w:cs="宋体"/>
          <w:sz w:val="24"/>
        </w:rPr>
      </w:pPr>
      <w:r>
        <w:rPr>
          <w:rFonts w:hint="eastAsia" w:ascii="宋体" w:hAnsi="宋体" w:eastAsia="宋体" w:cs="宋体"/>
          <w:sz w:val="24"/>
        </w:rPr>
        <w:t>二、授权委托书</w:t>
      </w:r>
    </w:p>
    <w:p w14:paraId="346E683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我</w:t>
      </w:r>
      <w:r>
        <w:rPr>
          <w:rFonts w:hint="eastAsia" w:ascii="宋体" w:hAnsi="宋体" w:eastAsia="宋体" w:cs="宋体"/>
          <w:szCs w:val="21"/>
          <w:u w:val="single"/>
        </w:rPr>
        <w:t>（姓名）</w:t>
      </w:r>
      <w:r>
        <w:rPr>
          <w:rFonts w:hint="eastAsia" w:ascii="宋体" w:hAnsi="宋体" w:eastAsia="宋体" w:cs="宋体"/>
          <w:szCs w:val="21"/>
        </w:rPr>
        <w:t>系</w:t>
      </w:r>
      <w:r>
        <w:rPr>
          <w:rFonts w:hint="eastAsia" w:ascii="宋体" w:hAnsi="宋体" w:eastAsia="宋体" w:cs="宋体"/>
          <w:szCs w:val="21"/>
          <w:u w:val="single"/>
        </w:rPr>
        <w:t>（投标人名称）的</w:t>
      </w:r>
      <w:r>
        <w:rPr>
          <w:rFonts w:hint="eastAsia" w:ascii="宋体" w:hAnsi="宋体" w:eastAsia="宋体" w:cs="宋体"/>
          <w:szCs w:val="21"/>
        </w:rPr>
        <w:t>法定代表人，现授权我单位的</w:t>
      </w:r>
      <w:r>
        <w:rPr>
          <w:rFonts w:hint="eastAsia" w:ascii="宋体" w:hAnsi="宋体" w:eastAsia="宋体" w:cs="宋体"/>
          <w:szCs w:val="21"/>
          <w:u w:val="single"/>
        </w:rPr>
        <w:t>（姓名）（身份证号码：）</w:t>
      </w:r>
      <w:r>
        <w:rPr>
          <w:rFonts w:hint="eastAsia" w:ascii="宋体" w:hAnsi="宋体" w:eastAsia="宋体" w:cs="宋体"/>
          <w:szCs w:val="21"/>
        </w:rPr>
        <w:t>代表我单位签署</w:t>
      </w:r>
      <w:r>
        <w:rPr>
          <w:rFonts w:hint="eastAsia" w:ascii="宋体" w:hAnsi="宋体" w:eastAsia="宋体" w:cs="宋体"/>
          <w:szCs w:val="21"/>
          <w:u w:val="single"/>
        </w:rPr>
        <w:t>（项目名称）</w:t>
      </w:r>
      <w:r>
        <w:rPr>
          <w:rFonts w:hint="eastAsia" w:ascii="宋体" w:hAnsi="宋体" w:eastAsia="宋体" w:cs="宋体"/>
          <w:szCs w:val="21"/>
        </w:rPr>
        <w:t>的投标文件、参与项目投标、澄清投标文件、签署合同和处理与该项目有关的一切事务。在此过程中所签署的一切文件及处理与该项目有关的一切事务，我均予以承认；</w:t>
      </w:r>
    </w:p>
    <w:p w14:paraId="00DCCE6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被授权人签署的所有文件不因授权的撤消而消失；被授权人无转委权。</w:t>
      </w:r>
    </w:p>
    <w:p w14:paraId="7B35E04E">
      <w:pPr>
        <w:spacing w:line="360" w:lineRule="auto"/>
        <w:ind w:left="540" w:leftChars="257"/>
        <w:rPr>
          <w:rFonts w:hint="eastAsia" w:ascii="宋体" w:hAnsi="宋体" w:eastAsia="宋体" w:cs="宋体"/>
          <w:szCs w:val="21"/>
          <w:u w:val="single"/>
        </w:rPr>
      </w:pPr>
      <w:r>
        <w:rPr>
          <w:rFonts w:hint="eastAsia" w:ascii="宋体" w:hAnsi="宋体" w:eastAsia="宋体" w:cs="宋体"/>
          <w:szCs w:val="21"/>
        </w:rPr>
        <w:t>被授权人：性别：年龄：</w:t>
      </w:r>
    </w:p>
    <w:p w14:paraId="5503115C">
      <w:pPr>
        <w:spacing w:line="360" w:lineRule="auto"/>
        <w:ind w:left="540" w:leftChars="257"/>
        <w:rPr>
          <w:rFonts w:hint="eastAsia" w:ascii="宋体" w:hAnsi="宋体" w:eastAsia="宋体" w:cs="宋体"/>
          <w:szCs w:val="21"/>
        </w:rPr>
      </w:pPr>
      <w:r>
        <w:rPr>
          <w:rFonts w:hint="eastAsia" w:ascii="宋体" w:hAnsi="宋体" w:eastAsia="宋体" w:cs="宋体"/>
          <w:szCs w:val="21"/>
        </w:rPr>
        <w:t>联系电话：手机：</w:t>
      </w:r>
    </w:p>
    <w:p w14:paraId="76776D6C">
      <w:pPr>
        <w:spacing w:line="360" w:lineRule="auto"/>
        <w:ind w:left="540" w:leftChars="257"/>
        <w:jc w:val="right"/>
        <w:rPr>
          <w:rFonts w:hint="eastAsia" w:ascii="宋体" w:hAnsi="宋体" w:eastAsia="宋体" w:cs="宋体"/>
          <w:szCs w:val="21"/>
        </w:rPr>
      </w:pPr>
      <w:r>
        <w:rPr>
          <w:rFonts w:hint="eastAsia" w:ascii="宋体" w:hAnsi="宋体" w:eastAsia="宋体" w:cs="宋体"/>
          <w:szCs w:val="21"/>
        </w:rPr>
        <w:t xml:space="preserve">投标单位（盖章）：      </w:t>
      </w:r>
    </w:p>
    <w:p w14:paraId="1673E46C">
      <w:pPr>
        <w:spacing w:line="360" w:lineRule="auto"/>
        <w:ind w:left="540" w:leftChars="257"/>
        <w:jc w:val="right"/>
        <w:rPr>
          <w:rFonts w:hint="eastAsia" w:ascii="宋体" w:hAnsi="宋体" w:eastAsia="宋体" w:cs="宋体"/>
          <w:szCs w:val="21"/>
        </w:rPr>
      </w:pPr>
      <w:r>
        <w:rPr>
          <w:rFonts w:hint="eastAsia" w:ascii="宋体" w:hAnsi="宋体" w:eastAsia="宋体" w:cs="宋体"/>
          <w:szCs w:val="21"/>
        </w:rPr>
        <w:t xml:space="preserve">法定代表人（签名或盖章）：       </w:t>
      </w:r>
    </w:p>
    <w:p w14:paraId="10E9C4B7">
      <w:pPr>
        <w:spacing w:line="360" w:lineRule="auto"/>
        <w:ind w:left="540" w:leftChars="257"/>
        <w:jc w:val="right"/>
        <w:rPr>
          <w:rFonts w:hint="eastAsia" w:ascii="宋体" w:hAnsi="宋体" w:eastAsia="宋体" w:cs="宋体"/>
          <w:szCs w:val="21"/>
        </w:rPr>
      </w:pPr>
      <w:r>
        <w:rPr>
          <w:rFonts w:hint="eastAsia" w:ascii="宋体" w:hAnsi="宋体" w:eastAsia="宋体" w:cs="宋体"/>
          <w:szCs w:val="21"/>
        </w:rPr>
        <w:t>日期：  年  月   日</w:t>
      </w:r>
    </w:p>
    <w:p w14:paraId="01DFEDC6">
      <w:pPr>
        <w:spacing w:line="360" w:lineRule="auto"/>
        <w:ind w:left="540" w:leftChars="257"/>
        <w:rPr>
          <w:rFonts w:hint="eastAsia" w:ascii="宋体" w:hAnsi="宋体" w:eastAsia="宋体" w:cs="宋体"/>
          <w:szCs w:val="21"/>
        </w:rPr>
      </w:pPr>
      <w:r>
        <w:rPr>
          <w:rFonts w:hint="eastAsia" w:ascii="宋体" w:hAnsi="宋体" w:eastAsia="宋体" w:cs="宋体"/>
          <w:szCs w:val="21"/>
        </w:rPr>
        <w:t>附：被授权人身份证复印件。</w:t>
      </w:r>
    </w:p>
    <w:p w14:paraId="1624D1B2">
      <w:pPr>
        <w:ind w:firstLine="422" w:firstLineChars="200"/>
        <w:rPr>
          <w:rFonts w:hint="eastAsia" w:ascii="宋体" w:hAnsi="宋体" w:eastAsia="宋体" w:cs="宋体"/>
          <w:b/>
          <w:szCs w:val="21"/>
        </w:rPr>
      </w:pPr>
    </w:p>
    <w:p w14:paraId="77910A12">
      <w:pPr>
        <w:ind w:firstLine="422" w:firstLineChars="200"/>
        <w:rPr>
          <w:rFonts w:hint="eastAsia" w:ascii="宋体" w:hAnsi="宋体" w:eastAsia="宋体" w:cs="宋体"/>
          <w:b/>
          <w:szCs w:val="21"/>
        </w:rPr>
      </w:pPr>
      <w:r>
        <w:rPr>
          <w:rFonts w:hint="eastAsia" w:ascii="宋体" w:hAnsi="宋体" w:eastAsia="宋体" w:cs="宋体"/>
          <w:b/>
          <w:szCs w:val="21"/>
        </w:rPr>
        <w:t>注：须提供被授权人有效期内身份证（正反面）扫描件。</w:t>
      </w:r>
    </w:p>
    <w:p w14:paraId="3349273C">
      <w:pPr>
        <w:ind w:firstLine="422" w:firstLineChars="200"/>
        <w:rPr>
          <w:rFonts w:hint="eastAsia" w:ascii="宋体" w:hAnsi="宋体" w:eastAsia="宋体" w:cs="宋体"/>
          <w:b/>
        </w:rPr>
      </w:pPr>
      <w:r>
        <w:rPr>
          <w:rFonts w:hint="eastAsia" w:ascii="宋体" w:hAnsi="宋体" w:eastAsia="宋体" w:cs="宋体"/>
          <w:b/>
        </w:rPr>
        <w:t>投标人确保被授权人的联系方式正确，并保证在项目开评标过程中及项目履约期间保持电话、手机畅通。如因投标人自身原因导致无法联系的情况，投标人应自行承担不利后果。</w:t>
      </w:r>
    </w:p>
    <w:p w14:paraId="5CAB4F63">
      <w:pPr>
        <w:pStyle w:val="6"/>
        <w:jc w:val="center"/>
        <w:rPr>
          <w:rFonts w:hint="eastAsia" w:ascii="宋体" w:hAnsi="宋体" w:eastAsia="宋体" w:cs="宋体"/>
          <w:sz w:val="24"/>
        </w:rPr>
      </w:pPr>
      <w:r>
        <w:rPr>
          <w:rFonts w:hint="eastAsia" w:ascii="宋体" w:hAnsi="宋体" w:eastAsia="宋体" w:cs="宋体"/>
          <w:b w:val="0"/>
          <w:sz w:val="24"/>
        </w:rPr>
        <w:br w:type="page"/>
      </w:r>
      <w:r>
        <w:rPr>
          <w:rFonts w:hint="eastAsia" w:ascii="宋体" w:hAnsi="宋体" w:eastAsia="宋体" w:cs="宋体"/>
          <w:sz w:val="24"/>
        </w:rPr>
        <w:t>三、投标函</w:t>
      </w:r>
    </w:p>
    <w:p w14:paraId="435FAB9E">
      <w:pPr>
        <w:rPr>
          <w:rFonts w:hint="eastAsia" w:ascii="宋体" w:hAnsi="宋体" w:eastAsia="宋体" w:cs="宋体"/>
          <w:szCs w:val="21"/>
          <w:u w:val="single"/>
        </w:rPr>
      </w:pPr>
      <w:r>
        <w:rPr>
          <w:rFonts w:hint="eastAsia" w:ascii="宋体" w:hAnsi="宋体" w:eastAsia="宋体" w:cs="宋体"/>
          <w:szCs w:val="21"/>
        </w:rPr>
        <w:t>致：深圳市广得信工程造价咨询有限公司</w:t>
      </w:r>
    </w:p>
    <w:p w14:paraId="121EDDF4">
      <w:pPr>
        <w:rPr>
          <w:rFonts w:hint="eastAsia" w:ascii="宋体" w:hAnsi="宋体" w:eastAsia="宋体" w:cs="宋体"/>
          <w:szCs w:val="21"/>
        </w:rPr>
      </w:pPr>
    </w:p>
    <w:p w14:paraId="49FCDE4D">
      <w:pPr>
        <w:ind w:firstLine="420" w:firstLineChars="200"/>
        <w:rPr>
          <w:rFonts w:hint="eastAsia" w:ascii="宋体" w:hAnsi="宋体" w:eastAsia="宋体" w:cs="宋体"/>
          <w:szCs w:val="21"/>
        </w:rPr>
      </w:pPr>
      <w:r>
        <w:rPr>
          <w:rFonts w:hint="eastAsia" w:ascii="宋体" w:hAnsi="宋体" w:eastAsia="宋体" w:cs="宋体"/>
          <w:szCs w:val="21"/>
        </w:rPr>
        <w:t>1、根据已收到贵方的招标编号为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的</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项目的招标文件，遵照《中华人民共和国政府采购法》、《深圳经济特区政府采购条例》、《深圳市网上政府采购管理暂行办法》等法律法规的规定，我方经研究上述招标文件的投标须知、合同条款、技术规范及其他有关文件后，我方愿按“招标文件”的规定履行责任和义务；</w:t>
      </w:r>
    </w:p>
    <w:p w14:paraId="73D283C3">
      <w:pPr>
        <w:ind w:firstLine="420" w:firstLineChars="200"/>
        <w:rPr>
          <w:rFonts w:hint="eastAsia" w:ascii="宋体" w:hAnsi="宋体" w:eastAsia="宋体" w:cs="宋体"/>
          <w:szCs w:val="21"/>
        </w:rPr>
      </w:pPr>
      <w:r>
        <w:rPr>
          <w:rFonts w:hint="eastAsia" w:ascii="宋体" w:hAnsi="宋体" w:eastAsia="宋体" w:cs="宋体"/>
          <w:szCs w:val="21"/>
        </w:rPr>
        <w:t>2、我方已详细审查全部招标文件，包括招标文件、澄清（答疑）、补充公告（说明）等。我方对此完全理解并同意放弃因对招标文件不明及误解而提出质疑抗辩的权利；</w:t>
      </w:r>
    </w:p>
    <w:p w14:paraId="54E9CDEF">
      <w:pPr>
        <w:ind w:firstLine="420" w:firstLineChars="200"/>
        <w:rPr>
          <w:rFonts w:hint="eastAsia" w:ascii="宋体" w:hAnsi="宋体" w:eastAsia="宋体" w:cs="宋体"/>
          <w:szCs w:val="21"/>
        </w:rPr>
      </w:pPr>
      <w:r>
        <w:rPr>
          <w:rFonts w:hint="eastAsia" w:ascii="宋体" w:hAnsi="宋体" w:eastAsia="宋体" w:cs="宋体"/>
          <w:szCs w:val="21"/>
        </w:rPr>
        <w:t>3、我方同意提供贵方可能要求的与投标有关的一切数据或资料，完全理解并接受贵方不承担我方的任何投标费用；</w:t>
      </w:r>
    </w:p>
    <w:p w14:paraId="31EA28BE">
      <w:pPr>
        <w:ind w:firstLine="420" w:firstLineChars="200"/>
        <w:rPr>
          <w:rFonts w:hint="eastAsia" w:ascii="宋体" w:hAnsi="宋体" w:eastAsia="宋体" w:cs="宋体"/>
          <w:szCs w:val="21"/>
        </w:rPr>
      </w:pPr>
      <w:r>
        <w:rPr>
          <w:rFonts w:hint="eastAsia" w:ascii="宋体" w:hAnsi="宋体" w:eastAsia="宋体" w:cs="宋体"/>
          <w:szCs w:val="21"/>
        </w:rPr>
        <w:t>4、我方清楚知道且完全同意投标及履约保证金的作用、退还期限及退还条件；</w:t>
      </w:r>
    </w:p>
    <w:p w14:paraId="02116189">
      <w:pPr>
        <w:ind w:firstLine="420" w:firstLineChars="200"/>
        <w:rPr>
          <w:rFonts w:hint="eastAsia" w:ascii="宋体" w:hAnsi="宋体" w:eastAsia="宋体" w:cs="宋体"/>
          <w:szCs w:val="21"/>
        </w:rPr>
      </w:pPr>
      <w:r>
        <w:rPr>
          <w:rFonts w:hint="eastAsia" w:ascii="宋体" w:hAnsi="宋体" w:eastAsia="宋体" w:cs="宋体"/>
          <w:szCs w:val="21"/>
        </w:rPr>
        <w:t>5、本投标有效期为开标日起九十个日历日；</w:t>
      </w:r>
    </w:p>
    <w:p w14:paraId="79A804AA">
      <w:pPr>
        <w:ind w:firstLine="420" w:firstLineChars="200"/>
        <w:rPr>
          <w:rFonts w:hint="eastAsia" w:ascii="宋体" w:hAnsi="宋体" w:eastAsia="宋体" w:cs="宋体"/>
          <w:szCs w:val="21"/>
        </w:rPr>
      </w:pPr>
      <w:r>
        <w:rPr>
          <w:rFonts w:hint="eastAsia" w:ascii="宋体" w:hAnsi="宋体" w:eastAsia="宋体" w:cs="宋体"/>
          <w:szCs w:val="21"/>
        </w:rPr>
        <w:t>6、如果我方在投标有效期内撤回或放弃投标的，贵方将有权不予退还投标保证金；</w:t>
      </w:r>
    </w:p>
    <w:p w14:paraId="7B4ADF2C">
      <w:pPr>
        <w:ind w:firstLine="420" w:firstLineChars="200"/>
        <w:rPr>
          <w:rFonts w:hint="eastAsia" w:ascii="宋体" w:hAnsi="宋体" w:eastAsia="宋体" w:cs="宋体"/>
          <w:szCs w:val="21"/>
        </w:rPr>
      </w:pPr>
      <w:r>
        <w:rPr>
          <w:rFonts w:hint="eastAsia" w:ascii="宋体" w:hAnsi="宋体" w:eastAsia="宋体" w:cs="宋体"/>
          <w:szCs w:val="21"/>
        </w:rPr>
        <w:t>7、我方申明在本次投标中提供的所有资料，无论原件、复印件还是扫描件均是真实的；</w:t>
      </w:r>
    </w:p>
    <w:p w14:paraId="1DEFF5DB">
      <w:pPr>
        <w:ind w:firstLine="420" w:firstLineChars="200"/>
        <w:rPr>
          <w:rFonts w:hint="eastAsia" w:ascii="宋体" w:hAnsi="宋体" w:eastAsia="宋体" w:cs="宋体"/>
          <w:szCs w:val="21"/>
        </w:rPr>
      </w:pPr>
      <w:r>
        <w:rPr>
          <w:rFonts w:hint="eastAsia" w:ascii="宋体" w:hAnsi="宋体" w:eastAsia="宋体" w:cs="宋体"/>
          <w:szCs w:val="21"/>
        </w:rPr>
        <w:t>8、我方同意提供按照贵方可能要求的与投标有关的一切数据或资料；</w:t>
      </w:r>
    </w:p>
    <w:p w14:paraId="23FF1B30">
      <w:pPr>
        <w:ind w:firstLine="420" w:firstLineChars="200"/>
        <w:rPr>
          <w:rFonts w:hint="eastAsia" w:ascii="宋体" w:hAnsi="宋体" w:eastAsia="宋体" w:cs="宋体"/>
          <w:szCs w:val="21"/>
        </w:rPr>
      </w:pPr>
      <w:r>
        <w:rPr>
          <w:rFonts w:hint="eastAsia" w:ascii="宋体" w:hAnsi="宋体" w:eastAsia="宋体" w:cs="宋体"/>
          <w:szCs w:val="21"/>
        </w:rPr>
        <w:t>9、我方同意招标程序、评标办法以及评标委员会评标人员产生办法和组成，承认评标人员据此评标办法产生的中标供应商。</w:t>
      </w:r>
    </w:p>
    <w:p w14:paraId="33B12437">
      <w:pPr>
        <w:ind w:firstLine="420" w:firstLineChars="200"/>
        <w:rPr>
          <w:rFonts w:hint="eastAsia" w:ascii="宋体" w:hAnsi="宋体" w:eastAsia="宋体" w:cs="宋体"/>
          <w:szCs w:val="21"/>
        </w:rPr>
      </w:pPr>
      <w:r>
        <w:rPr>
          <w:rFonts w:hint="eastAsia" w:ascii="宋体" w:hAnsi="宋体" w:eastAsia="宋体" w:cs="宋体"/>
          <w:szCs w:val="21"/>
        </w:rPr>
        <w:t>10、与本投标有关的一切正式往来信函请寄：</w:t>
      </w:r>
    </w:p>
    <w:p w14:paraId="61B778F6">
      <w:pPr>
        <w:ind w:firstLine="420" w:firstLineChars="200"/>
        <w:rPr>
          <w:rFonts w:hint="eastAsia" w:ascii="宋体" w:hAnsi="宋体" w:eastAsia="宋体" w:cs="宋体"/>
          <w:szCs w:val="21"/>
        </w:rPr>
      </w:pPr>
    </w:p>
    <w:p w14:paraId="419811A5">
      <w:pPr>
        <w:ind w:firstLine="420" w:firstLineChars="200"/>
        <w:rPr>
          <w:rFonts w:hint="eastAsia" w:ascii="宋体" w:hAnsi="宋体" w:eastAsia="宋体" w:cs="宋体"/>
          <w:szCs w:val="21"/>
        </w:rPr>
      </w:pPr>
      <w:r>
        <w:rPr>
          <w:rFonts w:hint="eastAsia" w:ascii="宋体" w:hAnsi="宋体" w:eastAsia="宋体" w:cs="宋体"/>
          <w:szCs w:val="21"/>
        </w:rPr>
        <w:t xml:space="preserve">地址：                        </w:t>
      </w:r>
    </w:p>
    <w:p w14:paraId="22C157D3">
      <w:pPr>
        <w:ind w:firstLine="420" w:firstLineChars="200"/>
        <w:rPr>
          <w:rFonts w:hint="eastAsia" w:ascii="宋体" w:hAnsi="宋体" w:eastAsia="宋体" w:cs="宋体"/>
          <w:szCs w:val="21"/>
        </w:rPr>
      </w:pPr>
      <w:r>
        <w:rPr>
          <w:rFonts w:hint="eastAsia" w:ascii="宋体" w:hAnsi="宋体" w:eastAsia="宋体" w:cs="宋体"/>
          <w:szCs w:val="21"/>
        </w:rPr>
        <w:t xml:space="preserve">电话：                        </w:t>
      </w:r>
    </w:p>
    <w:p w14:paraId="22D54816">
      <w:pPr>
        <w:ind w:firstLine="420" w:firstLineChars="200"/>
        <w:rPr>
          <w:rFonts w:hint="eastAsia" w:ascii="宋体" w:hAnsi="宋体" w:eastAsia="宋体" w:cs="宋体"/>
          <w:szCs w:val="21"/>
        </w:rPr>
      </w:pPr>
      <w:r>
        <w:rPr>
          <w:rFonts w:hint="eastAsia" w:ascii="宋体" w:hAnsi="宋体" w:eastAsia="宋体" w:cs="宋体"/>
          <w:szCs w:val="21"/>
        </w:rPr>
        <w:t xml:space="preserve">传真：                        </w:t>
      </w:r>
    </w:p>
    <w:p w14:paraId="5803B54D">
      <w:pPr>
        <w:ind w:firstLine="420" w:firstLineChars="200"/>
        <w:rPr>
          <w:rFonts w:hint="eastAsia" w:ascii="宋体" w:hAnsi="宋体" w:eastAsia="宋体" w:cs="宋体"/>
          <w:szCs w:val="21"/>
        </w:rPr>
      </w:pPr>
      <w:r>
        <w:rPr>
          <w:rFonts w:hint="eastAsia" w:ascii="宋体" w:hAnsi="宋体" w:eastAsia="宋体" w:cs="宋体"/>
          <w:szCs w:val="21"/>
        </w:rPr>
        <w:t xml:space="preserve">电子函件：                     </w:t>
      </w:r>
    </w:p>
    <w:p w14:paraId="5CA63B2B">
      <w:pPr>
        <w:ind w:firstLine="420" w:firstLineChars="200"/>
        <w:rPr>
          <w:rFonts w:hint="eastAsia" w:ascii="宋体" w:hAnsi="宋体" w:eastAsia="宋体" w:cs="宋体"/>
          <w:szCs w:val="21"/>
        </w:rPr>
      </w:pPr>
      <w:r>
        <w:rPr>
          <w:rFonts w:hint="eastAsia" w:ascii="宋体" w:hAnsi="宋体" w:eastAsia="宋体" w:cs="宋体"/>
          <w:szCs w:val="21"/>
        </w:rPr>
        <w:t xml:space="preserve">法定代表人或其委托代理人：                            </w:t>
      </w:r>
    </w:p>
    <w:p w14:paraId="781B9883">
      <w:pPr>
        <w:ind w:firstLine="420" w:firstLineChars="200"/>
        <w:rPr>
          <w:rFonts w:hint="eastAsia" w:ascii="宋体" w:hAnsi="宋体" w:eastAsia="宋体" w:cs="宋体"/>
          <w:szCs w:val="21"/>
        </w:rPr>
      </w:pPr>
      <w:r>
        <w:rPr>
          <w:rFonts w:hint="eastAsia" w:ascii="宋体" w:hAnsi="宋体" w:eastAsia="宋体" w:cs="宋体"/>
          <w:szCs w:val="21"/>
        </w:rPr>
        <w:t xml:space="preserve">投标人名称：                            </w:t>
      </w:r>
    </w:p>
    <w:p w14:paraId="2651D56D">
      <w:pPr>
        <w:ind w:firstLine="420" w:firstLineChars="200"/>
        <w:rPr>
          <w:rFonts w:hint="eastAsia" w:ascii="宋体" w:hAnsi="宋体" w:eastAsia="宋体" w:cs="宋体"/>
          <w:szCs w:val="21"/>
        </w:rPr>
      </w:pPr>
      <w:r>
        <w:rPr>
          <w:rFonts w:hint="eastAsia" w:ascii="宋体" w:hAnsi="宋体" w:eastAsia="宋体" w:cs="宋体"/>
          <w:szCs w:val="21"/>
        </w:rPr>
        <w:t xml:space="preserve">日期：  </w:t>
      </w:r>
    </w:p>
    <w:p w14:paraId="278EA275">
      <w:pPr>
        <w:rPr>
          <w:rFonts w:hint="eastAsia" w:ascii="宋体" w:hAnsi="宋体" w:eastAsia="宋体" w:cs="宋体"/>
          <w:b/>
          <w:szCs w:val="21"/>
        </w:rPr>
      </w:pPr>
      <w:r>
        <w:rPr>
          <w:rFonts w:hint="eastAsia" w:ascii="宋体" w:hAnsi="宋体" w:eastAsia="宋体" w:cs="宋体"/>
          <w:b/>
          <w:szCs w:val="21"/>
        </w:rPr>
        <w:t>注：该联系方式和联系信息适用于双方往来联系、书面文件文书送达。因联系方式和联系信息错误而无法直接送达的自交邮后第7日视为送达。</w:t>
      </w:r>
    </w:p>
    <w:p w14:paraId="2C90A788">
      <w:pPr>
        <w:rPr>
          <w:rFonts w:hint="eastAsia" w:ascii="宋体" w:hAnsi="宋体" w:eastAsia="宋体" w:cs="宋体"/>
          <w:szCs w:val="21"/>
        </w:rPr>
      </w:pPr>
    </w:p>
    <w:p w14:paraId="705FEB26">
      <w:pPr>
        <w:rPr>
          <w:rFonts w:hint="eastAsia" w:ascii="宋体" w:hAnsi="宋体" w:eastAsia="宋体" w:cs="宋体"/>
          <w:szCs w:val="21"/>
        </w:rPr>
      </w:pPr>
    </w:p>
    <w:p w14:paraId="1BD34780">
      <w:pPr>
        <w:pStyle w:val="6"/>
        <w:jc w:val="center"/>
        <w:rPr>
          <w:rFonts w:hint="eastAsia" w:ascii="宋体" w:hAnsi="宋体" w:eastAsia="宋体" w:cs="宋体"/>
          <w:bCs w:val="0"/>
          <w:kern w:val="0"/>
          <w:sz w:val="24"/>
        </w:rPr>
      </w:pPr>
      <w:r>
        <w:rPr>
          <w:rStyle w:val="132"/>
          <w:rFonts w:hint="eastAsia" w:ascii="宋体" w:hAnsi="宋体" w:eastAsia="宋体" w:cs="宋体"/>
          <w:bCs w:val="0"/>
        </w:rPr>
        <w:br w:type="page"/>
      </w:r>
      <w:bookmarkStart w:id="14" w:name="_Toc73521688"/>
      <w:bookmarkStart w:id="15" w:name="_Toc73521600"/>
      <w:bookmarkStart w:id="16" w:name="_Toc73518172"/>
      <w:bookmarkStart w:id="17" w:name="_Toc73517694"/>
      <w:r>
        <w:rPr>
          <w:rFonts w:hint="eastAsia" w:ascii="宋体" w:hAnsi="宋体" w:eastAsia="宋体" w:cs="宋体"/>
          <w:bCs w:val="0"/>
          <w:kern w:val="0"/>
          <w:sz w:val="24"/>
        </w:rPr>
        <w:t>四、政府采购违法行为风险知悉确认书</w:t>
      </w:r>
    </w:p>
    <w:p w14:paraId="01704D32">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本公司在投标前已充分知悉以下情形为参与政府采购活动时的重大风险事项，并承诺已对下述风险提示事项重点排查，做到严谨、诚信、依法依规参与政府采购活动。</w:t>
      </w:r>
    </w:p>
    <w:p w14:paraId="790E4CAE">
      <w:pPr>
        <w:ind w:firstLine="422" w:firstLineChars="200"/>
        <w:rPr>
          <w:rFonts w:hint="eastAsia" w:ascii="宋体" w:hAnsi="宋体" w:eastAsia="宋体" w:cs="宋体"/>
          <w:b/>
          <w:bCs/>
        </w:rPr>
      </w:pPr>
      <w:r>
        <w:rPr>
          <w:rFonts w:hint="eastAsia" w:ascii="宋体" w:hAnsi="宋体" w:eastAsia="宋体" w:cs="宋体"/>
          <w:b/>
          <w:bCs/>
        </w:rPr>
        <w:t>一、本公司已充分知悉“隐瞒真实情况，提供虚假资料”的法定情形，相关情形包括但不限于：</w:t>
      </w:r>
    </w:p>
    <w:p w14:paraId="33D85431">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（一）通过转让或者租借等方式从其他单位获取资格或者资质证书投标的。</w:t>
      </w:r>
    </w:p>
    <w:p w14:paraId="4AF4C43B">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（二）由其他单位或者其他单位负责人在投标供应商编制的投标文件上加盖印章或者签字的。</w:t>
      </w:r>
    </w:p>
    <w:p w14:paraId="4CF6DA96">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（三）项目负责人或者主要技术人员不是本单位人员的。</w:t>
      </w:r>
    </w:p>
    <w:p w14:paraId="1A0151E3">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（四）投标保证金不是从投标供应商基本账户转出的。</w:t>
      </w:r>
    </w:p>
    <w:p w14:paraId="0FCE285D">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（五）其他隐瞒真实情况、提供虚假资料的行为。</w:t>
      </w:r>
    </w:p>
    <w:p w14:paraId="51C9497F">
      <w:pPr>
        <w:ind w:firstLine="422" w:firstLineChars="200"/>
        <w:rPr>
          <w:rFonts w:hint="eastAsia" w:ascii="宋体" w:hAnsi="宋体" w:eastAsia="宋体" w:cs="宋体"/>
          <w:b/>
          <w:bCs/>
        </w:rPr>
      </w:pPr>
      <w:r>
        <w:rPr>
          <w:rFonts w:hint="eastAsia" w:ascii="宋体" w:hAnsi="宋体" w:eastAsia="宋体" w:cs="宋体"/>
          <w:b/>
          <w:bCs/>
        </w:rPr>
        <w:t>二、本公司已充分知悉“与其他采购参加人串通投标”的法定情形，相关情形包括但不限于：</w:t>
      </w:r>
    </w:p>
    <w:p w14:paraId="546AA20E">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（一）投标供应商之间相互约定给予未中标的供应商利益补偿。</w:t>
      </w:r>
    </w:p>
    <w:p w14:paraId="6B9A6673">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（二）不同投标供应商的法定代表人、主要经营负责人、项目投标授权代表人、项目负责人、主要技术人员为同一人、属同一单位或者在同一单位缴纳社会保险。</w:t>
      </w:r>
    </w:p>
    <w:p w14:paraId="66F19BD4">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（三）不同投标供应商的投标文件由同一单位或者同一人编制，或者由同一人分阶段参与编制的。</w:t>
      </w:r>
    </w:p>
    <w:p w14:paraId="22D93D5E">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（四）不同投标供应商的投标文件或部分投标文件相互混装。</w:t>
      </w:r>
    </w:p>
    <w:p w14:paraId="2F846538">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（五）不同投标供应商的投标文件内容存在非正常一致。</w:t>
      </w:r>
    </w:p>
    <w:p w14:paraId="4CD8B8DA">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（六）由同一单位工作人员为两家以上（含两家）供应商进行同一项投标活动的。</w:t>
      </w:r>
    </w:p>
    <w:p w14:paraId="74A492A0">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（七）不同投标人的投标报价呈规律性差异。</w:t>
      </w:r>
    </w:p>
    <w:p w14:paraId="390DC257">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（八）不同投标人的投标保证金从同一单位或者个人的账户转出。</w:t>
      </w:r>
    </w:p>
    <w:p w14:paraId="165CE934">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（九）主管部门依照法律、法规认定的其他情形。</w:t>
      </w:r>
    </w:p>
    <w:p w14:paraId="3397B78E">
      <w:pPr>
        <w:ind w:firstLine="422" w:firstLineChars="200"/>
        <w:rPr>
          <w:rFonts w:hint="eastAsia" w:ascii="宋体" w:hAnsi="宋体" w:eastAsia="宋体" w:cs="宋体"/>
          <w:b/>
          <w:bCs/>
        </w:rPr>
      </w:pPr>
      <w:r>
        <w:rPr>
          <w:rFonts w:hint="eastAsia" w:ascii="宋体" w:hAnsi="宋体" w:eastAsia="宋体" w:cs="宋体"/>
          <w:b/>
          <w:bCs/>
        </w:rPr>
        <w:t>三、本公司已充分知悉下列情形所对应的法律风险，并在投标前已对相关风险事项进行排查。</w:t>
      </w:r>
    </w:p>
    <w:p w14:paraId="2DB5DFE4">
      <w:pPr>
        <w:autoSpaceDE w:val="0"/>
        <w:autoSpaceDN w:val="0"/>
        <w:ind w:firstLine="404" w:firstLineChars="200"/>
        <w:rPr>
          <w:rFonts w:hint="eastAsia" w:ascii="宋体" w:hAnsi="宋体" w:eastAsia="宋体" w:cs="宋体"/>
          <w:b/>
          <w:bCs/>
          <w:spacing w:val="-4"/>
        </w:rPr>
      </w:pPr>
      <w:r>
        <w:rPr>
          <w:rFonts w:hint="eastAsia" w:ascii="宋体" w:hAnsi="宋体" w:eastAsia="宋体" w:cs="宋体"/>
          <w:spacing w:val="-4"/>
        </w:rPr>
        <w:t>（一）对于从其他主体获取的投标资料，供应商应审慎核查，确保投标资料的真实性。</w:t>
      </w:r>
      <w:r>
        <w:rPr>
          <w:rFonts w:hint="eastAsia" w:ascii="宋体" w:hAnsi="宋体" w:eastAsia="宋体" w:cs="宋体"/>
          <w:b/>
          <w:bCs/>
          <w:spacing w:val="-4"/>
        </w:rPr>
        <w:t>如主管部门查实投标文件中存在虚假资料的，无论相关资料是否由第三方或本公司员工提供，均不影响主管部门对供应商存在“隐瞒真实情况，提供虚假资料”违法行为的认定。</w:t>
      </w:r>
    </w:p>
    <w:p w14:paraId="4AE6FC4E">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（二）对于涉及国家机关出具的公文、证件、证明材料等文件，一旦涉嫌虚假，经查实，主管部门将依法从严处理，并移送有关部门追究法律责任；涉嫌犯罪的，主管部门将一并移送司法机关追究法律责任。</w:t>
      </w:r>
    </w:p>
    <w:p w14:paraId="09192E1F">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（三）对于涉及安全生产、特种作业、抢险救灾、防疫等政府采购项目，供应商实施提供虚假资料、串通投标等违法行为的，主管部门将依法从严处理。</w:t>
      </w:r>
    </w:p>
    <w:p w14:paraId="02E00D4D">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778F7DA4">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2C49EF92">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5DCCEA2B">
      <w:pPr>
        <w:autoSpaceDE w:val="0"/>
        <w:autoSpaceDN w:val="0"/>
        <w:ind w:firstLine="422" w:firstLineChars="200"/>
        <w:rPr>
          <w:rFonts w:hint="eastAsia" w:ascii="宋体" w:hAnsi="宋体" w:eastAsia="宋体" w:cs="宋体"/>
          <w:b/>
          <w:bCs/>
        </w:rPr>
      </w:pPr>
      <w:r>
        <w:rPr>
          <w:rFonts w:hint="eastAsia" w:ascii="宋体" w:hAnsi="宋体" w:eastAsia="宋体" w:cs="宋体"/>
          <w:b/>
          <w:bCs/>
        </w:rPr>
        <w:t>四、本公司已充分知悉政府采购违法、违规行为的法律后果。</w:t>
      </w:r>
    </w:p>
    <w:p w14:paraId="705E1E4E">
      <w:pPr>
        <w:autoSpaceDE w:val="0"/>
        <w:autoSpaceDN w:val="0"/>
        <w:ind w:firstLine="404" w:firstLineChars="200"/>
        <w:rPr>
          <w:rFonts w:hint="eastAsia" w:ascii="宋体" w:hAnsi="宋体" w:eastAsia="宋体" w:cs="宋体"/>
          <w:spacing w:val="-4"/>
        </w:rPr>
      </w:pPr>
      <w:r>
        <w:rPr>
          <w:rFonts w:hint="eastAsia" w:ascii="宋体" w:hAnsi="宋体" w:eastAsia="宋体" w:cs="宋体"/>
          <w:spacing w:val="-4"/>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7A3DF466">
      <w:pPr>
        <w:autoSpaceDE w:val="0"/>
        <w:autoSpaceDN w:val="0"/>
        <w:ind w:firstLine="406" w:firstLineChars="200"/>
        <w:rPr>
          <w:rFonts w:hint="eastAsia" w:ascii="宋体" w:hAnsi="宋体" w:eastAsia="宋体" w:cs="宋体"/>
          <w:b/>
          <w:bCs/>
          <w:spacing w:val="-4"/>
        </w:rPr>
      </w:pPr>
      <w:r>
        <w:rPr>
          <w:rFonts w:hint="eastAsia" w:ascii="宋体" w:hAnsi="宋体" w:eastAsia="宋体" w:cs="宋体"/>
          <w:b/>
          <w:bCs/>
          <w:spacing w:val="-4"/>
        </w:rPr>
        <w:t>以下文字请投标供应商抄写并确认：“本公司已仔细阅读《政府采购违法行为风险知悉确认书》，充分知悉违法行为的法律后果，并承诺将严谨、诚信、依法依规参与政府采购活动”。</w:t>
      </w:r>
    </w:p>
    <w:tbl>
      <w:tblPr>
        <w:tblStyle w:val="50"/>
        <w:tblW w:w="8522"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1BBFF20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2" w:type="dxa"/>
            <w:tcBorders>
              <w:top w:val="nil"/>
              <w:left w:val="nil"/>
              <w:bottom w:val="single" w:color="000000" w:sz="8" w:space="0"/>
              <w:right w:val="nil"/>
            </w:tcBorders>
            <w:noWrap w:val="0"/>
            <w:vAlign w:val="top"/>
          </w:tcPr>
          <w:p w14:paraId="187BFA1B">
            <w:pPr>
              <w:autoSpaceDE w:val="0"/>
              <w:autoSpaceDN w:val="0"/>
              <w:spacing w:line="400" w:lineRule="exact"/>
              <w:jc w:val="left"/>
              <w:rPr>
                <w:rFonts w:hint="eastAsia" w:ascii="宋体" w:hAnsi="宋体" w:eastAsia="宋体" w:cs="宋体"/>
                <w:spacing w:val="-4"/>
                <w:szCs w:val="21"/>
                <w:highlight w:val="green"/>
              </w:rPr>
            </w:pPr>
          </w:p>
        </w:tc>
      </w:tr>
      <w:tr w14:paraId="7DC68E2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000000" w:sz="8" w:space="0"/>
              <w:left w:val="nil"/>
              <w:bottom w:val="single" w:color="000000" w:sz="8" w:space="0"/>
              <w:right w:val="nil"/>
            </w:tcBorders>
            <w:noWrap w:val="0"/>
            <w:vAlign w:val="top"/>
          </w:tcPr>
          <w:p w14:paraId="35A2288B">
            <w:pPr>
              <w:autoSpaceDE w:val="0"/>
              <w:autoSpaceDN w:val="0"/>
              <w:spacing w:line="400" w:lineRule="exact"/>
              <w:jc w:val="left"/>
              <w:rPr>
                <w:rFonts w:hint="eastAsia" w:ascii="宋体" w:hAnsi="宋体" w:eastAsia="宋体" w:cs="宋体"/>
                <w:spacing w:val="-4"/>
                <w:szCs w:val="21"/>
                <w:highlight w:val="green"/>
              </w:rPr>
            </w:pPr>
          </w:p>
        </w:tc>
      </w:tr>
      <w:tr w14:paraId="1424BB1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000000" w:sz="8" w:space="0"/>
              <w:left w:val="nil"/>
              <w:bottom w:val="single" w:color="000000" w:sz="8" w:space="0"/>
              <w:right w:val="nil"/>
            </w:tcBorders>
            <w:noWrap w:val="0"/>
            <w:vAlign w:val="top"/>
          </w:tcPr>
          <w:p w14:paraId="1B1C5694">
            <w:pPr>
              <w:autoSpaceDE w:val="0"/>
              <w:autoSpaceDN w:val="0"/>
              <w:spacing w:line="400" w:lineRule="exact"/>
              <w:jc w:val="left"/>
              <w:rPr>
                <w:rFonts w:hint="eastAsia" w:ascii="宋体" w:hAnsi="宋体" w:eastAsia="宋体" w:cs="宋体"/>
                <w:spacing w:val="-4"/>
                <w:szCs w:val="21"/>
                <w:highlight w:val="green"/>
              </w:rPr>
            </w:pPr>
          </w:p>
        </w:tc>
      </w:tr>
      <w:tr w14:paraId="7861AC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000000" w:sz="8" w:space="0"/>
              <w:left w:val="nil"/>
              <w:bottom w:val="single" w:color="auto" w:sz="8" w:space="0"/>
              <w:right w:val="nil"/>
            </w:tcBorders>
            <w:noWrap w:val="0"/>
            <w:vAlign w:val="top"/>
          </w:tcPr>
          <w:p w14:paraId="7535185C">
            <w:pPr>
              <w:autoSpaceDE w:val="0"/>
              <w:autoSpaceDN w:val="0"/>
              <w:spacing w:line="400" w:lineRule="exact"/>
              <w:jc w:val="left"/>
              <w:rPr>
                <w:rFonts w:hint="eastAsia" w:ascii="宋体" w:hAnsi="宋体" w:eastAsia="宋体" w:cs="宋体"/>
                <w:spacing w:val="-4"/>
                <w:szCs w:val="21"/>
                <w:highlight w:val="green"/>
              </w:rPr>
            </w:pPr>
          </w:p>
        </w:tc>
      </w:tr>
    </w:tbl>
    <w:p w14:paraId="1E533578">
      <w:pPr>
        <w:autoSpaceDE w:val="0"/>
        <w:autoSpaceDN w:val="0"/>
        <w:ind w:firstLine="404" w:firstLineChars="200"/>
        <w:rPr>
          <w:rFonts w:hint="eastAsia" w:ascii="宋体" w:hAnsi="宋体" w:eastAsia="宋体" w:cs="宋体"/>
          <w:color w:val="FF0000"/>
          <w:spacing w:val="-4"/>
        </w:rPr>
      </w:pPr>
    </w:p>
    <w:p w14:paraId="0BF8907C">
      <w:pPr>
        <w:autoSpaceDE w:val="0"/>
        <w:autoSpaceDN w:val="0"/>
        <w:ind w:right="1180" w:firstLine="404" w:firstLineChars="200"/>
        <w:jc w:val="center"/>
        <w:rPr>
          <w:rFonts w:hint="eastAsia" w:ascii="宋体" w:hAnsi="宋体" w:eastAsia="宋体" w:cs="宋体"/>
          <w:spacing w:val="-4"/>
        </w:rPr>
      </w:pPr>
      <w:r>
        <w:rPr>
          <w:rFonts w:hint="eastAsia" w:ascii="宋体" w:hAnsi="宋体" w:eastAsia="宋体" w:cs="宋体"/>
          <w:spacing w:val="-4"/>
        </w:rPr>
        <w:t xml:space="preserve">                    负责人/投标授权代表签名：                </w:t>
      </w:r>
    </w:p>
    <w:p w14:paraId="10D41FD5">
      <w:pPr>
        <w:wordWrap w:val="0"/>
        <w:autoSpaceDE w:val="0"/>
        <w:autoSpaceDN w:val="0"/>
        <w:ind w:right="1652" w:firstLine="3030" w:firstLineChars="1500"/>
        <w:rPr>
          <w:rFonts w:hint="eastAsia" w:ascii="宋体" w:hAnsi="宋体" w:eastAsia="宋体" w:cs="宋体"/>
          <w:spacing w:val="-4"/>
        </w:rPr>
      </w:pPr>
      <w:r>
        <w:rPr>
          <w:rFonts w:hint="eastAsia" w:ascii="宋体" w:hAnsi="宋体" w:eastAsia="宋体" w:cs="宋体"/>
          <w:spacing w:val="-4"/>
        </w:rPr>
        <w:t xml:space="preserve">知悉人（公章）：     </w:t>
      </w:r>
    </w:p>
    <w:p w14:paraId="1CDC7C20">
      <w:pPr>
        <w:wordWrap w:val="0"/>
        <w:autoSpaceDE w:val="0"/>
        <w:autoSpaceDN w:val="0"/>
        <w:ind w:right="1888" w:firstLine="404" w:firstLineChars="200"/>
        <w:jc w:val="center"/>
        <w:rPr>
          <w:rFonts w:hint="eastAsia" w:ascii="宋体" w:hAnsi="宋体" w:eastAsia="宋体" w:cs="宋体"/>
          <w:spacing w:val="-4"/>
        </w:rPr>
      </w:pPr>
      <w:r>
        <w:rPr>
          <w:rFonts w:hint="eastAsia" w:ascii="宋体" w:hAnsi="宋体" w:eastAsia="宋体" w:cs="宋体"/>
          <w:spacing w:val="-4"/>
        </w:rPr>
        <w:t xml:space="preserve">                     日期：   年  月  日</w:t>
      </w:r>
    </w:p>
    <w:p w14:paraId="1E129D80">
      <w:pPr>
        <w:autoSpaceDE w:val="0"/>
        <w:autoSpaceDN w:val="0"/>
        <w:ind w:right="1888" w:firstLine="404" w:firstLineChars="200"/>
        <w:rPr>
          <w:rFonts w:hint="eastAsia" w:ascii="宋体" w:hAnsi="宋体" w:eastAsia="宋体" w:cs="宋体"/>
          <w:spacing w:val="-4"/>
        </w:rPr>
      </w:pPr>
    </w:p>
    <w:p w14:paraId="5117EF50">
      <w:pPr>
        <w:autoSpaceDE w:val="0"/>
        <w:autoSpaceDN w:val="0"/>
        <w:ind w:right="1888" w:firstLine="404" w:firstLineChars="200"/>
        <w:rPr>
          <w:rFonts w:hint="eastAsia" w:ascii="宋体" w:hAnsi="宋体" w:eastAsia="宋体" w:cs="宋体"/>
          <w:spacing w:val="-4"/>
        </w:rPr>
      </w:pPr>
    </w:p>
    <w:p w14:paraId="44A5CC12">
      <w:pPr>
        <w:autoSpaceDE w:val="0"/>
        <w:autoSpaceDN w:val="0"/>
        <w:ind w:firstLine="406" w:firstLineChars="200"/>
        <w:rPr>
          <w:rFonts w:hint="eastAsia" w:ascii="宋体" w:hAnsi="宋体" w:eastAsia="宋体" w:cs="宋体"/>
          <w:b/>
          <w:bCs/>
          <w:color w:val="FF0000"/>
          <w:spacing w:val="-4"/>
        </w:rPr>
      </w:pPr>
      <w:r>
        <w:rPr>
          <w:rFonts w:hint="eastAsia" w:ascii="宋体" w:hAnsi="宋体" w:eastAsia="宋体" w:cs="宋体"/>
          <w:b/>
          <w:bCs/>
          <w:color w:val="FF0000"/>
          <w:spacing w:val="-4"/>
        </w:rPr>
        <w:t>注：</w:t>
      </w:r>
    </w:p>
    <w:p w14:paraId="778B8A74">
      <w:pPr>
        <w:autoSpaceDE w:val="0"/>
        <w:autoSpaceDN w:val="0"/>
        <w:ind w:firstLine="406" w:firstLineChars="200"/>
        <w:rPr>
          <w:rFonts w:hint="eastAsia" w:ascii="宋体" w:hAnsi="宋体" w:eastAsia="宋体" w:cs="宋体"/>
          <w:b/>
          <w:bCs/>
          <w:color w:val="FF0000"/>
          <w:spacing w:val="-4"/>
        </w:rPr>
      </w:pPr>
      <w:r>
        <w:rPr>
          <w:rFonts w:hint="eastAsia" w:ascii="宋体" w:hAnsi="宋体" w:eastAsia="宋体" w:cs="宋体"/>
          <w:b/>
          <w:bCs/>
          <w:color w:val="FF0000"/>
          <w:spacing w:val="-4"/>
        </w:rPr>
        <w:t>1.政府采购违法行为风险知悉确认书不作为资格性审查及符合性审查条件。</w:t>
      </w:r>
    </w:p>
    <w:p w14:paraId="5461CEF7">
      <w:pPr>
        <w:autoSpaceDE w:val="0"/>
        <w:autoSpaceDN w:val="0"/>
        <w:ind w:firstLine="406" w:firstLineChars="200"/>
        <w:rPr>
          <w:rFonts w:hint="eastAsia" w:ascii="宋体" w:hAnsi="宋体" w:eastAsia="宋体" w:cs="宋体"/>
          <w:b/>
          <w:bCs/>
          <w:color w:val="FF0000"/>
          <w:spacing w:val="-4"/>
        </w:rPr>
      </w:pPr>
      <w:r>
        <w:rPr>
          <w:rFonts w:hint="eastAsia" w:ascii="宋体" w:hAnsi="宋体" w:eastAsia="宋体" w:cs="宋体"/>
          <w:b/>
          <w:bCs/>
          <w:color w:val="FF0000"/>
          <w:spacing w:val="-4"/>
        </w:rPr>
        <w:t>2.投标供应商负责人或投标授权代表签字并加盖单位公章后，扫描上传至投标文件一并提交。</w:t>
      </w:r>
    </w:p>
    <w:p w14:paraId="70AC4368">
      <w:pPr>
        <w:pStyle w:val="6"/>
        <w:jc w:val="center"/>
        <w:rPr>
          <w:rFonts w:hint="eastAsia" w:ascii="宋体" w:hAnsi="宋体" w:eastAsia="宋体" w:cs="宋体"/>
          <w:sz w:val="24"/>
        </w:rPr>
      </w:pPr>
    </w:p>
    <w:p w14:paraId="2DD687DE">
      <w:pPr>
        <w:rPr>
          <w:rFonts w:hint="eastAsia" w:ascii="宋体" w:hAnsi="宋体" w:eastAsia="宋体" w:cs="宋体"/>
          <w:b/>
          <w:bCs/>
          <w:sz w:val="24"/>
        </w:rPr>
      </w:pPr>
    </w:p>
    <w:p w14:paraId="0806DCFE">
      <w:pPr>
        <w:pStyle w:val="2"/>
        <w:rPr>
          <w:rFonts w:hint="eastAsia" w:ascii="宋体" w:hAnsi="宋体" w:eastAsia="宋体" w:cs="宋体"/>
        </w:rPr>
      </w:pPr>
    </w:p>
    <w:p w14:paraId="5957C703">
      <w:pPr>
        <w:rPr>
          <w:rFonts w:hint="eastAsia" w:ascii="宋体" w:hAnsi="宋体" w:eastAsia="宋体" w:cs="宋体"/>
          <w:b/>
          <w:bCs/>
          <w:sz w:val="24"/>
        </w:rPr>
      </w:pPr>
    </w:p>
    <w:p w14:paraId="62AD22A7">
      <w:pPr>
        <w:pStyle w:val="2"/>
        <w:rPr>
          <w:rFonts w:hint="eastAsia" w:ascii="宋体" w:hAnsi="宋体" w:eastAsia="宋体" w:cs="宋体"/>
        </w:rPr>
      </w:pPr>
    </w:p>
    <w:p w14:paraId="7C8313B5">
      <w:pPr>
        <w:widowControl/>
        <w:wordWrap w:val="0"/>
        <w:spacing w:line="360" w:lineRule="auto"/>
        <w:ind w:firstLine="420"/>
        <w:jc w:val="left"/>
        <w:rPr>
          <w:rFonts w:hint="eastAsia" w:ascii="宋体" w:hAnsi="宋体" w:eastAsia="宋体" w:cs="宋体"/>
          <w:sz w:val="24"/>
        </w:rPr>
      </w:pPr>
    </w:p>
    <w:p w14:paraId="78942DB1">
      <w:pPr>
        <w:widowControl/>
        <w:wordWrap w:val="0"/>
        <w:spacing w:line="360" w:lineRule="auto"/>
        <w:ind w:firstLine="420"/>
        <w:jc w:val="left"/>
        <w:rPr>
          <w:rFonts w:hint="eastAsia" w:ascii="宋体" w:hAnsi="宋体" w:eastAsia="宋体" w:cs="宋体"/>
          <w:sz w:val="24"/>
        </w:rPr>
      </w:pPr>
    </w:p>
    <w:p w14:paraId="34A50469">
      <w:pPr>
        <w:widowControl/>
        <w:wordWrap w:val="0"/>
        <w:spacing w:line="360" w:lineRule="auto"/>
        <w:ind w:firstLine="420"/>
        <w:jc w:val="left"/>
        <w:rPr>
          <w:rFonts w:hint="eastAsia" w:ascii="宋体" w:hAnsi="宋体" w:eastAsia="宋体" w:cs="宋体"/>
          <w:sz w:val="24"/>
        </w:rPr>
      </w:pPr>
    </w:p>
    <w:p w14:paraId="079B0DC1">
      <w:pPr>
        <w:widowControl/>
        <w:wordWrap w:val="0"/>
        <w:spacing w:line="360" w:lineRule="auto"/>
        <w:ind w:firstLine="420"/>
        <w:jc w:val="left"/>
        <w:rPr>
          <w:rFonts w:hint="eastAsia" w:ascii="宋体" w:hAnsi="宋体" w:eastAsia="宋体" w:cs="宋体"/>
          <w:sz w:val="24"/>
        </w:rPr>
      </w:pPr>
    </w:p>
    <w:p w14:paraId="27624394">
      <w:pPr>
        <w:widowControl/>
        <w:wordWrap w:val="0"/>
        <w:spacing w:line="360" w:lineRule="auto"/>
        <w:ind w:firstLine="420"/>
        <w:jc w:val="left"/>
        <w:rPr>
          <w:rFonts w:hint="eastAsia" w:ascii="宋体" w:hAnsi="宋体" w:eastAsia="宋体" w:cs="宋体"/>
          <w:sz w:val="24"/>
        </w:rPr>
      </w:pPr>
    </w:p>
    <w:p w14:paraId="5CDF185B">
      <w:pPr>
        <w:widowControl/>
        <w:wordWrap w:val="0"/>
        <w:spacing w:line="360" w:lineRule="auto"/>
        <w:ind w:firstLine="420"/>
        <w:jc w:val="left"/>
        <w:rPr>
          <w:rFonts w:hint="eastAsia" w:ascii="宋体" w:hAnsi="宋体" w:eastAsia="宋体" w:cs="宋体"/>
          <w:sz w:val="24"/>
        </w:rPr>
      </w:pPr>
    </w:p>
    <w:p w14:paraId="64832231">
      <w:pPr>
        <w:widowControl/>
        <w:wordWrap w:val="0"/>
        <w:spacing w:line="360" w:lineRule="auto"/>
        <w:ind w:firstLine="420"/>
        <w:jc w:val="left"/>
        <w:rPr>
          <w:rFonts w:hint="eastAsia" w:ascii="宋体" w:hAnsi="宋体" w:eastAsia="宋体" w:cs="宋体"/>
          <w:sz w:val="24"/>
        </w:rPr>
      </w:pPr>
    </w:p>
    <w:p w14:paraId="7F5C1F81">
      <w:pPr>
        <w:widowControl/>
        <w:wordWrap w:val="0"/>
        <w:spacing w:line="360" w:lineRule="auto"/>
        <w:ind w:firstLine="420"/>
        <w:jc w:val="left"/>
        <w:rPr>
          <w:rFonts w:hint="eastAsia" w:ascii="宋体" w:hAnsi="宋体" w:eastAsia="宋体" w:cs="宋体"/>
          <w:sz w:val="24"/>
        </w:rPr>
      </w:pPr>
    </w:p>
    <w:p w14:paraId="6546B23B">
      <w:pPr>
        <w:widowControl/>
        <w:wordWrap w:val="0"/>
        <w:spacing w:line="360" w:lineRule="auto"/>
        <w:jc w:val="left"/>
        <w:rPr>
          <w:rFonts w:hint="eastAsia" w:ascii="宋体" w:hAnsi="宋体" w:eastAsia="宋体" w:cs="宋体"/>
          <w:sz w:val="24"/>
        </w:rPr>
      </w:pPr>
    </w:p>
    <w:p w14:paraId="4BC7279A">
      <w:pPr>
        <w:keepNext w:val="0"/>
        <w:keepLines w:val="0"/>
        <w:pageBreakBefore w:val="0"/>
        <w:widowControl/>
        <w:numPr>
          <w:ilvl w:val="0"/>
          <w:numId w:val="8"/>
        </w:numPr>
        <w:kinsoku/>
        <w:wordWrap w:val="0"/>
        <w:overflowPunct/>
        <w:topLinePunct w:val="0"/>
        <w:autoSpaceDE/>
        <w:autoSpaceDN/>
        <w:bidi w:val="0"/>
        <w:adjustRightInd/>
        <w:snapToGrid/>
        <w:spacing w:line="280" w:lineRule="exact"/>
        <w:ind w:firstLine="2168" w:firstLineChars="900"/>
        <w:jc w:val="left"/>
        <w:textAlignment w:val="auto"/>
        <w:rPr>
          <w:rFonts w:hint="eastAsia" w:ascii="宋体" w:hAnsi="宋体" w:eastAsia="宋体" w:cs="宋体"/>
          <w:b/>
          <w:bCs/>
          <w:kern w:val="0"/>
          <w:sz w:val="24"/>
        </w:rPr>
      </w:pPr>
      <w:r>
        <w:rPr>
          <w:rFonts w:hint="eastAsia" w:ascii="宋体" w:hAnsi="宋体" w:eastAsia="宋体" w:cs="宋体"/>
          <w:b/>
          <w:bCs/>
          <w:kern w:val="0"/>
          <w:sz w:val="24"/>
        </w:rPr>
        <w:t>政府采购投标及履约承诺函</w:t>
      </w:r>
    </w:p>
    <w:p w14:paraId="7194DB7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宋体" w:hAnsi="宋体" w:eastAsia="宋体" w:cs="宋体"/>
          <w:b/>
          <w:bCs/>
          <w:kern w:val="0"/>
          <w:sz w:val="24"/>
        </w:rPr>
      </w:pPr>
    </w:p>
    <w:p w14:paraId="0C720DFE">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sz w:val="24"/>
        </w:rPr>
      </w:pPr>
      <w:r>
        <w:rPr>
          <w:rFonts w:hint="eastAsia" w:ascii="宋体" w:hAnsi="宋体" w:eastAsia="宋体" w:cs="宋体"/>
          <w:sz w:val="24"/>
        </w:rPr>
        <w:t>致：深圳市广得信工程造价咨询有限公司</w:t>
      </w:r>
    </w:p>
    <w:p w14:paraId="5CD5B719">
      <w:pPr>
        <w:keepNext w:val="0"/>
        <w:keepLines w:val="0"/>
        <w:pageBreakBefore w:val="0"/>
        <w:kinsoku/>
        <w:overflowPunct/>
        <w:topLinePunct w:val="0"/>
        <w:autoSpaceDE/>
        <w:autoSpaceDN/>
        <w:bidi w:val="0"/>
        <w:adjustRightInd/>
        <w:snapToGrid/>
        <w:spacing w:line="280" w:lineRule="exact"/>
        <w:ind w:right="-815" w:firstLine="480" w:firstLineChars="200"/>
        <w:textAlignment w:val="auto"/>
        <w:rPr>
          <w:rFonts w:hint="eastAsia" w:ascii="宋体" w:hAnsi="宋体" w:eastAsia="宋体" w:cs="宋体"/>
          <w:sz w:val="24"/>
        </w:rPr>
      </w:pPr>
      <w:r>
        <w:rPr>
          <w:rFonts w:hint="eastAsia" w:ascii="宋体" w:hAnsi="宋体" w:eastAsia="宋体" w:cs="宋体"/>
          <w:sz w:val="24"/>
        </w:rPr>
        <w:t>我单位承诺：</w:t>
      </w:r>
    </w:p>
    <w:p w14:paraId="5AF1C9F8">
      <w:pPr>
        <w:keepNext w:val="0"/>
        <w:keepLines w:val="0"/>
        <w:pageBreakBefore w:val="0"/>
        <w:kinsoku/>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1、我单位本招标项目所提供的货物或服务未侵犯知识产权。</w:t>
      </w:r>
    </w:p>
    <w:p w14:paraId="13E48EF4">
      <w:pPr>
        <w:keepNext w:val="0"/>
        <w:keepLines w:val="0"/>
        <w:pageBreakBefore w:val="0"/>
        <w:kinsoku/>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2、我单位参与本项目投标前三年内，在经营活动中没有重大违法记录。</w:t>
      </w:r>
    </w:p>
    <w:p w14:paraId="04750E96">
      <w:pPr>
        <w:keepNext w:val="0"/>
        <w:keepLines w:val="0"/>
        <w:pageBreakBefore w:val="0"/>
        <w:kinsoku/>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3、我单位参与本项目</w:t>
      </w:r>
      <w:r>
        <w:rPr>
          <w:rFonts w:hint="eastAsia" w:ascii="宋体" w:hAnsi="宋体" w:eastAsia="宋体" w:cs="宋体"/>
          <w:sz w:val="24"/>
          <w:szCs w:val="32"/>
        </w:rPr>
        <w:t>政府采购活动时不存在被有关部门禁止参与政府采购活动且在有效期内的情况。</w:t>
      </w:r>
    </w:p>
    <w:p w14:paraId="25CCFC1C">
      <w:pPr>
        <w:keepNext w:val="0"/>
        <w:keepLines w:val="0"/>
        <w:pageBreakBefore w:val="0"/>
        <w:kinsoku/>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4、我单位具备《中华人民共和国政府采购法》第二十二条第一款规定的六项条件。</w:t>
      </w:r>
    </w:p>
    <w:p w14:paraId="0E0EA425">
      <w:pPr>
        <w:keepNext w:val="0"/>
        <w:keepLines w:val="0"/>
        <w:pageBreakBefore w:val="0"/>
        <w:kinsoku/>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5、我单位</w:t>
      </w:r>
      <w:r>
        <w:rPr>
          <w:rFonts w:hint="eastAsia" w:ascii="宋体" w:hAnsi="宋体" w:eastAsia="宋体" w:cs="宋体"/>
          <w:sz w:val="24"/>
          <w:szCs w:val="32"/>
        </w:rPr>
        <w:t>未被列入失信被执行人、重大税收违法案件当事人名单、政府采购严重违法失信行为记录名单</w:t>
      </w:r>
    </w:p>
    <w:p w14:paraId="589AB928">
      <w:pPr>
        <w:keepNext w:val="0"/>
        <w:keepLines w:val="0"/>
        <w:pageBreakBefore w:val="0"/>
        <w:kinsoku/>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9398500">
      <w:pPr>
        <w:keepNext w:val="0"/>
        <w:keepLines w:val="0"/>
        <w:pageBreakBefore w:val="0"/>
        <w:kinsoku/>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7693439">
      <w:pPr>
        <w:keepNext w:val="0"/>
        <w:keepLines w:val="0"/>
        <w:pageBreakBefore w:val="0"/>
        <w:kinsoku/>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FE12E4D">
      <w:pPr>
        <w:keepNext w:val="0"/>
        <w:keepLines w:val="0"/>
        <w:pageBreakBefore w:val="0"/>
        <w:kinsoku/>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C3ECD8D">
      <w:pPr>
        <w:keepNext w:val="0"/>
        <w:keepLines w:val="0"/>
        <w:pageBreakBefore w:val="0"/>
        <w:kinsoku/>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9、我单位承诺中标后项目不转包，未经采购人同意不进行分包。</w:t>
      </w:r>
    </w:p>
    <w:p w14:paraId="5692A13F">
      <w:pPr>
        <w:keepNext w:val="0"/>
        <w:keepLines w:val="0"/>
        <w:pageBreakBefore w:val="0"/>
        <w:kinsoku/>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rPr>
        <w:t>10、</w:t>
      </w:r>
      <w:r>
        <w:rPr>
          <w:rFonts w:hint="eastAsia" w:ascii="宋体" w:hAnsi="宋体" w:eastAsia="宋体" w:cs="宋体"/>
          <w:sz w:val="24"/>
          <w:szCs w:val="32"/>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BC2A5BB">
      <w:pPr>
        <w:keepNext w:val="0"/>
        <w:keepLines w:val="0"/>
        <w:pageBreakBefore w:val="0"/>
        <w:kinsoku/>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11、我单位保证，若所投货物涉及《财政部生态环境部关于印发节能产品政府采购品目清单的通知》（财库〔2019〕19号）列明的政府采购强制产品，则所投该产品符合节能产品的认证要求。</w:t>
      </w:r>
    </w:p>
    <w:p w14:paraId="38226F5D">
      <w:pPr>
        <w:keepNext w:val="0"/>
        <w:keepLines w:val="0"/>
        <w:pageBreakBefore w:val="0"/>
        <w:kinsoku/>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12、</w:t>
      </w:r>
      <w:r>
        <w:rPr>
          <w:rFonts w:hint="eastAsia" w:ascii="宋体" w:hAnsi="宋体" w:eastAsia="宋体" w:cs="宋体"/>
          <w:sz w:val="24"/>
        </w:rPr>
        <w:t>我单位承诺，与其他投标供应商不存在单位负责人为同一人或者存在直接控股、管理关系；未对本次采购项目提供整体设计、规范编制或者项目管理、监理、检测等服务。</w:t>
      </w:r>
    </w:p>
    <w:p w14:paraId="6FD38242">
      <w:pPr>
        <w:keepNext w:val="0"/>
        <w:keepLines w:val="0"/>
        <w:pageBreakBefore w:val="0"/>
        <w:kinsoku/>
        <w:overflowPunct/>
        <w:topLinePunct w:val="0"/>
        <w:autoSpaceDE/>
        <w:autoSpaceDN/>
        <w:bidi w:val="0"/>
        <w:adjustRightInd/>
        <w:snapToGrid/>
        <w:spacing w:line="2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以上承诺，如有违反，愿依照国家相关法律法规处理，并承担由此给采购人带来的损失。</w:t>
      </w:r>
    </w:p>
    <w:p w14:paraId="5D61EF90">
      <w:pPr>
        <w:keepNext w:val="0"/>
        <w:keepLines w:val="0"/>
        <w:pageBreakBefore w:val="0"/>
        <w:kinsoku/>
        <w:overflowPunct/>
        <w:topLinePunct w:val="0"/>
        <w:autoSpaceDE/>
        <w:autoSpaceDN/>
        <w:bidi w:val="0"/>
        <w:adjustRightInd/>
        <w:snapToGrid/>
        <w:spacing w:before="78" w:beforeLines="25" w:after="78" w:afterLines="25" w:line="280" w:lineRule="exact"/>
        <w:textAlignment w:val="auto"/>
        <w:rPr>
          <w:rFonts w:hint="eastAsia" w:ascii="宋体" w:hAnsi="宋体" w:eastAsia="宋体" w:cs="宋体"/>
          <w:sz w:val="24"/>
        </w:rPr>
      </w:pPr>
    </w:p>
    <w:p w14:paraId="4CCD0A07">
      <w:pPr>
        <w:keepNext w:val="0"/>
        <w:keepLines w:val="0"/>
        <w:pageBreakBefore w:val="0"/>
        <w:kinsoku/>
        <w:overflowPunct/>
        <w:topLinePunct w:val="0"/>
        <w:autoSpaceDE/>
        <w:autoSpaceDN/>
        <w:bidi w:val="0"/>
        <w:adjustRightInd/>
        <w:snapToGrid/>
        <w:spacing w:before="78" w:beforeLines="25" w:after="78" w:afterLines="25" w:line="280" w:lineRule="exact"/>
        <w:ind w:firstLine="5520" w:firstLineChars="2300"/>
        <w:jc w:val="left"/>
        <w:textAlignment w:val="auto"/>
        <w:rPr>
          <w:rFonts w:hint="eastAsia" w:ascii="宋体" w:hAnsi="宋体" w:eastAsia="宋体" w:cs="宋体"/>
          <w:sz w:val="24"/>
          <w:szCs w:val="32"/>
        </w:rPr>
      </w:pPr>
      <w:r>
        <w:rPr>
          <w:rFonts w:hint="eastAsia" w:ascii="宋体" w:hAnsi="宋体" w:eastAsia="宋体" w:cs="宋体"/>
          <w:sz w:val="24"/>
        </w:rPr>
        <w:t>投标人：</w:t>
      </w:r>
      <w:r>
        <w:rPr>
          <w:rFonts w:hint="eastAsia" w:ascii="宋体" w:hAnsi="宋体" w:eastAsia="宋体" w:cs="宋体"/>
          <w:sz w:val="24"/>
          <w:u w:val="single"/>
        </w:rPr>
        <w:t xml:space="preserve">          </w:t>
      </w:r>
    </w:p>
    <w:p w14:paraId="547E4702">
      <w:pPr>
        <w:keepNext w:val="0"/>
        <w:keepLines w:val="0"/>
        <w:pageBreakBefore w:val="0"/>
        <w:kinsoku/>
        <w:overflowPunct/>
        <w:topLinePunct w:val="0"/>
        <w:autoSpaceDE/>
        <w:autoSpaceDN/>
        <w:bidi w:val="0"/>
        <w:adjustRightInd/>
        <w:snapToGrid/>
        <w:spacing w:line="280" w:lineRule="exact"/>
        <w:ind w:firstLine="5520" w:firstLineChars="2300"/>
        <w:jc w:val="left"/>
        <w:textAlignment w:val="auto"/>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490AF52">
      <w:pPr>
        <w:pStyle w:val="2"/>
        <w:keepNext w:val="0"/>
        <w:keepLines w:val="0"/>
        <w:pageBreakBefore w:val="0"/>
        <w:kinsoku/>
        <w:overflowPunct/>
        <w:topLinePunct w:val="0"/>
        <w:autoSpaceDE/>
        <w:autoSpaceDN/>
        <w:bidi w:val="0"/>
        <w:adjustRightInd/>
        <w:snapToGrid/>
        <w:spacing w:line="280" w:lineRule="exact"/>
        <w:ind w:firstLine="420" w:firstLineChars="200"/>
        <w:jc w:val="left"/>
        <w:textAlignment w:val="auto"/>
        <w:rPr>
          <w:rFonts w:hint="eastAsia" w:ascii="宋体" w:hAnsi="宋体" w:eastAsia="宋体" w:cs="宋体"/>
          <w:b w:val="0"/>
          <w:bCs w:val="0"/>
          <w:sz w:val="21"/>
          <w:szCs w:val="21"/>
        </w:rPr>
      </w:pPr>
    </w:p>
    <w:p w14:paraId="7EB43C69">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rPr>
      </w:pPr>
    </w:p>
    <w:p w14:paraId="19335D45">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rPr>
      </w:pPr>
    </w:p>
    <w:p w14:paraId="06418770">
      <w:pPr>
        <w:jc w:val="center"/>
        <w:outlineLvl w:val="2"/>
        <w:rPr>
          <w:rFonts w:hint="eastAsia" w:ascii="宋体" w:hAnsi="宋体" w:eastAsia="宋体" w:cs="宋体"/>
          <w:b/>
          <w:bCs/>
          <w:sz w:val="24"/>
          <w:szCs w:val="32"/>
        </w:rPr>
      </w:pPr>
      <w:r>
        <w:rPr>
          <w:rFonts w:hint="eastAsia" w:ascii="宋体" w:hAnsi="宋体" w:eastAsia="宋体" w:cs="宋体"/>
          <w:b/>
          <w:bCs/>
          <w:sz w:val="24"/>
          <w:szCs w:val="32"/>
        </w:rPr>
        <w:t>六、供应商情况介绍及资格证明文件</w:t>
      </w:r>
    </w:p>
    <w:p w14:paraId="1D6D82AE">
      <w:pPr>
        <w:pStyle w:val="2"/>
        <w:rPr>
          <w:rFonts w:hint="eastAsia" w:ascii="宋体" w:hAnsi="宋体" w:eastAsia="宋体" w:cs="宋体"/>
        </w:rPr>
      </w:pPr>
    </w:p>
    <w:p w14:paraId="23A78292">
      <w:pPr>
        <w:ind w:left="630" w:hanging="632" w:hangingChars="300"/>
        <w:rPr>
          <w:rFonts w:hint="eastAsia" w:ascii="宋体" w:hAnsi="宋体" w:eastAsia="宋体" w:cs="宋体"/>
          <w:bCs/>
          <w:szCs w:val="21"/>
        </w:rPr>
      </w:pPr>
      <w:r>
        <w:rPr>
          <w:rFonts w:hint="eastAsia" w:ascii="宋体" w:hAnsi="宋体" w:eastAsia="宋体" w:cs="宋体"/>
          <w:b/>
          <w:bCs/>
        </w:rPr>
        <w:t xml:space="preserve">1. 供应商基本情况表： </w:t>
      </w:r>
    </w:p>
    <w:p w14:paraId="735B8637">
      <w:pPr>
        <w:pStyle w:val="46"/>
        <w:snapToGrid w:val="0"/>
        <w:spacing w:before="0" w:after="0" w:line="240" w:lineRule="auto"/>
        <w:rPr>
          <w:rFonts w:hint="eastAsia" w:ascii="宋体" w:hAnsi="宋体" w:eastAsia="宋体" w:cs="宋体"/>
          <w:b w:val="0"/>
          <w:bCs w:val="0"/>
          <w:color w:val="auto"/>
          <w:sz w:val="44"/>
          <w:szCs w:val="44"/>
          <w:highlight w:val="none"/>
          <w:lang w:val="en-US" w:eastAsia="zh-CN"/>
        </w:rPr>
      </w:pPr>
    </w:p>
    <w:p w14:paraId="7D475B50">
      <w:pPr>
        <w:pStyle w:val="46"/>
        <w:snapToGrid w:val="0"/>
        <w:spacing w:before="0" w:after="0" w:line="240" w:lineRule="auto"/>
        <w:rPr>
          <w:rFonts w:hint="eastAsia" w:ascii="宋体" w:hAnsi="宋体" w:eastAsia="宋体" w:cs="宋体"/>
          <w:b w:val="0"/>
          <w:bCs w:val="0"/>
          <w:color w:val="auto"/>
          <w:sz w:val="44"/>
          <w:szCs w:val="44"/>
          <w:highlight w:val="none"/>
          <w:lang w:val="en-US" w:eastAsia="zh-CN"/>
        </w:rPr>
      </w:pPr>
      <w:r>
        <w:rPr>
          <w:rFonts w:hint="eastAsia" w:ascii="宋体" w:hAnsi="宋体" w:eastAsia="宋体" w:cs="宋体"/>
          <w:b w:val="0"/>
          <w:bCs w:val="0"/>
          <w:color w:val="auto"/>
          <w:sz w:val="44"/>
          <w:szCs w:val="44"/>
          <w:highlight w:val="none"/>
          <w:lang w:val="en-US" w:eastAsia="zh-CN"/>
        </w:rPr>
        <w:t>供应商基本情况表</w:t>
      </w:r>
    </w:p>
    <w:tbl>
      <w:tblPr>
        <w:tblStyle w:val="51"/>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79B9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6A8320E7">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2553" w:type="dxa"/>
            <w:gridSpan w:val="2"/>
            <w:noWrap w:val="0"/>
            <w:vAlign w:val="center"/>
          </w:tcPr>
          <w:p w14:paraId="6BDFA387">
            <w:pPr>
              <w:jc w:val="center"/>
              <w:rPr>
                <w:rFonts w:hint="eastAsia" w:ascii="宋体" w:hAnsi="宋体" w:eastAsia="宋体" w:cs="宋体"/>
                <w:color w:val="auto"/>
                <w:sz w:val="24"/>
                <w:szCs w:val="24"/>
                <w:vertAlign w:val="baseline"/>
                <w:lang w:val="en-US" w:eastAsia="zh-CN"/>
              </w:rPr>
            </w:pPr>
          </w:p>
        </w:tc>
        <w:tc>
          <w:tcPr>
            <w:tcW w:w="1991" w:type="dxa"/>
            <w:gridSpan w:val="2"/>
            <w:noWrap w:val="0"/>
            <w:vAlign w:val="center"/>
          </w:tcPr>
          <w:p w14:paraId="139EC5C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2985" w:type="dxa"/>
            <w:gridSpan w:val="2"/>
            <w:noWrap w:val="0"/>
            <w:vAlign w:val="center"/>
          </w:tcPr>
          <w:p w14:paraId="375ADD71">
            <w:pPr>
              <w:jc w:val="center"/>
              <w:rPr>
                <w:rFonts w:hint="eastAsia" w:ascii="宋体" w:hAnsi="宋体" w:eastAsia="宋体" w:cs="宋体"/>
                <w:color w:val="auto"/>
                <w:sz w:val="24"/>
                <w:szCs w:val="24"/>
                <w:vertAlign w:val="baseline"/>
                <w:lang w:val="en-US" w:eastAsia="zh-CN"/>
              </w:rPr>
            </w:pPr>
          </w:p>
        </w:tc>
      </w:tr>
      <w:tr w14:paraId="5B89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39B8B0AB">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50A3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6812BD0A">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2282" w:type="dxa"/>
            <w:gridSpan w:val="2"/>
            <w:tcBorders>
              <w:bottom w:val="single" w:color="auto" w:sz="4" w:space="0"/>
            </w:tcBorders>
            <w:noWrap w:val="0"/>
            <w:vAlign w:val="center"/>
          </w:tcPr>
          <w:p w14:paraId="4BD3E990">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947" w:type="dxa"/>
            <w:tcBorders>
              <w:bottom w:val="single" w:color="auto" w:sz="4" w:space="0"/>
            </w:tcBorders>
            <w:noWrap w:val="0"/>
            <w:vAlign w:val="center"/>
          </w:tcPr>
          <w:p w14:paraId="2A3CDBD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991" w:type="dxa"/>
            <w:gridSpan w:val="2"/>
            <w:tcBorders>
              <w:bottom w:val="single" w:color="auto" w:sz="4" w:space="0"/>
            </w:tcBorders>
            <w:noWrap w:val="0"/>
            <w:vAlign w:val="center"/>
          </w:tcPr>
          <w:p w14:paraId="70525749">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1500" w:type="dxa"/>
            <w:tcBorders>
              <w:bottom w:val="single" w:color="auto" w:sz="4" w:space="0"/>
            </w:tcBorders>
            <w:noWrap w:val="0"/>
            <w:vAlign w:val="center"/>
          </w:tcPr>
          <w:p w14:paraId="6D31BDCB">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51263B">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1485" w:type="dxa"/>
            <w:tcBorders>
              <w:bottom w:val="single" w:color="auto" w:sz="4" w:space="0"/>
            </w:tcBorders>
            <w:noWrap w:val="0"/>
            <w:vAlign w:val="center"/>
          </w:tcPr>
          <w:p w14:paraId="10D441AE">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48AD1F9E">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934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104864B">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62A6B5D">
            <w:pPr>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74BDB2D">
            <w:pPr>
              <w:jc w:val="center"/>
              <w:rPr>
                <w:rFonts w:hint="eastAsia" w:ascii="宋体" w:hAnsi="宋体" w:eastAsia="宋体" w:cs="宋体"/>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62BDE6F">
            <w:pPr>
              <w:jc w:val="center"/>
              <w:rPr>
                <w:rFonts w:hint="eastAsia" w:ascii="宋体" w:hAnsi="宋体" w:eastAsia="宋体" w:cs="宋体"/>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4716663">
            <w:pPr>
              <w:jc w:val="center"/>
              <w:rPr>
                <w:rFonts w:hint="eastAsia" w:ascii="宋体" w:hAnsi="宋体" w:eastAsia="宋体" w:cs="宋体"/>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6611A45">
            <w:pPr>
              <w:jc w:val="center"/>
              <w:rPr>
                <w:rFonts w:hint="eastAsia" w:ascii="宋体" w:hAnsi="宋体" w:eastAsia="宋体" w:cs="宋体"/>
                <w:color w:val="auto"/>
                <w:sz w:val="24"/>
                <w:szCs w:val="24"/>
                <w:vertAlign w:val="baseline"/>
                <w:lang w:val="en-US" w:eastAsia="zh-CN"/>
              </w:rPr>
            </w:pPr>
          </w:p>
        </w:tc>
      </w:tr>
      <w:tr w14:paraId="6DC1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B4E6B53">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FFECB40">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7046A96">
            <w:pPr>
              <w:jc w:val="center"/>
              <w:rPr>
                <w:rFonts w:hint="eastAsia" w:ascii="宋体" w:hAnsi="宋体" w:eastAsia="宋体" w:cs="宋体"/>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72A5178F">
            <w:pPr>
              <w:jc w:val="center"/>
              <w:rPr>
                <w:rFonts w:hint="eastAsia" w:ascii="宋体" w:hAnsi="宋体" w:eastAsia="宋体" w:cs="宋体"/>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9485F2D">
            <w:pPr>
              <w:jc w:val="center"/>
              <w:rPr>
                <w:rFonts w:hint="eastAsia" w:ascii="宋体" w:hAnsi="宋体" w:eastAsia="宋体" w:cs="宋体"/>
                <w:color w:val="auto"/>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B361D39">
            <w:pPr>
              <w:jc w:val="center"/>
              <w:rPr>
                <w:rFonts w:hint="eastAsia" w:ascii="宋体" w:hAnsi="宋体" w:eastAsia="宋体" w:cs="宋体"/>
                <w:color w:val="auto"/>
                <w:sz w:val="24"/>
                <w:szCs w:val="24"/>
                <w:vertAlign w:val="baseline"/>
                <w:lang w:val="en-US" w:eastAsia="zh-CN"/>
              </w:rPr>
            </w:pPr>
          </w:p>
        </w:tc>
      </w:tr>
      <w:tr w14:paraId="3646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6BDD9950">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3</w:t>
            </w:r>
          </w:p>
        </w:tc>
        <w:tc>
          <w:tcPr>
            <w:tcW w:w="2282" w:type="dxa"/>
            <w:gridSpan w:val="2"/>
            <w:tcBorders>
              <w:top w:val="single" w:color="auto" w:sz="4" w:space="0"/>
            </w:tcBorders>
            <w:noWrap w:val="0"/>
            <w:vAlign w:val="center"/>
          </w:tcPr>
          <w:p w14:paraId="1D6369CB">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947" w:type="dxa"/>
            <w:tcBorders>
              <w:top w:val="single" w:color="auto" w:sz="4" w:space="0"/>
            </w:tcBorders>
            <w:noWrap w:val="0"/>
            <w:vAlign w:val="center"/>
          </w:tcPr>
          <w:p w14:paraId="53179D27">
            <w:pPr>
              <w:jc w:val="center"/>
              <w:rPr>
                <w:rFonts w:hint="eastAsia" w:ascii="宋体" w:hAnsi="宋体" w:eastAsia="宋体" w:cs="宋体"/>
                <w:color w:val="auto"/>
                <w:sz w:val="24"/>
                <w:szCs w:val="24"/>
                <w:vertAlign w:val="baseline"/>
                <w:lang w:val="en-US" w:eastAsia="zh-CN"/>
              </w:rPr>
            </w:pPr>
          </w:p>
        </w:tc>
        <w:tc>
          <w:tcPr>
            <w:tcW w:w="1991" w:type="dxa"/>
            <w:gridSpan w:val="2"/>
            <w:tcBorders>
              <w:top w:val="single" w:color="auto" w:sz="4" w:space="0"/>
            </w:tcBorders>
            <w:noWrap w:val="0"/>
            <w:vAlign w:val="center"/>
          </w:tcPr>
          <w:p w14:paraId="3CD6B81C">
            <w:pPr>
              <w:jc w:val="center"/>
              <w:rPr>
                <w:rFonts w:hint="eastAsia" w:ascii="宋体" w:hAnsi="宋体" w:eastAsia="宋体" w:cs="宋体"/>
                <w:color w:val="auto"/>
                <w:sz w:val="24"/>
                <w:szCs w:val="24"/>
                <w:vertAlign w:val="baseline"/>
                <w:lang w:val="en-US" w:eastAsia="zh-CN"/>
              </w:rPr>
            </w:pPr>
          </w:p>
        </w:tc>
        <w:tc>
          <w:tcPr>
            <w:tcW w:w="1500" w:type="dxa"/>
            <w:tcBorders>
              <w:top w:val="single" w:color="auto" w:sz="4" w:space="0"/>
            </w:tcBorders>
            <w:noWrap w:val="0"/>
            <w:vAlign w:val="center"/>
          </w:tcPr>
          <w:p w14:paraId="62E12FD2">
            <w:pPr>
              <w:jc w:val="center"/>
              <w:rPr>
                <w:rFonts w:hint="eastAsia" w:ascii="宋体" w:hAnsi="宋体" w:eastAsia="宋体" w:cs="宋体"/>
                <w:color w:val="auto"/>
                <w:sz w:val="24"/>
                <w:szCs w:val="24"/>
                <w:vertAlign w:val="baseline"/>
                <w:lang w:val="en-US" w:eastAsia="zh-CN"/>
              </w:rPr>
            </w:pPr>
          </w:p>
        </w:tc>
        <w:tc>
          <w:tcPr>
            <w:tcW w:w="1485" w:type="dxa"/>
            <w:tcBorders>
              <w:top w:val="single" w:color="auto" w:sz="4" w:space="0"/>
            </w:tcBorders>
            <w:noWrap w:val="0"/>
            <w:vAlign w:val="center"/>
          </w:tcPr>
          <w:p w14:paraId="7C8D38D7">
            <w:pPr>
              <w:jc w:val="center"/>
              <w:rPr>
                <w:rFonts w:hint="eastAsia" w:ascii="宋体" w:hAnsi="宋体" w:eastAsia="宋体" w:cs="宋体"/>
                <w:color w:val="auto"/>
                <w:sz w:val="24"/>
                <w:szCs w:val="24"/>
                <w:vertAlign w:val="baseline"/>
                <w:lang w:val="en-US" w:eastAsia="zh-CN"/>
              </w:rPr>
            </w:pPr>
          </w:p>
        </w:tc>
      </w:tr>
      <w:tr w14:paraId="3D53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36ED89F6">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4</w:t>
            </w:r>
          </w:p>
        </w:tc>
        <w:tc>
          <w:tcPr>
            <w:tcW w:w="2282" w:type="dxa"/>
            <w:gridSpan w:val="2"/>
            <w:noWrap w:val="0"/>
            <w:vAlign w:val="center"/>
          </w:tcPr>
          <w:p w14:paraId="67982A0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947" w:type="dxa"/>
            <w:noWrap w:val="0"/>
            <w:vAlign w:val="center"/>
          </w:tcPr>
          <w:p w14:paraId="1DDEB24D">
            <w:pPr>
              <w:jc w:val="center"/>
              <w:rPr>
                <w:rFonts w:hint="eastAsia" w:ascii="宋体" w:hAnsi="宋体" w:eastAsia="宋体" w:cs="宋体"/>
                <w:color w:val="auto"/>
                <w:sz w:val="24"/>
                <w:szCs w:val="24"/>
                <w:vertAlign w:val="baseline"/>
                <w:lang w:val="en-US" w:eastAsia="zh-CN"/>
              </w:rPr>
            </w:pPr>
          </w:p>
        </w:tc>
        <w:tc>
          <w:tcPr>
            <w:tcW w:w="1991" w:type="dxa"/>
            <w:gridSpan w:val="2"/>
            <w:noWrap w:val="0"/>
            <w:vAlign w:val="center"/>
          </w:tcPr>
          <w:p w14:paraId="15DB7F30">
            <w:pPr>
              <w:jc w:val="center"/>
              <w:rPr>
                <w:rFonts w:hint="eastAsia" w:ascii="宋体" w:hAnsi="宋体" w:eastAsia="宋体" w:cs="宋体"/>
                <w:color w:val="auto"/>
                <w:sz w:val="24"/>
                <w:szCs w:val="24"/>
                <w:vertAlign w:val="baseline"/>
                <w:lang w:val="en-US" w:eastAsia="zh-CN"/>
              </w:rPr>
            </w:pPr>
          </w:p>
        </w:tc>
        <w:tc>
          <w:tcPr>
            <w:tcW w:w="1500" w:type="dxa"/>
            <w:noWrap w:val="0"/>
            <w:vAlign w:val="center"/>
          </w:tcPr>
          <w:p w14:paraId="6A133B01">
            <w:pPr>
              <w:jc w:val="center"/>
              <w:rPr>
                <w:rFonts w:hint="eastAsia" w:ascii="宋体" w:hAnsi="宋体" w:eastAsia="宋体" w:cs="宋体"/>
                <w:color w:val="auto"/>
                <w:sz w:val="24"/>
                <w:szCs w:val="24"/>
                <w:vertAlign w:val="baseline"/>
                <w:lang w:val="en-US" w:eastAsia="zh-CN"/>
              </w:rPr>
            </w:pPr>
          </w:p>
        </w:tc>
        <w:tc>
          <w:tcPr>
            <w:tcW w:w="1485" w:type="dxa"/>
            <w:noWrap w:val="0"/>
            <w:vAlign w:val="center"/>
          </w:tcPr>
          <w:p w14:paraId="68E296E0">
            <w:pPr>
              <w:jc w:val="center"/>
              <w:rPr>
                <w:rFonts w:hint="eastAsia" w:ascii="宋体" w:hAnsi="宋体" w:eastAsia="宋体" w:cs="宋体"/>
                <w:color w:val="auto"/>
                <w:sz w:val="24"/>
                <w:szCs w:val="24"/>
                <w:vertAlign w:val="baseline"/>
                <w:lang w:val="en-US" w:eastAsia="zh-CN"/>
              </w:rPr>
            </w:pPr>
          </w:p>
        </w:tc>
      </w:tr>
      <w:tr w14:paraId="67F1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2CBFD7C6">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5</w:t>
            </w:r>
          </w:p>
        </w:tc>
        <w:tc>
          <w:tcPr>
            <w:tcW w:w="2282" w:type="dxa"/>
            <w:gridSpan w:val="2"/>
            <w:noWrap w:val="0"/>
            <w:vAlign w:val="center"/>
          </w:tcPr>
          <w:p w14:paraId="57BA0FD2">
            <w:pPr>
              <w:pStyle w:val="9"/>
              <w:snapToGrid w:val="0"/>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947" w:type="dxa"/>
            <w:noWrap w:val="0"/>
            <w:vAlign w:val="center"/>
          </w:tcPr>
          <w:p w14:paraId="0589942A">
            <w:pPr>
              <w:jc w:val="center"/>
              <w:rPr>
                <w:rFonts w:hint="eastAsia" w:ascii="宋体" w:hAnsi="宋体" w:eastAsia="宋体" w:cs="宋体"/>
                <w:color w:val="auto"/>
                <w:sz w:val="24"/>
                <w:szCs w:val="24"/>
                <w:vertAlign w:val="baseline"/>
                <w:lang w:val="en-US" w:eastAsia="zh-CN"/>
              </w:rPr>
            </w:pPr>
          </w:p>
        </w:tc>
        <w:tc>
          <w:tcPr>
            <w:tcW w:w="1991" w:type="dxa"/>
            <w:gridSpan w:val="2"/>
            <w:noWrap w:val="0"/>
            <w:vAlign w:val="center"/>
          </w:tcPr>
          <w:p w14:paraId="3F1559E0">
            <w:pPr>
              <w:jc w:val="center"/>
              <w:rPr>
                <w:rFonts w:hint="eastAsia" w:ascii="宋体" w:hAnsi="宋体" w:eastAsia="宋体" w:cs="宋体"/>
                <w:color w:val="auto"/>
                <w:sz w:val="24"/>
                <w:szCs w:val="24"/>
                <w:vertAlign w:val="baseline"/>
                <w:lang w:val="en-US" w:eastAsia="zh-CN"/>
              </w:rPr>
            </w:pPr>
          </w:p>
        </w:tc>
        <w:tc>
          <w:tcPr>
            <w:tcW w:w="1500" w:type="dxa"/>
            <w:noWrap w:val="0"/>
            <w:vAlign w:val="center"/>
          </w:tcPr>
          <w:p w14:paraId="1E8C3934">
            <w:pPr>
              <w:jc w:val="center"/>
              <w:rPr>
                <w:rFonts w:hint="eastAsia" w:ascii="宋体" w:hAnsi="宋体" w:eastAsia="宋体" w:cs="宋体"/>
                <w:color w:val="auto"/>
                <w:sz w:val="24"/>
                <w:szCs w:val="24"/>
                <w:vertAlign w:val="baseline"/>
                <w:lang w:val="en-US" w:eastAsia="zh-CN"/>
              </w:rPr>
            </w:pPr>
          </w:p>
        </w:tc>
        <w:tc>
          <w:tcPr>
            <w:tcW w:w="1485" w:type="dxa"/>
            <w:noWrap w:val="0"/>
            <w:vAlign w:val="center"/>
          </w:tcPr>
          <w:p w14:paraId="4F3BAF92">
            <w:pPr>
              <w:jc w:val="center"/>
              <w:rPr>
                <w:rFonts w:hint="eastAsia" w:ascii="宋体" w:hAnsi="宋体" w:eastAsia="宋体" w:cs="宋体"/>
                <w:color w:val="auto"/>
                <w:sz w:val="24"/>
                <w:szCs w:val="24"/>
                <w:vertAlign w:val="baseline"/>
                <w:lang w:val="en-US" w:eastAsia="zh-CN"/>
              </w:rPr>
            </w:pPr>
          </w:p>
        </w:tc>
      </w:tr>
      <w:tr w14:paraId="0802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207395D5">
            <w:pPr>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5991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6D81CF9F">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1FA8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6AEFE732">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2282" w:type="dxa"/>
            <w:gridSpan w:val="2"/>
            <w:tcBorders>
              <w:bottom w:val="single" w:color="auto" w:sz="4" w:space="0"/>
            </w:tcBorders>
            <w:noWrap w:val="0"/>
            <w:vAlign w:val="center"/>
          </w:tcPr>
          <w:p w14:paraId="5E5D2EA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25D550D3">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1F839347">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508C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B838E5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5504EA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19C4135C">
            <w:pPr>
              <w:jc w:val="center"/>
              <w:rPr>
                <w:rFonts w:hint="eastAsia" w:ascii="宋体" w:hAnsi="宋体" w:eastAsia="宋体" w:cs="宋体"/>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032E461A">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C2A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6341254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63F871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E112A66">
            <w:pPr>
              <w:jc w:val="center"/>
              <w:rPr>
                <w:rFonts w:hint="eastAsia" w:ascii="宋体" w:hAnsi="宋体" w:eastAsia="宋体" w:cs="宋体"/>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5AB709AA">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6499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2C97254D">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535E75F1">
      <w:pPr>
        <w:ind w:firstLine="426" w:firstLineChars="202"/>
        <w:rPr>
          <w:rFonts w:hint="eastAsia" w:ascii="宋体" w:hAnsi="宋体" w:eastAsia="宋体" w:cs="宋体"/>
          <w:b/>
          <w:szCs w:val="21"/>
        </w:rPr>
      </w:pPr>
    </w:p>
    <w:p w14:paraId="5C8311E1">
      <w:pPr>
        <w:ind w:firstLine="426" w:firstLineChars="202"/>
        <w:rPr>
          <w:rFonts w:hint="eastAsia" w:ascii="宋体" w:hAnsi="宋体" w:eastAsia="宋体" w:cs="宋体"/>
          <w:b/>
          <w:szCs w:val="21"/>
        </w:rPr>
      </w:pPr>
    </w:p>
    <w:p w14:paraId="606F7ED3">
      <w:pPr>
        <w:rPr>
          <w:rFonts w:hint="eastAsia" w:ascii="宋体" w:hAnsi="宋体" w:eastAsia="宋体" w:cs="宋体"/>
          <w:b/>
          <w:bCs/>
          <w:color w:val="auto"/>
        </w:rPr>
      </w:pPr>
      <w:r>
        <w:rPr>
          <w:rFonts w:hint="eastAsia" w:ascii="宋体" w:hAnsi="宋体" w:eastAsia="宋体" w:cs="宋体"/>
          <w:b/>
          <w:bCs/>
          <w:color w:val="auto"/>
        </w:rPr>
        <w:t>2.</w:t>
      </w:r>
      <w:r>
        <w:rPr>
          <w:rFonts w:hint="eastAsia" w:ascii="宋体" w:hAnsi="宋体" w:eastAsia="宋体" w:cs="宋体"/>
          <w:color w:val="auto"/>
        </w:rPr>
        <w:t xml:space="preserve"> </w:t>
      </w:r>
      <w:r>
        <w:rPr>
          <w:rFonts w:hint="eastAsia" w:ascii="宋体" w:hAnsi="宋体" w:eastAsia="宋体" w:cs="宋体"/>
          <w:b/>
          <w:bCs/>
          <w:color w:val="auto"/>
        </w:rPr>
        <w:t>资格证明材料：</w:t>
      </w:r>
    </w:p>
    <w:p w14:paraId="018D5D15">
      <w:pPr>
        <w:ind w:firstLine="422" w:firstLineChars="200"/>
        <w:rPr>
          <w:rFonts w:hint="eastAsia" w:ascii="宋体" w:hAnsi="宋体" w:eastAsia="宋体" w:cs="宋体"/>
          <w:b/>
          <w:bCs/>
          <w:color w:val="auto"/>
        </w:rPr>
      </w:pPr>
      <w:r>
        <w:rPr>
          <w:rFonts w:hint="eastAsia" w:ascii="宋体" w:hAnsi="宋体" w:eastAsia="宋体" w:cs="宋体"/>
          <w:b/>
          <w:bCs/>
          <w:color w:val="auto"/>
        </w:rPr>
        <w:t>投标人须按招标公告中</w:t>
      </w:r>
      <w:r>
        <w:rPr>
          <w:rFonts w:hint="eastAsia" w:ascii="宋体" w:hAnsi="宋体" w:eastAsia="宋体" w:cs="宋体"/>
          <w:b/>
          <w:bCs/>
          <w:color w:val="FF0000"/>
        </w:rPr>
        <w:t>“供应商的资格要求”</w:t>
      </w:r>
      <w:r>
        <w:rPr>
          <w:rFonts w:hint="eastAsia" w:ascii="宋体" w:hAnsi="宋体" w:eastAsia="宋体" w:cs="宋体"/>
          <w:b/>
          <w:bCs/>
          <w:color w:val="auto"/>
        </w:rPr>
        <w:t>提供相关的资质证明，投标文件中未提供或提供不完整、不符合要求的，将按投标无效处理。</w:t>
      </w:r>
    </w:p>
    <w:p w14:paraId="59DA4363">
      <w:pPr>
        <w:pStyle w:val="171"/>
        <w:rPr>
          <w:rFonts w:hint="eastAsia" w:ascii="宋体" w:hAnsi="宋体" w:eastAsia="宋体" w:cs="宋体"/>
          <w:lang w:val="en-US" w:eastAsia="zh-CN"/>
        </w:rPr>
      </w:pPr>
      <w:r>
        <w:rPr>
          <w:rFonts w:hint="eastAsia" w:ascii="宋体" w:hAnsi="宋体" w:eastAsia="宋体" w:cs="宋体"/>
          <w:b/>
          <w:bCs/>
          <w:color w:val="FF0000"/>
          <w:lang w:val="en-US" w:eastAsia="zh-CN"/>
        </w:rPr>
        <w:t xml:space="preserve">    </w:t>
      </w:r>
    </w:p>
    <w:p w14:paraId="0BD37F31">
      <w:pPr>
        <w:ind w:firstLine="422" w:firstLineChars="200"/>
        <w:rPr>
          <w:rFonts w:hint="eastAsia" w:ascii="宋体" w:hAnsi="宋体" w:eastAsia="宋体" w:cs="宋体"/>
          <w:b/>
          <w:bCs/>
        </w:rPr>
      </w:pPr>
    </w:p>
    <w:p w14:paraId="1FE0A7E4">
      <w:pPr>
        <w:rPr>
          <w:rFonts w:hint="eastAsia" w:ascii="宋体" w:hAnsi="宋体" w:eastAsia="宋体" w:cs="宋体"/>
          <w:b/>
          <w:bCs/>
          <w:color w:val="auto"/>
        </w:rPr>
      </w:pPr>
      <w:r>
        <w:rPr>
          <w:rFonts w:hint="eastAsia" w:ascii="宋体" w:hAnsi="宋体" w:eastAsia="宋体" w:cs="宋体"/>
          <w:b/>
          <w:bCs/>
          <w:color w:val="auto"/>
          <w:lang w:val="en-US" w:eastAsia="zh-CN"/>
        </w:rPr>
        <w:t>3.</w:t>
      </w:r>
      <w:r>
        <w:rPr>
          <w:rFonts w:hint="eastAsia" w:ascii="宋体" w:hAnsi="宋体" w:eastAsia="宋体" w:cs="宋体"/>
          <w:b/>
          <w:bCs/>
          <w:color w:val="auto"/>
        </w:rPr>
        <w:t>中小企业声明函、残疾人福利性单位声明函及监狱企业声明函</w:t>
      </w:r>
    </w:p>
    <w:p w14:paraId="2A7FFF47">
      <w:pPr>
        <w:ind w:firstLine="420" w:firstLineChars="200"/>
        <w:outlineLvl w:val="3"/>
        <w:rPr>
          <w:rFonts w:ascii="黑体" w:hAnsi="黑体" w:eastAsia="黑体"/>
          <w:color w:val="FF0000"/>
        </w:rPr>
      </w:pPr>
      <w:r>
        <w:rPr>
          <w:rFonts w:hint="eastAsia" w:ascii="黑体" w:hAnsi="宋体" w:eastAsia="黑体"/>
          <w:bCs/>
          <w:color w:val="FF0000"/>
          <w:lang w:eastAsia="zh-CN"/>
        </w:rPr>
        <w:t>（</w:t>
      </w:r>
      <w:r>
        <w:rPr>
          <w:rFonts w:hint="eastAsia" w:ascii="黑体" w:hAnsi="宋体" w:eastAsia="黑体"/>
          <w:bCs/>
          <w:color w:val="FF0000"/>
        </w:rPr>
        <w:t>该部分内容由投标人根据自身实际情况填写，</w:t>
      </w:r>
      <w:r>
        <w:rPr>
          <w:rFonts w:hint="eastAsia" w:ascii="黑体" w:hAnsi="宋体" w:eastAsia="黑体"/>
          <w:bCs/>
          <w:color w:val="FF0000"/>
          <w:highlight w:val="green"/>
        </w:rPr>
        <w:t>不符合要求的投标人可以不填写或直接删除相应的声明函</w:t>
      </w:r>
      <w:r>
        <w:rPr>
          <w:rFonts w:hint="eastAsia" w:ascii="黑体" w:hAnsi="宋体" w:eastAsia="黑体"/>
          <w:bCs/>
          <w:color w:val="FF0000"/>
        </w:rPr>
        <w:t>。</w:t>
      </w:r>
      <w:r>
        <w:rPr>
          <w:rFonts w:hint="eastAsia" w:ascii="黑体" w:hAnsi="黑体" w:eastAsia="黑体"/>
          <w:color w:val="FF0000"/>
        </w:rPr>
        <w:t>投标人提供的声明函不属实的，属于提供虚假资料谋取中标，依照《中华人民共和国政府采购法》等国家有关规定追究相应责任。</w:t>
      </w:r>
      <w:r>
        <w:rPr>
          <w:rFonts w:hint="eastAsia" w:ascii="黑体" w:hAnsi="宋体" w:eastAsia="黑体"/>
          <w:bCs/>
          <w:color w:val="FF0000"/>
          <w:lang w:eastAsia="zh-CN"/>
        </w:rPr>
        <w:t>）</w:t>
      </w:r>
    </w:p>
    <w:p w14:paraId="736D7F8F">
      <w:pPr>
        <w:pStyle w:val="2"/>
        <w:numPr>
          <w:ilvl w:val="0"/>
          <w:numId w:val="0"/>
        </w:numPr>
        <w:tabs>
          <w:tab w:val="left" w:pos="426"/>
        </w:tabs>
        <w:spacing w:line="240" w:lineRule="auto"/>
        <w:rPr>
          <w:rFonts w:hint="eastAsia" w:ascii="宋体" w:hAnsi="宋体" w:eastAsia="宋体" w:cs="宋体"/>
        </w:rPr>
      </w:pPr>
    </w:p>
    <w:p w14:paraId="5B410C56">
      <w:pPr>
        <w:spacing w:line="240" w:lineRule="auto"/>
        <w:ind w:firstLine="480" w:firstLineChars="200"/>
        <w:outlineLvl w:val="3"/>
        <w:rPr>
          <w:rFonts w:hint="eastAsia" w:ascii="宋体" w:hAnsi="宋体" w:eastAsia="宋体" w:cs="宋体"/>
          <w:bCs/>
          <w:color w:val="auto"/>
          <w:kern w:val="0"/>
          <w:sz w:val="24"/>
        </w:rPr>
      </w:pPr>
      <w:r>
        <w:rPr>
          <w:rFonts w:hint="eastAsia" w:ascii="宋体" w:hAnsi="宋体" w:eastAsia="宋体" w:cs="宋体"/>
          <w:bCs/>
          <w:color w:val="auto"/>
          <w:kern w:val="0"/>
          <w:sz w:val="24"/>
        </w:rPr>
        <w:t>填写指引：</w:t>
      </w:r>
    </w:p>
    <w:p w14:paraId="2EAF5535">
      <w:pPr>
        <w:spacing w:line="240" w:lineRule="auto"/>
        <w:ind w:firstLine="480" w:firstLineChars="200"/>
        <w:outlineLvl w:val="3"/>
        <w:rPr>
          <w:rFonts w:hint="eastAsia" w:ascii="宋体" w:hAnsi="宋体" w:eastAsia="宋体" w:cs="宋体"/>
          <w:color w:val="auto"/>
          <w:sz w:val="24"/>
        </w:rPr>
      </w:pPr>
      <w:r>
        <w:rPr>
          <w:rFonts w:hint="eastAsia" w:ascii="宋体" w:hAnsi="宋体" w:eastAsia="宋体" w:cs="宋体"/>
          <w:bCs/>
          <w:color w:val="auto"/>
          <w:kern w:val="0"/>
          <w:sz w:val="24"/>
        </w:rPr>
        <w:t>1、</w:t>
      </w:r>
      <w:r>
        <w:rPr>
          <w:rFonts w:hint="eastAsia" w:ascii="宋体" w:hAnsi="宋体" w:eastAsia="宋体" w:cs="宋体"/>
          <w:color w:val="auto"/>
          <w:sz w:val="24"/>
        </w:rPr>
        <w:t>投标人提供的声明函不属实的，属于提供虚假资料谋取中标，依照《中华人民共和国政府采购法》等国家有关规定追究相应责任。</w:t>
      </w:r>
    </w:p>
    <w:p w14:paraId="6A33EB40">
      <w:pPr>
        <w:spacing w:line="240" w:lineRule="auto"/>
        <w:ind w:firstLine="480" w:firstLineChars="200"/>
        <w:outlineLvl w:val="3"/>
        <w:rPr>
          <w:rFonts w:hint="eastAsia" w:ascii="宋体" w:hAnsi="宋体" w:eastAsia="宋体" w:cs="宋体"/>
          <w:color w:val="auto"/>
          <w:sz w:val="24"/>
        </w:rPr>
      </w:pPr>
      <w:r>
        <w:rPr>
          <w:rFonts w:hint="eastAsia" w:ascii="宋体" w:hAnsi="宋体" w:eastAsia="宋体" w:cs="宋体"/>
          <w:color w:val="auto"/>
          <w:sz w:val="24"/>
        </w:rPr>
        <w:t>2、该部分内容填写需要参考的相关文件：(1)财政部《政府采购促进中小企业发展管理办法》（财库〔2020〕46号）；(2)《工业和信息化部、国家统计局、国家发展和改革委员会、财政部关于印发中小企业划型标准规定的通知》（工信部联企业〔2011〕300号，以下简称300号文）。</w:t>
      </w:r>
    </w:p>
    <w:p w14:paraId="166A039E">
      <w:pPr>
        <w:spacing w:line="240" w:lineRule="auto"/>
        <w:ind w:firstLine="480" w:firstLineChars="200"/>
        <w:outlineLvl w:val="3"/>
        <w:rPr>
          <w:rFonts w:hint="eastAsia" w:ascii="宋体" w:hAnsi="宋体" w:eastAsia="宋体" w:cs="宋体"/>
          <w:color w:val="auto"/>
          <w:sz w:val="24"/>
        </w:rPr>
      </w:pPr>
      <w:r>
        <w:rPr>
          <w:rFonts w:hint="eastAsia" w:ascii="宋体" w:hAnsi="宋体" w:eastAsia="宋体" w:cs="宋体"/>
          <w:color w:val="auto"/>
          <w:sz w:val="24"/>
        </w:rPr>
        <w:t>(1)《政府采购促进中小企业发展管理办法》（财库〔2020〕46号），链接：</w:t>
      </w:r>
      <w:r>
        <w:rPr>
          <w:rFonts w:hint="eastAsia" w:ascii="宋体" w:hAnsi="宋体" w:eastAsia="宋体" w:cs="宋体"/>
          <w:color w:val="auto"/>
        </w:rPr>
        <w:fldChar w:fldCharType="begin"/>
      </w:r>
      <w:r>
        <w:rPr>
          <w:rFonts w:hint="eastAsia" w:ascii="宋体" w:hAnsi="宋体" w:eastAsia="宋体" w:cs="宋体"/>
          <w:color w:val="auto"/>
          <w:sz w:val="24"/>
        </w:rPr>
        <w:instrText xml:space="preserve"> HYPERLINK "http://www.ccgp.gov.cn/news/202012/t20201229_15715888.htm" </w:instrText>
      </w:r>
      <w:r>
        <w:rPr>
          <w:rFonts w:hint="eastAsia" w:ascii="宋体" w:hAnsi="宋体" w:eastAsia="宋体" w:cs="宋体"/>
          <w:color w:val="auto"/>
        </w:rPr>
        <w:fldChar w:fldCharType="separate"/>
      </w:r>
      <w:r>
        <w:rPr>
          <w:rStyle w:val="61"/>
          <w:rFonts w:hint="eastAsia" w:ascii="宋体" w:hAnsi="宋体" w:eastAsia="宋体" w:cs="宋体"/>
          <w:color w:val="auto"/>
          <w:sz w:val="24"/>
        </w:rPr>
        <w:t>www.ccgp.gov.cn/news/202012/t20201229_15715888.htm</w:t>
      </w:r>
      <w:r>
        <w:rPr>
          <w:rStyle w:val="61"/>
          <w:rFonts w:hint="eastAsia" w:ascii="宋体" w:hAnsi="宋体" w:eastAsia="宋体" w:cs="宋体"/>
          <w:color w:val="auto"/>
          <w:sz w:val="24"/>
        </w:rPr>
        <w:fldChar w:fldCharType="end"/>
      </w:r>
    </w:p>
    <w:p w14:paraId="18604226">
      <w:pPr>
        <w:spacing w:line="240" w:lineRule="auto"/>
        <w:ind w:firstLine="480" w:firstLineChars="200"/>
        <w:outlineLvl w:val="3"/>
        <w:rPr>
          <w:rFonts w:hint="eastAsia" w:ascii="宋体" w:hAnsi="宋体" w:eastAsia="宋体" w:cs="宋体"/>
          <w:color w:val="auto"/>
          <w:sz w:val="24"/>
        </w:rPr>
      </w:pPr>
      <w:r>
        <w:rPr>
          <w:rFonts w:hint="eastAsia" w:ascii="宋体" w:hAnsi="宋体" w:eastAsia="宋体" w:cs="宋体"/>
          <w:color w:val="auto"/>
          <w:sz w:val="24"/>
        </w:rPr>
        <w:t>(2)《关于印发中小企业划型标准规定的通知》（工信部联企业〔2011〕300 号），链接：</w:t>
      </w:r>
      <w:r>
        <w:rPr>
          <w:rFonts w:hint="eastAsia" w:ascii="宋体" w:hAnsi="宋体" w:eastAsia="宋体" w:cs="宋体"/>
          <w:color w:val="auto"/>
        </w:rPr>
        <w:fldChar w:fldCharType="begin"/>
      </w:r>
      <w:r>
        <w:rPr>
          <w:rFonts w:hint="eastAsia" w:ascii="宋体" w:hAnsi="宋体" w:eastAsia="宋体" w:cs="宋体"/>
          <w:color w:val="auto"/>
          <w:sz w:val="24"/>
        </w:rPr>
        <w:instrText xml:space="preserve"> HYPERLINK "http://www.gov.cn/zwgk/2011-07/04/content_1898747.htm" </w:instrText>
      </w:r>
      <w:r>
        <w:rPr>
          <w:rFonts w:hint="eastAsia" w:ascii="宋体" w:hAnsi="宋体" w:eastAsia="宋体" w:cs="宋体"/>
          <w:color w:val="auto"/>
        </w:rPr>
        <w:fldChar w:fldCharType="separate"/>
      </w:r>
      <w:r>
        <w:rPr>
          <w:rStyle w:val="61"/>
          <w:rFonts w:hint="eastAsia" w:ascii="宋体" w:hAnsi="宋体" w:eastAsia="宋体" w:cs="宋体"/>
          <w:color w:val="auto"/>
          <w:sz w:val="24"/>
        </w:rPr>
        <w:t>www.gov.cn/zwgk/2011-07/04/content_1898747.htm</w:t>
      </w:r>
      <w:r>
        <w:rPr>
          <w:rStyle w:val="61"/>
          <w:rFonts w:hint="eastAsia" w:ascii="宋体" w:hAnsi="宋体" w:eastAsia="宋体" w:cs="宋体"/>
          <w:color w:val="auto"/>
          <w:sz w:val="24"/>
        </w:rPr>
        <w:fldChar w:fldCharType="end"/>
      </w:r>
    </w:p>
    <w:p w14:paraId="3C636804">
      <w:pPr>
        <w:spacing w:line="240" w:lineRule="auto"/>
        <w:ind w:firstLine="480" w:firstLineChars="200"/>
        <w:outlineLvl w:val="3"/>
        <w:rPr>
          <w:rFonts w:hint="eastAsia" w:ascii="宋体" w:hAnsi="宋体" w:eastAsia="宋体" w:cs="宋体"/>
          <w:color w:val="auto"/>
          <w:sz w:val="24"/>
        </w:rPr>
      </w:pPr>
      <w:r>
        <w:rPr>
          <w:rFonts w:hint="eastAsia" w:ascii="宋体" w:hAnsi="宋体" w:eastAsia="宋体" w:cs="宋体"/>
          <w:color w:val="auto"/>
          <w:sz w:val="24"/>
        </w:rPr>
        <w:t>(3)《统计上大中小微型企业划分办法(2017)》（国统字〔2017〕213 号），链接：</w:t>
      </w:r>
      <w:r>
        <w:rPr>
          <w:rFonts w:hint="eastAsia" w:ascii="宋体" w:hAnsi="宋体" w:eastAsia="宋体" w:cs="宋体"/>
          <w:color w:val="auto"/>
        </w:rPr>
        <w:fldChar w:fldCharType="begin"/>
      </w:r>
      <w:r>
        <w:rPr>
          <w:rFonts w:hint="eastAsia" w:ascii="宋体" w:hAnsi="宋体" w:eastAsia="宋体" w:cs="宋体"/>
          <w:color w:val="auto"/>
          <w:sz w:val="24"/>
        </w:rPr>
        <w:instrText xml:space="preserve"> HYPERLINK "http://www.stats.gov.cn/tjsj/tjbz/201801/t20180103_1569357.html" </w:instrText>
      </w:r>
      <w:r>
        <w:rPr>
          <w:rFonts w:hint="eastAsia" w:ascii="宋体" w:hAnsi="宋体" w:eastAsia="宋体" w:cs="宋体"/>
          <w:color w:val="auto"/>
        </w:rPr>
        <w:fldChar w:fldCharType="separate"/>
      </w:r>
      <w:r>
        <w:rPr>
          <w:rStyle w:val="61"/>
          <w:rFonts w:hint="eastAsia" w:ascii="宋体" w:hAnsi="宋体" w:eastAsia="宋体" w:cs="宋体"/>
          <w:color w:val="auto"/>
          <w:sz w:val="24"/>
        </w:rPr>
        <w:t>www.stats.gov.cn/tjsj/tjbz/201801/t20180103_1569357.html</w:t>
      </w:r>
      <w:r>
        <w:rPr>
          <w:rStyle w:val="61"/>
          <w:rFonts w:hint="eastAsia" w:ascii="宋体" w:hAnsi="宋体" w:eastAsia="宋体" w:cs="宋体"/>
          <w:color w:val="auto"/>
          <w:sz w:val="24"/>
        </w:rPr>
        <w:fldChar w:fldCharType="end"/>
      </w:r>
    </w:p>
    <w:p w14:paraId="08115760">
      <w:pPr>
        <w:spacing w:line="240" w:lineRule="auto"/>
        <w:ind w:firstLine="480" w:firstLineChars="200"/>
        <w:outlineLvl w:val="3"/>
        <w:rPr>
          <w:rFonts w:hint="eastAsia" w:ascii="宋体" w:hAnsi="宋体" w:eastAsia="宋体" w:cs="宋体"/>
          <w:color w:val="auto"/>
          <w:sz w:val="24"/>
        </w:rPr>
      </w:pPr>
      <w:r>
        <w:rPr>
          <w:rFonts w:hint="eastAsia" w:ascii="宋体" w:hAnsi="宋体" w:eastAsia="宋体" w:cs="宋体"/>
          <w:color w:val="auto"/>
          <w:sz w:val="24"/>
        </w:rPr>
        <w:t>(4)《关于促进残疾人就业政府采购政策的通知》（财库〔2017〕141号），链接：</w:t>
      </w:r>
      <w:r>
        <w:rPr>
          <w:rFonts w:hint="eastAsia" w:ascii="宋体" w:hAnsi="宋体" w:eastAsia="宋体" w:cs="宋体"/>
          <w:color w:val="auto"/>
        </w:rPr>
        <w:fldChar w:fldCharType="begin"/>
      </w:r>
      <w:r>
        <w:rPr>
          <w:rFonts w:hint="eastAsia" w:ascii="宋体" w:hAnsi="宋体" w:eastAsia="宋体" w:cs="宋体"/>
          <w:color w:val="auto"/>
          <w:sz w:val="24"/>
        </w:rPr>
        <w:instrText xml:space="preserve"> HYPERLINK "http://www.ccgp.gov.cn/zcfg/mof/201709/t20170904_8787205.shtml" </w:instrText>
      </w:r>
      <w:r>
        <w:rPr>
          <w:rFonts w:hint="eastAsia" w:ascii="宋体" w:hAnsi="宋体" w:eastAsia="宋体" w:cs="宋体"/>
          <w:color w:val="auto"/>
        </w:rPr>
        <w:fldChar w:fldCharType="separate"/>
      </w:r>
      <w:r>
        <w:rPr>
          <w:rStyle w:val="61"/>
          <w:rFonts w:hint="eastAsia" w:ascii="宋体" w:hAnsi="宋体" w:eastAsia="宋体" w:cs="宋体"/>
          <w:color w:val="auto"/>
          <w:sz w:val="24"/>
        </w:rPr>
        <w:t>www.ccgp.gov.cn/zcfg/mof/201709/t20170904_8787205.shtml</w:t>
      </w:r>
      <w:r>
        <w:rPr>
          <w:rStyle w:val="61"/>
          <w:rFonts w:hint="eastAsia" w:ascii="宋体" w:hAnsi="宋体" w:eastAsia="宋体" w:cs="宋体"/>
          <w:color w:val="auto"/>
          <w:sz w:val="24"/>
        </w:rPr>
        <w:fldChar w:fldCharType="end"/>
      </w:r>
    </w:p>
    <w:p w14:paraId="1487664E">
      <w:pPr>
        <w:spacing w:line="240" w:lineRule="auto"/>
        <w:ind w:firstLine="480" w:firstLineChars="200"/>
        <w:outlineLvl w:val="3"/>
        <w:rPr>
          <w:rFonts w:hint="eastAsia" w:ascii="宋体" w:hAnsi="宋体" w:eastAsia="宋体" w:cs="宋体"/>
          <w:color w:val="auto"/>
          <w:sz w:val="24"/>
        </w:rPr>
      </w:pPr>
      <w:r>
        <w:rPr>
          <w:rFonts w:hint="eastAsia" w:ascii="宋体" w:hAnsi="宋体" w:eastAsia="宋体" w:cs="宋体"/>
          <w:color w:val="auto"/>
          <w:sz w:val="24"/>
        </w:rPr>
        <w:t>(5)《关于政府采购支持监狱企业发展有关问题的通知》（财库〔2014〕68号），链接：</w:t>
      </w:r>
      <w:r>
        <w:rPr>
          <w:rFonts w:hint="eastAsia" w:ascii="宋体" w:hAnsi="宋体" w:eastAsia="宋体" w:cs="宋体"/>
          <w:color w:val="auto"/>
        </w:rPr>
        <w:fldChar w:fldCharType="begin"/>
      </w:r>
      <w:r>
        <w:rPr>
          <w:rFonts w:hint="eastAsia" w:ascii="宋体" w:hAnsi="宋体" w:eastAsia="宋体" w:cs="宋体"/>
          <w:color w:val="auto"/>
          <w:sz w:val="24"/>
        </w:rPr>
        <w:instrText xml:space="preserve"> HYPERLINK "http://www.ccgp.gov.cn/zcfg/mof/201406/t20140616_4619272.htm" </w:instrText>
      </w:r>
      <w:r>
        <w:rPr>
          <w:rFonts w:hint="eastAsia" w:ascii="宋体" w:hAnsi="宋体" w:eastAsia="宋体" w:cs="宋体"/>
          <w:color w:val="auto"/>
        </w:rPr>
        <w:fldChar w:fldCharType="separate"/>
      </w:r>
      <w:r>
        <w:rPr>
          <w:rStyle w:val="61"/>
          <w:rFonts w:hint="eastAsia" w:ascii="宋体" w:hAnsi="宋体" w:eastAsia="宋体" w:cs="宋体"/>
          <w:color w:val="auto"/>
          <w:sz w:val="24"/>
        </w:rPr>
        <w:t>www.ccgp.gov.cn/zcfg/mof/201406/t20140616_4619272.htm</w:t>
      </w:r>
      <w:r>
        <w:rPr>
          <w:rStyle w:val="61"/>
          <w:rFonts w:hint="eastAsia" w:ascii="宋体" w:hAnsi="宋体" w:eastAsia="宋体" w:cs="宋体"/>
          <w:color w:val="auto"/>
          <w:sz w:val="24"/>
        </w:rPr>
        <w:fldChar w:fldCharType="end"/>
      </w:r>
    </w:p>
    <w:p w14:paraId="162AAFEE">
      <w:pPr>
        <w:spacing w:line="240" w:lineRule="auto"/>
        <w:ind w:firstLine="480" w:firstLineChars="200"/>
        <w:outlineLvl w:val="3"/>
        <w:rPr>
          <w:rFonts w:hint="eastAsia" w:ascii="宋体" w:hAnsi="宋体" w:eastAsia="宋体" w:cs="宋体"/>
          <w:bCs/>
          <w:color w:val="auto"/>
          <w:kern w:val="0"/>
          <w:sz w:val="24"/>
        </w:rPr>
      </w:pPr>
      <w:r>
        <w:rPr>
          <w:rFonts w:hint="eastAsia" w:ascii="宋体" w:hAnsi="宋体" w:eastAsia="宋体" w:cs="宋体"/>
          <w:bCs/>
          <w:color w:val="auto"/>
          <w:kern w:val="0"/>
          <w:sz w:val="24"/>
        </w:rPr>
        <w:t>3、请依照提供的格式和内容填写声明函，不要随意变更格式；声明函不需要盖章或签字；</w:t>
      </w:r>
      <w:r>
        <w:rPr>
          <w:rFonts w:hint="eastAsia" w:ascii="宋体" w:hAnsi="宋体" w:eastAsia="宋体" w:cs="宋体"/>
          <w:color w:val="auto"/>
          <w:sz w:val="24"/>
        </w:rPr>
        <w:t>满足多项优惠政策的投标人，不重复享受多项价格扣除政策。</w:t>
      </w:r>
    </w:p>
    <w:p w14:paraId="7D672883">
      <w:pPr>
        <w:spacing w:line="240" w:lineRule="auto"/>
        <w:ind w:firstLine="480" w:firstLineChars="200"/>
        <w:outlineLvl w:val="3"/>
        <w:rPr>
          <w:rFonts w:hint="eastAsia" w:ascii="宋体" w:hAnsi="宋体" w:eastAsia="宋体" w:cs="宋体"/>
          <w:bCs/>
          <w:color w:val="auto"/>
          <w:kern w:val="0"/>
          <w:sz w:val="24"/>
        </w:rPr>
      </w:pPr>
      <w:r>
        <w:rPr>
          <w:rFonts w:hint="eastAsia" w:ascii="宋体" w:hAnsi="宋体" w:eastAsia="宋体" w:cs="宋体"/>
          <w:bCs/>
          <w:color w:val="auto"/>
          <w:kern w:val="0"/>
          <w:sz w:val="24"/>
        </w:rPr>
        <w:t>4、声明函具体填写要求：</w:t>
      </w:r>
    </w:p>
    <w:p w14:paraId="3C4F9BED">
      <w:pPr>
        <w:spacing w:line="240" w:lineRule="auto"/>
        <w:ind w:firstLine="480" w:firstLineChars="200"/>
        <w:outlineLvl w:val="3"/>
        <w:rPr>
          <w:rFonts w:hint="eastAsia" w:ascii="宋体" w:hAnsi="宋体" w:eastAsia="宋体" w:cs="宋体"/>
          <w:bCs/>
          <w:color w:val="auto"/>
          <w:kern w:val="0"/>
          <w:sz w:val="24"/>
        </w:rPr>
      </w:pPr>
      <w:r>
        <w:rPr>
          <w:rFonts w:hint="eastAsia" w:ascii="宋体" w:hAnsi="宋体" w:eastAsia="宋体" w:cs="宋体"/>
          <w:bCs/>
          <w:color w:val="auto"/>
          <w:kern w:val="0"/>
          <w:sz w:val="24"/>
        </w:rPr>
        <w:t>（1）声明是中小企业须填写《中小企业声明函》的以下内容：</w:t>
      </w:r>
    </w:p>
    <w:p w14:paraId="72B50739">
      <w:pPr>
        <w:spacing w:line="240" w:lineRule="auto"/>
        <w:ind w:firstLine="480" w:firstLineChars="200"/>
        <w:outlineLvl w:val="3"/>
        <w:rPr>
          <w:rFonts w:hint="eastAsia" w:ascii="宋体" w:hAnsi="宋体" w:eastAsia="宋体" w:cs="宋体"/>
          <w:bCs/>
          <w:color w:val="auto"/>
          <w:kern w:val="0"/>
          <w:sz w:val="24"/>
        </w:rPr>
      </w:pPr>
      <w:r>
        <w:rPr>
          <w:rFonts w:hint="eastAsia" w:ascii="宋体" w:hAnsi="宋体" w:eastAsia="宋体" w:cs="宋体"/>
          <w:bCs/>
          <w:color w:val="auto"/>
          <w:kern w:val="0"/>
          <w:sz w:val="24"/>
        </w:rPr>
        <w:t>第一处，在“采购人名称”下划线处如实填写采购人名称（深圳市广得信工程造价咨询有限公司不是本项目的采购人，而是组织实施机构）；</w:t>
      </w:r>
    </w:p>
    <w:p w14:paraId="6012BDA5">
      <w:pPr>
        <w:spacing w:line="240" w:lineRule="auto"/>
        <w:ind w:firstLine="480" w:firstLineChars="200"/>
        <w:outlineLvl w:val="3"/>
        <w:rPr>
          <w:rFonts w:hint="eastAsia" w:ascii="宋体" w:hAnsi="宋体" w:eastAsia="宋体" w:cs="宋体"/>
          <w:bCs/>
          <w:color w:val="auto"/>
          <w:kern w:val="0"/>
          <w:sz w:val="24"/>
        </w:rPr>
      </w:pPr>
      <w:r>
        <w:rPr>
          <w:rFonts w:hint="eastAsia" w:ascii="宋体" w:hAnsi="宋体" w:eastAsia="宋体" w:cs="宋体"/>
          <w:bCs/>
          <w:color w:val="auto"/>
          <w:kern w:val="0"/>
          <w:sz w:val="24"/>
        </w:rPr>
        <w:t>第二处，在“项目名称”下划线处如实填写采购项目名称；</w:t>
      </w:r>
    </w:p>
    <w:p w14:paraId="0EE9BB71">
      <w:pPr>
        <w:spacing w:line="240" w:lineRule="auto"/>
        <w:ind w:firstLine="480" w:firstLineChars="200"/>
        <w:outlineLvl w:val="3"/>
        <w:rPr>
          <w:rFonts w:hint="eastAsia" w:ascii="宋体" w:hAnsi="宋体" w:eastAsia="宋体" w:cs="宋体"/>
          <w:bCs/>
          <w:color w:val="auto"/>
          <w:kern w:val="0"/>
          <w:sz w:val="24"/>
        </w:rPr>
      </w:pPr>
      <w:r>
        <w:rPr>
          <w:rFonts w:hint="eastAsia" w:ascii="宋体" w:hAnsi="宋体" w:eastAsia="宋体" w:cs="宋体"/>
          <w:bCs/>
          <w:color w:val="auto"/>
          <w:kern w:val="0"/>
          <w:sz w:val="24"/>
        </w:rPr>
        <w:t>第三处，在“标的名称”下划线处填写所采购服务（标的）的具体名称（以</w:t>
      </w:r>
      <w:bookmarkStart w:id="18" w:name="_Hlk72259001"/>
      <w:r>
        <w:rPr>
          <w:rFonts w:hint="eastAsia" w:ascii="宋体" w:hAnsi="宋体" w:eastAsia="宋体" w:cs="宋体"/>
          <w:bCs/>
          <w:color w:val="auto"/>
          <w:kern w:val="0"/>
          <w:sz w:val="24"/>
        </w:rPr>
        <w:t>招标文件第一册第三章</w:t>
      </w:r>
      <w:bookmarkEnd w:id="18"/>
      <w:r>
        <w:rPr>
          <w:rFonts w:hint="eastAsia" w:ascii="宋体" w:hAnsi="宋体" w:eastAsia="宋体" w:cs="宋体"/>
          <w:bCs/>
          <w:color w:val="auto"/>
          <w:kern w:val="0"/>
          <w:sz w:val="24"/>
        </w:rPr>
        <w:t>用户需求书“服务需求明细”的“服务需求名称”一栏为准）；如果涉及多个服务需求（标的）由同一企业承接，“标的名称”下划线处可以如实填写多个服务需求（标的）；</w:t>
      </w:r>
    </w:p>
    <w:p w14:paraId="59C17C04">
      <w:pPr>
        <w:spacing w:line="240" w:lineRule="auto"/>
        <w:ind w:firstLine="480" w:firstLineChars="200"/>
        <w:outlineLvl w:val="3"/>
        <w:rPr>
          <w:rFonts w:hint="eastAsia" w:ascii="宋体" w:hAnsi="宋体" w:eastAsia="宋体" w:cs="宋体"/>
          <w:bCs/>
          <w:color w:val="auto"/>
          <w:kern w:val="0"/>
          <w:sz w:val="24"/>
        </w:rPr>
      </w:pPr>
      <w:r>
        <w:rPr>
          <w:rFonts w:hint="eastAsia" w:ascii="宋体" w:hAnsi="宋体" w:eastAsia="宋体" w:cs="宋体"/>
          <w:bCs/>
          <w:color w:val="auto"/>
          <w:kern w:val="0"/>
          <w:sz w:val="24"/>
        </w:rPr>
        <w:t>第四处，在“招标文件中明确的所属行业”下划线处填写采购标的对应的中小企业划分标准所属行业（所属行业可在招标文件第一册第二章“对通用条款的补充内容及其他关键信息”章节查看）；</w:t>
      </w:r>
    </w:p>
    <w:p w14:paraId="2DF1AFFD">
      <w:pPr>
        <w:spacing w:line="240" w:lineRule="auto"/>
        <w:ind w:firstLine="480" w:firstLineChars="200"/>
        <w:outlineLvl w:val="3"/>
        <w:rPr>
          <w:rFonts w:hint="eastAsia" w:ascii="宋体" w:hAnsi="宋体" w:eastAsia="宋体" w:cs="宋体"/>
          <w:bCs/>
          <w:color w:val="auto"/>
          <w:kern w:val="0"/>
          <w:sz w:val="24"/>
        </w:rPr>
      </w:pPr>
      <w:r>
        <w:rPr>
          <w:rFonts w:hint="eastAsia" w:ascii="宋体" w:hAnsi="宋体" w:eastAsia="宋体" w:cs="宋体"/>
          <w:bCs/>
          <w:color w:val="auto"/>
          <w:kern w:val="0"/>
          <w:sz w:val="24"/>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4487AEAE">
      <w:pPr>
        <w:spacing w:line="240" w:lineRule="auto"/>
        <w:ind w:firstLine="480" w:firstLineChars="200"/>
        <w:outlineLvl w:val="3"/>
        <w:rPr>
          <w:rFonts w:hint="eastAsia" w:ascii="宋体" w:hAnsi="宋体" w:eastAsia="宋体" w:cs="宋体"/>
          <w:bCs/>
          <w:color w:val="auto"/>
          <w:kern w:val="0"/>
          <w:sz w:val="24"/>
        </w:rPr>
      </w:pPr>
      <w:r>
        <w:rPr>
          <w:rFonts w:hint="eastAsia" w:ascii="宋体" w:hAnsi="宋体" w:eastAsia="宋体" w:cs="宋体"/>
          <w:bCs/>
          <w:color w:val="auto"/>
          <w:kern w:val="0"/>
          <w:sz w:val="24"/>
        </w:rPr>
        <w:t>（2）声明是残疾人福利性单位须填写《残疾人福利性单位声明函》的相关内容（填写位置的字体已加粗），具体参照以上《中小企业声明函》填写要求执行。</w:t>
      </w:r>
    </w:p>
    <w:p w14:paraId="19168E45">
      <w:pPr>
        <w:spacing w:line="240" w:lineRule="auto"/>
        <w:ind w:firstLine="480" w:firstLineChars="200"/>
        <w:outlineLvl w:val="3"/>
        <w:rPr>
          <w:rFonts w:hint="eastAsia" w:ascii="宋体" w:hAnsi="宋体" w:eastAsia="宋体" w:cs="宋体"/>
          <w:bCs/>
          <w:color w:val="auto"/>
          <w:kern w:val="0"/>
          <w:sz w:val="24"/>
        </w:rPr>
      </w:pPr>
      <w:r>
        <w:rPr>
          <w:rFonts w:hint="eastAsia" w:ascii="宋体" w:hAnsi="宋体" w:eastAsia="宋体" w:cs="宋体"/>
          <w:bCs/>
          <w:color w:val="auto"/>
          <w:kern w:val="0"/>
          <w:sz w:val="24"/>
        </w:rPr>
        <w:t>（3）声明是监狱企业须填写《监狱企业声明函》的相关内容（填写位置的字体已加粗），具体参照以上《中小企业声明函》填写要求执行。</w:t>
      </w:r>
    </w:p>
    <w:p w14:paraId="39736E1C">
      <w:pPr>
        <w:spacing w:line="240" w:lineRule="auto"/>
        <w:ind w:firstLine="420" w:firstLineChars="200"/>
        <w:rPr>
          <w:rFonts w:hint="eastAsia" w:ascii="宋体" w:hAnsi="宋体" w:eastAsia="宋体" w:cs="宋体"/>
          <w:color w:val="auto"/>
        </w:rPr>
      </w:pPr>
    </w:p>
    <w:p w14:paraId="55750330">
      <w:pPr>
        <w:jc w:val="center"/>
        <w:outlineLvl w:val="3"/>
        <w:rPr>
          <w:rFonts w:hint="eastAsia"/>
          <w:b/>
          <w:sz w:val="24"/>
        </w:rPr>
      </w:pPr>
    </w:p>
    <w:p w14:paraId="29C91327">
      <w:pPr>
        <w:jc w:val="center"/>
        <w:outlineLvl w:val="3"/>
        <w:rPr>
          <w:b/>
          <w:sz w:val="24"/>
        </w:rPr>
      </w:pPr>
      <w:r>
        <w:rPr>
          <w:rFonts w:hint="eastAsia"/>
          <w:b/>
          <w:sz w:val="24"/>
        </w:rPr>
        <w:t>1、</w:t>
      </w:r>
      <w:r>
        <w:rPr>
          <w:b/>
          <w:sz w:val="24"/>
        </w:rPr>
        <w:t>中小企业声明函（</w:t>
      </w:r>
      <w:r>
        <w:rPr>
          <w:rFonts w:hint="eastAsia"/>
          <w:b/>
          <w:sz w:val="24"/>
        </w:rPr>
        <w:t>工程类</w:t>
      </w:r>
      <w:r>
        <w:rPr>
          <w:b/>
          <w:sz w:val="24"/>
        </w:rPr>
        <w:t xml:space="preserve">） </w:t>
      </w:r>
    </w:p>
    <w:p w14:paraId="682E1B1F">
      <w:pPr>
        <w:ind w:firstLine="420" w:firstLineChars="200"/>
        <w:outlineLvl w:val="3"/>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cstheme="minorBidi"/>
          <w:szCs w:val="21"/>
        </w:rPr>
        <w:t>郑重声明，根据《政府采购促进中小企业发展管理办法》（财库</w:t>
      </w:r>
      <w:r>
        <w:rPr>
          <w:rFonts w:hint="eastAsia" w:ascii="宋体" w:hAnsi="宋体" w:cs="微软雅黑"/>
          <w:szCs w:val="21"/>
        </w:rPr>
        <w:t>﹝</w:t>
      </w:r>
      <w:r>
        <w:rPr>
          <w:rFonts w:ascii="宋体" w:hAnsi="宋体" w:cstheme="minorBidi"/>
          <w:szCs w:val="21"/>
        </w:rPr>
        <w:t>2020</w:t>
      </w:r>
      <w:r>
        <w:rPr>
          <w:rFonts w:hint="eastAsia" w:ascii="宋体" w:hAnsi="宋体" w:cs="微软雅黑"/>
          <w:szCs w:val="21"/>
        </w:rPr>
        <w:t>﹞</w:t>
      </w:r>
      <w:r>
        <w:rPr>
          <w:rFonts w:ascii="宋体" w:hAnsi="宋体" w:cstheme="minorBidi"/>
          <w:szCs w:val="21"/>
        </w:rPr>
        <w:t>46 号）的规定，本</w:t>
      </w:r>
      <w:r>
        <w:rPr>
          <w:rFonts w:hint="eastAsia" w:ascii="宋体" w:hAnsi="宋体" w:cstheme="minorBidi"/>
          <w:szCs w:val="21"/>
        </w:rPr>
        <w:t>投标人</w:t>
      </w:r>
      <w:r>
        <w:rPr>
          <w:rFonts w:ascii="宋体" w:hAnsi="宋体" w:cstheme="minorBidi"/>
          <w:szCs w:val="21"/>
        </w:rPr>
        <w:t>参加</w:t>
      </w:r>
      <w:r>
        <w:rPr>
          <w:rFonts w:hint="eastAsia" w:ascii="宋体" w:hAnsi="宋体" w:cs="宋体"/>
          <w:b/>
          <w:bCs/>
          <w:szCs w:val="21"/>
          <w:u w:val="single"/>
        </w:rPr>
        <w:t>（采购人名称</w:t>
      </w:r>
      <w:r>
        <w:rPr>
          <w:rFonts w:hint="eastAsia" w:ascii="宋体" w:hAnsi="宋体" w:cs="宋体"/>
          <w:b/>
          <w:bCs/>
          <w:szCs w:val="21"/>
          <w:u w:val="single"/>
          <w:lang w:eastAsia="zh-CN"/>
        </w:rPr>
        <w:t>：</w:t>
      </w:r>
      <w:r>
        <w:rPr>
          <w:rFonts w:hint="eastAsia" w:ascii="宋体" w:hAnsi="宋体" w:eastAsia="宋体" w:cs="宋体"/>
          <w:b/>
          <w:bCs/>
          <w:sz w:val="24"/>
          <w:u w:val="single"/>
          <w:lang w:eastAsia="zh-CN"/>
        </w:rPr>
        <w:t>深圳市盐田区土地整备事务中心</w:t>
      </w:r>
      <w:r>
        <w:rPr>
          <w:rFonts w:hint="eastAsia" w:ascii="宋体" w:hAnsi="宋体" w:cs="宋体"/>
          <w:b/>
          <w:bCs/>
          <w:szCs w:val="21"/>
          <w:u w:val="single"/>
        </w:rPr>
        <w:t>）</w:t>
      </w:r>
      <w:r>
        <w:rPr>
          <w:rFonts w:hint="eastAsia" w:ascii="宋体" w:hAnsi="宋体" w:cs="宋体"/>
          <w:szCs w:val="21"/>
        </w:rPr>
        <w:t>的</w:t>
      </w:r>
      <w:r>
        <w:rPr>
          <w:rFonts w:hint="eastAsia" w:ascii="宋体" w:hAnsi="宋体" w:cs="宋体"/>
          <w:b/>
          <w:bCs/>
          <w:szCs w:val="21"/>
          <w:u w:val="single"/>
        </w:rPr>
        <w:t>（项目名称</w:t>
      </w:r>
      <w:r>
        <w:rPr>
          <w:rFonts w:hint="eastAsia" w:ascii="宋体" w:hAnsi="宋体" w:cs="宋体"/>
          <w:b/>
          <w:bCs/>
          <w:szCs w:val="21"/>
          <w:u w:val="single"/>
          <w:lang w:eastAsia="zh-CN"/>
        </w:rPr>
        <w:t>：</w:t>
      </w:r>
      <w:r>
        <w:rPr>
          <w:rFonts w:hint="eastAsia" w:ascii="宋体" w:hAnsi="宋体" w:cs="宋体"/>
          <w:b/>
          <w:bCs/>
          <w:sz w:val="24"/>
          <w:u w:val="single"/>
          <w:lang w:eastAsia="zh-CN"/>
        </w:rPr>
        <w:t xml:space="preserve">深圳市东部工人文化宫（沙头角体育馆改造）项目建（构）筑物拆除工程 </w:t>
      </w:r>
      <w:r>
        <w:rPr>
          <w:rFonts w:hint="eastAsia" w:ascii="宋体" w:hAnsi="宋体" w:cs="宋体"/>
          <w:b/>
          <w:bCs/>
          <w:szCs w:val="21"/>
          <w:u w:val="single"/>
        </w:rPr>
        <w:t>）</w:t>
      </w:r>
      <w:r>
        <w:rPr>
          <w:rFonts w:ascii="宋体" w:hAnsi="宋体"/>
          <w:szCs w:val="21"/>
        </w:rPr>
        <w:t>采购活动，</w:t>
      </w:r>
      <w:r>
        <w:rPr>
          <w:rFonts w:hint="eastAsia" w:ascii="宋体" w:hAnsi="宋体"/>
          <w:szCs w:val="21"/>
        </w:rPr>
        <w:t>服务</w:t>
      </w:r>
      <w:r>
        <w:rPr>
          <w:rFonts w:ascii="宋体" w:hAnsi="宋体"/>
          <w:szCs w:val="21"/>
        </w:rPr>
        <w:t>全部由符合政策要求的中小企业</w:t>
      </w:r>
      <w:r>
        <w:rPr>
          <w:rFonts w:hint="eastAsia" w:ascii="宋体" w:hAnsi="宋体"/>
          <w:szCs w:val="21"/>
        </w:rPr>
        <w:t>承接</w:t>
      </w:r>
      <w:r>
        <w:rPr>
          <w:rFonts w:ascii="宋体" w:hAnsi="宋体"/>
          <w:szCs w:val="21"/>
        </w:rPr>
        <w:t>。相关企业的具体情况如下：</w:t>
      </w:r>
    </w:p>
    <w:p w14:paraId="435D0877">
      <w:pPr>
        <w:ind w:firstLine="420" w:firstLineChars="200"/>
        <w:outlineLvl w:val="3"/>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b/>
          <w:bCs/>
          <w:szCs w:val="21"/>
          <w:u w:val="single"/>
          <w:lang w:eastAsia="zh-CN"/>
        </w:rPr>
        <w:t>：</w:t>
      </w:r>
      <w:r>
        <w:rPr>
          <w:rFonts w:hint="eastAsia" w:ascii="宋体" w:hAnsi="宋体" w:cs="宋体"/>
          <w:b/>
          <w:bCs/>
          <w:sz w:val="24"/>
          <w:u w:val="single"/>
          <w:lang w:eastAsia="zh-CN"/>
        </w:rPr>
        <w:t xml:space="preserve">深圳市东部工人文化宫（沙头角体育馆改造）项目建（构）筑物拆除工程 </w:t>
      </w:r>
      <w:r>
        <w:rPr>
          <w:rFonts w:ascii="宋体" w:hAnsi="宋体"/>
          <w:b/>
          <w:bCs/>
          <w:szCs w:val="21"/>
          <w:u w:val="single"/>
        </w:rPr>
        <w:t>）</w:t>
      </w:r>
      <w:r>
        <w:rPr>
          <w:rFonts w:ascii="宋体" w:hAnsi="宋体"/>
          <w:szCs w:val="21"/>
        </w:rPr>
        <w:t xml:space="preserve"> ，属于</w:t>
      </w:r>
      <w:r>
        <w:rPr>
          <w:rFonts w:ascii="宋体" w:hAnsi="宋体"/>
          <w:b/>
          <w:bCs/>
          <w:szCs w:val="21"/>
          <w:u w:val="single"/>
        </w:rPr>
        <w:t>（</w:t>
      </w:r>
      <w:r>
        <w:rPr>
          <w:rFonts w:hint="eastAsia" w:ascii="宋体" w:hAnsi="宋体"/>
          <w:b/>
          <w:bCs/>
          <w:szCs w:val="21"/>
          <w:u w:val="single"/>
          <w:lang w:eastAsia="zh-CN"/>
        </w:rPr>
        <w:t>招标</w:t>
      </w:r>
      <w:r>
        <w:rPr>
          <w:rFonts w:ascii="宋体" w:hAnsi="宋体"/>
          <w:b/>
          <w:bCs/>
          <w:szCs w:val="21"/>
          <w:u w:val="single"/>
        </w:rPr>
        <w:t>文件中明确的所属行业</w:t>
      </w:r>
      <w:r>
        <w:rPr>
          <w:rFonts w:hint="eastAsia" w:ascii="宋体" w:hAnsi="宋体"/>
          <w:b/>
          <w:bCs/>
          <w:szCs w:val="21"/>
          <w:u w:val="single"/>
          <w:lang w:eastAsia="zh-CN"/>
        </w:rPr>
        <w:t>：建筑业</w:t>
      </w:r>
      <w:r>
        <w:rPr>
          <w:rFonts w:ascii="宋体" w:hAnsi="宋体"/>
          <w:b/>
          <w:bCs/>
          <w:szCs w:val="21"/>
          <w:u w:val="single"/>
        </w:rPr>
        <w:t xml:space="preserve">） </w:t>
      </w:r>
      <w:r>
        <w:rPr>
          <w:rFonts w:ascii="宋体" w:hAnsi="宋体"/>
          <w:szCs w:val="21"/>
        </w:rPr>
        <w:t>行业；</w:t>
      </w:r>
      <w:r>
        <w:rPr>
          <w:rFonts w:hint="eastAsia" w:ascii="宋体" w:hAnsi="宋体"/>
          <w:szCs w:val="21"/>
        </w:rPr>
        <w:t>承接企业</w:t>
      </w:r>
      <w:r>
        <w:rPr>
          <w:rFonts w:ascii="宋体" w:hAnsi="宋体"/>
          <w:szCs w:val="21"/>
        </w:rPr>
        <w:t>为</w:t>
      </w:r>
      <w:r>
        <w:rPr>
          <w:rFonts w:ascii="宋体" w:hAnsi="宋体"/>
          <w:b/>
          <w:bCs/>
          <w:szCs w:val="21"/>
          <w:u w:val="single"/>
        </w:rPr>
        <w:t>（企业名称）</w:t>
      </w:r>
      <w:r>
        <w:rPr>
          <w:rFonts w:ascii="宋体" w:hAnsi="宋体"/>
          <w:szCs w:val="21"/>
        </w:rPr>
        <w:t>，从业人员</w:t>
      </w:r>
      <w:r>
        <w:rPr>
          <w:rFonts w:ascii="宋体" w:hAnsi="宋体"/>
          <w:b/>
          <w:bCs/>
          <w:szCs w:val="21"/>
          <w:u w:val="single"/>
        </w:rPr>
        <w:t xml:space="preserve">  </w:t>
      </w:r>
      <w:r>
        <w:rPr>
          <w:rFonts w:ascii="宋体" w:hAnsi="宋体"/>
          <w:szCs w:val="21"/>
        </w:rPr>
        <w:t>人，营业收入为</w:t>
      </w:r>
      <w:r>
        <w:rPr>
          <w:rFonts w:ascii="宋体" w:hAnsi="宋体"/>
          <w:b/>
          <w:bCs/>
          <w:szCs w:val="21"/>
          <w:u w:val="single"/>
        </w:rPr>
        <w:t xml:space="preserve">  </w:t>
      </w:r>
      <w:r>
        <w:rPr>
          <w:rFonts w:ascii="宋体" w:hAnsi="宋体"/>
          <w:szCs w:val="21"/>
        </w:rPr>
        <w:t>万元，资产总额为</w:t>
      </w:r>
      <w:r>
        <w:rPr>
          <w:rFonts w:hint="eastAsia" w:ascii="宋体" w:hAnsi="宋体"/>
          <w:b/>
          <w:bCs/>
          <w:szCs w:val="21"/>
          <w:u w:val="single"/>
        </w:rPr>
        <w:t xml:space="preserve"> </w:t>
      </w:r>
      <w:r>
        <w:rPr>
          <w:rFonts w:ascii="宋体" w:hAnsi="宋体"/>
          <w:b/>
          <w:bCs/>
          <w:szCs w:val="21"/>
          <w:u w:val="single"/>
        </w:rPr>
        <w:t xml:space="preserve"> </w:t>
      </w:r>
      <w:r>
        <w:rPr>
          <w:rFonts w:ascii="宋体" w:hAnsi="宋体"/>
          <w:szCs w:val="21"/>
        </w:rPr>
        <w:t>万元 ，属于</w:t>
      </w:r>
      <w:r>
        <w:rPr>
          <w:rFonts w:ascii="宋体" w:hAnsi="宋体"/>
          <w:b/>
          <w:bCs/>
          <w:szCs w:val="21"/>
          <w:u w:val="single"/>
        </w:rPr>
        <w:t>（中型企业、小型企业、微型企业）</w:t>
      </w:r>
      <w:r>
        <w:rPr>
          <w:rFonts w:ascii="宋体" w:hAnsi="宋体"/>
          <w:szCs w:val="21"/>
        </w:rPr>
        <w:t xml:space="preserve">； </w:t>
      </w:r>
    </w:p>
    <w:p w14:paraId="0D7CB126">
      <w:pPr>
        <w:ind w:firstLine="420" w:firstLineChars="200"/>
        <w:outlineLvl w:val="3"/>
        <w:rPr>
          <w:rFonts w:ascii="宋体" w:hAnsi="宋体"/>
          <w:szCs w:val="21"/>
        </w:rPr>
      </w:pPr>
      <w:r>
        <w:rPr>
          <w:rFonts w:ascii="宋体" w:hAnsi="宋体"/>
          <w:szCs w:val="21"/>
        </w:rPr>
        <w:t xml:space="preserve">…… </w:t>
      </w:r>
    </w:p>
    <w:p w14:paraId="7495A999">
      <w:pPr>
        <w:ind w:firstLine="420" w:firstLineChars="200"/>
        <w:outlineLvl w:val="3"/>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14:paraId="440C509F">
      <w:pPr>
        <w:ind w:firstLine="420" w:firstLineChars="200"/>
        <w:outlineLvl w:val="3"/>
        <w:rPr>
          <w:rFonts w:ascii="宋体" w:hAnsi="宋体"/>
          <w:bCs/>
          <w:color w:val="FF0000"/>
          <w:kern w:val="0"/>
          <w:szCs w:val="21"/>
        </w:rPr>
      </w:pPr>
      <w:r>
        <w:rPr>
          <w:rFonts w:hint="eastAsia"/>
        </w:rPr>
        <w:t>本供应商</w:t>
      </w:r>
      <w:r>
        <w:t>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w:t>
      </w:r>
      <w:r>
        <w:rPr>
          <w:rFonts w:hint="eastAsia"/>
        </w:rPr>
        <w:t>成交</w:t>
      </w:r>
      <w:r>
        <w:t>，依照《政府采购法》等政府采购有关法律法规规定追究相应责任</w:t>
      </w:r>
      <w:r>
        <w:rPr>
          <w:rFonts w:hint="eastAsia"/>
        </w:rPr>
        <w:t>。</w:t>
      </w:r>
    </w:p>
    <w:p w14:paraId="76369D35">
      <w:pPr>
        <w:ind w:firstLine="420" w:firstLineChars="200"/>
      </w:pPr>
    </w:p>
    <w:p w14:paraId="31F814D2">
      <w:pPr>
        <w:jc w:val="center"/>
        <w:outlineLvl w:val="3"/>
        <w:rPr>
          <w:b/>
          <w:sz w:val="24"/>
        </w:rPr>
      </w:pPr>
      <w:r>
        <w:rPr>
          <w:rFonts w:hint="eastAsia"/>
          <w:b/>
          <w:sz w:val="24"/>
        </w:rPr>
        <w:t>2、残疾人福利性单位声明函（工程类）</w:t>
      </w:r>
    </w:p>
    <w:p w14:paraId="59093BC7">
      <w:pPr>
        <w:rPr>
          <w:b/>
          <w:bCs/>
        </w:rPr>
      </w:pPr>
    </w:p>
    <w:p w14:paraId="3F2CFEBC">
      <w:pPr>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hint="eastAsia" w:ascii="宋体" w:hAnsi="宋体"/>
          <w:szCs w:val="21"/>
        </w:rPr>
        <w:t>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号）的规定，本供应商</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残疾人福利性单位承接</w:t>
      </w:r>
      <w:r>
        <w:rPr>
          <w:rFonts w:ascii="宋体" w:hAnsi="宋体"/>
          <w:szCs w:val="21"/>
        </w:rPr>
        <w:t>。相关</w:t>
      </w:r>
      <w:r>
        <w:rPr>
          <w:rFonts w:hint="eastAsia" w:ascii="宋体" w:hAnsi="宋体"/>
          <w:szCs w:val="21"/>
        </w:rPr>
        <w:t>残疾人福利性单位</w:t>
      </w:r>
      <w:r>
        <w:rPr>
          <w:rFonts w:ascii="宋体" w:hAnsi="宋体"/>
          <w:szCs w:val="21"/>
        </w:rPr>
        <w:t>的具体情况如下：</w:t>
      </w:r>
    </w:p>
    <w:p w14:paraId="12A3DBDC">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32B51751">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，承接企业</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229B8A44">
      <w:pPr>
        <w:ind w:firstLine="420" w:firstLineChars="200"/>
        <w:outlineLvl w:val="3"/>
        <w:rPr>
          <w:rFonts w:ascii="宋体" w:hAnsi="宋体"/>
          <w:szCs w:val="21"/>
        </w:rPr>
      </w:pPr>
      <w:r>
        <w:rPr>
          <w:rFonts w:ascii="宋体" w:hAnsi="宋体"/>
          <w:szCs w:val="21"/>
        </w:rPr>
        <w:t xml:space="preserve">…… </w:t>
      </w:r>
    </w:p>
    <w:p w14:paraId="668B0D24">
      <w:pPr>
        <w:ind w:firstLine="420" w:firstLineChars="200"/>
        <w:rPr>
          <w:rFonts w:ascii="宋体" w:hAnsi="宋体"/>
          <w:szCs w:val="21"/>
        </w:rPr>
      </w:pPr>
      <w:r>
        <w:rPr>
          <w:rFonts w:hint="eastAsia"/>
        </w:rPr>
        <w:t>本供应商已</w:t>
      </w:r>
      <w:r>
        <w:t>知悉</w:t>
      </w:r>
      <w:r>
        <w:rPr>
          <w:rFonts w:hint="eastAsia"/>
        </w:rPr>
        <w:t>《财政部民政部中国残疾人联合会关于促进残疾人就业政府采购政策的通知》（财库〔2017〕141 号）</w:t>
      </w:r>
      <w:r>
        <w:t>的规定，承诺提供的声明函内容是真实的，如提供声明函内容不实，则依法追究相关法律责任</w:t>
      </w:r>
      <w:r>
        <w:rPr>
          <w:rFonts w:hint="eastAsia"/>
        </w:rPr>
        <w:t>。</w:t>
      </w:r>
    </w:p>
    <w:p w14:paraId="343F244F">
      <w:pPr>
        <w:ind w:firstLine="420" w:firstLineChars="200"/>
        <w:rPr>
          <w:rFonts w:ascii="宋体" w:hAnsi="宋体"/>
          <w:szCs w:val="21"/>
        </w:rPr>
      </w:pPr>
    </w:p>
    <w:p w14:paraId="00F548E6">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3D2F237B">
      <w:pPr>
        <w:ind w:firstLine="420" w:firstLineChars="200"/>
        <w:rPr>
          <w:rFonts w:ascii="宋体" w:hAnsi="宋体"/>
          <w:szCs w:val="21"/>
        </w:rPr>
      </w:pPr>
      <w:r>
        <w:rPr>
          <w:rFonts w:hint="eastAsia" w:ascii="宋体" w:hAnsi="宋体"/>
          <w:szCs w:val="21"/>
        </w:rPr>
        <w:t>本供应商郑重声明，根据《财政部司法部关于政府采购支持监狱企业发展有关问题的通知》（财库〔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号）的规定，本供应商</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5E408578">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14:paraId="5176C5DE">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14:paraId="624B7AAF">
      <w:pPr>
        <w:ind w:firstLine="420" w:firstLineChars="200"/>
        <w:outlineLvl w:val="3"/>
        <w:rPr>
          <w:rFonts w:ascii="宋体" w:hAnsi="宋体"/>
          <w:szCs w:val="21"/>
        </w:rPr>
      </w:pPr>
      <w:r>
        <w:rPr>
          <w:rFonts w:ascii="宋体" w:hAnsi="宋体"/>
          <w:szCs w:val="21"/>
        </w:rPr>
        <w:t xml:space="preserve">…… </w:t>
      </w:r>
    </w:p>
    <w:p w14:paraId="0CDA158C">
      <w:pPr>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供应商</w:t>
      </w:r>
      <w:r>
        <w:rPr>
          <w:rFonts w:ascii="宋体" w:hAnsi="宋体"/>
          <w:szCs w:val="21"/>
        </w:rPr>
        <w:t>对上述声明内容的真实性负责。如有虚假，将依法承担相应责任。</w:t>
      </w:r>
    </w:p>
    <w:p w14:paraId="5CAF7988">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5BE08EE6">
      <w:pPr>
        <w:spacing w:line="240" w:lineRule="auto"/>
        <w:rPr>
          <w:rFonts w:hint="eastAsia" w:ascii="宋体" w:hAnsi="宋体" w:eastAsia="宋体" w:cs="宋体"/>
          <w:b/>
          <w:sz w:val="24"/>
        </w:rPr>
      </w:pPr>
    </w:p>
    <w:p w14:paraId="7A3AE9BA">
      <w:pPr>
        <w:jc w:val="center"/>
        <w:rPr>
          <w:rFonts w:hint="eastAsia" w:ascii="宋体" w:hAnsi="宋体" w:eastAsia="宋体" w:cs="宋体"/>
          <w:b/>
          <w:bCs/>
          <w:sz w:val="24"/>
          <w:szCs w:val="32"/>
        </w:rPr>
      </w:pPr>
      <w:r>
        <w:rPr>
          <w:rFonts w:hint="eastAsia" w:ascii="宋体" w:hAnsi="宋体" w:eastAsia="宋体" w:cs="宋体"/>
          <w:b/>
          <w:bCs/>
          <w:sz w:val="24"/>
          <w:szCs w:val="32"/>
        </w:rPr>
        <w:t>七、开标一览表</w:t>
      </w:r>
    </w:p>
    <w:bookmarkEnd w:id="14"/>
    <w:bookmarkEnd w:id="15"/>
    <w:bookmarkEnd w:id="16"/>
    <w:bookmarkEnd w:id="17"/>
    <w:p w14:paraId="79EEC4E1">
      <w:pPr>
        <w:adjustRightInd w:val="0"/>
        <w:snapToGrid w:val="0"/>
        <w:spacing w:line="600" w:lineRule="exact"/>
        <w:ind w:left="-88" w:leftChars="-42" w:firstLine="360" w:firstLineChars="150"/>
        <w:outlineLvl w:val="0"/>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5BC61062">
      <w:pPr>
        <w:adjustRightInd w:val="0"/>
        <w:snapToGrid w:val="0"/>
        <w:spacing w:line="600" w:lineRule="exact"/>
        <w:ind w:left="-88" w:leftChars="-42" w:firstLine="360" w:firstLineChars="150"/>
        <w:outlineLvl w:val="0"/>
        <w:rPr>
          <w:rFonts w:hint="eastAsia" w:ascii="宋体" w:hAnsi="宋体" w:eastAsia="宋体" w:cs="宋体"/>
          <w:sz w:val="24"/>
          <w:u w:val="single"/>
        </w:rPr>
      </w:pPr>
      <w:r>
        <w:rPr>
          <w:rFonts w:hint="eastAsia" w:ascii="宋体" w:hAnsi="宋体" w:eastAsia="宋体" w:cs="宋体"/>
          <w:sz w:val="24"/>
        </w:rPr>
        <w:t>项目编号：</w:t>
      </w:r>
      <w:r>
        <w:rPr>
          <w:rFonts w:hint="eastAsia" w:ascii="宋体" w:hAnsi="宋体" w:eastAsia="宋体" w:cs="宋体"/>
          <w:sz w:val="24"/>
          <w:u w:val="single"/>
        </w:rPr>
        <w:t xml:space="preserve">                         </w:t>
      </w:r>
    </w:p>
    <w:p w14:paraId="5B73E5D8">
      <w:pPr>
        <w:pStyle w:val="2"/>
        <w:rPr>
          <w:rFonts w:hint="eastAsia"/>
          <w:lang w:eastAsia="zh-C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4"/>
        <w:gridCol w:w="2850"/>
        <w:gridCol w:w="2208"/>
      </w:tblGrid>
      <w:tr w14:paraId="1963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4" w:type="dxa"/>
          </w:tcPr>
          <w:p w14:paraId="20532195">
            <w:pPr>
              <w:pStyle w:val="2"/>
              <w:jc w:val="center"/>
              <w:rPr>
                <w:rFonts w:hint="default" w:eastAsia="宋体"/>
                <w:vertAlign w:val="baseline"/>
                <w:lang w:val="en-US" w:eastAsia="zh-CN"/>
              </w:rPr>
            </w:pPr>
            <w:r>
              <w:rPr>
                <w:rFonts w:hint="eastAsia"/>
                <w:vertAlign w:val="baseline"/>
                <w:lang w:val="en-US" w:eastAsia="zh-CN"/>
              </w:rPr>
              <w:t>投标总价（元）</w:t>
            </w:r>
          </w:p>
        </w:tc>
        <w:tc>
          <w:tcPr>
            <w:tcW w:w="2850" w:type="dxa"/>
          </w:tcPr>
          <w:p w14:paraId="3B77F230">
            <w:pPr>
              <w:pStyle w:val="2"/>
              <w:jc w:val="center"/>
              <w:rPr>
                <w:rFonts w:hint="default" w:eastAsia="宋体"/>
                <w:vertAlign w:val="baseline"/>
                <w:lang w:val="en-US" w:eastAsia="zh-CN"/>
              </w:rPr>
            </w:pPr>
            <w:r>
              <w:rPr>
                <w:rFonts w:hint="eastAsia"/>
                <w:vertAlign w:val="baseline"/>
                <w:lang w:val="en-US" w:eastAsia="zh-CN"/>
              </w:rPr>
              <w:t>投标净下浮率（%）</w:t>
            </w:r>
          </w:p>
        </w:tc>
        <w:tc>
          <w:tcPr>
            <w:tcW w:w="2208" w:type="dxa"/>
          </w:tcPr>
          <w:p w14:paraId="169B74CC">
            <w:pPr>
              <w:pStyle w:val="2"/>
              <w:jc w:val="center"/>
              <w:rPr>
                <w:rFonts w:hint="default" w:eastAsia="宋体"/>
                <w:vertAlign w:val="baseline"/>
                <w:lang w:val="en-US" w:eastAsia="zh-CN"/>
              </w:rPr>
            </w:pPr>
            <w:r>
              <w:rPr>
                <w:rFonts w:hint="eastAsia"/>
                <w:vertAlign w:val="baseline"/>
                <w:lang w:val="en-US" w:eastAsia="zh-CN"/>
              </w:rPr>
              <w:t>投标工期（天）</w:t>
            </w:r>
          </w:p>
        </w:tc>
      </w:tr>
      <w:tr w14:paraId="0295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4" w:type="dxa"/>
          </w:tcPr>
          <w:p w14:paraId="6C2AA5F7">
            <w:pPr>
              <w:pStyle w:val="2"/>
              <w:rPr>
                <w:rFonts w:hint="eastAsia"/>
              </w:rPr>
            </w:pPr>
            <w:r>
              <w:rPr>
                <w:rFonts w:hint="eastAsia"/>
              </w:rPr>
              <w:t xml:space="preserve">人民币（小写）： </w:t>
            </w:r>
          </w:p>
          <w:p w14:paraId="35ADE55F">
            <w:pPr>
              <w:pStyle w:val="3"/>
              <w:rPr>
                <w:rFonts w:hint="eastAsia"/>
              </w:rPr>
            </w:pPr>
            <w:r>
              <w:rPr>
                <w:rFonts w:hint="eastAsia" w:ascii="宋体" w:hAnsi="宋体" w:eastAsia="宋体" w:cs="宋体"/>
                <w:b/>
                <w:bCs/>
                <w:sz w:val="24"/>
              </w:rPr>
              <w:t>人民币（大写）：</w:t>
            </w:r>
          </w:p>
        </w:tc>
        <w:tc>
          <w:tcPr>
            <w:tcW w:w="2850" w:type="dxa"/>
          </w:tcPr>
          <w:p w14:paraId="0F58417C">
            <w:pPr>
              <w:pStyle w:val="2"/>
              <w:rPr>
                <w:rFonts w:hint="eastAsia"/>
                <w:vertAlign w:val="baseline"/>
              </w:rPr>
            </w:pPr>
          </w:p>
        </w:tc>
        <w:tc>
          <w:tcPr>
            <w:tcW w:w="2208" w:type="dxa"/>
          </w:tcPr>
          <w:p w14:paraId="77228988">
            <w:pPr>
              <w:pStyle w:val="2"/>
              <w:rPr>
                <w:rFonts w:hint="eastAsia"/>
                <w:vertAlign w:val="baseline"/>
              </w:rPr>
            </w:pPr>
          </w:p>
        </w:tc>
      </w:tr>
    </w:tbl>
    <w:p w14:paraId="77569EF6">
      <w:pPr>
        <w:pStyle w:val="2"/>
        <w:rPr>
          <w:rFonts w:hint="eastAsia"/>
        </w:rPr>
      </w:pPr>
    </w:p>
    <w:p w14:paraId="0F6874FD">
      <w:pPr>
        <w:adjustRightInd w:val="0"/>
        <w:snapToGrid w:val="0"/>
        <w:spacing w:line="600" w:lineRule="exact"/>
        <w:ind w:firstLine="241" w:firstLineChars="100"/>
        <w:rPr>
          <w:rFonts w:hint="eastAsia" w:ascii="宋体" w:hAnsi="宋体" w:eastAsia="宋体" w:cs="宋体"/>
          <w:sz w:val="24"/>
        </w:rPr>
      </w:pPr>
      <w:r>
        <w:rPr>
          <w:rFonts w:hint="eastAsia" w:ascii="宋体" w:hAnsi="宋体" w:eastAsia="宋体" w:cs="宋体"/>
          <w:b/>
          <w:bCs/>
          <w:sz w:val="24"/>
        </w:rPr>
        <w:t>注：</w:t>
      </w:r>
      <w:r>
        <w:rPr>
          <w:rFonts w:hint="eastAsia" w:ascii="宋体" w:hAnsi="宋体" w:eastAsia="宋体" w:cs="宋体"/>
          <w:sz w:val="24"/>
        </w:rPr>
        <w:t>1．所有价格均以人民币计算。</w:t>
      </w:r>
    </w:p>
    <w:p w14:paraId="1B0B21C0">
      <w:pPr>
        <w:pStyle w:val="2"/>
        <w:ind w:firstLine="720" w:firstLineChars="300"/>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 本工程预算价为1284602.71元（其中不可竞争费为322280.60元）。</w:t>
      </w:r>
    </w:p>
    <w:p w14:paraId="45DAAD8B">
      <w:pPr>
        <w:adjustRightInd w:val="0"/>
        <w:snapToGrid w:val="0"/>
        <w:spacing w:line="600" w:lineRule="exact"/>
        <w:ind w:firstLine="720" w:firstLineChars="300"/>
        <w:rPr>
          <w:rFonts w:hint="eastAsia" w:ascii="宋体" w:hAnsi="宋体" w:eastAsia="宋体" w:cs="宋体"/>
          <w:sz w:val="24"/>
          <w:lang w:val="en-US" w:eastAsia="zh-CN"/>
        </w:rPr>
      </w:pPr>
      <w:r>
        <w:rPr>
          <w:rFonts w:hint="eastAsia" w:ascii="宋体" w:hAnsi="宋体" w:eastAsia="宋体" w:cs="宋体"/>
          <w:sz w:val="24"/>
          <w:lang w:val="en-US" w:eastAsia="zh-CN"/>
        </w:rPr>
        <w:t>3. 投标净下浮率=【1-（投标总价-不可竞争费）/（预算价-不可竞争费）】*100%</w:t>
      </w:r>
    </w:p>
    <w:p w14:paraId="2445F9D0">
      <w:pPr>
        <w:pStyle w:val="2"/>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4.投标净下浮率与计算投标总价不一致的，以投标总价为准修正投标净下浮率</w:t>
      </w:r>
    </w:p>
    <w:p w14:paraId="0C733866">
      <w:pPr>
        <w:adjustRightInd w:val="0"/>
        <w:snapToGrid w:val="0"/>
        <w:spacing w:line="600" w:lineRule="exact"/>
        <w:ind w:firstLine="720" w:firstLineChars="3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．此表除装订在投标文件中外，还应另附一份单独封装在一个小信封中，作为唱标之用。</w:t>
      </w:r>
    </w:p>
    <w:p w14:paraId="6FA47014">
      <w:pPr>
        <w:adjustRightInd w:val="0"/>
        <w:snapToGrid w:val="0"/>
        <w:spacing w:line="600" w:lineRule="exact"/>
        <w:rPr>
          <w:rFonts w:hint="eastAsia" w:ascii="宋体" w:hAnsi="宋体" w:eastAsia="宋体" w:cs="宋体"/>
          <w:sz w:val="24"/>
        </w:rPr>
      </w:pPr>
      <w:r>
        <w:rPr>
          <w:rFonts w:hint="eastAsia" w:ascii="宋体" w:hAnsi="宋体" w:eastAsia="宋体" w:cs="宋体"/>
          <w:sz w:val="24"/>
        </w:rPr>
        <w:t xml:space="preserve">                           </w:t>
      </w:r>
    </w:p>
    <w:p w14:paraId="6B46DD35">
      <w:pPr>
        <w:adjustRightInd w:val="0"/>
        <w:snapToGrid w:val="0"/>
        <w:spacing w:line="600" w:lineRule="exact"/>
        <w:jc w:val="center"/>
        <w:rPr>
          <w:rFonts w:hint="eastAsia" w:ascii="宋体" w:hAnsi="宋体" w:eastAsia="宋体" w:cs="宋体"/>
          <w:sz w:val="24"/>
          <w:u w:val="single"/>
        </w:rPr>
      </w:pPr>
      <w:r>
        <w:rPr>
          <w:rFonts w:hint="eastAsia" w:ascii="宋体" w:hAnsi="宋体" w:eastAsia="宋体" w:cs="宋体"/>
          <w:sz w:val="24"/>
        </w:rPr>
        <w:t xml:space="preserve">             投标人名称（签章）：</w:t>
      </w:r>
      <w:r>
        <w:rPr>
          <w:rFonts w:hint="eastAsia" w:ascii="宋体" w:hAnsi="宋体" w:eastAsia="宋体" w:cs="宋体"/>
          <w:sz w:val="24"/>
          <w:u w:val="single"/>
        </w:rPr>
        <w:t xml:space="preserve">                   </w:t>
      </w:r>
    </w:p>
    <w:p w14:paraId="42AD80AC">
      <w:pPr>
        <w:adjustRightInd w:val="0"/>
        <w:snapToGrid w:val="0"/>
        <w:spacing w:line="600" w:lineRule="exact"/>
        <w:ind w:firstLine="3240" w:firstLineChars="1350"/>
        <w:rPr>
          <w:rFonts w:hint="eastAsia" w:ascii="宋体" w:hAnsi="宋体" w:eastAsia="宋体" w:cs="宋体"/>
          <w:sz w:val="24"/>
        </w:rPr>
      </w:pPr>
      <w:r>
        <w:rPr>
          <w:rFonts w:hint="eastAsia" w:ascii="宋体" w:hAnsi="宋体" w:eastAsia="宋体" w:cs="宋体"/>
          <w:sz w:val="24"/>
        </w:rPr>
        <w:t>法定代表人或其授权代表签字：</w:t>
      </w:r>
      <w:r>
        <w:rPr>
          <w:rFonts w:hint="eastAsia" w:ascii="宋体" w:hAnsi="宋体" w:eastAsia="宋体" w:cs="宋体"/>
          <w:sz w:val="24"/>
          <w:u w:val="single"/>
        </w:rPr>
        <w:t xml:space="preserve">                   </w:t>
      </w:r>
    </w:p>
    <w:p w14:paraId="3F1050D7">
      <w:pPr>
        <w:adjustRightInd w:val="0"/>
        <w:snapToGrid w:val="0"/>
        <w:spacing w:line="600" w:lineRule="exact"/>
        <w:rPr>
          <w:rFonts w:hint="eastAsia" w:ascii="宋体" w:hAnsi="宋体" w:eastAsia="宋体" w:cs="宋体"/>
          <w:sz w:val="24"/>
        </w:rPr>
      </w:pPr>
    </w:p>
    <w:p w14:paraId="070A5DED">
      <w:pPr>
        <w:adjustRightInd w:val="0"/>
        <w:snapToGrid w:val="0"/>
        <w:spacing w:line="600" w:lineRule="exact"/>
        <w:ind w:firstLine="3840" w:firstLineChars="16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4D4B6864">
      <w:pPr>
        <w:spacing w:line="360" w:lineRule="exact"/>
        <w:jc w:val="center"/>
        <w:rPr>
          <w:rFonts w:hint="eastAsia" w:ascii="宋体" w:hAnsi="宋体" w:eastAsia="宋体" w:cs="宋体"/>
          <w:b/>
          <w:bCs/>
          <w:sz w:val="32"/>
          <w:szCs w:val="32"/>
        </w:rPr>
      </w:pPr>
    </w:p>
    <w:p w14:paraId="530AA18A">
      <w:pPr>
        <w:pStyle w:val="109"/>
        <w:ind w:left="703" w:leftChars="0" w:hanging="703" w:hangingChars="250"/>
        <w:rPr>
          <w:rFonts w:hint="eastAsia" w:ascii="宋体" w:hAnsi="宋体" w:eastAsia="宋体" w:cs="宋体"/>
          <w:b/>
          <w:bCs/>
          <w:kern w:val="0"/>
          <w:sz w:val="28"/>
          <w:szCs w:val="32"/>
        </w:rPr>
      </w:pPr>
      <w:r>
        <w:rPr>
          <w:rFonts w:hint="eastAsia" w:ascii="宋体" w:hAnsi="宋体" w:eastAsia="宋体" w:cs="宋体"/>
          <w:b/>
          <w:bCs/>
          <w:kern w:val="0"/>
          <w:sz w:val="28"/>
          <w:szCs w:val="32"/>
        </w:rPr>
        <w:t xml:space="preserve">    </w:t>
      </w:r>
    </w:p>
    <w:p w14:paraId="31FBAE2D">
      <w:pPr>
        <w:pStyle w:val="49"/>
        <w:numPr>
          <w:ilvl w:val="0"/>
          <w:numId w:val="9"/>
        </w:numPr>
        <w:ind w:left="0" w:leftChars="0" w:firstLine="0" w:firstLineChars="0"/>
        <w:jc w:val="center"/>
        <w:rPr>
          <w:rFonts w:hint="eastAsia" w:ascii="宋体" w:hAnsi="宋体" w:eastAsia="宋体" w:cs="宋体"/>
          <w:b/>
          <w:bCs/>
          <w:kern w:val="0"/>
          <w:sz w:val="28"/>
          <w:szCs w:val="32"/>
          <w:lang w:eastAsia="zh-CN"/>
        </w:rPr>
      </w:pPr>
      <w:r>
        <w:rPr>
          <w:rFonts w:hint="eastAsia" w:ascii="宋体" w:hAnsi="宋体" w:eastAsia="宋体" w:cs="宋体"/>
          <w:b/>
          <w:bCs/>
          <w:kern w:val="0"/>
          <w:sz w:val="28"/>
          <w:szCs w:val="32"/>
          <w:lang w:eastAsia="zh-CN"/>
        </w:rPr>
        <w:t>分项报价表（工程量清单报价格式）</w:t>
      </w:r>
    </w:p>
    <w:p w14:paraId="46310ED8">
      <w:pPr>
        <w:pStyle w:val="49"/>
        <w:ind w:left="0" w:leftChars="0" w:firstLine="0" w:firstLineChars="0"/>
        <w:jc w:val="left"/>
        <w:rPr>
          <w:rFonts w:hint="eastAsia" w:ascii="宋体" w:hAnsi="宋体" w:eastAsia="宋体" w:cs="宋体"/>
          <w:b/>
          <w:bCs/>
          <w:kern w:val="0"/>
          <w:sz w:val="28"/>
          <w:szCs w:val="32"/>
          <w:lang w:eastAsia="zh-CN"/>
        </w:rPr>
      </w:pPr>
      <w:r>
        <w:rPr>
          <w:b/>
          <w:sz w:val="24"/>
        </w:rPr>
        <w:t>根据附件</w:t>
      </w:r>
      <w:r>
        <w:rPr>
          <w:rFonts w:hint="eastAsia"/>
          <w:b/>
          <w:sz w:val="24"/>
        </w:rPr>
        <w:t xml:space="preserve"> “</w:t>
      </w:r>
      <w:r>
        <w:rPr>
          <w:rFonts w:hint="eastAsia"/>
          <w:b/>
          <w:sz w:val="24"/>
          <w:lang w:eastAsia="zh-CN"/>
        </w:rPr>
        <w:t>深圳市东部工人文化宫（沙头角体育馆改造）项目建（构）筑物拆除工程 预算书”进行报价</w:t>
      </w:r>
    </w:p>
    <w:p w14:paraId="1DD5968A">
      <w:pPr>
        <w:pStyle w:val="49"/>
        <w:spacing w:line="360" w:lineRule="auto"/>
        <w:ind w:left="0" w:leftChars="0" w:firstLine="0" w:firstLineChars="0"/>
        <w:jc w:val="left"/>
        <w:rPr>
          <w:rFonts w:hint="default" w:ascii="Times New Roman" w:hAnsi="Times New Roman" w:eastAsia="宋体" w:cs="Times New Roman"/>
          <w:b/>
          <w:sz w:val="24"/>
          <w:lang w:val="en-US" w:eastAsia="zh-CN"/>
        </w:rPr>
      </w:pPr>
      <w:r>
        <w:rPr>
          <w:rFonts w:hint="eastAsia" w:ascii="Times New Roman" w:hAnsi="Times New Roman" w:eastAsia="宋体" w:cs="Times New Roman"/>
          <w:b/>
          <w:sz w:val="24"/>
          <w:lang w:val="en-US" w:eastAsia="zh-CN"/>
        </w:rPr>
        <w:t>报价表包含“工程项目投标价汇总表、单项工程投标价汇总表、单位工程投标报价汇总表、分部分项工程量清单与计价表、措施项目清单与计价汇总表、措施项目清单与计价表(一)、计日工表</w:t>
      </w:r>
      <w:r>
        <w:rPr>
          <w:rFonts w:hint="eastAsia" w:cs="Times New Roman"/>
          <w:b/>
          <w:sz w:val="24"/>
          <w:lang w:val="en-US" w:eastAsia="zh-CN"/>
        </w:rPr>
        <w:t>、</w:t>
      </w:r>
      <w:r>
        <w:rPr>
          <w:rFonts w:hint="eastAsia" w:ascii="Times New Roman" w:hAnsi="Times New Roman" w:eastAsia="宋体" w:cs="Times New Roman"/>
          <w:b/>
          <w:sz w:val="24"/>
          <w:lang w:val="en-US" w:eastAsia="zh-CN"/>
        </w:rPr>
        <w:t>规费、应纳税费项目清单与计价表”</w:t>
      </w:r>
    </w:p>
    <w:p w14:paraId="53A59C5C">
      <w:pPr>
        <w:rPr>
          <w:rFonts w:hint="eastAsia" w:ascii="宋体" w:hAnsi="宋体" w:eastAsia="宋体" w:cs="宋体"/>
        </w:rPr>
      </w:pPr>
      <w:r>
        <w:rPr>
          <w:rFonts w:hint="eastAsia" w:ascii="宋体" w:hAnsi="宋体" w:eastAsia="宋体" w:cs="宋体"/>
        </w:rPr>
        <w:t xml:space="preserve">            </w:t>
      </w:r>
    </w:p>
    <w:p w14:paraId="213A989A">
      <w:pPr>
        <w:pStyle w:val="6"/>
        <w:jc w:val="center"/>
        <w:rPr>
          <w:rFonts w:hint="eastAsia" w:ascii="宋体" w:hAnsi="宋体" w:eastAsia="宋体" w:cs="宋体"/>
          <w:sz w:val="24"/>
        </w:rPr>
      </w:pPr>
      <w:r>
        <w:rPr>
          <w:rFonts w:hint="eastAsia" w:ascii="宋体" w:hAnsi="宋体" w:eastAsia="宋体" w:cs="宋体"/>
          <w:sz w:val="24"/>
        </w:rPr>
        <w:t>九、实质性条款响应情况表</w:t>
      </w:r>
    </w:p>
    <w:tbl>
      <w:tblPr>
        <w:tblStyle w:val="50"/>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6725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3004E222">
            <w:pPr>
              <w:adjustRightInd w:val="0"/>
              <w:snapToGrid w:val="0"/>
              <w:jc w:val="center"/>
              <w:rPr>
                <w:rFonts w:hint="eastAsia" w:ascii="宋体" w:hAnsi="宋体" w:eastAsia="宋体" w:cs="宋体"/>
                <w:sz w:val="24"/>
              </w:rPr>
            </w:pPr>
            <w:bookmarkStart w:id="19" w:name="_Hlk72092651"/>
            <w:r>
              <w:rPr>
                <w:rFonts w:hint="eastAsia" w:ascii="宋体" w:hAnsi="宋体" w:eastAsia="宋体" w:cs="宋体"/>
              </w:rPr>
              <w:t>序号</w:t>
            </w:r>
            <w:bookmarkEnd w:id="19"/>
          </w:p>
        </w:tc>
        <w:tc>
          <w:tcPr>
            <w:tcW w:w="2664" w:type="dxa"/>
            <w:tcBorders>
              <w:top w:val="single" w:color="auto" w:sz="4" w:space="0"/>
              <w:left w:val="single" w:color="auto" w:sz="4" w:space="0"/>
              <w:bottom w:val="single" w:color="auto" w:sz="4" w:space="0"/>
              <w:right w:val="single" w:color="auto" w:sz="4" w:space="0"/>
            </w:tcBorders>
            <w:noWrap w:val="0"/>
            <w:vAlign w:val="center"/>
          </w:tcPr>
          <w:p w14:paraId="2BDF392B">
            <w:pPr>
              <w:adjustRightInd w:val="0"/>
              <w:snapToGrid w:val="0"/>
              <w:jc w:val="center"/>
              <w:rPr>
                <w:rFonts w:hint="eastAsia" w:ascii="宋体" w:hAnsi="宋体" w:eastAsia="宋体" w:cs="宋体"/>
                <w:sz w:val="24"/>
              </w:rPr>
            </w:pPr>
            <w:r>
              <w:rPr>
                <w:rFonts w:hint="eastAsia" w:ascii="宋体" w:hAnsi="宋体" w:eastAsia="宋体" w:cs="宋体"/>
              </w:rPr>
              <w:t>实质性条款具体内容</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478ED429">
            <w:pPr>
              <w:adjustRightInd w:val="0"/>
              <w:snapToGrid w:val="0"/>
              <w:jc w:val="center"/>
              <w:rPr>
                <w:rFonts w:hint="eastAsia" w:ascii="宋体" w:hAnsi="宋体" w:eastAsia="宋体" w:cs="宋体"/>
                <w:sz w:val="24"/>
              </w:rPr>
            </w:pPr>
            <w:r>
              <w:rPr>
                <w:rFonts w:hint="eastAsia" w:ascii="宋体" w:hAnsi="宋体" w:eastAsia="宋体" w:cs="宋体"/>
              </w:rPr>
              <w:t>投标响应</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D9B5D00">
            <w:pPr>
              <w:adjustRightInd w:val="0"/>
              <w:snapToGrid w:val="0"/>
              <w:jc w:val="center"/>
              <w:rPr>
                <w:rFonts w:hint="eastAsia" w:ascii="宋体" w:hAnsi="宋体" w:eastAsia="宋体" w:cs="宋体"/>
                <w:sz w:val="24"/>
              </w:rPr>
            </w:pPr>
            <w:r>
              <w:rPr>
                <w:rFonts w:hint="eastAsia" w:ascii="宋体" w:hAnsi="宋体" w:eastAsia="宋体" w:cs="宋体"/>
              </w:rPr>
              <w:t>偏离情况</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B87787">
            <w:pPr>
              <w:adjustRightInd w:val="0"/>
              <w:snapToGrid w:val="0"/>
              <w:jc w:val="center"/>
              <w:rPr>
                <w:rFonts w:hint="eastAsia" w:ascii="宋体" w:hAnsi="宋体" w:eastAsia="宋体" w:cs="宋体"/>
                <w:sz w:val="24"/>
              </w:rPr>
            </w:pPr>
            <w:r>
              <w:rPr>
                <w:rFonts w:hint="eastAsia" w:ascii="宋体" w:hAnsi="宋体" w:eastAsia="宋体" w:cs="宋体"/>
              </w:rPr>
              <w:t>说明</w:t>
            </w:r>
          </w:p>
        </w:tc>
      </w:tr>
      <w:tr w14:paraId="1761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2B168967">
            <w:pPr>
              <w:adjustRightInd w:val="0"/>
              <w:snapToGrid w:val="0"/>
              <w:rPr>
                <w:rFonts w:hint="eastAsia" w:ascii="宋体" w:hAnsi="宋体" w:eastAsia="宋体" w:cs="宋体"/>
                <w:sz w:val="24"/>
              </w:rPr>
            </w:pPr>
            <w:r>
              <w:rPr>
                <w:rFonts w:hint="eastAsia" w:ascii="宋体" w:hAnsi="宋体" w:eastAsia="宋体" w:cs="宋体"/>
              </w:rPr>
              <w:t>1</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64C393D3">
            <w:pPr>
              <w:adjustRightInd w:val="0"/>
              <w:snapToGrid w:val="0"/>
              <w:jc w:val="center"/>
              <w:rPr>
                <w:rFonts w:hint="eastAsia" w:ascii="宋体" w:hAnsi="宋体" w:eastAsia="宋体" w:cs="宋体"/>
                <w:sz w:val="24"/>
              </w:rPr>
            </w:pPr>
            <w:r>
              <w:rPr>
                <w:rFonts w:hint="eastAsia" w:ascii="宋体" w:hAnsi="宋体" w:eastAsia="宋体" w:cs="宋体"/>
              </w:rPr>
              <w:t>（填写相关内容）</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7E2B1590">
            <w:pPr>
              <w:adjustRightInd w:val="0"/>
              <w:snapToGrid w:val="0"/>
              <w:rPr>
                <w:rFonts w:hint="eastAsia" w:ascii="宋体" w:hAnsi="宋体" w:eastAsia="宋体" w:cs="宋体"/>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1E0706F">
            <w:pPr>
              <w:adjustRightInd w:val="0"/>
              <w:snapToGrid w:val="0"/>
              <w:rPr>
                <w:rFonts w:hint="eastAsia" w:ascii="宋体" w:hAnsi="宋体" w:eastAsia="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D973095">
            <w:pPr>
              <w:adjustRightInd w:val="0"/>
              <w:snapToGrid w:val="0"/>
              <w:rPr>
                <w:rFonts w:hint="eastAsia" w:ascii="宋体" w:hAnsi="宋体" w:eastAsia="宋体" w:cs="宋体"/>
                <w:sz w:val="24"/>
              </w:rPr>
            </w:pPr>
          </w:p>
        </w:tc>
      </w:tr>
      <w:tr w14:paraId="3A49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2B8D4E33">
            <w:pPr>
              <w:adjustRightInd w:val="0"/>
              <w:snapToGrid w:val="0"/>
              <w:rPr>
                <w:rFonts w:hint="eastAsia" w:ascii="宋体" w:hAnsi="宋体" w:eastAsia="宋体" w:cs="宋体"/>
                <w:sz w:val="24"/>
              </w:rPr>
            </w:pPr>
            <w:r>
              <w:rPr>
                <w:rFonts w:hint="eastAsia" w:ascii="宋体" w:hAnsi="宋体" w:eastAsia="宋体" w:cs="宋体"/>
              </w:rPr>
              <w:t>2</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46A915B9">
            <w:pPr>
              <w:adjustRightInd w:val="0"/>
              <w:snapToGrid w:val="0"/>
              <w:jc w:val="center"/>
              <w:rPr>
                <w:rFonts w:hint="eastAsia" w:ascii="宋体" w:hAnsi="宋体" w:eastAsia="宋体" w:cs="宋体"/>
                <w:sz w:val="24"/>
              </w:rPr>
            </w:pPr>
            <w:r>
              <w:rPr>
                <w:rFonts w:hint="eastAsia" w:ascii="宋体" w:hAnsi="宋体" w:eastAsia="宋体" w:cs="宋体"/>
              </w:rPr>
              <w:t>（填写相关内容）</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0AE5A30D">
            <w:pPr>
              <w:adjustRightInd w:val="0"/>
              <w:snapToGrid w:val="0"/>
              <w:rPr>
                <w:rFonts w:hint="eastAsia" w:ascii="宋体" w:hAnsi="宋体" w:eastAsia="宋体" w:cs="宋体"/>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FFE422B">
            <w:pPr>
              <w:adjustRightInd w:val="0"/>
              <w:snapToGrid w:val="0"/>
              <w:rPr>
                <w:rFonts w:hint="eastAsia" w:ascii="宋体" w:hAnsi="宋体" w:eastAsia="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109F4E">
            <w:pPr>
              <w:adjustRightInd w:val="0"/>
              <w:snapToGrid w:val="0"/>
              <w:rPr>
                <w:rFonts w:hint="eastAsia" w:ascii="宋体" w:hAnsi="宋体" w:eastAsia="宋体" w:cs="宋体"/>
                <w:sz w:val="24"/>
              </w:rPr>
            </w:pPr>
          </w:p>
        </w:tc>
      </w:tr>
      <w:tr w14:paraId="5DBE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5EF7ED73">
            <w:pPr>
              <w:adjustRightInd w:val="0"/>
              <w:snapToGrid w:val="0"/>
              <w:rPr>
                <w:rFonts w:hint="eastAsia" w:ascii="宋体" w:hAnsi="宋体" w:eastAsia="宋体" w:cs="宋体"/>
                <w:sz w:val="24"/>
              </w:rPr>
            </w:pPr>
            <w:r>
              <w:rPr>
                <w:rFonts w:hint="eastAsia" w:ascii="宋体" w:hAnsi="宋体" w:eastAsia="宋体" w:cs="宋体"/>
              </w:rPr>
              <w:t>3</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3666415C">
            <w:pPr>
              <w:adjustRightInd w:val="0"/>
              <w:snapToGrid w:val="0"/>
              <w:jc w:val="center"/>
              <w:rPr>
                <w:rFonts w:hint="eastAsia" w:ascii="宋体" w:hAnsi="宋体" w:eastAsia="宋体" w:cs="宋体"/>
                <w:sz w:val="24"/>
              </w:rPr>
            </w:pPr>
            <w:r>
              <w:rPr>
                <w:rFonts w:hint="eastAsia" w:ascii="宋体" w:hAnsi="宋体" w:eastAsia="宋体" w:cs="宋体"/>
              </w:rPr>
              <w:t>…………</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2923CCD8">
            <w:pPr>
              <w:adjustRightInd w:val="0"/>
              <w:snapToGrid w:val="0"/>
              <w:rPr>
                <w:rFonts w:hint="eastAsia" w:ascii="宋体" w:hAnsi="宋体" w:eastAsia="宋体" w:cs="宋体"/>
                <w:sz w:val="24"/>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CC1DEBC">
            <w:pPr>
              <w:adjustRightInd w:val="0"/>
              <w:snapToGrid w:val="0"/>
              <w:rPr>
                <w:rFonts w:hint="eastAsia" w:ascii="宋体" w:hAnsi="宋体" w:eastAsia="宋体" w:cs="宋体"/>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2A4C562">
            <w:pPr>
              <w:adjustRightInd w:val="0"/>
              <w:snapToGrid w:val="0"/>
              <w:rPr>
                <w:rFonts w:hint="eastAsia" w:ascii="宋体" w:hAnsi="宋体" w:eastAsia="宋体" w:cs="宋体"/>
                <w:sz w:val="24"/>
              </w:rPr>
            </w:pPr>
          </w:p>
        </w:tc>
      </w:tr>
    </w:tbl>
    <w:p w14:paraId="1DE1BF3C">
      <w:pPr>
        <w:ind w:firstLine="422" w:firstLineChars="200"/>
        <w:rPr>
          <w:rFonts w:hint="eastAsia" w:ascii="宋体" w:hAnsi="宋体" w:eastAsia="宋体" w:cs="宋体"/>
          <w:b/>
          <w:sz w:val="24"/>
        </w:rPr>
      </w:pPr>
      <w:r>
        <w:rPr>
          <w:rFonts w:hint="eastAsia" w:ascii="宋体" w:hAnsi="宋体" w:eastAsia="宋体" w:cs="宋体"/>
          <w:b/>
        </w:rPr>
        <w:t xml:space="preserve"> </w:t>
      </w:r>
    </w:p>
    <w:p w14:paraId="6D40E89F">
      <w:pPr>
        <w:ind w:firstLine="422" w:firstLineChars="200"/>
        <w:rPr>
          <w:rFonts w:hint="eastAsia" w:ascii="宋体" w:hAnsi="宋体" w:eastAsia="宋体" w:cs="宋体"/>
          <w:b/>
        </w:rPr>
      </w:pPr>
      <w:r>
        <w:rPr>
          <w:rFonts w:hint="eastAsia" w:ascii="宋体" w:hAnsi="宋体" w:eastAsia="宋体" w:cs="宋体"/>
          <w:b/>
        </w:rPr>
        <w:t>注：</w:t>
      </w:r>
    </w:p>
    <w:p w14:paraId="6697BA6A">
      <w:pPr>
        <w:ind w:firstLine="422" w:firstLineChars="200"/>
        <w:rPr>
          <w:rFonts w:hint="eastAsia" w:ascii="宋体" w:hAnsi="宋体" w:eastAsia="宋体" w:cs="宋体"/>
          <w:b/>
        </w:rPr>
      </w:pPr>
      <w:r>
        <w:rPr>
          <w:rFonts w:hint="eastAsia" w:ascii="宋体" w:hAnsi="宋体" w:eastAsia="宋体" w:cs="宋体"/>
          <w:b/>
        </w:rPr>
        <w:t>1、上表所列各项均为不可负偏离条款。</w:t>
      </w:r>
    </w:p>
    <w:p w14:paraId="7CB8BAB4">
      <w:pPr>
        <w:ind w:firstLine="422" w:firstLineChars="200"/>
        <w:rPr>
          <w:rFonts w:hint="eastAsia" w:ascii="宋体" w:hAnsi="宋体" w:eastAsia="宋体" w:cs="宋体"/>
          <w:b/>
        </w:rPr>
      </w:pPr>
      <w:r>
        <w:rPr>
          <w:rFonts w:hint="eastAsia" w:ascii="宋体" w:hAnsi="宋体" w:eastAsia="宋体" w:cs="宋体"/>
          <w:b/>
        </w:rPr>
        <w:t>2、“投标响应”一栏应当详细填写投标人自身响应情况，而不能不合理照搬照抄招标文件实质性条款具体内容。</w:t>
      </w:r>
    </w:p>
    <w:p w14:paraId="27FC498A">
      <w:pPr>
        <w:ind w:firstLine="422" w:firstLineChars="200"/>
        <w:rPr>
          <w:rFonts w:hint="eastAsia" w:ascii="宋体" w:hAnsi="宋体" w:eastAsia="宋体" w:cs="宋体"/>
          <w:b/>
        </w:rPr>
      </w:pPr>
      <w:r>
        <w:rPr>
          <w:rFonts w:hint="eastAsia" w:ascii="宋体" w:hAnsi="宋体" w:eastAsia="宋体" w:cs="宋体"/>
          <w:b/>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47CACFEF">
      <w:pPr>
        <w:ind w:firstLine="422" w:firstLineChars="200"/>
        <w:rPr>
          <w:rFonts w:hint="eastAsia" w:ascii="宋体" w:hAnsi="宋体" w:eastAsia="宋体" w:cs="宋体"/>
          <w:b/>
        </w:rPr>
      </w:pPr>
      <w:r>
        <w:rPr>
          <w:rFonts w:hint="eastAsia" w:ascii="宋体" w:hAnsi="宋体" w:eastAsia="宋体" w:cs="宋体"/>
          <w:b/>
        </w:rPr>
        <w:t>4、评审委员会有权对投标响应情况作出判断（作出评审结论）。</w:t>
      </w:r>
    </w:p>
    <w:p w14:paraId="56995D75">
      <w:pPr>
        <w:ind w:firstLine="422" w:firstLineChars="200"/>
        <w:rPr>
          <w:rFonts w:hint="eastAsia" w:ascii="宋体" w:hAnsi="宋体" w:eastAsia="宋体" w:cs="宋体"/>
        </w:rPr>
      </w:pPr>
      <w:r>
        <w:rPr>
          <w:rFonts w:hint="eastAsia" w:ascii="宋体" w:hAnsi="宋体" w:eastAsia="宋体" w:cs="宋体"/>
          <w:b/>
        </w:rPr>
        <w:t>5、实质性响应条款“投标响应情况”与投标文件其它内容冲突的，以实质性响应条款“投标响应情况”为准。</w:t>
      </w:r>
    </w:p>
    <w:p w14:paraId="00182C6D">
      <w:pPr>
        <w:rPr>
          <w:rFonts w:hint="eastAsia" w:ascii="宋体" w:hAnsi="宋体" w:eastAsia="宋体" w:cs="宋体"/>
        </w:rPr>
      </w:pPr>
      <w:r>
        <w:rPr>
          <w:rFonts w:hint="eastAsia" w:ascii="宋体" w:hAnsi="宋体" w:eastAsia="宋体" w:cs="宋体"/>
        </w:rPr>
        <w:t xml:space="preserve"> </w:t>
      </w:r>
    </w:p>
    <w:p w14:paraId="3917BBBA">
      <w:pPr>
        <w:ind w:firstLine="482" w:firstLineChars="200"/>
        <w:jc w:val="center"/>
        <w:rPr>
          <w:rFonts w:hint="eastAsia" w:ascii="宋体" w:hAnsi="宋体" w:eastAsia="宋体" w:cs="宋体"/>
          <w:b/>
          <w:bCs/>
          <w:sz w:val="24"/>
          <w:szCs w:val="32"/>
        </w:rPr>
      </w:pPr>
      <w:r>
        <w:rPr>
          <w:rFonts w:hint="eastAsia" w:ascii="宋体" w:hAnsi="宋体" w:eastAsia="宋体" w:cs="宋体"/>
          <w:b/>
          <w:bCs/>
          <w:sz w:val="24"/>
          <w:szCs w:val="32"/>
        </w:rPr>
        <w:t>十、技术部分（格式自定）</w:t>
      </w:r>
    </w:p>
    <w:p w14:paraId="7E11D2E3">
      <w:pPr>
        <w:pStyle w:val="2"/>
        <w:rPr>
          <w:rFonts w:hint="eastAsia" w:ascii="宋体" w:hAnsi="宋体" w:eastAsia="宋体" w:cs="宋体"/>
        </w:rPr>
      </w:pPr>
    </w:p>
    <w:p w14:paraId="0D5C790F">
      <w:pPr>
        <w:rPr>
          <w:rFonts w:hint="eastAsia" w:ascii="宋体" w:hAnsi="宋体" w:eastAsia="宋体" w:cs="宋体"/>
          <w:b/>
          <w:bCs/>
          <w:sz w:val="28"/>
          <w:szCs w:val="28"/>
        </w:rPr>
      </w:pPr>
      <w:r>
        <w:rPr>
          <w:rFonts w:hint="eastAsia" w:ascii="宋体" w:hAnsi="宋体" w:eastAsia="宋体" w:cs="宋体"/>
          <w:b/>
          <w:bCs/>
          <w:kern w:val="0"/>
          <w:sz w:val="22"/>
        </w:rPr>
        <w:t>评标信息-技术部分要求提供的其他内容：</w:t>
      </w:r>
    </w:p>
    <w:p w14:paraId="65E3EF67">
      <w:pPr>
        <w:rPr>
          <w:rFonts w:hint="eastAsia" w:ascii="宋体" w:hAnsi="宋体" w:eastAsia="宋体" w:cs="宋体"/>
        </w:rPr>
      </w:pPr>
    </w:p>
    <w:p w14:paraId="27B8D103">
      <w:pPr>
        <w:pStyle w:val="2"/>
        <w:numPr>
          <w:ilvl w:val="0"/>
          <w:numId w:val="10"/>
        </w:numPr>
        <w:rPr>
          <w:rFonts w:hint="eastAsia" w:ascii="宋体" w:hAnsi="宋体" w:eastAsia="宋体" w:cs="宋体"/>
          <w:b w:val="0"/>
          <w:bCs w:val="0"/>
          <w:color w:val="000000"/>
          <w:kern w:val="0"/>
          <w:lang w:val="en-US" w:eastAsia="zh-CN" w:bidi="ar"/>
        </w:rPr>
      </w:pPr>
      <w:r>
        <w:rPr>
          <w:rFonts w:hint="eastAsia" w:ascii="宋体" w:hAnsi="宋体" w:eastAsia="宋体" w:cs="宋体"/>
          <w:b w:val="0"/>
          <w:bCs w:val="0"/>
          <w:color w:val="000000"/>
          <w:kern w:val="0"/>
          <w:lang w:val="en-US" w:eastAsia="zh-CN" w:bidi="ar"/>
        </w:rPr>
        <w:t>项目实施方案</w:t>
      </w:r>
    </w:p>
    <w:p w14:paraId="12EE7653">
      <w:pPr>
        <w:pStyle w:val="2"/>
        <w:numPr>
          <w:ilvl w:val="0"/>
          <w:numId w:val="10"/>
        </w:numPr>
        <w:rPr>
          <w:rFonts w:hint="eastAsia" w:ascii="宋体" w:hAnsi="宋体" w:eastAsia="宋体" w:cs="宋体"/>
          <w:b w:val="0"/>
          <w:bCs w:val="0"/>
          <w:color w:val="000000"/>
          <w:kern w:val="0"/>
          <w:lang w:val="en-US" w:eastAsia="zh-CN" w:bidi="ar"/>
        </w:rPr>
      </w:pPr>
      <w:r>
        <w:rPr>
          <w:rFonts w:hint="eastAsia" w:ascii="宋体" w:hAnsi="宋体" w:eastAsia="宋体" w:cs="宋体"/>
          <w:b w:val="0"/>
          <w:bCs w:val="0"/>
          <w:color w:val="000000"/>
          <w:kern w:val="0"/>
          <w:lang w:val="en-US" w:eastAsia="zh-CN" w:bidi="ar"/>
        </w:rPr>
        <w:t>质量保障措施</w:t>
      </w:r>
    </w:p>
    <w:p w14:paraId="44098DD9">
      <w:pPr>
        <w:pStyle w:val="2"/>
        <w:numPr>
          <w:ilvl w:val="0"/>
          <w:numId w:val="10"/>
        </w:numPr>
        <w:rPr>
          <w:rFonts w:hint="eastAsia" w:ascii="宋体" w:hAnsi="宋体" w:eastAsia="宋体" w:cs="宋体"/>
          <w:b w:val="0"/>
          <w:bCs w:val="0"/>
          <w:color w:val="000000"/>
          <w:kern w:val="0"/>
          <w:lang w:val="en-US" w:eastAsia="zh-CN" w:bidi="ar"/>
        </w:rPr>
      </w:pPr>
      <w:r>
        <w:rPr>
          <w:rFonts w:hint="eastAsia" w:ascii="宋体" w:hAnsi="宋体" w:eastAsia="宋体" w:cs="宋体"/>
          <w:b w:val="0"/>
          <w:bCs w:val="0"/>
          <w:color w:val="000000"/>
          <w:kern w:val="0"/>
          <w:lang w:val="en-US" w:eastAsia="zh-CN" w:bidi="ar"/>
        </w:rPr>
        <w:t>安全管理方案</w:t>
      </w:r>
    </w:p>
    <w:p w14:paraId="4EF285D5">
      <w:pPr>
        <w:pStyle w:val="2"/>
        <w:numPr>
          <w:ilvl w:val="0"/>
          <w:numId w:val="10"/>
        </w:numPr>
        <w:rPr>
          <w:rFonts w:hint="eastAsia" w:ascii="宋体" w:hAnsi="宋体" w:eastAsia="宋体" w:cs="宋体"/>
          <w:b w:val="0"/>
          <w:bCs w:val="0"/>
          <w:color w:val="000000"/>
          <w:kern w:val="0"/>
          <w:lang w:val="en-US" w:eastAsia="zh-CN" w:bidi="ar"/>
        </w:rPr>
      </w:pPr>
      <w:r>
        <w:rPr>
          <w:rFonts w:hint="eastAsia" w:ascii="宋体" w:hAnsi="宋体" w:eastAsia="宋体" w:cs="宋体"/>
          <w:b w:val="0"/>
          <w:bCs w:val="0"/>
          <w:color w:val="000000"/>
          <w:kern w:val="0"/>
          <w:lang w:val="en-US" w:eastAsia="zh-CN" w:bidi="ar"/>
        </w:rPr>
        <w:t>应急保障措施</w:t>
      </w:r>
    </w:p>
    <w:p w14:paraId="2D403405">
      <w:pPr>
        <w:pStyle w:val="6"/>
        <w:jc w:val="center"/>
        <w:rPr>
          <w:rFonts w:hint="eastAsia" w:ascii="宋体" w:hAnsi="宋体" w:eastAsia="宋体" w:cs="宋体"/>
          <w:sz w:val="24"/>
        </w:rPr>
      </w:pPr>
    </w:p>
    <w:p w14:paraId="5ADBEA1E">
      <w:pPr>
        <w:pStyle w:val="6"/>
        <w:jc w:val="center"/>
        <w:rPr>
          <w:rFonts w:hint="eastAsia" w:ascii="宋体" w:hAnsi="宋体" w:eastAsia="宋体" w:cs="宋体"/>
          <w:spacing w:val="4"/>
        </w:rPr>
      </w:pPr>
      <w:r>
        <w:rPr>
          <w:rFonts w:hint="eastAsia" w:ascii="宋体" w:hAnsi="宋体" w:eastAsia="宋体" w:cs="宋体"/>
          <w:sz w:val="24"/>
        </w:rPr>
        <w:t>十</w:t>
      </w:r>
      <w:r>
        <w:rPr>
          <w:rFonts w:hint="eastAsia" w:ascii="宋体" w:hAnsi="宋体" w:eastAsia="宋体" w:cs="宋体"/>
          <w:sz w:val="24"/>
          <w:lang w:eastAsia="zh-CN"/>
        </w:rPr>
        <w:t>一</w:t>
      </w:r>
      <w:r>
        <w:rPr>
          <w:rFonts w:hint="eastAsia" w:ascii="宋体" w:hAnsi="宋体" w:eastAsia="宋体" w:cs="宋体"/>
          <w:sz w:val="24"/>
        </w:rPr>
        <w:t>、综合实力部分（格式自定）</w:t>
      </w:r>
    </w:p>
    <w:p w14:paraId="5BED4007">
      <w:pPr>
        <w:rPr>
          <w:rFonts w:hint="eastAsia" w:ascii="宋体" w:hAnsi="宋体" w:eastAsia="宋体" w:cs="宋体"/>
          <w:spacing w:val="4"/>
          <w:u w:val="single"/>
        </w:rPr>
      </w:pPr>
    </w:p>
    <w:p w14:paraId="18F8C98C">
      <w:pPr>
        <w:rPr>
          <w:rFonts w:hint="eastAsia" w:ascii="宋体" w:hAnsi="宋体" w:eastAsia="宋体" w:cs="宋体"/>
          <w:b/>
          <w:bCs/>
          <w:kern w:val="0"/>
          <w:sz w:val="22"/>
        </w:rPr>
      </w:pPr>
      <w:r>
        <w:rPr>
          <w:rFonts w:hint="eastAsia" w:ascii="宋体" w:hAnsi="宋体" w:eastAsia="宋体" w:cs="宋体"/>
          <w:b/>
          <w:bCs/>
          <w:kern w:val="0"/>
          <w:sz w:val="22"/>
        </w:rPr>
        <w:t>评标信息-综合实力部分要求提供的其他内容：</w:t>
      </w:r>
    </w:p>
    <w:p w14:paraId="7A10E47E">
      <w:pPr>
        <w:rPr>
          <w:rFonts w:hint="eastAsia" w:ascii="宋体" w:hAnsi="宋体" w:eastAsia="宋体" w:cs="宋体"/>
        </w:rPr>
      </w:pPr>
    </w:p>
    <w:p w14:paraId="60DDF98D">
      <w:pPr>
        <w:numPr>
          <w:ilvl w:val="0"/>
          <w:numId w:val="11"/>
        </w:numPr>
        <w:spacing w:line="360" w:lineRule="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同类项目业绩</w:t>
      </w:r>
    </w:p>
    <w:p w14:paraId="338BB5A6">
      <w:pPr>
        <w:numPr>
          <w:ilvl w:val="0"/>
          <w:numId w:val="11"/>
        </w:numPr>
        <w:spacing w:line="360" w:lineRule="auto"/>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企业认证情况</w:t>
      </w:r>
    </w:p>
    <w:p w14:paraId="5D3B0933">
      <w:pPr>
        <w:numPr>
          <w:ilvl w:val="0"/>
          <w:numId w:val="11"/>
        </w:numPr>
        <w:spacing w:line="360" w:lineRule="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拟安排的项目负责人（仅限1人）情况</w:t>
      </w:r>
    </w:p>
    <w:p w14:paraId="6139FEC9">
      <w:pPr>
        <w:numPr>
          <w:ilvl w:val="0"/>
          <w:numId w:val="11"/>
        </w:numPr>
        <w:spacing w:line="360" w:lineRule="auto"/>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拟配备项目团队成员情况</w:t>
      </w:r>
      <w:r>
        <w:rPr>
          <w:rFonts w:hint="eastAsia" w:ascii="宋体" w:hAnsi="宋体" w:eastAsia="宋体" w:cs="宋体"/>
          <w:color w:val="000000"/>
          <w:kern w:val="0"/>
          <w:sz w:val="24"/>
          <w:lang w:eastAsia="zh-CN" w:bidi="ar"/>
        </w:rPr>
        <w:t>（项目负责人除外）</w:t>
      </w:r>
    </w:p>
    <w:p w14:paraId="33C81D6B">
      <w:pPr>
        <w:jc w:val="center"/>
        <w:rPr>
          <w:rFonts w:hint="eastAsia" w:ascii="宋体" w:hAnsi="宋体" w:eastAsia="宋体" w:cs="宋体"/>
          <w:bCs/>
          <w:sz w:val="32"/>
          <w:szCs w:val="32"/>
        </w:rPr>
      </w:pPr>
      <w:bookmarkStart w:id="20" w:name="_Toc480754217"/>
      <w:bookmarkStart w:id="21" w:name="_Toc275865624"/>
      <w:bookmarkStart w:id="22" w:name="_Toc480789488"/>
      <w:bookmarkStart w:id="23" w:name="_Toc480755938"/>
      <w:bookmarkStart w:id="24" w:name="_Toc480756084"/>
      <w:r>
        <w:rPr>
          <w:rFonts w:hint="eastAsia" w:ascii="宋体" w:hAnsi="宋体" w:eastAsia="宋体" w:cs="宋体"/>
          <w:b/>
          <w:sz w:val="24"/>
        </w:rPr>
        <w:t>十</w:t>
      </w:r>
      <w:r>
        <w:rPr>
          <w:rFonts w:hint="eastAsia" w:ascii="宋体" w:hAnsi="宋体" w:eastAsia="宋体" w:cs="宋体"/>
          <w:b/>
          <w:sz w:val="24"/>
          <w:lang w:eastAsia="zh-CN"/>
        </w:rPr>
        <w:t>二</w:t>
      </w:r>
      <w:r>
        <w:rPr>
          <w:rFonts w:hint="eastAsia" w:ascii="宋体" w:hAnsi="宋体" w:eastAsia="宋体" w:cs="宋体"/>
          <w:b/>
          <w:sz w:val="24"/>
        </w:rPr>
        <w:t>、招标代理服务费承诺书</w:t>
      </w:r>
      <w:bookmarkEnd w:id="20"/>
      <w:bookmarkEnd w:id="21"/>
      <w:bookmarkEnd w:id="22"/>
      <w:bookmarkEnd w:id="23"/>
      <w:bookmarkEnd w:id="24"/>
    </w:p>
    <w:p w14:paraId="38167DC7">
      <w:pPr>
        <w:rPr>
          <w:rFonts w:hint="eastAsia" w:ascii="宋体" w:hAnsi="宋体" w:eastAsia="宋体" w:cs="宋体"/>
          <w:b/>
        </w:rPr>
      </w:pPr>
    </w:p>
    <w:p w14:paraId="3E402D68">
      <w:pPr>
        <w:rPr>
          <w:rFonts w:hint="eastAsia" w:ascii="宋体" w:hAnsi="宋体" w:eastAsia="宋体" w:cs="宋体"/>
          <w:b/>
        </w:rPr>
      </w:pPr>
      <w:r>
        <w:rPr>
          <w:rFonts w:hint="eastAsia" w:ascii="宋体" w:hAnsi="宋体" w:eastAsia="宋体" w:cs="宋体"/>
          <w:b/>
          <w:u w:val="single"/>
        </w:rPr>
        <w:t>深圳市广得信工程造价咨询有限公司</w:t>
      </w:r>
      <w:r>
        <w:rPr>
          <w:rFonts w:hint="eastAsia" w:ascii="宋体" w:hAnsi="宋体" w:eastAsia="宋体" w:cs="宋体"/>
          <w:b/>
        </w:rPr>
        <w:t>：</w:t>
      </w:r>
    </w:p>
    <w:p w14:paraId="2DDB8728">
      <w:pPr>
        <w:rPr>
          <w:rFonts w:hint="eastAsia" w:ascii="宋体" w:hAnsi="宋体" w:eastAsia="宋体" w:cs="宋体"/>
          <w:b/>
        </w:rPr>
      </w:pPr>
    </w:p>
    <w:p w14:paraId="570BAFA4">
      <w:pPr>
        <w:ind w:firstLine="420" w:firstLineChars="200"/>
        <w:rPr>
          <w:rFonts w:hint="eastAsia" w:ascii="宋体" w:hAnsi="宋体" w:eastAsia="宋体" w:cs="宋体"/>
          <w:szCs w:val="21"/>
        </w:rPr>
      </w:pPr>
      <w:r>
        <w:rPr>
          <w:rFonts w:hint="eastAsia" w:ascii="宋体" w:hAnsi="宋体" w:eastAsia="宋体" w:cs="宋体"/>
        </w:rPr>
        <w:t>本公司</w:t>
      </w:r>
      <w:r>
        <w:rPr>
          <w:rFonts w:hint="eastAsia" w:ascii="宋体" w:hAnsi="宋体" w:eastAsia="宋体" w:cs="宋体"/>
          <w:u w:val="single"/>
        </w:rPr>
        <w:t xml:space="preserve">       (投标人名称)      </w:t>
      </w:r>
      <w:r>
        <w:rPr>
          <w:rFonts w:hint="eastAsia" w:ascii="宋体" w:hAnsi="宋体" w:eastAsia="宋体" w:cs="宋体"/>
        </w:rPr>
        <w:t>在参加</w:t>
      </w:r>
      <w:r>
        <w:rPr>
          <w:rFonts w:hint="eastAsia" w:ascii="宋体" w:hAnsi="宋体" w:eastAsia="宋体" w:cs="宋体"/>
          <w:u w:val="single"/>
        </w:rPr>
        <w:t xml:space="preserve"> </w:t>
      </w:r>
      <w:r>
        <w:rPr>
          <w:rFonts w:hint="eastAsia" w:ascii="宋体" w:hAnsi="宋体" w:eastAsia="宋体" w:cs="宋体"/>
          <w:b/>
          <w:u w:val="single"/>
        </w:rPr>
        <w:t xml:space="preserve"> </w:t>
      </w:r>
      <w:r>
        <w:rPr>
          <w:rFonts w:hint="eastAsia" w:ascii="宋体" w:hAnsi="宋体" w:eastAsia="宋体" w:cs="宋体"/>
          <w:u w:val="single"/>
        </w:rPr>
        <w:t xml:space="preserve">（项目名称） </w:t>
      </w:r>
      <w:r>
        <w:rPr>
          <w:rFonts w:hint="eastAsia" w:ascii="宋体" w:hAnsi="宋体" w:eastAsia="宋体" w:cs="宋体"/>
          <w:b/>
          <w:u w:val="single"/>
        </w:rPr>
        <w:t xml:space="preserve"> </w:t>
      </w:r>
      <w:r>
        <w:rPr>
          <w:rFonts w:hint="eastAsia" w:ascii="宋体" w:hAnsi="宋体" w:eastAsia="宋体" w:cs="宋体"/>
        </w:rPr>
        <w:t>(项目编号：</w:t>
      </w:r>
      <w:r>
        <w:rPr>
          <w:rFonts w:hint="eastAsia" w:ascii="宋体" w:hAnsi="宋体" w:eastAsia="宋体" w:cs="宋体"/>
          <w:u w:val="single"/>
        </w:rPr>
        <w:t xml:space="preserve">  （项目编号）  </w:t>
      </w:r>
      <w:r>
        <w:rPr>
          <w:rFonts w:hint="eastAsia" w:ascii="宋体" w:hAnsi="宋体" w:eastAsia="宋体" w:cs="宋体"/>
        </w:rPr>
        <w:t>)的招标中如获中标</w:t>
      </w:r>
      <w:r>
        <w:rPr>
          <w:rFonts w:hint="eastAsia" w:ascii="宋体" w:hAnsi="宋体" w:eastAsia="宋体" w:cs="宋体"/>
          <w:szCs w:val="21"/>
        </w:rPr>
        <w:t>，我公司保证按照招标文件</w:t>
      </w:r>
      <w:r>
        <w:rPr>
          <w:rFonts w:hint="eastAsia" w:ascii="宋体" w:hAnsi="宋体" w:eastAsia="宋体" w:cs="宋体"/>
        </w:rPr>
        <w:t>的</w:t>
      </w:r>
      <w:r>
        <w:rPr>
          <w:rFonts w:hint="eastAsia" w:ascii="宋体" w:hAnsi="宋体" w:eastAsia="宋体" w:cs="宋体"/>
          <w:szCs w:val="21"/>
        </w:rPr>
        <w:t>规定缴纳“招标代理服务费”后，凭领取人身份证复印件并加盖公章领取《中标通知书》。如采用电汇或银行转账，我</w:t>
      </w:r>
      <w:r>
        <w:rPr>
          <w:rFonts w:hint="eastAsia" w:ascii="宋体" w:hAnsi="宋体" w:eastAsia="宋体" w:cs="宋体"/>
        </w:rPr>
        <w:t>公</w:t>
      </w:r>
      <w:r>
        <w:rPr>
          <w:rFonts w:hint="eastAsia" w:ascii="宋体" w:hAnsi="宋体" w:eastAsia="宋体" w:cs="宋体"/>
          <w:szCs w:val="21"/>
        </w:rPr>
        <w:t>司将同时递交招标代理服务费缴费凭证复印件并加盖公章。</w:t>
      </w:r>
    </w:p>
    <w:p w14:paraId="4415ECFF">
      <w:pPr>
        <w:ind w:firstLine="420" w:firstLineChars="200"/>
        <w:rPr>
          <w:rFonts w:hint="eastAsia" w:ascii="宋体" w:hAnsi="宋体" w:eastAsia="宋体" w:cs="宋体"/>
        </w:rPr>
      </w:pPr>
      <w:r>
        <w:rPr>
          <w:rFonts w:hint="eastAsia" w:ascii="宋体" w:hAnsi="宋体" w:eastAsia="宋体" w:cs="宋体"/>
        </w:rPr>
        <w:t>如我公司违反上款承诺，愿凭贵公司开出的相关通知，同意（采购代理机构名称）办理支付手续，扣除我公司提交的全部投标保证金，并愿承担由此引起的一切法律责任。</w:t>
      </w:r>
    </w:p>
    <w:p w14:paraId="23649406">
      <w:pPr>
        <w:ind w:firstLine="420" w:firstLineChars="200"/>
        <w:rPr>
          <w:rFonts w:hint="eastAsia" w:ascii="宋体" w:hAnsi="宋体" w:eastAsia="宋体" w:cs="宋体"/>
        </w:rPr>
      </w:pPr>
      <w:r>
        <w:rPr>
          <w:rFonts w:hint="eastAsia" w:ascii="宋体" w:hAnsi="宋体" w:eastAsia="宋体" w:cs="宋体"/>
        </w:rPr>
        <w:t>特此承诺!</w:t>
      </w:r>
    </w:p>
    <w:p w14:paraId="6C152C74">
      <w:pPr>
        <w:spacing w:line="520" w:lineRule="exact"/>
        <w:ind w:left="424" w:leftChars="202"/>
        <w:rPr>
          <w:rFonts w:hint="eastAsia" w:ascii="宋体" w:hAnsi="宋体" w:eastAsia="宋体" w:cs="宋体"/>
          <w:u w:val="single"/>
        </w:rPr>
      </w:pPr>
      <w:r>
        <w:rPr>
          <w:rFonts w:hint="eastAsia" w:ascii="宋体" w:hAnsi="宋体" w:eastAsia="宋体" w:cs="宋体"/>
        </w:rPr>
        <w:t>投标人名称(盖公章):</w:t>
      </w:r>
      <w:r>
        <w:rPr>
          <w:rFonts w:hint="eastAsia" w:ascii="宋体" w:hAnsi="宋体" w:eastAsia="宋体" w:cs="宋体"/>
          <w:u w:val="single"/>
        </w:rPr>
        <w:t xml:space="preserve">                                                      </w:t>
      </w:r>
    </w:p>
    <w:p w14:paraId="39F13674">
      <w:pPr>
        <w:spacing w:line="520" w:lineRule="exact"/>
        <w:ind w:left="424" w:leftChars="202"/>
        <w:rPr>
          <w:rFonts w:hint="eastAsia" w:ascii="宋体" w:hAnsi="宋体" w:eastAsia="宋体" w:cs="宋体"/>
          <w:u w:val="single"/>
        </w:rPr>
      </w:pPr>
      <w:r>
        <w:rPr>
          <w:rFonts w:hint="eastAsia" w:ascii="宋体" w:hAnsi="宋体" w:eastAsia="宋体" w:cs="宋体"/>
        </w:rPr>
        <w:t>投标人地址:</w:t>
      </w:r>
      <w:r>
        <w:rPr>
          <w:rFonts w:hint="eastAsia" w:ascii="宋体" w:hAnsi="宋体" w:eastAsia="宋体" w:cs="宋体"/>
          <w:u w:val="single"/>
        </w:rPr>
        <w:t xml:space="preserve">                                                              </w:t>
      </w:r>
    </w:p>
    <w:p w14:paraId="0E895896">
      <w:pPr>
        <w:spacing w:line="520" w:lineRule="exact"/>
        <w:ind w:left="424" w:leftChars="202"/>
        <w:rPr>
          <w:rFonts w:hint="eastAsia" w:ascii="宋体" w:hAnsi="宋体" w:eastAsia="宋体" w:cs="宋体"/>
        </w:rPr>
      </w:pPr>
      <w:r>
        <w:rPr>
          <w:rFonts w:hint="eastAsia" w:ascii="宋体" w:hAnsi="宋体" w:eastAsia="宋体" w:cs="宋体"/>
        </w:rPr>
        <w:t>电话:</w:t>
      </w:r>
      <w:r>
        <w:rPr>
          <w:rFonts w:hint="eastAsia" w:ascii="宋体" w:hAnsi="宋体" w:eastAsia="宋体" w:cs="宋体"/>
          <w:u w:val="single"/>
        </w:rPr>
        <w:t xml:space="preserve">                                                                    </w:t>
      </w:r>
    </w:p>
    <w:p w14:paraId="47CB8CA6">
      <w:pPr>
        <w:spacing w:line="520" w:lineRule="exact"/>
        <w:ind w:left="424" w:leftChars="202"/>
        <w:rPr>
          <w:rFonts w:hint="eastAsia" w:ascii="宋体" w:hAnsi="宋体" w:eastAsia="宋体" w:cs="宋体"/>
        </w:rPr>
      </w:pPr>
      <w:r>
        <w:rPr>
          <w:rFonts w:hint="eastAsia" w:ascii="宋体" w:hAnsi="宋体" w:eastAsia="宋体" w:cs="宋体"/>
        </w:rPr>
        <w:t>传真:</w:t>
      </w:r>
      <w:r>
        <w:rPr>
          <w:rFonts w:hint="eastAsia" w:ascii="宋体" w:hAnsi="宋体" w:eastAsia="宋体" w:cs="宋体"/>
          <w:u w:val="single"/>
        </w:rPr>
        <w:t xml:space="preserve">                                                                    </w:t>
      </w:r>
    </w:p>
    <w:p w14:paraId="411A2899">
      <w:pPr>
        <w:spacing w:line="520" w:lineRule="exact"/>
        <w:ind w:left="424" w:leftChars="202"/>
        <w:rPr>
          <w:rFonts w:hint="eastAsia" w:ascii="宋体" w:hAnsi="宋体" w:eastAsia="宋体" w:cs="宋体"/>
        </w:rPr>
      </w:pPr>
      <w:r>
        <w:rPr>
          <w:rFonts w:hint="eastAsia" w:ascii="宋体" w:hAnsi="宋体" w:eastAsia="宋体" w:cs="宋体"/>
        </w:rPr>
        <w:t>法定代表人或投标人授权代表（签名或盖章）</w:t>
      </w:r>
      <w:r>
        <w:rPr>
          <w:rFonts w:hint="eastAsia" w:ascii="宋体" w:hAnsi="宋体" w:eastAsia="宋体" w:cs="宋体"/>
          <w:u w:val="single"/>
        </w:rPr>
        <w:t xml:space="preserve">                                 </w:t>
      </w:r>
    </w:p>
    <w:p w14:paraId="02A0DA5F">
      <w:pPr>
        <w:rPr>
          <w:rFonts w:hint="eastAsia" w:ascii="宋体" w:hAnsi="宋体" w:eastAsia="宋体" w:cs="宋体"/>
          <w:b/>
          <w:szCs w:val="21"/>
        </w:rPr>
      </w:pPr>
    </w:p>
    <w:p w14:paraId="4670E5BC">
      <w:pPr>
        <w:jc w:val="center"/>
        <w:rPr>
          <w:rFonts w:hint="eastAsia" w:ascii="宋体" w:hAnsi="宋体" w:eastAsia="宋体" w:cs="宋体"/>
          <w:b/>
          <w:szCs w:val="21"/>
        </w:rPr>
      </w:pPr>
      <w:r>
        <w:rPr>
          <w:rFonts w:hint="eastAsia" w:ascii="宋体" w:hAnsi="宋体" w:eastAsia="宋体" w:cs="宋体"/>
          <w:b/>
          <w:szCs w:val="21"/>
        </w:rPr>
        <w:t>附：缴纳招标代理服务费账号：</w:t>
      </w:r>
    </w:p>
    <w:tbl>
      <w:tblPr>
        <w:tblStyle w:val="5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14:paraId="4EE0C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noWrap w:val="0"/>
            <w:vAlign w:val="center"/>
          </w:tcPr>
          <w:p w14:paraId="0BE1B299">
            <w:pPr>
              <w:jc w:val="center"/>
              <w:rPr>
                <w:rFonts w:hint="eastAsia" w:ascii="宋体" w:hAnsi="宋体" w:eastAsia="宋体" w:cs="宋体"/>
                <w:b/>
                <w:szCs w:val="21"/>
              </w:rPr>
            </w:pPr>
            <w:r>
              <w:rPr>
                <w:rFonts w:hint="eastAsia" w:ascii="宋体" w:hAnsi="宋体" w:eastAsia="宋体" w:cs="宋体"/>
                <w:b/>
                <w:szCs w:val="21"/>
              </w:rPr>
              <w:t>收款人名称</w:t>
            </w:r>
          </w:p>
        </w:tc>
        <w:tc>
          <w:tcPr>
            <w:tcW w:w="5579" w:type="dxa"/>
            <w:noWrap w:val="0"/>
            <w:vAlign w:val="center"/>
          </w:tcPr>
          <w:p w14:paraId="0EB835DE">
            <w:pPr>
              <w:jc w:val="center"/>
              <w:rPr>
                <w:rFonts w:hint="eastAsia" w:ascii="宋体" w:hAnsi="宋体" w:eastAsia="宋体" w:cs="宋体"/>
                <w:szCs w:val="21"/>
              </w:rPr>
            </w:pPr>
            <w:r>
              <w:rPr>
                <w:rFonts w:hint="eastAsia" w:ascii="宋体" w:hAnsi="宋体" w:eastAsia="宋体" w:cs="宋体"/>
                <w:b/>
                <w:spacing w:val="-12"/>
                <w:kern w:val="0"/>
                <w:szCs w:val="21"/>
              </w:rPr>
              <w:t>深圳市广得信工程造价咨询有限公司</w:t>
            </w:r>
          </w:p>
        </w:tc>
      </w:tr>
      <w:tr w14:paraId="4CC5E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noWrap w:val="0"/>
            <w:vAlign w:val="center"/>
          </w:tcPr>
          <w:p w14:paraId="7F924588">
            <w:pPr>
              <w:jc w:val="center"/>
              <w:rPr>
                <w:rFonts w:hint="eastAsia" w:ascii="宋体" w:hAnsi="宋体" w:eastAsia="宋体" w:cs="宋体"/>
                <w:b/>
                <w:szCs w:val="21"/>
              </w:rPr>
            </w:pPr>
            <w:r>
              <w:rPr>
                <w:rFonts w:hint="eastAsia" w:ascii="宋体" w:hAnsi="宋体" w:eastAsia="宋体" w:cs="宋体"/>
                <w:b/>
                <w:szCs w:val="21"/>
              </w:rPr>
              <w:t>开户银行</w:t>
            </w:r>
          </w:p>
        </w:tc>
        <w:tc>
          <w:tcPr>
            <w:tcW w:w="5579" w:type="dxa"/>
            <w:noWrap w:val="0"/>
            <w:vAlign w:val="center"/>
          </w:tcPr>
          <w:p w14:paraId="5AD9AB48">
            <w:pPr>
              <w:jc w:val="center"/>
              <w:rPr>
                <w:rFonts w:hint="eastAsia" w:ascii="宋体" w:hAnsi="宋体" w:eastAsia="宋体" w:cs="宋体"/>
                <w:b/>
                <w:szCs w:val="21"/>
              </w:rPr>
            </w:pPr>
            <w:r>
              <w:rPr>
                <w:rFonts w:hint="eastAsia" w:ascii="宋体" w:hAnsi="宋体" w:eastAsia="宋体" w:cs="宋体"/>
                <w:b/>
                <w:kern w:val="0"/>
                <w:szCs w:val="21"/>
              </w:rPr>
              <w:t>工商银行深圳荣德支行</w:t>
            </w:r>
          </w:p>
        </w:tc>
      </w:tr>
      <w:tr w14:paraId="67817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noWrap w:val="0"/>
            <w:vAlign w:val="center"/>
          </w:tcPr>
          <w:p w14:paraId="01D4F650">
            <w:pPr>
              <w:jc w:val="center"/>
              <w:rPr>
                <w:rFonts w:hint="eastAsia" w:ascii="宋体" w:hAnsi="宋体" w:eastAsia="宋体" w:cs="宋体"/>
                <w:b/>
                <w:szCs w:val="21"/>
              </w:rPr>
            </w:pPr>
            <w:r>
              <w:rPr>
                <w:rFonts w:hint="eastAsia" w:ascii="宋体" w:hAnsi="宋体" w:eastAsia="宋体" w:cs="宋体"/>
                <w:b/>
                <w:szCs w:val="21"/>
              </w:rPr>
              <w:t>账    号</w:t>
            </w:r>
          </w:p>
        </w:tc>
        <w:tc>
          <w:tcPr>
            <w:tcW w:w="5579" w:type="dxa"/>
            <w:noWrap w:val="0"/>
            <w:vAlign w:val="center"/>
          </w:tcPr>
          <w:p w14:paraId="590D5817">
            <w:pPr>
              <w:jc w:val="center"/>
              <w:rPr>
                <w:rFonts w:hint="eastAsia" w:ascii="宋体" w:hAnsi="宋体" w:eastAsia="宋体" w:cs="宋体"/>
                <w:b/>
                <w:szCs w:val="21"/>
              </w:rPr>
            </w:pPr>
            <w:r>
              <w:rPr>
                <w:rFonts w:hint="eastAsia" w:ascii="宋体" w:hAnsi="宋体" w:eastAsia="宋体" w:cs="宋体"/>
                <w:b/>
                <w:kern w:val="0"/>
                <w:szCs w:val="21"/>
              </w:rPr>
              <w:t>4000025109201798117</w:t>
            </w:r>
          </w:p>
        </w:tc>
      </w:tr>
    </w:tbl>
    <w:p w14:paraId="628AE764">
      <w:pPr>
        <w:rPr>
          <w:rFonts w:hint="eastAsia" w:ascii="宋体" w:hAnsi="宋体" w:eastAsia="宋体" w:cs="宋体"/>
          <w:bCs/>
          <w:sz w:val="24"/>
        </w:rPr>
      </w:pPr>
    </w:p>
    <w:p w14:paraId="661BBE8B">
      <w:pPr>
        <w:pStyle w:val="6"/>
        <w:jc w:val="center"/>
        <w:rPr>
          <w:rFonts w:hint="eastAsia" w:ascii="宋体" w:hAnsi="宋体" w:eastAsia="宋体" w:cs="宋体"/>
          <w:b w:val="0"/>
          <w:sz w:val="24"/>
        </w:rPr>
      </w:pPr>
    </w:p>
    <w:p w14:paraId="20EF29B5">
      <w:pPr>
        <w:rPr>
          <w:rFonts w:hint="eastAsia" w:ascii="宋体" w:hAnsi="宋体" w:eastAsia="宋体" w:cs="宋体"/>
        </w:rPr>
      </w:pPr>
    </w:p>
    <w:p w14:paraId="3CFF67AE">
      <w:pPr>
        <w:rPr>
          <w:rFonts w:hint="eastAsia" w:ascii="宋体" w:hAnsi="宋体" w:eastAsia="宋体" w:cs="宋体"/>
        </w:rPr>
      </w:pPr>
    </w:p>
    <w:p w14:paraId="03B823A9">
      <w:pPr>
        <w:rPr>
          <w:rFonts w:hint="eastAsia" w:ascii="宋体" w:hAnsi="宋体" w:eastAsia="宋体" w:cs="宋体"/>
        </w:rPr>
      </w:pPr>
    </w:p>
    <w:p w14:paraId="257DBF94">
      <w:pPr>
        <w:pStyle w:val="6"/>
        <w:jc w:val="center"/>
        <w:rPr>
          <w:rFonts w:hint="eastAsia" w:ascii="宋体" w:hAnsi="宋体" w:eastAsia="宋体" w:cs="宋体"/>
          <w:bCs w:val="0"/>
          <w:sz w:val="24"/>
        </w:rPr>
      </w:pPr>
      <w:r>
        <w:rPr>
          <w:rFonts w:hint="eastAsia" w:ascii="宋体" w:hAnsi="宋体" w:eastAsia="宋体" w:cs="宋体"/>
          <w:bCs w:val="0"/>
          <w:sz w:val="24"/>
        </w:rPr>
        <w:t>十</w:t>
      </w:r>
      <w:r>
        <w:rPr>
          <w:rFonts w:hint="eastAsia" w:ascii="宋体" w:hAnsi="宋体" w:eastAsia="宋体" w:cs="宋体"/>
          <w:bCs w:val="0"/>
          <w:sz w:val="24"/>
          <w:lang w:eastAsia="zh-CN"/>
        </w:rPr>
        <w:t>三</w:t>
      </w:r>
      <w:r>
        <w:rPr>
          <w:rFonts w:hint="eastAsia" w:ascii="宋体" w:hAnsi="宋体" w:eastAsia="宋体" w:cs="宋体"/>
          <w:bCs w:val="0"/>
          <w:sz w:val="24"/>
        </w:rPr>
        <w:t>、投标人认为需要加以说明的其他内容（格式自定）</w:t>
      </w:r>
    </w:p>
    <w:p w14:paraId="7CA70741">
      <w:pPr>
        <w:rPr>
          <w:rFonts w:hint="eastAsia" w:ascii="宋体" w:hAnsi="宋体" w:eastAsia="宋体" w:cs="宋体"/>
          <w:kern w:val="0"/>
          <w:sz w:val="24"/>
          <w:szCs w:val="20"/>
        </w:rPr>
      </w:pPr>
    </w:p>
    <w:p w14:paraId="54EDDD15">
      <w:pPr>
        <w:pStyle w:val="46"/>
        <w:snapToGrid w:val="0"/>
        <w:spacing w:before="0" w:after="0" w:line="240" w:lineRule="auto"/>
        <w:rPr>
          <w:rFonts w:hint="eastAsia" w:ascii="宋体" w:hAnsi="宋体" w:eastAsia="宋体" w:cs="宋体"/>
          <w:b w:val="0"/>
          <w:bCs w:val="0"/>
          <w:color w:val="auto"/>
          <w:sz w:val="44"/>
          <w:szCs w:val="44"/>
          <w:highlight w:val="none"/>
          <w:lang w:val="en-US" w:eastAsia="zh-CN"/>
        </w:rPr>
      </w:pPr>
    </w:p>
    <w:p w14:paraId="24F2A6E8">
      <w:pPr>
        <w:pStyle w:val="46"/>
        <w:snapToGrid w:val="0"/>
        <w:spacing w:before="0" w:after="0" w:line="240" w:lineRule="auto"/>
        <w:rPr>
          <w:rFonts w:hint="eastAsia" w:ascii="宋体" w:hAnsi="宋体" w:eastAsia="宋体" w:cs="宋体"/>
          <w:b w:val="0"/>
          <w:bCs w:val="0"/>
          <w:color w:val="auto"/>
          <w:sz w:val="44"/>
          <w:szCs w:val="44"/>
          <w:highlight w:val="none"/>
          <w:lang w:val="en-US" w:eastAsia="zh-CN"/>
        </w:rPr>
      </w:pPr>
    </w:p>
    <w:p w14:paraId="2AC212BA">
      <w:pPr>
        <w:ind w:firstLine="426" w:firstLineChars="202"/>
        <w:rPr>
          <w:rFonts w:hint="eastAsia" w:ascii="宋体" w:hAnsi="宋体" w:eastAsia="宋体" w:cs="宋体"/>
          <w:b/>
          <w:szCs w:val="21"/>
        </w:rPr>
      </w:pPr>
    </w:p>
    <w:p w14:paraId="0A9D2177">
      <w:pPr>
        <w:numPr>
          <w:ilvl w:val="0"/>
          <w:numId w:val="0"/>
        </w:numPr>
        <w:spacing w:line="560" w:lineRule="exact"/>
        <w:ind w:leftChars="0"/>
        <w:jc w:val="center"/>
        <w:rPr>
          <w:rFonts w:hint="eastAsia" w:ascii="宋体" w:hAnsi="宋体" w:eastAsia="宋体" w:cs="宋体"/>
          <w:b/>
          <w:bCs/>
          <w:kern w:val="0"/>
          <w:sz w:val="24"/>
          <w:szCs w:val="20"/>
          <w:lang w:eastAsia="zh-CN"/>
        </w:rPr>
      </w:pPr>
      <w:r>
        <w:rPr>
          <w:rFonts w:hint="eastAsia" w:ascii="宋体" w:hAnsi="宋体" w:eastAsia="宋体" w:cs="宋体"/>
          <w:b/>
          <w:bCs/>
          <w:kern w:val="0"/>
          <w:sz w:val="24"/>
          <w:szCs w:val="20"/>
          <w:lang w:eastAsia="zh-CN"/>
        </w:rPr>
        <w:t>第四章</w:t>
      </w:r>
      <w:r>
        <w:rPr>
          <w:rFonts w:hint="eastAsia" w:ascii="宋体" w:hAnsi="宋体" w:eastAsia="宋体" w:cs="宋体"/>
          <w:b/>
          <w:bCs/>
          <w:kern w:val="0"/>
          <w:sz w:val="24"/>
          <w:szCs w:val="20"/>
        </w:rPr>
        <w:t xml:space="preserve"> </w:t>
      </w:r>
      <w:r>
        <w:rPr>
          <w:rFonts w:hint="eastAsia" w:ascii="宋体" w:hAnsi="宋体" w:eastAsia="宋体" w:cs="宋体"/>
          <w:b/>
          <w:bCs/>
          <w:kern w:val="0"/>
          <w:sz w:val="24"/>
          <w:szCs w:val="20"/>
          <w:lang w:val="en-US" w:eastAsia="zh-CN"/>
        </w:rPr>
        <w:t xml:space="preserve">  </w:t>
      </w:r>
      <w:r>
        <w:rPr>
          <w:rFonts w:hint="eastAsia" w:ascii="宋体" w:hAnsi="宋体" w:eastAsia="宋体" w:cs="宋体"/>
          <w:b/>
          <w:bCs/>
          <w:kern w:val="0"/>
          <w:sz w:val="24"/>
          <w:szCs w:val="20"/>
        </w:rPr>
        <w:t>合同</w:t>
      </w:r>
      <w:r>
        <w:rPr>
          <w:rFonts w:hint="eastAsia" w:ascii="宋体" w:hAnsi="宋体" w:eastAsia="宋体" w:cs="宋体"/>
          <w:b/>
          <w:bCs/>
          <w:kern w:val="0"/>
          <w:sz w:val="24"/>
          <w:szCs w:val="20"/>
          <w:lang w:eastAsia="zh-CN"/>
        </w:rPr>
        <w:t>条款</w:t>
      </w:r>
    </w:p>
    <w:p w14:paraId="1828D900">
      <w:pPr>
        <w:pStyle w:val="5"/>
        <w:widowControl w:val="0"/>
        <w:numPr>
          <w:ilvl w:val="0"/>
          <w:numId w:val="0"/>
        </w:numPr>
        <w:adjustRightInd w:val="0"/>
        <w:jc w:val="both"/>
        <w:textAlignment w:val="baseline"/>
        <w:outlineLvl w:val="1"/>
        <w:rPr>
          <w:rFonts w:hint="eastAsia"/>
          <w:lang w:val="en-US" w:eastAsia="zh-CN"/>
        </w:rPr>
      </w:pPr>
    </w:p>
    <w:p w14:paraId="0441100A">
      <w:pPr>
        <w:pStyle w:val="6"/>
        <w:spacing w:before="120" w:after="120"/>
        <w:jc w:val="center"/>
        <w:rPr>
          <w:rFonts w:hint="eastAsia" w:ascii="宋体" w:hAnsi="宋体" w:eastAsia="宋体" w:cs="宋体"/>
          <w:sz w:val="24"/>
          <w:szCs w:val="24"/>
        </w:rPr>
      </w:pPr>
    </w:p>
    <w:p w14:paraId="30A04D0C">
      <w:pPr>
        <w:spacing w:line="240" w:lineRule="atLeast"/>
        <w:rPr>
          <w:rFonts w:hint="eastAsia" w:ascii="Times New Roman" w:hAnsi="Times New Roman" w:eastAsia="宋体" w:cs="Times New Roman"/>
          <w:b/>
          <w:sz w:val="24"/>
          <w:lang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宋体" w:cs="Times New Roman"/>
          <w:b/>
          <w:sz w:val="24"/>
          <w:lang w:eastAsia="zh-CN"/>
        </w:rPr>
        <w:t>详见附件“</w:t>
      </w:r>
      <w:r>
        <w:rPr>
          <w:rFonts w:hint="eastAsia" w:cs="Times New Roman"/>
          <w:b/>
          <w:sz w:val="24"/>
          <w:lang w:eastAsia="zh-CN"/>
        </w:rPr>
        <w:t xml:space="preserve">深圳市东部工人文化宫（沙头角体育馆改造）项目建（构）筑物拆除工程 </w:t>
      </w:r>
      <w:r>
        <w:rPr>
          <w:rFonts w:hint="eastAsia" w:ascii="Times New Roman" w:hAnsi="Times New Roman" w:eastAsia="宋体" w:cs="Times New Roman"/>
          <w:b/>
          <w:sz w:val="24"/>
          <w:lang w:eastAsia="zh-CN"/>
        </w:rPr>
        <w:t>施工合同”</w:t>
      </w:r>
    </w:p>
    <w:p w14:paraId="3CD7638F">
      <w:pPr>
        <w:jc w:val="center"/>
        <w:rPr>
          <w:rFonts w:hint="eastAsia" w:ascii="宋体" w:hAnsi="宋体" w:eastAsia="宋体" w:cs="宋体"/>
          <w:b/>
          <w:sz w:val="28"/>
          <w:szCs w:val="28"/>
        </w:rPr>
      </w:pPr>
      <w:bookmarkStart w:id="25" w:name="bt商务标投标文件格式"/>
      <w:bookmarkEnd w:id="25"/>
      <w:bookmarkStart w:id="26" w:name="bt技术标投标文件格式"/>
      <w:bookmarkEnd w:id="26"/>
      <w:bookmarkStart w:id="27" w:name="bt投标报价汇总表"/>
      <w:bookmarkEnd w:id="27"/>
      <w:bookmarkStart w:id="28" w:name="page57"/>
      <w:bookmarkEnd w:id="28"/>
      <w:bookmarkStart w:id="29" w:name="bt项目管理班子配备情况"/>
      <w:bookmarkEnd w:id="29"/>
      <w:bookmarkStart w:id="30" w:name="bt其他资料2"/>
      <w:bookmarkEnd w:id="30"/>
      <w:bookmarkStart w:id="31" w:name="bt投标人情况介绍"/>
      <w:bookmarkEnd w:id="31"/>
      <w:bookmarkStart w:id="32" w:name="bt投标函"/>
      <w:bookmarkEnd w:id="32"/>
      <w:bookmarkStart w:id="33" w:name="bt合同条款"/>
      <w:bookmarkEnd w:id="33"/>
      <w:bookmarkStart w:id="34" w:name="bt本工程承诺书"/>
      <w:bookmarkEnd w:id="34"/>
      <w:bookmarkStart w:id="35" w:name="合同格式"/>
      <w:bookmarkEnd w:id="35"/>
      <w:bookmarkStart w:id="36" w:name="bt投标文件签署授权委托书"/>
      <w:bookmarkEnd w:id="36"/>
      <w:bookmarkStart w:id="37" w:name="bt其他资料由投标人自定"/>
      <w:bookmarkEnd w:id="37"/>
      <w:bookmarkStart w:id="38" w:name="bt合同条款及格式"/>
      <w:bookmarkEnd w:id="38"/>
      <w:bookmarkStart w:id="39" w:name="bt开标一览表"/>
      <w:bookmarkEnd w:id="39"/>
      <w:r>
        <w:rPr>
          <w:rFonts w:hint="eastAsia" w:ascii="宋体" w:hAnsi="宋体" w:eastAsia="宋体" w:cs="宋体"/>
          <w:b/>
          <w:sz w:val="28"/>
          <w:szCs w:val="28"/>
        </w:rPr>
        <w:t>第二册  通用条款</w:t>
      </w:r>
    </w:p>
    <w:p w14:paraId="211BDF0A">
      <w:pPr>
        <w:snapToGrid w:val="0"/>
        <w:spacing w:line="360" w:lineRule="auto"/>
        <w:ind w:left="441" w:leftChars="210"/>
        <w:jc w:val="center"/>
        <w:rPr>
          <w:rFonts w:hint="eastAsia" w:ascii="宋体" w:hAnsi="宋体" w:eastAsia="宋体" w:cs="宋体"/>
          <w:b/>
          <w:sz w:val="28"/>
          <w:szCs w:val="28"/>
          <w:lang w:eastAsia="zh-TW"/>
        </w:rPr>
      </w:pPr>
      <w:r>
        <w:rPr>
          <w:rFonts w:hint="eastAsia" w:ascii="宋体" w:hAnsi="宋体" w:eastAsia="宋体" w:cs="宋体"/>
          <w:b/>
          <w:sz w:val="28"/>
          <w:szCs w:val="28"/>
        </w:rPr>
        <w:t>第一章</w:t>
      </w:r>
      <w:r>
        <w:rPr>
          <w:rFonts w:hint="eastAsia" w:ascii="宋体" w:hAnsi="宋体" w:eastAsia="宋体" w:cs="宋体"/>
          <w:b/>
          <w:sz w:val="28"/>
          <w:szCs w:val="28"/>
          <w:lang w:eastAsia="zh-TW"/>
        </w:rPr>
        <w:t>、投标文件的编制</w:t>
      </w:r>
    </w:p>
    <w:p w14:paraId="34CDC715">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投标的语言</w:t>
      </w:r>
    </w:p>
    <w:p w14:paraId="6D052650">
      <w:pPr>
        <w:numPr>
          <w:ilvl w:val="1"/>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szCs w:val="21"/>
        </w:rPr>
        <w:t>投标人提交的投标文件以及投标人与招标人及招标代理机构就有关投标的所有来往函电均应使用中文书写。投</w:t>
      </w:r>
      <w:r>
        <w:rPr>
          <w:rFonts w:hint="eastAsia" w:ascii="宋体" w:hAnsi="宋体" w:eastAsia="宋体" w:cs="宋体"/>
          <w:szCs w:val="21"/>
          <w:lang w:eastAsia="zh-TW"/>
        </w:rPr>
        <w:t>标人提交的支持资料</w:t>
      </w:r>
      <w:r>
        <w:rPr>
          <w:rFonts w:hint="eastAsia" w:ascii="宋体" w:hAnsi="宋体" w:eastAsia="宋体" w:cs="宋体"/>
          <w:szCs w:val="21"/>
        </w:rPr>
        <w:t>或印刷的资料</w:t>
      </w:r>
      <w:r>
        <w:rPr>
          <w:rFonts w:hint="eastAsia" w:ascii="宋体" w:hAnsi="宋体" w:eastAsia="宋体" w:cs="宋体"/>
          <w:szCs w:val="21"/>
          <w:lang w:eastAsia="zh-TW"/>
        </w:rPr>
        <w:t>可以用另一种语言</w:t>
      </w:r>
      <w:r>
        <w:rPr>
          <w:rFonts w:hint="eastAsia" w:ascii="宋体" w:hAnsi="宋体" w:eastAsia="宋体" w:cs="宋体"/>
          <w:szCs w:val="21"/>
        </w:rPr>
        <w:t>，</w:t>
      </w:r>
      <w:r>
        <w:rPr>
          <w:rFonts w:hint="eastAsia" w:ascii="宋体" w:hAnsi="宋体" w:eastAsia="宋体" w:cs="宋体"/>
          <w:szCs w:val="21"/>
          <w:lang w:eastAsia="zh-TW"/>
        </w:rPr>
        <w:t>但相应内容应附有中文翻译本</w:t>
      </w:r>
      <w:r>
        <w:rPr>
          <w:rFonts w:hint="eastAsia" w:ascii="宋体" w:hAnsi="宋体" w:eastAsia="宋体" w:cs="宋体"/>
          <w:szCs w:val="21"/>
        </w:rPr>
        <w:t>，由翻译机构盖章或者翻译人员签名，两种语言不一致时以中文翻译本为准</w:t>
      </w:r>
      <w:r>
        <w:rPr>
          <w:rFonts w:hint="eastAsia" w:ascii="宋体" w:hAnsi="宋体" w:eastAsia="宋体" w:cs="宋体"/>
          <w:szCs w:val="21"/>
          <w:lang w:eastAsia="zh-TW"/>
        </w:rPr>
        <w:t>。</w:t>
      </w:r>
    </w:p>
    <w:p w14:paraId="0AFE7CA9">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投标文件的编写</w:t>
      </w:r>
    </w:p>
    <w:p w14:paraId="436D6D00">
      <w:pPr>
        <w:numPr>
          <w:ilvl w:val="1"/>
          <w:numId w:val="12"/>
        </w:numPr>
        <w:autoSpaceDE w:val="0"/>
        <w:autoSpaceDN w:val="0"/>
        <w:adjustRightInd w:val="0"/>
        <w:snapToGrid w:val="0"/>
        <w:spacing w:line="360" w:lineRule="auto"/>
        <w:rPr>
          <w:rFonts w:hint="eastAsia" w:ascii="宋体" w:hAnsi="宋体" w:eastAsia="宋体" w:cs="宋体"/>
          <w:szCs w:val="21"/>
          <w:lang w:eastAsia="zh-TW"/>
        </w:rPr>
      </w:pPr>
      <w:r>
        <w:rPr>
          <w:rFonts w:hint="eastAsia" w:ascii="宋体" w:hAnsi="宋体" w:eastAsia="宋体" w:cs="宋体"/>
          <w:szCs w:val="21"/>
        </w:rPr>
        <w:t>投标人应完整</w:t>
      </w:r>
      <w:r>
        <w:rPr>
          <w:rFonts w:hint="eastAsia" w:ascii="宋体" w:hAnsi="宋体" w:eastAsia="宋体" w:cs="宋体"/>
          <w:szCs w:val="21"/>
          <w:lang w:eastAsia="zh-TW"/>
        </w:rPr>
        <w:t>、真实、准确地填写招标文件中提供的投标函、开标一览表(报价表)、投标分项报价表（如适用）以及招标文件中规定的其它所有内容。</w:t>
      </w:r>
    </w:p>
    <w:p w14:paraId="7A955762">
      <w:pPr>
        <w:numPr>
          <w:ilvl w:val="1"/>
          <w:numId w:val="12"/>
        </w:numPr>
        <w:autoSpaceDE w:val="0"/>
        <w:autoSpaceDN w:val="0"/>
        <w:adjustRightInd w:val="0"/>
        <w:snapToGrid w:val="0"/>
        <w:spacing w:line="360" w:lineRule="auto"/>
        <w:rPr>
          <w:rFonts w:hint="eastAsia" w:ascii="宋体" w:hAnsi="宋体" w:eastAsia="宋体" w:cs="宋体"/>
          <w:szCs w:val="21"/>
          <w:lang w:eastAsia="zh-TW"/>
        </w:rPr>
      </w:pPr>
      <w:r>
        <w:rPr>
          <w:rFonts w:hint="eastAsia" w:ascii="宋体" w:hAnsi="宋体" w:eastAsia="宋体" w:cs="宋体"/>
          <w:szCs w:val="21"/>
        </w:rPr>
        <w:t>投标人对招标文件中多个标段进行投标的</w:t>
      </w:r>
      <w:r>
        <w:rPr>
          <w:rFonts w:hint="eastAsia" w:ascii="宋体" w:hAnsi="宋体" w:eastAsia="宋体" w:cs="宋体"/>
          <w:szCs w:val="21"/>
          <w:lang w:eastAsia="zh-TW"/>
        </w:rPr>
        <w:t>，其投标文件的编制可按每个标段分别装订和封装。</w:t>
      </w:r>
      <w:r>
        <w:rPr>
          <w:rFonts w:hint="eastAsia" w:ascii="宋体" w:hAnsi="宋体" w:eastAsia="宋体" w:cs="宋体"/>
          <w:bCs/>
          <w:szCs w:val="21"/>
        </w:rPr>
        <w:t>投标人对所有投标文件</w:t>
      </w:r>
      <w:r>
        <w:rPr>
          <w:rFonts w:hint="eastAsia" w:ascii="宋体" w:hAnsi="宋体" w:eastAsia="宋体" w:cs="宋体"/>
          <w:szCs w:val="21"/>
        </w:rPr>
        <w:t>采用左侧书本式方式</w:t>
      </w:r>
      <w:r>
        <w:rPr>
          <w:rFonts w:hint="eastAsia" w:ascii="宋体" w:hAnsi="宋体" w:eastAsia="宋体" w:cs="宋体"/>
          <w:bCs/>
          <w:szCs w:val="21"/>
        </w:rPr>
        <w:t>装订，装订应牢固、不易拆散和换页，原则上不得采用活页方式装订。</w:t>
      </w:r>
      <w:r>
        <w:rPr>
          <w:rFonts w:hint="eastAsia" w:ascii="宋体" w:hAnsi="宋体" w:eastAsia="宋体" w:cs="宋体"/>
          <w:szCs w:val="21"/>
          <w:lang w:eastAsia="zh-TW"/>
        </w:rPr>
        <w:t>对未经装订的投标文件可能发生的文件散落或缺损，由此造成的后果</w:t>
      </w:r>
      <w:r>
        <w:rPr>
          <w:rFonts w:hint="eastAsia" w:ascii="宋体" w:hAnsi="宋体" w:eastAsia="宋体" w:cs="宋体"/>
          <w:szCs w:val="21"/>
        </w:rPr>
        <w:t>和</w:t>
      </w:r>
      <w:r>
        <w:rPr>
          <w:rFonts w:hint="eastAsia" w:ascii="宋体" w:hAnsi="宋体" w:eastAsia="宋体" w:cs="宋体"/>
          <w:szCs w:val="21"/>
          <w:lang w:eastAsia="zh-TW"/>
        </w:rPr>
        <w:t>责任由投标人承担</w:t>
      </w:r>
      <w:r>
        <w:rPr>
          <w:rFonts w:hint="eastAsia" w:ascii="宋体" w:hAnsi="宋体" w:eastAsia="宋体" w:cs="宋体"/>
          <w:szCs w:val="21"/>
        </w:rPr>
        <w:t>。</w:t>
      </w:r>
    </w:p>
    <w:p w14:paraId="40DA4436">
      <w:pPr>
        <w:numPr>
          <w:ilvl w:val="1"/>
          <w:numId w:val="12"/>
        </w:numPr>
        <w:autoSpaceDE w:val="0"/>
        <w:autoSpaceDN w:val="0"/>
        <w:adjustRightInd w:val="0"/>
        <w:snapToGrid w:val="0"/>
        <w:spacing w:line="360" w:lineRule="auto"/>
        <w:rPr>
          <w:rFonts w:hint="eastAsia" w:ascii="宋体" w:hAnsi="宋体" w:eastAsia="宋体" w:cs="宋体"/>
          <w:szCs w:val="21"/>
          <w:lang w:eastAsia="zh-TW"/>
        </w:rPr>
      </w:pPr>
      <w:r>
        <w:rPr>
          <w:rFonts w:hint="eastAsia" w:ascii="宋体" w:hAnsi="宋体" w:eastAsia="宋体" w:cs="宋体"/>
          <w:szCs w:val="21"/>
        </w:rPr>
        <w:t>投标人必须对投标文件所提供的全部资料的真实性承担法律责任</w:t>
      </w:r>
      <w:r>
        <w:rPr>
          <w:rFonts w:hint="eastAsia" w:ascii="宋体" w:hAnsi="宋体" w:eastAsia="宋体" w:cs="宋体"/>
          <w:szCs w:val="21"/>
          <w:lang w:eastAsia="zh-TW"/>
        </w:rPr>
        <w:t>，</w:t>
      </w:r>
      <w:r>
        <w:rPr>
          <w:rFonts w:hint="eastAsia" w:ascii="宋体" w:hAnsi="宋体" w:eastAsia="宋体" w:cs="宋体"/>
          <w:szCs w:val="21"/>
        </w:rPr>
        <w:t>并无条件接受招标人及招标代理机构等对其中任何资料进行核实的要求</w:t>
      </w:r>
      <w:r>
        <w:rPr>
          <w:rFonts w:hint="eastAsia" w:ascii="宋体" w:hAnsi="宋体" w:eastAsia="宋体" w:cs="宋体"/>
          <w:szCs w:val="21"/>
          <w:lang w:eastAsia="zh-TW"/>
        </w:rPr>
        <w:t>。</w:t>
      </w:r>
    </w:p>
    <w:p w14:paraId="66677088">
      <w:pPr>
        <w:numPr>
          <w:ilvl w:val="1"/>
          <w:numId w:val="12"/>
        </w:numPr>
        <w:autoSpaceDE w:val="0"/>
        <w:autoSpaceDN w:val="0"/>
        <w:adjustRightInd w:val="0"/>
        <w:snapToGrid w:val="0"/>
        <w:spacing w:line="360" w:lineRule="auto"/>
        <w:rPr>
          <w:rFonts w:hint="eastAsia" w:ascii="宋体" w:hAnsi="宋体" w:eastAsia="宋体" w:cs="宋体"/>
          <w:szCs w:val="21"/>
          <w:lang w:eastAsia="zh-TW"/>
        </w:rPr>
      </w:pPr>
      <w:r>
        <w:rPr>
          <w:rFonts w:hint="eastAsia" w:ascii="宋体" w:hAnsi="宋体" w:eastAsia="宋体" w:cs="宋体"/>
          <w:szCs w:val="21"/>
        </w:rPr>
        <w:t>如果因为投标人的投标文件只填写和提供了本招标文件要求的部分内容和附件</w:t>
      </w:r>
      <w:r>
        <w:rPr>
          <w:rFonts w:hint="eastAsia" w:ascii="宋体" w:hAnsi="宋体" w:eastAsia="宋体" w:cs="宋体"/>
          <w:szCs w:val="21"/>
          <w:lang w:eastAsia="zh-TW"/>
        </w:rPr>
        <w:t>，或没有提供招标文件中所要求的全部资料及数据，由此造成的后果和责任由投标人承担。</w:t>
      </w:r>
    </w:p>
    <w:p w14:paraId="20B415E1">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投标报价</w:t>
      </w:r>
    </w:p>
    <w:p w14:paraId="0E81C491">
      <w:pPr>
        <w:numPr>
          <w:ilvl w:val="1"/>
          <w:numId w:val="12"/>
        </w:numPr>
        <w:autoSpaceDE w:val="0"/>
        <w:autoSpaceDN w:val="0"/>
        <w:adjustRightInd w:val="0"/>
        <w:snapToGrid w:val="0"/>
        <w:spacing w:line="360" w:lineRule="auto"/>
        <w:rPr>
          <w:rFonts w:hint="eastAsia" w:ascii="宋体" w:hAnsi="宋体" w:eastAsia="宋体" w:cs="宋体"/>
          <w:b/>
          <w:bCs/>
          <w:color w:val="000000"/>
          <w:szCs w:val="21"/>
        </w:rPr>
      </w:pPr>
      <w:r>
        <w:rPr>
          <w:rFonts w:hint="eastAsia" w:ascii="宋体" w:hAnsi="宋体" w:eastAsia="宋体" w:cs="宋体"/>
          <w:color w:val="000000"/>
          <w:szCs w:val="21"/>
          <w:lang w:eastAsia="zh-TW"/>
        </w:rPr>
        <w:t>投标人应按照</w:t>
      </w:r>
      <w:r>
        <w:rPr>
          <w:rFonts w:hint="eastAsia" w:ascii="宋体" w:hAnsi="宋体" w:eastAsia="宋体" w:cs="宋体"/>
          <w:color w:val="000000"/>
          <w:szCs w:val="21"/>
          <w:lang w:eastAsia="zh-CN"/>
        </w:rPr>
        <w:t>招标文件</w:t>
      </w:r>
      <w:r>
        <w:rPr>
          <w:rFonts w:hint="eastAsia" w:ascii="宋体" w:hAnsi="宋体" w:eastAsia="宋体" w:cs="宋体"/>
          <w:color w:val="000000"/>
          <w:szCs w:val="21"/>
        </w:rPr>
        <w:t>中</w:t>
      </w:r>
      <w:r>
        <w:rPr>
          <w:rFonts w:hint="eastAsia" w:ascii="宋体" w:hAnsi="宋体" w:eastAsia="宋体" w:cs="宋体"/>
          <w:color w:val="000000"/>
          <w:szCs w:val="21"/>
          <w:lang w:eastAsia="zh-TW"/>
        </w:rPr>
        <w:t>采购项目技术规格、参数及要求规定的内容</w:t>
      </w:r>
      <w:r>
        <w:rPr>
          <w:rFonts w:hint="eastAsia" w:ascii="宋体" w:hAnsi="宋体" w:eastAsia="宋体" w:cs="宋体"/>
          <w:color w:val="000000"/>
          <w:szCs w:val="21"/>
        </w:rPr>
        <w:t>或</w:t>
      </w:r>
      <w:r>
        <w:rPr>
          <w:rFonts w:hint="eastAsia" w:ascii="宋体" w:hAnsi="宋体" w:eastAsia="宋体" w:cs="宋体"/>
          <w:color w:val="000000"/>
          <w:szCs w:val="21"/>
          <w:lang w:eastAsia="zh-TW"/>
        </w:rPr>
        <w:t>采购项目</w:t>
      </w:r>
      <w:r>
        <w:rPr>
          <w:rFonts w:hint="eastAsia" w:ascii="宋体" w:hAnsi="宋体" w:eastAsia="宋体" w:cs="宋体"/>
          <w:color w:val="000000"/>
          <w:szCs w:val="21"/>
        </w:rPr>
        <w:t>服务</w:t>
      </w:r>
      <w:r>
        <w:rPr>
          <w:rFonts w:hint="eastAsia" w:ascii="宋体" w:hAnsi="宋体" w:eastAsia="宋体" w:cs="宋体"/>
          <w:color w:val="000000"/>
          <w:szCs w:val="21"/>
          <w:lang w:eastAsia="zh-TW"/>
        </w:rPr>
        <w:t>要求规定的内容、责任范围进行报价。并按《</w:t>
      </w:r>
      <w:r>
        <w:rPr>
          <w:rFonts w:hint="eastAsia" w:ascii="宋体" w:hAnsi="宋体" w:eastAsia="宋体" w:cs="宋体"/>
          <w:color w:val="000000"/>
          <w:szCs w:val="21"/>
        </w:rPr>
        <w:t>开标一览表（报价表）</w:t>
      </w:r>
      <w:r>
        <w:rPr>
          <w:rFonts w:hint="eastAsia" w:ascii="宋体" w:hAnsi="宋体" w:eastAsia="宋体" w:cs="宋体"/>
          <w:color w:val="000000"/>
          <w:szCs w:val="21"/>
          <w:lang w:eastAsia="zh-TW"/>
        </w:rPr>
        <w:t>》</w:t>
      </w:r>
      <w:r>
        <w:rPr>
          <w:rFonts w:hint="eastAsia" w:ascii="宋体" w:hAnsi="宋体" w:eastAsia="宋体" w:cs="宋体"/>
          <w:color w:val="000000"/>
          <w:szCs w:val="21"/>
        </w:rPr>
        <w:t>及</w:t>
      </w:r>
      <w:r>
        <w:rPr>
          <w:rFonts w:hint="eastAsia" w:ascii="宋体" w:hAnsi="宋体" w:eastAsia="宋体" w:cs="宋体"/>
          <w:color w:val="000000"/>
          <w:szCs w:val="21"/>
          <w:lang w:eastAsia="zh-TW"/>
        </w:rPr>
        <w:t>《投标分项报价表》（如适用）的</w:t>
      </w:r>
      <w:r>
        <w:rPr>
          <w:rFonts w:hint="eastAsia" w:ascii="宋体" w:hAnsi="宋体" w:eastAsia="宋体" w:cs="宋体"/>
          <w:color w:val="000000"/>
          <w:szCs w:val="21"/>
        </w:rPr>
        <w:t>要求</w:t>
      </w:r>
      <w:r>
        <w:rPr>
          <w:rFonts w:hint="eastAsia" w:ascii="宋体" w:hAnsi="宋体" w:eastAsia="宋体" w:cs="宋体"/>
          <w:color w:val="000000"/>
          <w:szCs w:val="21"/>
          <w:lang w:eastAsia="zh-TW"/>
        </w:rPr>
        <w:t>报出总价和分项价格。</w:t>
      </w:r>
      <w:r>
        <w:rPr>
          <w:rFonts w:hint="eastAsia" w:ascii="宋体" w:hAnsi="宋体" w:eastAsia="宋体" w:cs="宋体"/>
          <w:color w:val="000000"/>
          <w:szCs w:val="21"/>
        </w:rPr>
        <w:t>投标人</w:t>
      </w:r>
      <w:r>
        <w:rPr>
          <w:rFonts w:hint="eastAsia" w:ascii="宋体" w:hAnsi="宋体" w:eastAsia="宋体" w:cs="宋体"/>
          <w:color w:val="000000"/>
          <w:szCs w:val="21"/>
          <w:lang w:eastAsia="zh-TW"/>
        </w:rPr>
        <w:t>按</w:t>
      </w:r>
      <w:r>
        <w:rPr>
          <w:rFonts w:hint="eastAsia" w:ascii="宋体" w:hAnsi="宋体" w:eastAsia="宋体" w:cs="宋体"/>
          <w:color w:val="000000"/>
          <w:szCs w:val="21"/>
        </w:rPr>
        <w:t>招标</w:t>
      </w:r>
      <w:r>
        <w:rPr>
          <w:rFonts w:hint="eastAsia" w:ascii="宋体" w:hAnsi="宋体" w:eastAsia="宋体" w:cs="宋体"/>
          <w:color w:val="000000"/>
          <w:szCs w:val="21"/>
          <w:lang w:eastAsia="zh-TW"/>
        </w:rPr>
        <w:t>文件的要求报出全部货物及服务内容所需的所有费用，包括但不限于</w:t>
      </w:r>
      <w:r>
        <w:rPr>
          <w:rFonts w:hint="eastAsia" w:ascii="宋体" w:hAnsi="宋体" w:eastAsia="宋体" w:cs="宋体"/>
          <w:b/>
          <w:color w:val="000000"/>
          <w:szCs w:val="21"/>
        </w:rPr>
        <w:t xml:space="preserve"> 对通用条款的补充内容</w:t>
      </w:r>
      <w:r>
        <w:rPr>
          <w:rFonts w:hint="eastAsia" w:ascii="宋体" w:hAnsi="宋体" w:eastAsia="宋体" w:cs="宋体"/>
          <w:color w:val="000000"/>
          <w:szCs w:val="21"/>
          <w:lang w:eastAsia="zh-TW"/>
        </w:rPr>
        <w:t>中规定的。</w:t>
      </w:r>
    </w:p>
    <w:p w14:paraId="64C4B5A6">
      <w:pPr>
        <w:numPr>
          <w:ilvl w:val="1"/>
          <w:numId w:val="12"/>
        </w:numPr>
        <w:autoSpaceDE w:val="0"/>
        <w:autoSpaceDN w:val="0"/>
        <w:adjustRightInd w:val="0"/>
        <w:snapToGrid w:val="0"/>
        <w:spacing w:line="360" w:lineRule="auto"/>
        <w:rPr>
          <w:rFonts w:hint="eastAsia" w:ascii="宋体" w:hAnsi="宋体" w:eastAsia="宋体" w:cs="宋体"/>
          <w:color w:val="000000"/>
          <w:szCs w:val="21"/>
        </w:rPr>
      </w:pPr>
      <w:r>
        <w:rPr>
          <w:rFonts w:hint="eastAsia" w:ascii="宋体" w:hAnsi="宋体" w:eastAsia="宋体" w:cs="宋体"/>
          <w:b/>
          <w:color w:val="000000"/>
          <w:szCs w:val="21"/>
        </w:rPr>
        <w:t>（适用货物类项目）</w:t>
      </w:r>
      <w:r>
        <w:rPr>
          <w:rFonts w:hint="eastAsia" w:ascii="宋体" w:hAnsi="宋体" w:eastAsia="宋体" w:cs="宋体"/>
          <w:color w:val="000000"/>
          <w:szCs w:val="21"/>
        </w:rPr>
        <w:t>投标分项报价表内容应包含：</w:t>
      </w:r>
    </w:p>
    <w:p w14:paraId="5456EE51">
      <w:pPr>
        <w:numPr>
          <w:ilvl w:val="1"/>
          <w:numId w:val="12"/>
        </w:numPr>
        <w:autoSpaceDE w:val="0"/>
        <w:autoSpaceDN w:val="0"/>
        <w:adjustRightInd w:val="0"/>
        <w:snapToGrid w:val="0"/>
        <w:spacing w:line="360" w:lineRule="auto"/>
        <w:rPr>
          <w:rFonts w:hint="eastAsia" w:ascii="宋体" w:hAnsi="宋体" w:eastAsia="宋体" w:cs="宋体"/>
          <w:szCs w:val="21"/>
          <w:lang w:eastAsia="zh-TW"/>
        </w:rPr>
      </w:pPr>
      <w:r>
        <w:rPr>
          <w:rFonts w:hint="eastAsia" w:ascii="宋体" w:hAnsi="宋体" w:eastAsia="宋体" w:cs="宋体"/>
          <w:szCs w:val="21"/>
        </w:rPr>
        <w:t>按招标文件的要求全部货物及服务内容所需的所有费用，包括但不限于项目的全部产品价格、服务价格、应向中华人民共和国政府缴纳的增值税和其它税等全部税费、运输、保险、安装、伴随服务、标准附件价、备品备件及专用工具价(如有)、以及履行合同所需的费用、所有风险、责任等其他一切隐含及不可预见的费用。如是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5E059AC">
      <w:pPr>
        <w:numPr>
          <w:ilvl w:val="1"/>
          <w:numId w:val="12"/>
        </w:numPr>
        <w:autoSpaceDE w:val="0"/>
        <w:autoSpaceDN w:val="0"/>
        <w:adjustRightInd w:val="0"/>
        <w:snapToGrid w:val="0"/>
        <w:spacing w:line="360" w:lineRule="auto"/>
        <w:rPr>
          <w:rFonts w:hint="eastAsia" w:ascii="宋体" w:hAnsi="宋体" w:eastAsia="宋体" w:cs="宋体"/>
          <w:szCs w:val="21"/>
          <w:lang w:eastAsia="zh-TW"/>
        </w:rPr>
      </w:pPr>
      <w:r>
        <w:rPr>
          <w:rFonts w:hint="eastAsia" w:ascii="宋体" w:hAnsi="宋体" w:eastAsia="宋体" w:cs="宋体"/>
          <w:szCs w:val="21"/>
        </w:rPr>
        <w:t>投标人在中标并签署合同后，服务期限或供货期内出现货物（或服务）的任何遗漏，均由中标人负责，招标人将不再支付任何费用。</w:t>
      </w:r>
    </w:p>
    <w:p w14:paraId="0F852FF8">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除</w:t>
      </w:r>
      <w:r>
        <w:rPr>
          <w:rFonts w:hint="eastAsia" w:ascii="宋体" w:hAnsi="宋体" w:eastAsia="宋体" w:cs="宋体"/>
          <w:b/>
          <w:szCs w:val="21"/>
        </w:rPr>
        <w:t xml:space="preserve">“第二章 </w:t>
      </w:r>
      <w:r>
        <w:rPr>
          <w:rFonts w:hint="eastAsia" w:ascii="宋体" w:hAnsi="宋体" w:eastAsia="宋体" w:cs="宋体"/>
          <w:b/>
          <w:bCs/>
          <w:kern w:val="0"/>
          <w:szCs w:val="21"/>
        </w:rPr>
        <w:t>对通用条款的补充内容</w:t>
      </w:r>
      <w:r>
        <w:rPr>
          <w:rFonts w:hint="eastAsia" w:ascii="宋体" w:hAnsi="宋体" w:eastAsia="宋体" w:cs="宋体"/>
          <w:b/>
          <w:szCs w:val="21"/>
        </w:rPr>
        <w:t>”</w:t>
      </w:r>
      <w:r>
        <w:rPr>
          <w:rFonts w:hint="eastAsia" w:ascii="宋体" w:hAnsi="宋体" w:eastAsia="宋体" w:cs="宋体"/>
          <w:szCs w:val="21"/>
        </w:rPr>
        <w:t>中另有规定，</w:t>
      </w:r>
      <w:r>
        <w:rPr>
          <w:rFonts w:hint="eastAsia" w:ascii="宋体" w:hAnsi="宋体" w:eastAsia="宋体" w:cs="宋体"/>
          <w:szCs w:val="21"/>
          <w:lang w:eastAsia="zh-TW"/>
        </w:rPr>
        <w:t>投标人所报的投标价在合同执行过程中是固定不变的</w:t>
      </w:r>
      <w:r>
        <w:rPr>
          <w:rFonts w:hint="eastAsia" w:ascii="宋体" w:hAnsi="宋体" w:eastAsia="宋体" w:cs="宋体"/>
          <w:szCs w:val="21"/>
        </w:rPr>
        <w:t>，</w:t>
      </w:r>
      <w:r>
        <w:rPr>
          <w:rFonts w:hint="eastAsia" w:ascii="宋体" w:hAnsi="宋体" w:eastAsia="宋体" w:cs="宋体"/>
          <w:szCs w:val="21"/>
          <w:lang w:eastAsia="zh-TW"/>
        </w:rPr>
        <w:t>不得以任何理由予以变更。任何包含价格调整要求的投标被认为是非实质性响应投标而予以拒绝。</w:t>
      </w:r>
    </w:p>
    <w:p w14:paraId="4DF0A1D9">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除</w:t>
      </w:r>
      <w:r>
        <w:rPr>
          <w:rFonts w:hint="eastAsia" w:ascii="宋体" w:hAnsi="宋体" w:eastAsia="宋体" w:cs="宋体"/>
          <w:b/>
          <w:szCs w:val="21"/>
        </w:rPr>
        <w:t>“第二章  对通用条款的补充内容”</w:t>
      </w:r>
      <w:r>
        <w:rPr>
          <w:rFonts w:hint="eastAsia" w:ascii="宋体" w:hAnsi="宋体" w:eastAsia="宋体" w:cs="宋体"/>
          <w:szCs w:val="21"/>
        </w:rPr>
        <w:t>中允许有备选方案外，本次招标不接受选择性报价，否则将被视为无效投标。</w:t>
      </w:r>
    </w:p>
    <w:p w14:paraId="20582771">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除</w:t>
      </w:r>
      <w:r>
        <w:rPr>
          <w:rFonts w:hint="eastAsia" w:ascii="宋体" w:hAnsi="宋体" w:eastAsia="宋体" w:cs="宋体"/>
          <w:b/>
          <w:szCs w:val="21"/>
        </w:rPr>
        <w:t>“第二章  对通用条款的补充内容”</w:t>
      </w:r>
      <w:r>
        <w:rPr>
          <w:rFonts w:hint="eastAsia" w:ascii="宋体" w:hAnsi="宋体" w:eastAsia="宋体" w:cs="宋体"/>
          <w:szCs w:val="21"/>
        </w:rPr>
        <w:t>另有规定外，本次招标不接受具有附加条件的报价，否则将被视为无效投标。</w:t>
      </w:r>
    </w:p>
    <w:p w14:paraId="0FB072F4">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投标货币</w:t>
      </w:r>
    </w:p>
    <w:p w14:paraId="3192C55B">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如招标文件无特殊规定，投标人所提供的货物和服务均应以人民币报价。</w:t>
      </w:r>
    </w:p>
    <w:p w14:paraId="7836455E">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联合体投标</w:t>
      </w:r>
    </w:p>
    <w:p w14:paraId="2F0F439F">
      <w:pPr>
        <w:numPr>
          <w:ilvl w:val="1"/>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szCs w:val="21"/>
        </w:rPr>
        <w:t>除非“第一册招标项目需求”中另有规定，不接受联合体投标。如果投标邀请中规定允许联合体投标的，则必须满足：</w:t>
      </w:r>
    </w:p>
    <w:p w14:paraId="0ACF9AC1">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以联合</w:t>
      </w:r>
      <w:r>
        <w:rPr>
          <w:rFonts w:hint="eastAsia" w:ascii="宋体" w:hAnsi="宋体" w:eastAsia="宋体" w:cs="宋体"/>
          <w:szCs w:val="21"/>
          <w:lang w:eastAsia="zh-TW"/>
        </w:rPr>
        <w:t>体形</w:t>
      </w:r>
      <w:r>
        <w:rPr>
          <w:rFonts w:hint="eastAsia" w:ascii="宋体" w:hAnsi="宋体" w:eastAsia="宋体" w:cs="宋体"/>
          <w:szCs w:val="21"/>
        </w:rPr>
        <w:t xml:space="preserve">式参加投标的，联合体各方均应当具备承担招标项目的相应能力；国家有关规定或者招标文件对投标人资格条件有规定的，联合体各方均应当具备规定的相应资格条件； </w:t>
      </w:r>
    </w:p>
    <w:p w14:paraId="4CDC0A96">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以联合体形式参加投标的，由同一专业的单位组成的联合体，按照资质等级较低的单位确定资质等级。</w:t>
      </w:r>
    </w:p>
    <w:p w14:paraId="3B0BA7D2">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联合体</w:t>
      </w:r>
      <w:r>
        <w:rPr>
          <w:rFonts w:hint="eastAsia" w:ascii="宋体" w:hAnsi="宋体" w:eastAsia="宋体" w:cs="宋体"/>
          <w:szCs w:val="21"/>
          <w:lang w:eastAsia="zh-TW"/>
        </w:rPr>
        <w:t>投标</w:t>
      </w:r>
      <w:r>
        <w:rPr>
          <w:rFonts w:hint="eastAsia" w:ascii="宋体" w:hAnsi="宋体" w:eastAsia="宋体" w:cs="宋体"/>
          <w:szCs w:val="21"/>
        </w:rPr>
        <w:t>的，必须提供各方签订的共同投标协议（联合投标协议书），明确约定各方承担的工作和相应的责任。联合体各方签订共同投标协议（联合投标协议书）后，不得再以自己名义单独在同一项目（或标段）中投标，也不得组成新的联合体参加同一项目（或标段）投标；</w:t>
      </w:r>
    </w:p>
    <w:p w14:paraId="3B10259A">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联合体中标的，联合体各方应当共同与招标人签订合同。</w:t>
      </w:r>
    </w:p>
    <w:p w14:paraId="429C4C50">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证明投标人合格和资格的文件</w:t>
      </w:r>
    </w:p>
    <w:p w14:paraId="0683DF01">
      <w:pPr>
        <w:numPr>
          <w:ilvl w:val="1"/>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szCs w:val="21"/>
        </w:rPr>
        <w:t>投标人应提交证明其有资格参加投标和中标后有能力履行合同的文件，</w:t>
      </w:r>
      <w:r>
        <w:rPr>
          <w:rFonts w:hint="eastAsia" w:ascii="宋体" w:hAnsi="宋体" w:eastAsia="宋体" w:cs="宋体"/>
          <w:szCs w:val="21"/>
          <w:lang w:eastAsia="zh-TW"/>
        </w:rPr>
        <w:t>并作为其投标文件的一部分。如果投标人为联合体</w:t>
      </w:r>
      <w:r>
        <w:rPr>
          <w:rFonts w:hint="eastAsia" w:ascii="宋体" w:hAnsi="宋体" w:eastAsia="宋体" w:cs="宋体"/>
          <w:szCs w:val="21"/>
        </w:rPr>
        <w:t>，</w:t>
      </w:r>
      <w:r>
        <w:rPr>
          <w:rFonts w:hint="eastAsia" w:ascii="宋体" w:hAnsi="宋体" w:eastAsia="宋体" w:cs="宋体"/>
          <w:szCs w:val="21"/>
          <w:lang w:eastAsia="zh-TW"/>
        </w:rPr>
        <w:t>应提交联合体各方的资格证明文件、</w:t>
      </w:r>
      <w:r>
        <w:rPr>
          <w:rFonts w:hint="eastAsia" w:ascii="宋体" w:hAnsi="宋体" w:eastAsia="宋体" w:cs="宋体"/>
          <w:szCs w:val="21"/>
        </w:rPr>
        <w:t>共同投标协议</w:t>
      </w:r>
      <w:r>
        <w:rPr>
          <w:rFonts w:hint="eastAsia" w:ascii="宋体" w:hAnsi="宋体" w:eastAsia="宋体" w:cs="宋体"/>
          <w:szCs w:val="21"/>
          <w:lang w:eastAsia="zh-TW"/>
        </w:rPr>
        <w:t>并注明主体方</w:t>
      </w:r>
      <w:r>
        <w:rPr>
          <w:rFonts w:hint="eastAsia" w:ascii="宋体" w:hAnsi="宋体" w:eastAsia="宋体" w:cs="宋体"/>
          <w:szCs w:val="21"/>
        </w:rPr>
        <w:t>及各方拟承担的工作和责任。</w:t>
      </w:r>
      <w:r>
        <w:rPr>
          <w:rFonts w:hint="eastAsia" w:ascii="宋体" w:hAnsi="宋体" w:eastAsia="宋体" w:cs="宋体"/>
          <w:szCs w:val="21"/>
          <w:lang w:eastAsia="zh-TW"/>
        </w:rPr>
        <w:t>否则</w:t>
      </w:r>
      <w:r>
        <w:rPr>
          <w:rFonts w:hint="eastAsia" w:ascii="宋体" w:hAnsi="宋体" w:eastAsia="宋体" w:cs="宋体"/>
          <w:szCs w:val="21"/>
        </w:rPr>
        <w:t>，</w:t>
      </w:r>
      <w:r>
        <w:rPr>
          <w:rFonts w:hint="eastAsia" w:ascii="宋体" w:hAnsi="宋体" w:eastAsia="宋体" w:cs="宋体"/>
          <w:szCs w:val="21"/>
          <w:lang w:eastAsia="zh-TW"/>
        </w:rPr>
        <w:t>将导致其投标</w:t>
      </w:r>
      <w:r>
        <w:rPr>
          <w:rFonts w:hint="eastAsia" w:ascii="宋体" w:hAnsi="宋体" w:eastAsia="宋体" w:cs="宋体"/>
          <w:szCs w:val="21"/>
        </w:rPr>
        <w:t>无效。</w:t>
      </w:r>
    </w:p>
    <w:p w14:paraId="2EC520BB">
      <w:pPr>
        <w:numPr>
          <w:ilvl w:val="1"/>
          <w:numId w:val="12"/>
        </w:numPr>
        <w:autoSpaceDE w:val="0"/>
        <w:autoSpaceDN w:val="0"/>
        <w:adjustRightInd w:val="0"/>
        <w:snapToGrid w:val="0"/>
        <w:spacing w:line="360" w:lineRule="auto"/>
        <w:rPr>
          <w:rFonts w:hint="eastAsia" w:ascii="宋体" w:hAnsi="宋体" w:eastAsia="宋体" w:cs="宋体"/>
          <w:szCs w:val="21"/>
          <w:lang w:eastAsia="zh-TW"/>
        </w:rPr>
      </w:pPr>
      <w:r>
        <w:rPr>
          <w:rFonts w:hint="eastAsia" w:ascii="宋体" w:hAnsi="宋体" w:eastAsia="宋体" w:cs="宋体"/>
          <w:szCs w:val="21"/>
          <w:lang w:eastAsia="zh-TW"/>
        </w:rPr>
        <w:t>投标人提交的资格证明文件应证明其</w:t>
      </w:r>
      <w:r>
        <w:rPr>
          <w:rFonts w:hint="eastAsia" w:ascii="宋体" w:hAnsi="宋体" w:eastAsia="宋体" w:cs="宋体"/>
          <w:szCs w:val="21"/>
        </w:rPr>
        <w:t>满足本项目招标文件要求。</w:t>
      </w:r>
    </w:p>
    <w:p w14:paraId="309866EE">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证明货物的合格性和符合招标文件规定的文件</w:t>
      </w:r>
    </w:p>
    <w:p w14:paraId="3AE04B25">
      <w:pPr>
        <w:numPr>
          <w:ilvl w:val="1"/>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szCs w:val="21"/>
        </w:rPr>
        <w:t>投标人应提交证明文件，</w:t>
      </w:r>
      <w:r>
        <w:rPr>
          <w:rFonts w:hint="eastAsia" w:ascii="宋体" w:hAnsi="宋体" w:eastAsia="宋体" w:cs="宋体"/>
          <w:szCs w:val="21"/>
          <w:lang w:eastAsia="zh-TW"/>
        </w:rPr>
        <w:t>证明其拟供的合同项下的货物和服务的合格性符合招标文件规定。该证明文件作为投标文件的一部分。</w:t>
      </w:r>
    </w:p>
    <w:p w14:paraId="1ABEC5B9">
      <w:pPr>
        <w:numPr>
          <w:ilvl w:val="1"/>
          <w:numId w:val="12"/>
        </w:numPr>
        <w:autoSpaceDE w:val="0"/>
        <w:autoSpaceDN w:val="0"/>
        <w:adjustRightInd w:val="0"/>
        <w:snapToGrid w:val="0"/>
        <w:spacing w:line="360" w:lineRule="auto"/>
        <w:rPr>
          <w:rFonts w:hint="eastAsia" w:ascii="宋体" w:hAnsi="宋体" w:eastAsia="宋体" w:cs="宋体"/>
          <w:szCs w:val="21"/>
          <w:lang w:eastAsia="zh-TW"/>
        </w:rPr>
      </w:pPr>
      <w:r>
        <w:rPr>
          <w:rFonts w:hint="eastAsia" w:ascii="宋体" w:hAnsi="宋体" w:eastAsia="宋体" w:cs="宋体"/>
          <w:szCs w:val="21"/>
          <w:lang w:eastAsia="zh-TW"/>
        </w:rPr>
        <w:t>证明货物和服务与招标文件的要求相一致的文件，可以是文字资料、图纸和数据，它包括：</w:t>
      </w:r>
    </w:p>
    <w:p w14:paraId="1CAEBD26">
      <w:pPr>
        <w:snapToGrid w:val="0"/>
        <w:spacing w:line="360" w:lineRule="auto"/>
        <w:rPr>
          <w:rFonts w:hint="eastAsia" w:ascii="宋体" w:hAnsi="宋体" w:eastAsia="宋体" w:cs="宋体"/>
          <w:szCs w:val="21"/>
        </w:rPr>
      </w:pPr>
      <w:r>
        <w:rPr>
          <w:rFonts w:hint="eastAsia" w:ascii="宋体" w:hAnsi="宋体" w:eastAsia="宋体" w:cs="宋体"/>
          <w:szCs w:val="21"/>
        </w:rPr>
        <w:t>7.2.1.</w:t>
      </w:r>
      <w:r>
        <w:rPr>
          <w:rFonts w:hint="eastAsia" w:ascii="宋体" w:hAnsi="宋体" w:eastAsia="宋体" w:cs="宋体"/>
          <w:szCs w:val="21"/>
          <w:lang w:eastAsia="zh-TW"/>
        </w:rPr>
        <w:t>货物主要技术指标和性能的详细说明</w:t>
      </w:r>
      <w:r>
        <w:rPr>
          <w:rFonts w:hint="eastAsia" w:ascii="宋体" w:hAnsi="宋体" w:eastAsia="宋体" w:cs="宋体"/>
          <w:szCs w:val="21"/>
        </w:rPr>
        <w:t>；</w:t>
      </w:r>
    </w:p>
    <w:p w14:paraId="09B6FCCD">
      <w:pPr>
        <w:snapToGrid w:val="0"/>
        <w:spacing w:line="360" w:lineRule="auto"/>
        <w:rPr>
          <w:rFonts w:hint="eastAsia" w:ascii="宋体" w:hAnsi="宋体" w:eastAsia="宋体" w:cs="宋体"/>
          <w:szCs w:val="21"/>
        </w:rPr>
      </w:pPr>
      <w:r>
        <w:rPr>
          <w:rFonts w:hint="eastAsia" w:ascii="宋体" w:hAnsi="宋体" w:eastAsia="宋体" w:cs="宋体"/>
          <w:szCs w:val="21"/>
        </w:rPr>
        <w:t>7.2.2.</w:t>
      </w:r>
      <w:r>
        <w:rPr>
          <w:rFonts w:hint="eastAsia" w:ascii="宋体" w:hAnsi="宋体" w:eastAsia="宋体" w:cs="宋体"/>
          <w:szCs w:val="21"/>
          <w:lang w:eastAsia="zh-TW"/>
        </w:rPr>
        <w:t>货物正常使用所必须的备件和专用工具清单</w:t>
      </w:r>
      <w:r>
        <w:rPr>
          <w:rFonts w:hint="eastAsia" w:ascii="宋体" w:hAnsi="宋体" w:eastAsia="宋体" w:cs="宋体"/>
          <w:szCs w:val="21"/>
        </w:rPr>
        <w:t>，</w:t>
      </w:r>
      <w:r>
        <w:rPr>
          <w:rFonts w:hint="eastAsia" w:ascii="宋体" w:hAnsi="宋体" w:eastAsia="宋体" w:cs="宋体"/>
          <w:szCs w:val="21"/>
          <w:lang w:eastAsia="zh-TW"/>
        </w:rPr>
        <w:t>包括备件和专用工具的货源及现行价格</w:t>
      </w:r>
      <w:r>
        <w:rPr>
          <w:rFonts w:hint="eastAsia" w:ascii="宋体" w:hAnsi="宋体" w:eastAsia="宋体" w:cs="宋体"/>
          <w:szCs w:val="21"/>
        </w:rPr>
        <w:t>；</w:t>
      </w:r>
    </w:p>
    <w:p w14:paraId="1F4DDE97">
      <w:pPr>
        <w:snapToGrid w:val="0"/>
        <w:spacing w:line="360" w:lineRule="auto"/>
        <w:rPr>
          <w:rFonts w:hint="eastAsia" w:ascii="宋体" w:hAnsi="宋体" w:eastAsia="宋体" w:cs="宋体"/>
          <w:szCs w:val="21"/>
        </w:rPr>
      </w:pPr>
      <w:r>
        <w:rPr>
          <w:rFonts w:hint="eastAsia" w:ascii="宋体" w:hAnsi="宋体" w:eastAsia="宋体" w:cs="宋体"/>
          <w:szCs w:val="21"/>
        </w:rPr>
        <w:t>7.2.3.</w:t>
      </w:r>
      <w:r>
        <w:rPr>
          <w:rFonts w:hint="eastAsia" w:ascii="宋体" w:hAnsi="宋体" w:eastAsia="宋体" w:cs="宋体"/>
          <w:szCs w:val="21"/>
          <w:lang w:eastAsia="zh-TW"/>
        </w:rPr>
        <w:t>对照招标文件技术规格，逐条说明所提供货物和服务已对招标文件的技术规格作出了实质性的响应</w:t>
      </w:r>
      <w:r>
        <w:rPr>
          <w:rFonts w:hint="eastAsia" w:ascii="宋体" w:hAnsi="宋体" w:eastAsia="宋体" w:cs="宋体"/>
          <w:szCs w:val="21"/>
        </w:rPr>
        <w:t>，</w:t>
      </w:r>
      <w:r>
        <w:rPr>
          <w:rFonts w:hint="eastAsia" w:ascii="宋体" w:hAnsi="宋体" w:eastAsia="宋体" w:cs="宋体"/>
          <w:szCs w:val="21"/>
          <w:lang w:eastAsia="zh-TW"/>
        </w:rPr>
        <w:t>并申明与技术规格条文的偏差和例外。特别对有具体参数要求的指标</w:t>
      </w:r>
      <w:r>
        <w:rPr>
          <w:rFonts w:hint="eastAsia" w:ascii="宋体" w:hAnsi="宋体" w:eastAsia="宋体" w:cs="宋体"/>
          <w:szCs w:val="21"/>
        </w:rPr>
        <w:t>，</w:t>
      </w:r>
      <w:r>
        <w:rPr>
          <w:rFonts w:hint="eastAsia" w:ascii="宋体" w:hAnsi="宋体" w:eastAsia="宋体" w:cs="宋体"/>
          <w:szCs w:val="21"/>
          <w:lang w:eastAsia="zh-TW"/>
        </w:rPr>
        <w:t>投标人须提供所投设备的具体参数值。投标人在阐述时应注意招标文件的技术规格中指出的工艺、材料和设备的标准，投标人在投标中要实质上满足或超过招标文件的要求。</w:t>
      </w:r>
    </w:p>
    <w:p w14:paraId="346AED4C">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投标保证金</w:t>
      </w:r>
    </w:p>
    <w:p w14:paraId="0D8F8C10">
      <w:pPr>
        <w:numPr>
          <w:ilvl w:val="1"/>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szCs w:val="21"/>
        </w:rPr>
        <w:t>投标人应按</w:t>
      </w:r>
      <w:r>
        <w:rPr>
          <w:rFonts w:hint="eastAsia" w:ascii="宋体" w:hAnsi="宋体" w:eastAsia="宋体" w:cs="宋体"/>
          <w:b/>
          <w:szCs w:val="21"/>
        </w:rPr>
        <w:t xml:space="preserve">“第二章 </w:t>
      </w:r>
      <w:r>
        <w:rPr>
          <w:rFonts w:hint="eastAsia" w:ascii="宋体" w:hAnsi="宋体" w:eastAsia="宋体" w:cs="宋体"/>
          <w:b/>
          <w:bCs/>
          <w:kern w:val="0"/>
          <w:szCs w:val="21"/>
        </w:rPr>
        <w:t>对通用条款的补充内容</w:t>
      </w:r>
      <w:r>
        <w:rPr>
          <w:rFonts w:hint="eastAsia" w:ascii="宋体" w:hAnsi="宋体" w:eastAsia="宋体" w:cs="宋体"/>
          <w:b/>
          <w:szCs w:val="21"/>
        </w:rPr>
        <w:t>”</w:t>
      </w:r>
      <w:r>
        <w:rPr>
          <w:rFonts w:hint="eastAsia" w:ascii="宋体" w:hAnsi="宋体" w:eastAsia="宋体" w:cs="宋体"/>
          <w:szCs w:val="21"/>
        </w:rPr>
        <w:t>中规定的金额、期限缴纳</w:t>
      </w:r>
      <w:r>
        <w:rPr>
          <w:rFonts w:hint="eastAsia" w:ascii="宋体" w:hAnsi="宋体" w:eastAsia="宋体" w:cs="宋体"/>
          <w:szCs w:val="21"/>
          <w:lang w:eastAsia="zh-TW"/>
        </w:rPr>
        <w:t>投标保证金</w:t>
      </w:r>
      <w:r>
        <w:rPr>
          <w:rFonts w:hint="eastAsia" w:ascii="宋体" w:hAnsi="宋体" w:eastAsia="宋体" w:cs="宋体"/>
          <w:szCs w:val="21"/>
        </w:rPr>
        <w:t>，</w:t>
      </w:r>
      <w:r>
        <w:rPr>
          <w:rFonts w:hint="eastAsia" w:ascii="宋体" w:hAnsi="宋体" w:eastAsia="宋体" w:cs="宋体"/>
          <w:szCs w:val="21"/>
          <w:lang w:eastAsia="zh-TW"/>
        </w:rPr>
        <w:t>并作为其投标</w:t>
      </w:r>
      <w:r>
        <w:rPr>
          <w:rFonts w:hint="eastAsia" w:ascii="宋体" w:hAnsi="宋体" w:eastAsia="宋体" w:cs="宋体"/>
          <w:szCs w:val="21"/>
        </w:rPr>
        <w:t>文件的组成</w:t>
      </w:r>
      <w:r>
        <w:rPr>
          <w:rFonts w:hint="eastAsia" w:ascii="宋体" w:hAnsi="宋体" w:eastAsia="宋体" w:cs="宋体"/>
          <w:szCs w:val="21"/>
          <w:lang w:eastAsia="zh-TW"/>
        </w:rPr>
        <w:t>部分。</w:t>
      </w:r>
      <w:r>
        <w:rPr>
          <w:rFonts w:hint="eastAsia" w:ascii="宋体" w:hAnsi="宋体" w:eastAsia="宋体" w:cs="宋体"/>
          <w:szCs w:val="21"/>
        </w:rPr>
        <w:t>如联合体投标的，可以由联合体中的一方或者共同提交投标保证金，以一方名义提交投标保证金的，对联合体各方均具有约束力。</w:t>
      </w:r>
    </w:p>
    <w:p w14:paraId="218DFB09">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投标人撤回已提交的投标文件，应当在投标截止时间前书面通知招标人或招标代理机构。招标人或招标代理机构已收取投标保证金的，应当自收到投标人书面撤回通知之日起5日内退还。</w:t>
      </w:r>
    </w:p>
    <w:p w14:paraId="7596A82C">
      <w:pPr>
        <w:numPr>
          <w:ilvl w:val="1"/>
          <w:numId w:val="12"/>
        </w:numPr>
        <w:autoSpaceDE w:val="0"/>
        <w:autoSpaceDN w:val="0"/>
        <w:adjustRightInd w:val="0"/>
        <w:snapToGrid w:val="0"/>
        <w:spacing w:line="360" w:lineRule="auto"/>
        <w:rPr>
          <w:rFonts w:hint="eastAsia" w:ascii="宋体" w:hAnsi="宋体" w:eastAsia="宋体" w:cs="宋体"/>
          <w:szCs w:val="21"/>
          <w:lang w:eastAsia="zh-TW"/>
        </w:rPr>
      </w:pPr>
      <w:r>
        <w:rPr>
          <w:rFonts w:hint="eastAsia" w:ascii="宋体" w:hAnsi="宋体" w:eastAsia="宋体" w:cs="宋体"/>
          <w:szCs w:val="21"/>
          <w:lang w:eastAsia="zh-TW"/>
        </w:rPr>
        <w:t>在招标人与中标人签订书面合同后 5 日内，</w:t>
      </w:r>
      <w:r>
        <w:rPr>
          <w:rFonts w:hint="eastAsia" w:ascii="宋体" w:hAnsi="宋体" w:eastAsia="宋体" w:cs="宋体"/>
          <w:szCs w:val="21"/>
        </w:rPr>
        <w:t>招标代理机构</w:t>
      </w:r>
      <w:r>
        <w:rPr>
          <w:rFonts w:hint="eastAsia" w:ascii="宋体" w:hAnsi="宋体" w:eastAsia="宋体" w:cs="宋体"/>
          <w:szCs w:val="21"/>
          <w:lang w:eastAsia="zh-TW"/>
        </w:rPr>
        <w:t>将向</w:t>
      </w:r>
      <w:r>
        <w:rPr>
          <w:rFonts w:hint="eastAsia" w:ascii="宋体" w:hAnsi="宋体" w:eastAsia="宋体" w:cs="宋体"/>
          <w:szCs w:val="21"/>
        </w:rPr>
        <w:t>中标人和</w:t>
      </w:r>
      <w:r>
        <w:rPr>
          <w:rFonts w:hint="eastAsia" w:ascii="宋体" w:hAnsi="宋体" w:eastAsia="宋体" w:cs="宋体"/>
          <w:szCs w:val="21"/>
          <w:lang w:eastAsia="zh-TW"/>
        </w:rPr>
        <w:t>未中标的投标人退还投标保证金。</w:t>
      </w:r>
    </w:p>
    <w:p w14:paraId="311405D6">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lang w:eastAsia="zh-TW"/>
        </w:rPr>
        <w:t>下列任一情况发生时</w:t>
      </w:r>
      <w:r>
        <w:rPr>
          <w:rFonts w:hint="eastAsia" w:ascii="宋体" w:hAnsi="宋体" w:eastAsia="宋体" w:cs="宋体"/>
          <w:szCs w:val="21"/>
        </w:rPr>
        <w:t>，</w:t>
      </w:r>
      <w:r>
        <w:rPr>
          <w:rFonts w:hint="eastAsia" w:ascii="宋体" w:hAnsi="宋体" w:eastAsia="宋体" w:cs="宋体"/>
          <w:szCs w:val="21"/>
          <w:lang w:eastAsia="zh-TW"/>
        </w:rPr>
        <w:t>投标保证金将</w:t>
      </w:r>
      <w:r>
        <w:rPr>
          <w:rFonts w:hint="eastAsia" w:ascii="宋体" w:hAnsi="宋体" w:eastAsia="宋体" w:cs="宋体"/>
          <w:szCs w:val="21"/>
        </w:rPr>
        <w:t>不予退还：</w:t>
      </w:r>
    </w:p>
    <w:p w14:paraId="45CC6684">
      <w:pPr>
        <w:snapToGrid w:val="0"/>
        <w:spacing w:line="360" w:lineRule="auto"/>
        <w:rPr>
          <w:rFonts w:hint="eastAsia" w:ascii="宋体" w:hAnsi="宋体" w:eastAsia="宋体" w:cs="宋体"/>
          <w:szCs w:val="21"/>
          <w:lang w:eastAsia="zh-TW"/>
        </w:rPr>
      </w:pPr>
      <w:r>
        <w:rPr>
          <w:rFonts w:hint="eastAsia" w:ascii="宋体" w:hAnsi="宋体" w:eastAsia="宋体" w:cs="宋体"/>
          <w:szCs w:val="21"/>
        </w:rPr>
        <w:t>8.4.1.</w:t>
      </w:r>
      <w:r>
        <w:rPr>
          <w:rFonts w:hint="eastAsia" w:ascii="宋体" w:hAnsi="宋体" w:eastAsia="宋体" w:cs="宋体"/>
          <w:szCs w:val="21"/>
          <w:lang w:eastAsia="zh-TW"/>
        </w:rPr>
        <w:t>投标人在投标截止后撤销投标文件的；</w:t>
      </w:r>
    </w:p>
    <w:p w14:paraId="1BA95A43">
      <w:pPr>
        <w:snapToGrid w:val="0"/>
        <w:spacing w:line="360" w:lineRule="auto"/>
        <w:rPr>
          <w:rFonts w:hint="eastAsia" w:ascii="宋体" w:hAnsi="宋体" w:eastAsia="宋体" w:cs="宋体"/>
          <w:szCs w:val="21"/>
          <w:lang w:eastAsia="zh-TW"/>
        </w:rPr>
      </w:pPr>
      <w:r>
        <w:rPr>
          <w:rFonts w:hint="eastAsia" w:ascii="宋体" w:hAnsi="宋体" w:eastAsia="宋体" w:cs="宋体"/>
          <w:szCs w:val="21"/>
        </w:rPr>
        <w:t>8.4.2.中标后中标人放弃中标资格的；</w:t>
      </w:r>
    </w:p>
    <w:p w14:paraId="32C05B9F">
      <w:pPr>
        <w:snapToGrid w:val="0"/>
        <w:spacing w:line="360" w:lineRule="auto"/>
        <w:rPr>
          <w:rFonts w:hint="eastAsia" w:ascii="宋体" w:hAnsi="宋体" w:eastAsia="宋体" w:cs="宋体"/>
          <w:szCs w:val="21"/>
          <w:lang w:eastAsia="zh-TW"/>
        </w:rPr>
      </w:pPr>
      <w:r>
        <w:rPr>
          <w:rFonts w:hint="eastAsia" w:ascii="宋体" w:hAnsi="宋体" w:eastAsia="宋体" w:cs="宋体"/>
          <w:szCs w:val="21"/>
        </w:rPr>
        <w:t>8.4.3.中标</w:t>
      </w:r>
      <w:r>
        <w:rPr>
          <w:rFonts w:hint="eastAsia" w:ascii="宋体" w:hAnsi="宋体" w:eastAsia="宋体" w:cs="宋体"/>
          <w:szCs w:val="21"/>
          <w:lang w:eastAsia="zh-TW"/>
        </w:rPr>
        <w:t>人未按招标文件要求递交履约保证金的；</w:t>
      </w:r>
    </w:p>
    <w:p w14:paraId="2B334F93">
      <w:pPr>
        <w:snapToGrid w:val="0"/>
        <w:spacing w:line="360" w:lineRule="auto"/>
        <w:rPr>
          <w:rFonts w:hint="eastAsia" w:ascii="宋体" w:hAnsi="宋体" w:eastAsia="宋体" w:cs="宋体"/>
          <w:szCs w:val="21"/>
          <w:lang w:eastAsia="zh-TW"/>
        </w:rPr>
      </w:pPr>
      <w:r>
        <w:rPr>
          <w:rFonts w:hint="eastAsia" w:ascii="宋体" w:hAnsi="宋体" w:eastAsia="宋体" w:cs="宋体"/>
          <w:szCs w:val="21"/>
        </w:rPr>
        <w:t>8.4.4.投</w:t>
      </w:r>
      <w:r>
        <w:rPr>
          <w:rFonts w:hint="eastAsia" w:ascii="宋体" w:hAnsi="宋体" w:eastAsia="宋体" w:cs="宋体"/>
          <w:szCs w:val="21"/>
          <w:lang w:eastAsia="zh-TW"/>
        </w:rPr>
        <w:t>标人在招标文件中提供虚假材料的；</w:t>
      </w:r>
    </w:p>
    <w:p w14:paraId="468B76E3">
      <w:pPr>
        <w:snapToGrid w:val="0"/>
        <w:spacing w:line="360" w:lineRule="auto"/>
        <w:rPr>
          <w:rFonts w:hint="eastAsia" w:ascii="宋体" w:hAnsi="宋体" w:eastAsia="宋体" w:cs="宋体"/>
          <w:szCs w:val="21"/>
          <w:lang w:eastAsia="zh-TW"/>
        </w:rPr>
      </w:pPr>
      <w:r>
        <w:rPr>
          <w:rFonts w:hint="eastAsia" w:ascii="宋体" w:hAnsi="宋体" w:eastAsia="宋体" w:cs="宋体"/>
          <w:szCs w:val="21"/>
        </w:rPr>
        <w:t>8.4.5.</w:t>
      </w:r>
      <w:r>
        <w:rPr>
          <w:rFonts w:hint="eastAsia" w:ascii="宋体" w:hAnsi="宋体" w:eastAsia="宋体" w:cs="宋体"/>
          <w:szCs w:val="21"/>
          <w:lang w:eastAsia="zh-TW"/>
        </w:rPr>
        <w:t>除因不可抗力或招标文件认可的情形以外，中标人不与招标人签订合同的</w:t>
      </w:r>
      <w:r>
        <w:rPr>
          <w:rFonts w:hint="eastAsia" w:ascii="宋体" w:hAnsi="宋体" w:eastAsia="宋体" w:cs="宋体"/>
          <w:szCs w:val="21"/>
        </w:rPr>
        <w:t>或在签订合同时向招标人提出附加条件的</w:t>
      </w:r>
      <w:r>
        <w:rPr>
          <w:rFonts w:hint="eastAsia" w:ascii="宋体" w:hAnsi="宋体" w:eastAsia="宋体" w:cs="宋体"/>
          <w:szCs w:val="21"/>
          <w:lang w:eastAsia="zh-TW"/>
        </w:rPr>
        <w:t>；</w:t>
      </w:r>
    </w:p>
    <w:p w14:paraId="574D0DE3">
      <w:pPr>
        <w:snapToGrid w:val="0"/>
        <w:spacing w:line="360" w:lineRule="auto"/>
        <w:rPr>
          <w:rFonts w:hint="eastAsia" w:ascii="宋体" w:hAnsi="宋体" w:eastAsia="宋体" w:cs="宋体"/>
          <w:szCs w:val="21"/>
          <w:lang w:eastAsia="zh-TW"/>
        </w:rPr>
      </w:pPr>
      <w:r>
        <w:rPr>
          <w:rFonts w:hint="eastAsia" w:ascii="宋体" w:hAnsi="宋体" w:eastAsia="宋体" w:cs="宋体"/>
          <w:szCs w:val="21"/>
        </w:rPr>
        <w:t>8.4.6.属于投标人相互串通投标的情形</w:t>
      </w:r>
      <w:r>
        <w:rPr>
          <w:rFonts w:hint="eastAsia" w:ascii="宋体" w:hAnsi="宋体" w:eastAsia="宋体" w:cs="宋体"/>
          <w:szCs w:val="21"/>
          <w:lang w:eastAsia="zh-TW"/>
        </w:rPr>
        <w:t>；</w:t>
      </w:r>
    </w:p>
    <w:p w14:paraId="15D5D7D3">
      <w:pPr>
        <w:snapToGrid w:val="0"/>
        <w:spacing w:line="360" w:lineRule="auto"/>
        <w:rPr>
          <w:rFonts w:hint="eastAsia" w:ascii="宋体" w:hAnsi="宋体" w:eastAsia="宋体" w:cs="宋体"/>
          <w:szCs w:val="21"/>
        </w:rPr>
      </w:pPr>
      <w:r>
        <w:rPr>
          <w:rFonts w:hint="eastAsia" w:ascii="宋体" w:hAnsi="宋体" w:eastAsia="宋体" w:cs="宋体"/>
          <w:szCs w:val="21"/>
        </w:rPr>
        <w:t>8.4.7.</w:t>
      </w:r>
      <w:r>
        <w:rPr>
          <w:rFonts w:hint="eastAsia" w:ascii="宋体" w:hAnsi="宋体" w:eastAsia="宋体" w:cs="宋体"/>
          <w:szCs w:val="21"/>
          <w:lang w:eastAsia="zh-TW"/>
        </w:rPr>
        <w:t>中标人未按本须知规定</w:t>
      </w:r>
      <w:r>
        <w:rPr>
          <w:rFonts w:hint="eastAsia" w:ascii="宋体" w:hAnsi="宋体" w:eastAsia="宋体" w:cs="宋体"/>
          <w:szCs w:val="21"/>
        </w:rPr>
        <w:t>缴</w:t>
      </w:r>
      <w:r>
        <w:rPr>
          <w:rFonts w:hint="eastAsia" w:ascii="宋体" w:hAnsi="宋体" w:eastAsia="宋体" w:cs="宋体"/>
          <w:szCs w:val="21"/>
          <w:lang w:eastAsia="zh-TW"/>
        </w:rPr>
        <w:t>纳招标代理服务费。</w:t>
      </w:r>
    </w:p>
    <w:p w14:paraId="2C953A14">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投标有效期</w:t>
      </w:r>
    </w:p>
    <w:p w14:paraId="549EAF07">
      <w:pPr>
        <w:numPr>
          <w:ilvl w:val="1"/>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szCs w:val="21"/>
          <w:lang w:eastAsia="zh-TW"/>
        </w:rPr>
        <w:t>投标应自</w:t>
      </w:r>
      <w:r>
        <w:rPr>
          <w:rFonts w:hint="eastAsia" w:ascii="宋体" w:hAnsi="宋体" w:eastAsia="宋体" w:cs="宋体"/>
          <w:b/>
          <w:szCs w:val="21"/>
        </w:rPr>
        <w:t>“第二章  对通用条款的补充内容”</w:t>
      </w:r>
      <w:r>
        <w:rPr>
          <w:rFonts w:hint="eastAsia" w:ascii="宋体" w:hAnsi="宋体" w:eastAsia="宋体" w:cs="宋体"/>
          <w:szCs w:val="21"/>
          <w:lang w:eastAsia="zh-TW"/>
        </w:rPr>
        <w:t>中规定的</w:t>
      </w:r>
      <w:r>
        <w:rPr>
          <w:rFonts w:hint="eastAsia" w:ascii="宋体" w:hAnsi="宋体" w:eastAsia="宋体" w:cs="宋体"/>
          <w:szCs w:val="21"/>
        </w:rPr>
        <w:t>投标文件递交截止时间</w:t>
      </w:r>
      <w:r>
        <w:rPr>
          <w:rFonts w:hint="eastAsia" w:ascii="宋体" w:hAnsi="宋体" w:eastAsia="宋体" w:cs="宋体"/>
          <w:szCs w:val="21"/>
          <w:lang w:eastAsia="zh-TW"/>
        </w:rPr>
        <w:t>起</w:t>
      </w:r>
      <w:r>
        <w:rPr>
          <w:rFonts w:hint="eastAsia" w:ascii="宋体" w:hAnsi="宋体" w:eastAsia="宋体" w:cs="宋体"/>
          <w:szCs w:val="21"/>
        </w:rPr>
        <w:t>，</w:t>
      </w:r>
      <w:r>
        <w:rPr>
          <w:rFonts w:hint="eastAsia" w:ascii="宋体" w:hAnsi="宋体" w:eastAsia="宋体" w:cs="宋体"/>
          <w:szCs w:val="21"/>
          <w:lang w:eastAsia="zh-TW"/>
        </w:rPr>
        <w:t>并在</w:t>
      </w:r>
      <w:r>
        <w:rPr>
          <w:rFonts w:hint="eastAsia" w:ascii="宋体" w:hAnsi="宋体" w:eastAsia="宋体" w:cs="宋体"/>
          <w:b/>
          <w:szCs w:val="21"/>
        </w:rPr>
        <w:t>“ 对通用条款的补充内容”</w:t>
      </w:r>
      <w:r>
        <w:rPr>
          <w:rFonts w:hint="eastAsia" w:ascii="宋体" w:hAnsi="宋体" w:eastAsia="宋体" w:cs="宋体"/>
          <w:szCs w:val="21"/>
          <w:lang w:eastAsia="zh-TW"/>
        </w:rPr>
        <w:t>中所述期限内保持有效。投标有效期不足的投标将被视为非实质性响应</w:t>
      </w:r>
      <w:r>
        <w:rPr>
          <w:rFonts w:hint="eastAsia" w:ascii="宋体" w:hAnsi="宋体" w:eastAsia="宋体" w:cs="宋体"/>
          <w:szCs w:val="21"/>
        </w:rPr>
        <w:t>，视为投标无效</w:t>
      </w:r>
      <w:r>
        <w:rPr>
          <w:rFonts w:hint="eastAsia" w:ascii="宋体" w:hAnsi="宋体" w:eastAsia="宋体" w:cs="宋体"/>
          <w:szCs w:val="21"/>
          <w:lang w:eastAsia="zh-TW"/>
        </w:rPr>
        <w:t>。</w:t>
      </w:r>
    </w:p>
    <w:p w14:paraId="1E881457">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lang w:eastAsia="zh-TW"/>
        </w:rPr>
        <w:t>特殊情况下</w:t>
      </w:r>
      <w:r>
        <w:rPr>
          <w:rFonts w:hint="eastAsia" w:ascii="宋体" w:hAnsi="宋体" w:eastAsia="宋体" w:cs="宋体"/>
          <w:szCs w:val="21"/>
        </w:rPr>
        <w:t>，</w:t>
      </w:r>
      <w:r>
        <w:rPr>
          <w:rFonts w:hint="eastAsia" w:ascii="宋体" w:hAnsi="宋体" w:eastAsia="宋体" w:cs="宋体"/>
          <w:szCs w:val="21"/>
          <w:lang w:eastAsia="zh-TW"/>
        </w:rPr>
        <w:t>在原投标有效期截止之前</w:t>
      </w:r>
      <w:r>
        <w:rPr>
          <w:rFonts w:hint="eastAsia" w:ascii="宋体" w:hAnsi="宋体" w:eastAsia="宋体" w:cs="宋体"/>
          <w:szCs w:val="21"/>
        </w:rPr>
        <w:t>，</w:t>
      </w:r>
      <w:r>
        <w:rPr>
          <w:rFonts w:hint="eastAsia" w:ascii="宋体" w:hAnsi="宋体" w:eastAsia="宋体" w:cs="宋体"/>
          <w:szCs w:val="21"/>
          <w:lang w:eastAsia="zh-TW"/>
        </w:rPr>
        <w:t>招标代理机构可要求投标人延长投标有效期。这种要求与答复均应以书面形式提交。投标人可拒绝招标代理机构的这种要求</w:t>
      </w:r>
      <w:r>
        <w:rPr>
          <w:rFonts w:hint="eastAsia" w:ascii="宋体" w:hAnsi="宋体" w:eastAsia="宋体" w:cs="宋体"/>
          <w:szCs w:val="21"/>
        </w:rPr>
        <w:t>，</w:t>
      </w:r>
      <w:r>
        <w:rPr>
          <w:rFonts w:hint="eastAsia" w:ascii="宋体" w:hAnsi="宋体" w:eastAsia="宋体" w:cs="宋体"/>
          <w:szCs w:val="21"/>
          <w:lang w:eastAsia="zh-TW"/>
        </w:rPr>
        <w:t>其投标保证金将</w:t>
      </w:r>
      <w:r>
        <w:rPr>
          <w:rFonts w:hint="eastAsia" w:ascii="宋体" w:hAnsi="宋体" w:eastAsia="宋体" w:cs="宋体"/>
          <w:szCs w:val="21"/>
        </w:rPr>
        <w:t>予以退还，</w:t>
      </w:r>
      <w:r>
        <w:rPr>
          <w:rFonts w:hint="eastAsia" w:ascii="宋体" w:hAnsi="宋体" w:eastAsia="宋体" w:cs="宋体"/>
          <w:szCs w:val="21"/>
          <w:lang w:eastAsia="zh-TW"/>
        </w:rPr>
        <w:t>但其投标在原投标有效期期满后将不再有效。同意延长投标有效期的投标人将不会被要求和允许修正其投标</w:t>
      </w:r>
      <w:r>
        <w:rPr>
          <w:rFonts w:hint="eastAsia" w:ascii="宋体" w:hAnsi="宋体" w:eastAsia="宋体" w:cs="宋体"/>
          <w:szCs w:val="21"/>
        </w:rPr>
        <w:t>，</w:t>
      </w:r>
      <w:r>
        <w:rPr>
          <w:rFonts w:hint="eastAsia" w:ascii="宋体" w:hAnsi="宋体" w:eastAsia="宋体" w:cs="宋体"/>
          <w:szCs w:val="21"/>
          <w:lang w:eastAsia="zh-TW"/>
        </w:rPr>
        <w:t>而只会被要求相应地延长其投标保证金的有效期。在这种情况下</w:t>
      </w:r>
      <w:r>
        <w:rPr>
          <w:rFonts w:hint="eastAsia" w:ascii="宋体" w:hAnsi="宋体" w:eastAsia="宋体" w:cs="宋体"/>
          <w:szCs w:val="21"/>
        </w:rPr>
        <w:t>，</w:t>
      </w:r>
      <w:r>
        <w:rPr>
          <w:rFonts w:hint="eastAsia" w:ascii="宋体" w:hAnsi="宋体" w:eastAsia="宋体" w:cs="宋体"/>
          <w:szCs w:val="21"/>
          <w:lang w:eastAsia="zh-TW"/>
        </w:rPr>
        <w:t>本须知有关投标保证金的退还和没收的规定将在延长了的有效期内继续有效。</w:t>
      </w:r>
    </w:p>
    <w:p w14:paraId="55DC0043">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投标文件的式样和签署</w:t>
      </w:r>
    </w:p>
    <w:p w14:paraId="448F3850">
      <w:pPr>
        <w:numPr>
          <w:ilvl w:val="1"/>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szCs w:val="21"/>
          <w:lang w:eastAsia="zh-TW"/>
        </w:rPr>
        <w:t>投标文件的式样：投标人应准备一份投标文件正本</w:t>
      </w:r>
      <w:r>
        <w:rPr>
          <w:rFonts w:hint="eastAsia" w:ascii="宋体" w:hAnsi="宋体" w:eastAsia="宋体" w:cs="宋体"/>
          <w:szCs w:val="21"/>
        </w:rPr>
        <w:t>、电子文件</w:t>
      </w:r>
      <w:r>
        <w:rPr>
          <w:rFonts w:hint="eastAsia" w:ascii="宋体" w:hAnsi="宋体" w:eastAsia="宋体" w:cs="宋体"/>
          <w:szCs w:val="21"/>
          <w:lang w:eastAsia="zh-TW"/>
        </w:rPr>
        <w:t>和</w:t>
      </w:r>
      <w:r>
        <w:rPr>
          <w:rFonts w:hint="eastAsia" w:ascii="宋体" w:hAnsi="宋体" w:eastAsia="宋体" w:cs="宋体"/>
          <w:b/>
          <w:szCs w:val="21"/>
        </w:rPr>
        <w:t>“第二章  对通用条款的补充内容”</w:t>
      </w:r>
      <w:r>
        <w:rPr>
          <w:rFonts w:hint="eastAsia" w:ascii="宋体" w:hAnsi="宋体" w:eastAsia="宋体" w:cs="宋体"/>
          <w:szCs w:val="21"/>
          <w:lang w:eastAsia="zh-TW"/>
        </w:rPr>
        <w:t>中规定数目的副本</w:t>
      </w:r>
      <w:r>
        <w:rPr>
          <w:rFonts w:hint="eastAsia" w:ascii="宋体" w:hAnsi="宋体" w:eastAsia="宋体" w:cs="宋体"/>
          <w:szCs w:val="21"/>
        </w:rPr>
        <w:t>，</w:t>
      </w:r>
      <w:r>
        <w:rPr>
          <w:rFonts w:hint="eastAsia" w:ascii="宋体" w:hAnsi="宋体" w:eastAsia="宋体" w:cs="宋体"/>
          <w:szCs w:val="21"/>
          <w:lang w:eastAsia="zh-TW"/>
        </w:rPr>
        <w:t>投标文件的副本可采用正本复印，与正本具有同等法律效力。每套投标文件须清楚地标明“正本”或</w:t>
      </w:r>
      <w:r>
        <w:rPr>
          <w:rFonts w:hint="eastAsia" w:ascii="宋体" w:hAnsi="宋体" w:eastAsia="宋体" w:cs="宋体"/>
          <w:szCs w:val="21"/>
        </w:rPr>
        <w:t>“副</w:t>
      </w:r>
      <w:r>
        <w:rPr>
          <w:rFonts w:hint="eastAsia" w:ascii="宋体" w:hAnsi="宋体" w:eastAsia="宋体" w:cs="宋体"/>
          <w:szCs w:val="21"/>
          <w:lang w:eastAsia="zh-TW"/>
        </w:rPr>
        <w:t>本</w:t>
      </w:r>
      <w:r>
        <w:rPr>
          <w:rFonts w:hint="eastAsia" w:ascii="宋体" w:hAnsi="宋体" w:eastAsia="宋体" w:cs="宋体"/>
          <w:szCs w:val="21"/>
        </w:rPr>
        <w:t>”</w:t>
      </w:r>
      <w:r>
        <w:rPr>
          <w:rFonts w:hint="eastAsia" w:ascii="宋体" w:hAnsi="宋体" w:eastAsia="宋体" w:cs="宋体"/>
          <w:szCs w:val="21"/>
          <w:lang w:eastAsia="zh-TW"/>
        </w:rPr>
        <w:t>。若副本与正本不符</w:t>
      </w:r>
      <w:r>
        <w:rPr>
          <w:rFonts w:hint="eastAsia" w:ascii="宋体" w:hAnsi="宋体" w:eastAsia="宋体" w:cs="宋体"/>
          <w:szCs w:val="21"/>
        </w:rPr>
        <w:t>，</w:t>
      </w:r>
      <w:r>
        <w:rPr>
          <w:rFonts w:hint="eastAsia" w:ascii="宋体" w:hAnsi="宋体" w:eastAsia="宋体" w:cs="宋体"/>
          <w:szCs w:val="21"/>
          <w:lang w:eastAsia="zh-TW"/>
        </w:rPr>
        <w:t>以正本为准。</w:t>
      </w:r>
    </w:p>
    <w:p w14:paraId="78D083ED">
      <w:pPr>
        <w:numPr>
          <w:ilvl w:val="1"/>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szCs w:val="21"/>
          <w:lang w:eastAsia="zh-TW"/>
        </w:rPr>
        <w:t>电子文件：是指将按招标文件要求签署、盖章后的投标文件扫描成PDF格式后拷贝至无病毒无密码的U盘或光盘。电子文件与正本投标文件一同密封</w:t>
      </w:r>
      <w:r>
        <w:rPr>
          <w:rFonts w:hint="eastAsia" w:ascii="宋体" w:hAnsi="宋体" w:eastAsia="宋体" w:cs="宋体"/>
          <w:szCs w:val="21"/>
        </w:rPr>
        <w:t>。若电子文件与正本不符，以正本为准。</w:t>
      </w:r>
    </w:p>
    <w:p w14:paraId="18CD488F">
      <w:pPr>
        <w:numPr>
          <w:ilvl w:val="1"/>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szCs w:val="21"/>
          <w:lang w:eastAsia="zh-TW"/>
        </w:rPr>
        <w:t>投标文件的签署：</w:t>
      </w:r>
    </w:p>
    <w:p w14:paraId="709031D7">
      <w:pPr>
        <w:snapToGrid w:val="0"/>
        <w:spacing w:line="360" w:lineRule="auto"/>
        <w:rPr>
          <w:rFonts w:hint="eastAsia" w:ascii="宋体" w:hAnsi="宋体" w:eastAsia="宋体" w:cs="宋体"/>
          <w:szCs w:val="21"/>
          <w:lang w:eastAsia="zh-TW"/>
        </w:rPr>
      </w:pPr>
      <w:r>
        <w:rPr>
          <w:rFonts w:hint="eastAsia" w:ascii="宋体" w:hAnsi="宋体" w:eastAsia="宋体" w:cs="宋体"/>
          <w:szCs w:val="21"/>
        </w:rPr>
        <w:t>10.3.1.</w:t>
      </w:r>
      <w:r>
        <w:rPr>
          <w:rFonts w:hint="eastAsia" w:ascii="宋体" w:hAnsi="宋体" w:eastAsia="宋体" w:cs="宋体"/>
          <w:szCs w:val="21"/>
          <w:lang w:eastAsia="zh-TW"/>
        </w:rPr>
        <w:t>投标文件的正本需打印或用不褪色墨水书写，招标文件要求签名的由法定代表人或经其正式授权的代表签字</w:t>
      </w:r>
      <w:r>
        <w:rPr>
          <w:rFonts w:hint="eastAsia" w:ascii="宋体" w:hAnsi="宋体" w:eastAsia="宋体" w:cs="宋体"/>
          <w:szCs w:val="21"/>
        </w:rPr>
        <w:t>或盖章</w:t>
      </w:r>
      <w:r>
        <w:rPr>
          <w:rFonts w:hint="eastAsia" w:ascii="宋体" w:hAnsi="宋体" w:eastAsia="宋体" w:cs="宋体"/>
          <w:szCs w:val="21"/>
          <w:lang w:eastAsia="zh-TW"/>
        </w:rPr>
        <w:t>，以及招标文件中明示盖公章</w:t>
      </w:r>
      <w:r>
        <w:rPr>
          <w:rFonts w:hint="eastAsia" w:ascii="宋体" w:hAnsi="宋体" w:eastAsia="宋体" w:cs="宋体"/>
          <w:szCs w:val="21"/>
        </w:rPr>
        <w:t>处</w:t>
      </w:r>
      <w:r>
        <w:rPr>
          <w:rFonts w:hint="eastAsia" w:ascii="宋体" w:hAnsi="宋体" w:eastAsia="宋体" w:cs="宋体"/>
          <w:szCs w:val="21"/>
          <w:lang w:eastAsia="zh-TW"/>
        </w:rPr>
        <w:t>及</w:t>
      </w:r>
      <w:r>
        <w:rPr>
          <w:rFonts w:hint="eastAsia" w:ascii="宋体" w:hAnsi="宋体" w:eastAsia="宋体" w:cs="宋体"/>
          <w:szCs w:val="21"/>
        </w:rPr>
        <w:t>要求</w:t>
      </w:r>
      <w:r>
        <w:rPr>
          <w:rFonts w:hint="eastAsia" w:ascii="宋体" w:hAnsi="宋体" w:eastAsia="宋体" w:cs="宋体"/>
          <w:szCs w:val="21"/>
          <w:lang w:eastAsia="zh-TW"/>
        </w:rPr>
        <w:t>提供的证明材料应盖投标人公章。授权代表须将以书面形式出具的《法定代表人授权委托书》附在投标文件中。</w:t>
      </w:r>
    </w:p>
    <w:p w14:paraId="18643D7F">
      <w:pPr>
        <w:snapToGrid w:val="0"/>
        <w:spacing w:line="360" w:lineRule="auto"/>
        <w:rPr>
          <w:rFonts w:hint="eastAsia" w:ascii="宋体" w:hAnsi="宋体" w:eastAsia="宋体" w:cs="宋体"/>
          <w:szCs w:val="21"/>
          <w:lang w:eastAsia="zh-TW"/>
        </w:rPr>
      </w:pPr>
      <w:r>
        <w:rPr>
          <w:rFonts w:hint="eastAsia" w:ascii="宋体" w:hAnsi="宋体" w:eastAsia="宋体" w:cs="宋体"/>
          <w:szCs w:val="21"/>
        </w:rPr>
        <w:t>10.3.2.</w:t>
      </w:r>
      <w:r>
        <w:rPr>
          <w:rFonts w:hint="eastAsia" w:ascii="宋体" w:hAnsi="宋体" w:eastAsia="宋体" w:cs="宋体"/>
          <w:szCs w:val="21"/>
          <w:lang w:eastAsia="zh-TW"/>
        </w:rPr>
        <w:t>投标文件中的任何重要的插字、涂改和增删，必须由法定代表人或经其正式授权的代表在旁边签章或签字</w:t>
      </w:r>
      <w:r>
        <w:rPr>
          <w:rFonts w:hint="eastAsia" w:ascii="宋体" w:hAnsi="宋体" w:eastAsia="宋体" w:cs="宋体"/>
          <w:szCs w:val="21"/>
        </w:rPr>
        <w:t>或盖投标人公章</w:t>
      </w:r>
      <w:r>
        <w:rPr>
          <w:rFonts w:hint="eastAsia" w:ascii="宋体" w:hAnsi="宋体" w:eastAsia="宋体" w:cs="宋体"/>
          <w:szCs w:val="21"/>
          <w:lang w:eastAsia="zh-TW"/>
        </w:rPr>
        <w:t>才有效。</w:t>
      </w:r>
    </w:p>
    <w:p w14:paraId="30C4B3B6">
      <w:pPr>
        <w:snapToGrid w:val="0"/>
        <w:spacing w:line="360" w:lineRule="auto"/>
        <w:rPr>
          <w:rFonts w:hint="eastAsia" w:ascii="宋体" w:hAnsi="宋体" w:eastAsia="宋体" w:cs="宋体"/>
          <w:szCs w:val="21"/>
        </w:rPr>
      </w:pPr>
    </w:p>
    <w:p w14:paraId="62A7A0D4">
      <w:pPr>
        <w:autoSpaceDE w:val="0"/>
        <w:autoSpaceDN w:val="0"/>
        <w:adjustRightInd w:val="0"/>
        <w:snapToGrid w:val="0"/>
        <w:spacing w:line="360" w:lineRule="auto"/>
        <w:ind w:left="-2" w:leftChars="-607" w:hanging="1273" w:hangingChars="453"/>
        <w:jc w:val="center"/>
        <w:rPr>
          <w:rFonts w:hint="eastAsia" w:ascii="宋体" w:hAnsi="宋体" w:eastAsia="宋体" w:cs="宋体"/>
          <w:b/>
          <w:sz w:val="28"/>
          <w:szCs w:val="28"/>
          <w:lang w:eastAsia="zh-TW"/>
        </w:rPr>
      </w:pPr>
      <w:r>
        <w:rPr>
          <w:rFonts w:hint="eastAsia" w:ascii="宋体" w:hAnsi="宋体" w:eastAsia="宋体" w:cs="宋体"/>
          <w:b/>
          <w:sz w:val="28"/>
          <w:szCs w:val="28"/>
        </w:rPr>
        <w:t xml:space="preserve"> 第二章、</w:t>
      </w:r>
      <w:r>
        <w:rPr>
          <w:rFonts w:hint="eastAsia" w:ascii="宋体" w:hAnsi="宋体" w:eastAsia="宋体" w:cs="宋体"/>
          <w:b/>
          <w:sz w:val="28"/>
          <w:szCs w:val="28"/>
          <w:lang w:eastAsia="zh-TW"/>
        </w:rPr>
        <w:t>投标文件的递交</w:t>
      </w:r>
    </w:p>
    <w:p w14:paraId="3701403E">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投标文件的密封和标识</w:t>
      </w:r>
    </w:p>
    <w:p w14:paraId="49F3D714">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投标文件的密封</w:t>
      </w:r>
    </w:p>
    <w:p w14:paraId="21A40732">
      <w:p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11.1. 1投标文件正本与副本可以单独密封包装，也可以所有投标文件密封包装在一个密封袋内。</w:t>
      </w:r>
    </w:p>
    <w:p w14:paraId="6927974E">
      <w:p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11.1.2不足以造成投标文件可从外包装内散出而导致投标文件泄密的，不认定为投标文件未密封。</w:t>
      </w:r>
    </w:p>
    <w:p w14:paraId="648F95F7">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投标文件的标识</w:t>
      </w:r>
    </w:p>
    <w:p w14:paraId="062122B4">
      <w:pPr>
        <w:snapToGrid w:val="0"/>
        <w:spacing w:line="360" w:lineRule="auto"/>
        <w:rPr>
          <w:rFonts w:hint="eastAsia" w:ascii="宋体" w:hAnsi="宋体" w:eastAsia="宋体" w:cs="宋体"/>
          <w:szCs w:val="21"/>
        </w:rPr>
      </w:pPr>
      <w:r>
        <w:rPr>
          <w:rFonts w:hint="eastAsia" w:ascii="宋体" w:hAnsi="宋体" w:eastAsia="宋体" w:cs="宋体"/>
          <w:szCs w:val="21"/>
        </w:rPr>
        <w:t>11.2.1.外包装上清楚写明投标人名称、项目名称、标段号（如有）的</w:t>
      </w:r>
      <w:r>
        <w:rPr>
          <w:rFonts w:hint="eastAsia" w:ascii="宋体" w:hAnsi="宋体" w:eastAsia="宋体" w:cs="宋体"/>
          <w:szCs w:val="21"/>
          <w:lang w:eastAsia="zh-TW"/>
        </w:rPr>
        <w:t>字样</w:t>
      </w:r>
      <w:r>
        <w:rPr>
          <w:rFonts w:hint="eastAsia" w:ascii="宋体" w:hAnsi="宋体" w:eastAsia="宋体" w:cs="宋体"/>
          <w:szCs w:val="21"/>
        </w:rPr>
        <w:t>。</w:t>
      </w:r>
    </w:p>
    <w:p w14:paraId="317819C2">
      <w:pPr>
        <w:snapToGrid w:val="0"/>
        <w:spacing w:line="360" w:lineRule="auto"/>
        <w:rPr>
          <w:rFonts w:hint="eastAsia" w:ascii="宋体" w:hAnsi="宋体" w:eastAsia="宋体" w:cs="宋体"/>
          <w:szCs w:val="21"/>
        </w:rPr>
      </w:pPr>
      <w:r>
        <w:rPr>
          <w:rFonts w:hint="eastAsia" w:ascii="宋体" w:hAnsi="宋体" w:eastAsia="宋体" w:cs="宋体"/>
          <w:szCs w:val="21"/>
        </w:rPr>
        <w:t>11.2.2.</w:t>
      </w:r>
      <w:r>
        <w:rPr>
          <w:rFonts w:hint="eastAsia" w:ascii="宋体" w:hAnsi="宋体" w:eastAsia="宋体" w:cs="宋体"/>
          <w:szCs w:val="21"/>
          <w:lang w:eastAsia="zh-TW"/>
        </w:rPr>
        <w:t>如果未按本须知</w:t>
      </w:r>
      <w:r>
        <w:rPr>
          <w:rFonts w:hint="eastAsia" w:ascii="宋体" w:hAnsi="宋体" w:eastAsia="宋体" w:cs="宋体"/>
          <w:szCs w:val="21"/>
        </w:rPr>
        <w:t>上款</w:t>
      </w:r>
      <w:r>
        <w:rPr>
          <w:rFonts w:hint="eastAsia" w:ascii="宋体" w:hAnsi="宋体" w:eastAsia="宋体" w:cs="宋体"/>
          <w:szCs w:val="21"/>
          <w:lang w:eastAsia="zh-TW"/>
        </w:rPr>
        <w:t>要求加写</w:t>
      </w:r>
      <w:r>
        <w:rPr>
          <w:rFonts w:hint="eastAsia" w:ascii="宋体" w:hAnsi="宋体" w:eastAsia="宋体" w:cs="宋体"/>
          <w:szCs w:val="21"/>
        </w:rPr>
        <w:t>标识，</w:t>
      </w:r>
      <w:r>
        <w:rPr>
          <w:rFonts w:hint="eastAsia" w:ascii="宋体" w:hAnsi="宋体" w:eastAsia="宋体" w:cs="宋体"/>
          <w:szCs w:val="21"/>
          <w:lang w:eastAsia="zh-TW"/>
        </w:rPr>
        <w:t>招标代理机构对误投或提前启封概不负责</w:t>
      </w:r>
      <w:r>
        <w:rPr>
          <w:rFonts w:hint="eastAsia" w:ascii="宋体" w:hAnsi="宋体" w:eastAsia="宋体" w:cs="宋体"/>
          <w:szCs w:val="21"/>
        </w:rPr>
        <w:t>。</w:t>
      </w:r>
    </w:p>
    <w:p w14:paraId="66F9FE5D">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投标文件的递交</w:t>
      </w:r>
    </w:p>
    <w:p w14:paraId="18219CE3">
      <w:pPr>
        <w:numPr>
          <w:ilvl w:val="1"/>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szCs w:val="21"/>
          <w:lang w:eastAsia="zh-TW"/>
        </w:rPr>
        <w:t>投标人</w:t>
      </w:r>
      <w:r>
        <w:rPr>
          <w:rFonts w:hint="eastAsia" w:ascii="宋体" w:hAnsi="宋体" w:eastAsia="宋体" w:cs="宋体"/>
          <w:szCs w:val="21"/>
        </w:rPr>
        <w:t>的投标文件</w:t>
      </w:r>
      <w:r>
        <w:rPr>
          <w:rFonts w:hint="eastAsia" w:ascii="宋体" w:hAnsi="宋体" w:eastAsia="宋体" w:cs="宋体"/>
          <w:szCs w:val="21"/>
          <w:lang w:eastAsia="zh-TW"/>
        </w:rPr>
        <w:t>应</w:t>
      </w:r>
      <w:r>
        <w:rPr>
          <w:rFonts w:hint="eastAsia" w:ascii="宋体" w:hAnsi="宋体" w:eastAsia="宋体" w:cs="宋体"/>
          <w:szCs w:val="21"/>
        </w:rPr>
        <w:t>在本项目投标截止时间前送达开标地点。</w:t>
      </w:r>
    </w:p>
    <w:p w14:paraId="32F17555">
      <w:pPr>
        <w:numPr>
          <w:ilvl w:val="1"/>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szCs w:val="21"/>
          <w:lang w:eastAsia="zh-TW"/>
        </w:rPr>
        <w:t>逾期送达或者</w:t>
      </w:r>
      <w:r>
        <w:rPr>
          <w:rFonts w:hint="eastAsia" w:ascii="宋体" w:hAnsi="宋体" w:eastAsia="宋体" w:cs="宋体"/>
          <w:szCs w:val="21"/>
        </w:rPr>
        <w:t>发现</w:t>
      </w:r>
      <w:r>
        <w:rPr>
          <w:rFonts w:hint="eastAsia" w:ascii="宋体" w:hAnsi="宋体" w:eastAsia="宋体" w:cs="宋体"/>
          <w:szCs w:val="21"/>
          <w:lang w:eastAsia="zh-TW"/>
        </w:rPr>
        <w:t>未按照招标文件要求密封的投标文件，招标人、招标代理机构应当拒收</w:t>
      </w:r>
      <w:r>
        <w:rPr>
          <w:rFonts w:hint="eastAsia" w:ascii="宋体" w:hAnsi="宋体" w:eastAsia="宋体" w:cs="宋体"/>
          <w:szCs w:val="21"/>
        </w:rPr>
        <w:t>。</w:t>
      </w:r>
    </w:p>
    <w:p w14:paraId="37C415C6">
      <w:pPr>
        <w:numPr>
          <w:ilvl w:val="0"/>
          <w:numId w:val="12"/>
        </w:numPr>
        <w:autoSpaceDE w:val="0"/>
        <w:autoSpaceDN w:val="0"/>
        <w:adjustRightInd w:val="0"/>
        <w:snapToGrid w:val="0"/>
        <w:spacing w:line="360" w:lineRule="auto"/>
        <w:rPr>
          <w:rFonts w:hint="eastAsia" w:ascii="宋体" w:hAnsi="宋体" w:eastAsia="宋体" w:cs="宋体"/>
          <w:b/>
          <w:bCs/>
          <w:szCs w:val="21"/>
          <w:lang w:eastAsia="zh-TW"/>
        </w:rPr>
      </w:pPr>
      <w:r>
        <w:rPr>
          <w:rFonts w:hint="eastAsia" w:ascii="宋体" w:hAnsi="宋体" w:eastAsia="宋体" w:cs="宋体"/>
          <w:b/>
          <w:bCs/>
          <w:szCs w:val="21"/>
        </w:rPr>
        <w:t>投标文件的修改与撤回、撤销</w:t>
      </w:r>
    </w:p>
    <w:p w14:paraId="67033BA9">
      <w:pPr>
        <w:numPr>
          <w:ilvl w:val="1"/>
          <w:numId w:val="12"/>
        </w:numPr>
        <w:autoSpaceDE w:val="0"/>
        <w:autoSpaceDN w:val="0"/>
        <w:adjustRightInd w:val="0"/>
        <w:snapToGrid w:val="0"/>
        <w:spacing w:line="360" w:lineRule="auto"/>
        <w:rPr>
          <w:rFonts w:hint="eastAsia" w:ascii="宋体" w:hAnsi="宋体" w:eastAsia="宋体" w:cs="宋体"/>
          <w:szCs w:val="21"/>
          <w:lang w:eastAsia="zh-TW"/>
        </w:rPr>
      </w:pPr>
      <w:r>
        <w:rPr>
          <w:rFonts w:hint="eastAsia" w:ascii="宋体" w:hAnsi="宋体" w:eastAsia="宋体" w:cs="宋体"/>
          <w:szCs w:val="21"/>
          <w:lang w:eastAsia="zh-TW"/>
        </w:rPr>
        <w:t>投标人在投标截止时间前，可以对所递交的投标文件进行补充、修改或者撤回，并书面通知招标代理机构。补充、修改的内容应当按招标文件要求签署、盖章、密封后，并作为投标文件的组成部分。在投标截止时间之后，投标人不得对其投标文件做任何修改和补充</w:t>
      </w:r>
      <w:r>
        <w:rPr>
          <w:rFonts w:hint="eastAsia" w:ascii="宋体" w:hAnsi="宋体" w:eastAsia="宋体" w:cs="宋体"/>
          <w:szCs w:val="21"/>
        </w:rPr>
        <w:t>。</w:t>
      </w:r>
    </w:p>
    <w:p w14:paraId="586949D1">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lang w:eastAsia="zh-TW"/>
        </w:rPr>
        <w:t>在</w:t>
      </w:r>
      <w:r>
        <w:rPr>
          <w:rFonts w:hint="eastAsia" w:ascii="宋体" w:hAnsi="宋体" w:eastAsia="宋体" w:cs="宋体"/>
          <w:szCs w:val="21"/>
        </w:rPr>
        <w:t>投标</w:t>
      </w:r>
      <w:r>
        <w:rPr>
          <w:rFonts w:hint="eastAsia" w:ascii="宋体" w:hAnsi="宋体" w:eastAsia="宋体" w:cs="宋体"/>
          <w:szCs w:val="21"/>
          <w:lang w:eastAsia="zh-TW"/>
        </w:rPr>
        <w:t>截止</w:t>
      </w:r>
      <w:r>
        <w:rPr>
          <w:rFonts w:hint="eastAsia" w:ascii="宋体" w:hAnsi="宋体" w:eastAsia="宋体" w:cs="宋体"/>
          <w:szCs w:val="21"/>
        </w:rPr>
        <w:t>时间</w:t>
      </w:r>
      <w:r>
        <w:rPr>
          <w:rFonts w:hint="eastAsia" w:ascii="宋体" w:hAnsi="宋体" w:eastAsia="宋体" w:cs="宋体"/>
          <w:szCs w:val="21"/>
          <w:lang w:eastAsia="zh-TW"/>
        </w:rPr>
        <w:t>后不可撤销其</w:t>
      </w:r>
      <w:r>
        <w:rPr>
          <w:rFonts w:hint="eastAsia" w:ascii="宋体" w:hAnsi="宋体" w:eastAsia="宋体" w:cs="宋体"/>
          <w:szCs w:val="21"/>
        </w:rPr>
        <w:t>投标及其投标文件。</w:t>
      </w:r>
    </w:p>
    <w:p w14:paraId="49510596">
      <w:pPr>
        <w:snapToGrid w:val="0"/>
        <w:spacing w:line="360" w:lineRule="auto"/>
        <w:jc w:val="center"/>
        <w:rPr>
          <w:rFonts w:hint="eastAsia" w:ascii="宋体" w:hAnsi="宋体" w:eastAsia="宋体" w:cs="宋体"/>
          <w:b/>
          <w:sz w:val="28"/>
          <w:szCs w:val="28"/>
        </w:rPr>
      </w:pPr>
    </w:p>
    <w:p w14:paraId="0699FAFB">
      <w:pPr>
        <w:snapToGrid w:val="0"/>
        <w:spacing w:line="360" w:lineRule="auto"/>
        <w:jc w:val="center"/>
        <w:rPr>
          <w:rFonts w:hint="eastAsia" w:ascii="宋体" w:hAnsi="宋体" w:eastAsia="宋体" w:cs="宋体"/>
          <w:b/>
          <w:sz w:val="28"/>
          <w:szCs w:val="28"/>
          <w:lang w:eastAsia="zh-TW"/>
        </w:rPr>
      </w:pPr>
      <w:r>
        <w:rPr>
          <w:rFonts w:hint="eastAsia" w:ascii="宋体" w:hAnsi="宋体" w:eastAsia="宋体" w:cs="宋体"/>
          <w:b/>
          <w:sz w:val="28"/>
          <w:szCs w:val="28"/>
        </w:rPr>
        <w:t>第三章</w:t>
      </w:r>
      <w:r>
        <w:rPr>
          <w:rFonts w:hint="eastAsia" w:ascii="宋体" w:hAnsi="宋体" w:eastAsia="宋体" w:cs="宋体"/>
          <w:b/>
          <w:sz w:val="28"/>
          <w:szCs w:val="28"/>
          <w:lang w:eastAsia="zh-TW"/>
        </w:rPr>
        <w:t>、</w:t>
      </w:r>
      <w:r>
        <w:rPr>
          <w:rFonts w:hint="eastAsia" w:ascii="宋体" w:hAnsi="宋体" w:eastAsia="宋体" w:cs="宋体"/>
          <w:b/>
          <w:sz w:val="28"/>
          <w:szCs w:val="28"/>
        </w:rPr>
        <w:t>开标前、</w:t>
      </w:r>
      <w:r>
        <w:rPr>
          <w:rFonts w:hint="eastAsia" w:ascii="宋体" w:hAnsi="宋体" w:eastAsia="宋体" w:cs="宋体"/>
          <w:b/>
          <w:sz w:val="28"/>
          <w:szCs w:val="28"/>
          <w:lang w:eastAsia="zh-TW"/>
        </w:rPr>
        <w:t>开标与评标</w:t>
      </w:r>
    </w:p>
    <w:p w14:paraId="4C950AD6">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开标前</w:t>
      </w:r>
    </w:p>
    <w:p w14:paraId="25C51D36">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招标文件发售期截止后，购买招标文件的潜在投标人少于3个的，经招标人确认后，可以重新招标。</w:t>
      </w:r>
    </w:p>
    <w:p w14:paraId="36E95937">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开标</w:t>
      </w:r>
    </w:p>
    <w:p w14:paraId="307428C7">
      <w:pPr>
        <w:numPr>
          <w:ilvl w:val="1"/>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szCs w:val="21"/>
          <w:lang w:eastAsia="zh-TW"/>
        </w:rPr>
        <w:t>招标代理机构在“第一章</w:t>
      </w:r>
      <w:r>
        <w:rPr>
          <w:rFonts w:hint="eastAsia" w:ascii="宋体" w:hAnsi="宋体" w:eastAsia="宋体" w:cs="宋体"/>
          <w:szCs w:val="21"/>
        </w:rPr>
        <w:t xml:space="preserve"> 招标公告</w:t>
      </w:r>
      <w:r>
        <w:rPr>
          <w:rFonts w:hint="eastAsia" w:ascii="宋体" w:hAnsi="宋体" w:eastAsia="宋体" w:cs="宋体"/>
          <w:szCs w:val="21"/>
          <w:lang w:eastAsia="zh-TW"/>
        </w:rPr>
        <w:t>”中规定的日期、时</w:t>
      </w:r>
      <w:r>
        <w:rPr>
          <w:rFonts w:hint="eastAsia" w:ascii="宋体" w:hAnsi="宋体" w:eastAsia="宋体" w:cs="宋体"/>
          <w:szCs w:val="21"/>
        </w:rPr>
        <w:t>间</w:t>
      </w:r>
      <w:r>
        <w:rPr>
          <w:rFonts w:hint="eastAsia" w:ascii="宋体" w:hAnsi="宋体" w:eastAsia="宋体" w:cs="宋体"/>
          <w:szCs w:val="21"/>
          <w:lang w:eastAsia="zh-TW"/>
        </w:rPr>
        <w:t>和地点组织公开开标。开标时邀请所有投标人代表参加。参加开标的代表应签名报到以证明其出席。</w:t>
      </w:r>
    </w:p>
    <w:p w14:paraId="203B548E">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投标人少于3个的，不得开标；招标人应当重新招标。重新招标后投标人或经评审合格投标人仍少于3个的，经招标人确认后，可以进入两家或一家开标评标。</w:t>
      </w:r>
    </w:p>
    <w:p w14:paraId="4C42B5F4">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开标时，</w:t>
      </w:r>
      <w:r>
        <w:rPr>
          <w:rFonts w:hint="eastAsia" w:ascii="宋体" w:hAnsi="宋体" w:eastAsia="宋体" w:cs="宋体"/>
          <w:szCs w:val="21"/>
          <w:lang w:eastAsia="zh-TW"/>
        </w:rPr>
        <w:t>由投标人或者其推选的代表检查投标文件的密封情况；经确认无误后，由招标人或者招标代理机构工作人员当众拆封，宣布投标人名称、投标价格和招标文件规定的需要宣布的其他内容。</w:t>
      </w:r>
    </w:p>
    <w:p w14:paraId="3A4DD3CD">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在招标文件要求提交投标文件的截止时间前收到的所有投标文件，开标时都应当当众予以拆封、宣读。</w:t>
      </w:r>
    </w:p>
    <w:p w14:paraId="0DF407BF">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lang w:eastAsia="zh-TW"/>
        </w:rPr>
        <w:t>开标过程应当由招标人或者招标代理机构负责记录，由参加开标的各投标人代表和相关工作人员签字确认。</w:t>
      </w:r>
    </w:p>
    <w:p w14:paraId="18EC140E">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投标人未参加开标的，视同认可开标结果。</w:t>
      </w:r>
    </w:p>
    <w:p w14:paraId="21FA6A8F">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评标委员会和评标方法</w:t>
      </w:r>
    </w:p>
    <w:p w14:paraId="6D283647">
      <w:pPr>
        <w:numPr>
          <w:ilvl w:val="1"/>
          <w:numId w:val="12"/>
        </w:numPr>
        <w:autoSpaceDE w:val="0"/>
        <w:autoSpaceDN w:val="0"/>
        <w:adjustRightInd w:val="0"/>
        <w:snapToGrid w:val="0"/>
        <w:spacing w:line="360" w:lineRule="auto"/>
        <w:rPr>
          <w:rFonts w:hint="eastAsia" w:ascii="宋体" w:hAnsi="宋体" w:eastAsia="宋体" w:cs="宋体"/>
          <w:szCs w:val="21"/>
          <w:lang w:eastAsia="zh-TW"/>
        </w:rPr>
      </w:pPr>
      <w:r>
        <w:rPr>
          <w:rFonts w:hint="eastAsia" w:ascii="宋体" w:hAnsi="宋体" w:eastAsia="宋体" w:cs="宋体"/>
          <w:szCs w:val="21"/>
        </w:rPr>
        <w:t>评标委员会</w:t>
      </w:r>
      <w:r>
        <w:rPr>
          <w:rFonts w:hint="eastAsia" w:ascii="宋体" w:hAnsi="宋体" w:eastAsia="宋体" w:cs="宋体"/>
          <w:szCs w:val="21"/>
          <w:lang w:eastAsia="zh-TW"/>
        </w:rPr>
        <w:t>人数按照</w:t>
      </w:r>
      <w:r>
        <w:rPr>
          <w:rFonts w:hint="eastAsia" w:ascii="宋体" w:hAnsi="宋体" w:eastAsia="宋体" w:cs="宋体"/>
          <w:b/>
          <w:szCs w:val="21"/>
        </w:rPr>
        <w:t>“第二章  对通用条款的补充内容”</w:t>
      </w:r>
      <w:r>
        <w:rPr>
          <w:rFonts w:hint="eastAsia" w:ascii="宋体" w:hAnsi="宋体" w:eastAsia="宋体" w:cs="宋体"/>
          <w:szCs w:val="21"/>
          <w:lang w:eastAsia="zh-TW"/>
        </w:rPr>
        <w:t>中确定</w:t>
      </w:r>
      <w:r>
        <w:rPr>
          <w:rFonts w:hint="eastAsia" w:ascii="宋体" w:hAnsi="宋体" w:eastAsia="宋体" w:cs="宋体"/>
          <w:szCs w:val="21"/>
        </w:rPr>
        <w:t>。</w:t>
      </w:r>
    </w:p>
    <w:p w14:paraId="3C4FFD46">
      <w:pPr>
        <w:numPr>
          <w:ilvl w:val="1"/>
          <w:numId w:val="12"/>
        </w:numPr>
        <w:autoSpaceDE w:val="0"/>
        <w:autoSpaceDN w:val="0"/>
        <w:adjustRightInd w:val="0"/>
        <w:snapToGrid w:val="0"/>
        <w:spacing w:line="360" w:lineRule="auto"/>
        <w:rPr>
          <w:rFonts w:hint="eastAsia" w:ascii="宋体" w:hAnsi="宋体" w:eastAsia="宋体" w:cs="宋体"/>
          <w:szCs w:val="21"/>
          <w:lang w:eastAsia="zh-TW"/>
        </w:rPr>
      </w:pPr>
      <w:r>
        <w:rPr>
          <w:rFonts w:hint="eastAsia" w:ascii="宋体" w:hAnsi="宋体" w:eastAsia="宋体" w:cs="宋体"/>
          <w:szCs w:val="21"/>
          <w:lang w:eastAsia="zh-TW"/>
        </w:rPr>
        <w:t>评标由评标委员会负责</w:t>
      </w:r>
      <w:r>
        <w:rPr>
          <w:rFonts w:hint="eastAsia" w:ascii="宋体" w:hAnsi="宋体" w:eastAsia="宋体" w:cs="宋体"/>
          <w:szCs w:val="21"/>
        </w:rPr>
        <w:t>，</w:t>
      </w:r>
      <w:r>
        <w:rPr>
          <w:rFonts w:hint="eastAsia" w:ascii="宋体" w:hAnsi="宋体" w:eastAsia="宋体" w:cs="宋体"/>
          <w:szCs w:val="21"/>
          <w:lang w:eastAsia="zh-TW"/>
        </w:rPr>
        <w:t>评标委员会将首先按照本须知第2</w:t>
      </w:r>
      <w:r>
        <w:rPr>
          <w:rFonts w:hint="eastAsia" w:ascii="宋体" w:hAnsi="宋体" w:eastAsia="宋体" w:cs="宋体"/>
          <w:szCs w:val="21"/>
        </w:rPr>
        <w:t>4</w:t>
      </w:r>
      <w:r>
        <w:rPr>
          <w:rFonts w:hint="eastAsia" w:ascii="宋体" w:hAnsi="宋体" w:eastAsia="宋体" w:cs="宋体"/>
          <w:szCs w:val="21"/>
          <w:lang w:eastAsia="zh-TW"/>
        </w:rPr>
        <w:t>条款对投标文件进行初审。对初审合格的投标文件将按照招标文件投标资料表中确定的综合评分法或最低评标价法进行评</w:t>
      </w:r>
      <w:r>
        <w:rPr>
          <w:rFonts w:hint="eastAsia" w:ascii="宋体" w:hAnsi="宋体" w:eastAsia="宋体" w:cs="宋体"/>
          <w:szCs w:val="21"/>
        </w:rPr>
        <w:t>审</w:t>
      </w:r>
      <w:r>
        <w:rPr>
          <w:rFonts w:hint="eastAsia" w:ascii="宋体" w:hAnsi="宋体" w:eastAsia="宋体" w:cs="宋体"/>
          <w:szCs w:val="21"/>
          <w:lang w:eastAsia="zh-TW"/>
        </w:rPr>
        <w:t>。</w:t>
      </w:r>
    </w:p>
    <w:p w14:paraId="1E0DB844">
      <w:pPr>
        <w:numPr>
          <w:ilvl w:val="1"/>
          <w:numId w:val="12"/>
        </w:numPr>
        <w:autoSpaceDE w:val="0"/>
        <w:autoSpaceDN w:val="0"/>
        <w:adjustRightInd w:val="0"/>
        <w:snapToGrid w:val="0"/>
        <w:spacing w:line="360" w:lineRule="auto"/>
        <w:rPr>
          <w:rFonts w:hint="eastAsia" w:ascii="宋体" w:hAnsi="宋体" w:eastAsia="宋体" w:cs="宋体"/>
          <w:szCs w:val="21"/>
          <w:lang w:eastAsia="zh-TW"/>
        </w:rPr>
      </w:pPr>
      <w:r>
        <w:rPr>
          <w:rFonts w:hint="eastAsia" w:ascii="宋体" w:hAnsi="宋体" w:eastAsia="宋体" w:cs="宋体"/>
          <w:szCs w:val="21"/>
          <w:lang w:eastAsia="zh-TW"/>
        </w:rPr>
        <w:t>评标委员会将按照</w:t>
      </w:r>
      <w:r>
        <w:rPr>
          <w:rFonts w:hint="eastAsia" w:ascii="宋体" w:hAnsi="宋体" w:eastAsia="宋体" w:cs="宋体"/>
          <w:b/>
          <w:szCs w:val="21"/>
        </w:rPr>
        <w:t>“第二章  对通用条款的补充内容”</w:t>
      </w:r>
      <w:r>
        <w:rPr>
          <w:rFonts w:hint="eastAsia" w:ascii="宋体" w:hAnsi="宋体" w:eastAsia="宋体" w:cs="宋体"/>
          <w:szCs w:val="21"/>
          <w:lang w:eastAsia="zh-TW"/>
        </w:rPr>
        <w:t>中确定的评标方法</w:t>
      </w:r>
      <w:r>
        <w:rPr>
          <w:rFonts w:hint="eastAsia" w:ascii="宋体" w:hAnsi="宋体" w:eastAsia="宋体" w:cs="宋体"/>
          <w:szCs w:val="21"/>
        </w:rPr>
        <w:t>和</w:t>
      </w:r>
      <w:r>
        <w:rPr>
          <w:rFonts w:hint="eastAsia" w:ascii="宋体" w:hAnsi="宋体" w:eastAsia="宋体" w:cs="宋体"/>
          <w:szCs w:val="21"/>
          <w:lang w:eastAsia="zh-TW"/>
        </w:rPr>
        <w:t>本招标文件</w:t>
      </w:r>
      <w:r>
        <w:rPr>
          <w:rFonts w:hint="eastAsia" w:ascii="宋体" w:hAnsi="宋体" w:eastAsia="宋体" w:cs="宋体"/>
          <w:szCs w:val="21"/>
        </w:rPr>
        <w:t>“</w:t>
      </w:r>
      <w:r>
        <w:rPr>
          <w:rFonts w:hint="eastAsia" w:ascii="宋体" w:hAnsi="宋体" w:eastAsia="宋体" w:cs="宋体"/>
          <w:szCs w:val="21"/>
          <w:lang w:eastAsia="zh-TW"/>
        </w:rPr>
        <w:t>第二册、评标方法、评标因素及权重分值（适用于各包）</w:t>
      </w:r>
      <w:r>
        <w:rPr>
          <w:rFonts w:hint="eastAsia" w:ascii="宋体" w:hAnsi="宋体" w:eastAsia="宋体" w:cs="宋体"/>
          <w:szCs w:val="21"/>
        </w:rPr>
        <w:t>”</w:t>
      </w:r>
      <w:r>
        <w:rPr>
          <w:rFonts w:hint="eastAsia" w:ascii="宋体" w:hAnsi="宋体" w:eastAsia="宋体" w:cs="宋体"/>
          <w:szCs w:val="21"/>
          <w:lang w:eastAsia="zh-TW"/>
        </w:rPr>
        <w:t>中规定</w:t>
      </w:r>
      <w:r>
        <w:rPr>
          <w:rFonts w:hint="eastAsia" w:ascii="宋体" w:hAnsi="宋体" w:eastAsia="宋体" w:cs="宋体"/>
          <w:szCs w:val="21"/>
        </w:rPr>
        <w:t>的评标</w:t>
      </w:r>
      <w:r>
        <w:rPr>
          <w:rFonts w:hint="eastAsia" w:ascii="宋体" w:hAnsi="宋体" w:eastAsia="宋体" w:cs="宋体"/>
          <w:szCs w:val="21"/>
          <w:lang w:eastAsia="zh-TW"/>
        </w:rPr>
        <w:t>标准进行评标。</w:t>
      </w:r>
    </w:p>
    <w:p w14:paraId="5B7EF9E2">
      <w:pPr>
        <w:numPr>
          <w:ilvl w:val="1"/>
          <w:numId w:val="12"/>
        </w:numPr>
        <w:autoSpaceDE w:val="0"/>
        <w:autoSpaceDN w:val="0"/>
        <w:adjustRightInd w:val="0"/>
        <w:snapToGrid w:val="0"/>
        <w:spacing w:line="360" w:lineRule="auto"/>
        <w:rPr>
          <w:rFonts w:hint="eastAsia" w:ascii="宋体" w:hAnsi="宋体" w:eastAsia="宋体" w:cs="宋体"/>
          <w:szCs w:val="21"/>
          <w:lang w:eastAsia="zh-TW"/>
        </w:rPr>
      </w:pPr>
      <w:r>
        <w:rPr>
          <w:rFonts w:hint="eastAsia" w:ascii="宋体" w:hAnsi="宋体" w:eastAsia="宋体" w:cs="宋体"/>
          <w:szCs w:val="21"/>
          <w:lang w:eastAsia="zh-TW"/>
        </w:rPr>
        <w:t>对招标文件中描述有歧</w:t>
      </w:r>
      <w:r>
        <w:rPr>
          <w:rFonts w:hint="eastAsia" w:ascii="宋体" w:hAnsi="宋体" w:eastAsia="宋体" w:cs="宋体"/>
          <w:szCs w:val="21"/>
        </w:rPr>
        <w:t>义</w:t>
      </w:r>
      <w:r>
        <w:rPr>
          <w:rFonts w:hint="eastAsia" w:ascii="宋体" w:hAnsi="宋体" w:eastAsia="宋体" w:cs="宋体"/>
          <w:szCs w:val="21"/>
          <w:lang w:eastAsia="zh-TW"/>
        </w:rPr>
        <w:t>或前后不一致的地方，评标委员会有权进行评判</w:t>
      </w:r>
      <w:r>
        <w:rPr>
          <w:rFonts w:hint="eastAsia" w:ascii="宋体" w:hAnsi="宋体" w:eastAsia="宋体" w:cs="宋体"/>
          <w:szCs w:val="21"/>
        </w:rPr>
        <w:t>，</w:t>
      </w:r>
      <w:r>
        <w:rPr>
          <w:rFonts w:hint="eastAsia" w:ascii="宋体" w:hAnsi="宋体" w:eastAsia="宋体" w:cs="宋体"/>
          <w:szCs w:val="21"/>
          <w:lang w:eastAsia="zh-TW"/>
        </w:rPr>
        <w:t>但对同一条款的评判应适用于每个投标人</w:t>
      </w:r>
      <w:r>
        <w:rPr>
          <w:rFonts w:hint="eastAsia" w:ascii="宋体" w:hAnsi="宋体" w:eastAsia="宋体" w:cs="宋体"/>
          <w:szCs w:val="21"/>
        </w:rPr>
        <w:t>。</w:t>
      </w:r>
    </w:p>
    <w:p w14:paraId="1C639887">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投标文件的初审</w:t>
      </w:r>
    </w:p>
    <w:p w14:paraId="4B1036FF">
      <w:pPr>
        <w:numPr>
          <w:ilvl w:val="1"/>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szCs w:val="21"/>
          <w:lang w:eastAsia="zh-TW"/>
        </w:rPr>
        <w:t>评标委员会将审查投标文件是否完整、文件签署是否合格、投标人是否</w:t>
      </w:r>
      <w:r>
        <w:rPr>
          <w:rFonts w:hint="eastAsia" w:ascii="宋体" w:hAnsi="宋体" w:eastAsia="宋体" w:cs="宋体"/>
          <w:szCs w:val="21"/>
        </w:rPr>
        <w:t>缴纳</w:t>
      </w:r>
      <w:r>
        <w:rPr>
          <w:rFonts w:hint="eastAsia" w:ascii="宋体" w:hAnsi="宋体" w:eastAsia="宋体" w:cs="宋体"/>
          <w:szCs w:val="21"/>
          <w:lang w:eastAsia="zh-TW"/>
        </w:rPr>
        <w:t>了投标保证金、有无计算</w:t>
      </w:r>
      <w:r>
        <w:rPr>
          <w:rFonts w:hint="eastAsia" w:ascii="宋体" w:hAnsi="宋体" w:eastAsia="宋体" w:cs="宋体"/>
          <w:szCs w:val="21"/>
        </w:rPr>
        <w:t>上</w:t>
      </w:r>
      <w:r>
        <w:rPr>
          <w:rFonts w:hint="eastAsia" w:ascii="宋体" w:hAnsi="宋体" w:eastAsia="宋体" w:cs="宋体"/>
          <w:szCs w:val="21"/>
          <w:lang w:eastAsia="zh-TW"/>
        </w:rPr>
        <w:t>的错误等。</w:t>
      </w:r>
    </w:p>
    <w:p w14:paraId="48CCAECD">
      <w:pPr>
        <w:numPr>
          <w:ilvl w:val="1"/>
          <w:numId w:val="12"/>
        </w:numPr>
        <w:autoSpaceDE w:val="0"/>
        <w:autoSpaceDN w:val="0"/>
        <w:adjustRightInd w:val="0"/>
        <w:snapToGrid w:val="0"/>
        <w:spacing w:line="360" w:lineRule="auto"/>
        <w:rPr>
          <w:rFonts w:hint="eastAsia" w:ascii="宋体" w:hAnsi="宋体" w:eastAsia="宋体" w:cs="宋体"/>
          <w:szCs w:val="21"/>
          <w:lang w:eastAsia="zh-TW"/>
        </w:rPr>
      </w:pPr>
      <w:r>
        <w:rPr>
          <w:rFonts w:hint="eastAsia" w:ascii="宋体" w:hAnsi="宋体" w:eastAsia="宋体" w:cs="宋体"/>
          <w:szCs w:val="21"/>
          <w:lang w:eastAsia="zh-TW"/>
        </w:rPr>
        <w:t>投标文件报价出现前后不一致的，</w:t>
      </w:r>
      <w:r>
        <w:rPr>
          <w:rFonts w:hint="eastAsia" w:ascii="宋体" w:hAnsi="宋体" w:eastAsia="宋体" w:cs="宋体"/>
          <w:szCs w:val="21"/>
        </w:rPr>
        <w:t>评标委员会</w:t>
      </w:r>
      <w:r>
        <w:rPr>
          <w:rFonts w:hint="eastAsia" w:ascii="宋体" w:hAnsi="宋体" w:eastAsia="宋体" w:cs="宋体"/>
          <w:szCs w:val="21"/>
          <w:lang w:eastAsia="zh-TW"/>
        </w:rPr>
        <w:t>按照下列规定修正：</w:t>
      </w:r>
    </w:p>
    <w:p w14:paraId="7AB8BB8D">
      <w:pPr>
        <w:snapToGrid w:val="0"/>
        <w:spacing w:line="360" w:lineRule="auto"/>
        <w:rPr>
          <w:rFonts w:hint="eastAsia" w:ascii="宋体" w:hAnsi="宋体" w:eastAsia="宋体" w:cs="宋体"/>
          <w:szCs w:val="21"/>
          <w:lang w:eastAsia="zh-TW"/>
        </w:rPr>
      </w:pPr>
      <w:r>
        <w:rPr>
          <w:rFonts w:hint="eastAsia" w:ascii="宋体" w:hAnsi="宋体" w:eastAsia="宋体" w:cs="宋体"/>
          <w:szCs w:val="21"/>
        </w:rPr>
        <w:t>17.2.1.</w:t>
      </w:r>
      <w:r>
        <w:rPr>
          <w:rFonts w:hint="eastAsia" w:ascii="宋体" w:hAnsi="宋体" w:eastAsia="宋体" w:cs="宋体"/>
          <w:szCs w:val="21"/>
          <w:lang w:eastAsia="zh-TW"/>
        </w:rPr>
        <w:t>投标文件中开标一览表（报价表）内容与投标文件中相应内容不一致的，以开标一览表（报价表）</w:t>
      </w:r>
    </w:p>
    <w:p w14:paraId="66D7480C">
      <w:pPr>
        <w:snapToGrid w:val="0"/>
        <w:spacing w:line="360" w:lineRule="auto"/>
        <w:ind w:left="709" w:firstLine="105" w:firstLineChars="50"/>
        <w:rPr>
          <w:rFonts w:hint="eastAsia" w:ascii="宋体" w:hAnsi="宋体" w:eastAsia="宋体" w:cs="宋体"/>
          <w:szCs w:val="21"/>
          <w:lang w:eastAsia="zh-TW"/>
        </w:rPr>
      </w:pPr>
      <w:r>
        <w:rPr>
          <w:rFonts w:hint="eastAsia" w:ascii="宋体" w:hAnsi="宋体" w:eastAsia="宋体" w:cs="宋体"/>
          <w:szCs w:val="21"/>
          <w:lang w:eastAsia="zh-TW"/>
        </w:rPr>
        <w:t>为准；</w:t>
      </w:r>
    </w:p>
    <w:p w14:paraId="745B3F91">
      <w:pPr>
        <w:snapToGrid w:val="0"/>
        <w:spacing w:line="360" w:lineRule="auto"/>
        <w:rPr>
          <w:rFonts w:hint="eastAsia" w:ascii="宋体" w:hAnsi="宋体" w:eastAsia="宋体" w:cs="宋体"/>
          <w:szCs w:val="21"/>
          <w:lang w:eastAsia="zh-TW"/>
        </w:rPr>
      </w:pPr>
      <w:r>
        <w:rPr>
          <w:rFonts w:hint="eastAsia" w:ascii="宋体" w:hAnsi="宋体" w:eastAsia="宋体" w:cs="宋体"/>
          <w:szCs w:val="21"/>
        </w:rPr>
        <w:t>17.2.2.</w:t>
      </w:r>
      <w:r>
        <w:rPr>
          <w:rFonts w:hint="eastAsia" w:ascii="宋体" w:hAnsi="宋体" w:eastAsia="宋体" w:cs="宋体"/>
          <w:szCs w:val="21"/>
          <w:lang w:eastAsia="zh-TW"/>
        </w:rPr>
        <w:t>大写金额和小写金额不一致的，以大写金额为准；</w:t>
      </w:r>
    </w:p>
    <w:p w14:paraId="61A415DE">
      <w:pPr>
        <w:snapToGrid w:val="0"/>
        <w:spacing w:line="360" w:lineRule="auto"/>
        <w:rPr>
          <w:rFonts w:hint="eastAsia" w:ascii="宋体" w:hAnsi="宋体" w:eastAsia="宋体" w:cs="宋体"/>
          <w:szCs w:val="21"/>
          <w:lang w:eastAsia="zh-TW"/>
        </w:rPr>
      </w:pPr>
      <w:r>
        <w:rPr>
          <w:rFonts w:hint="eastAsia" w:ascii="宋体" w:hAnsi="宋体" w:eastAsia="宋体" w:cs="宋体"/>
          <w:szCs w:val="21"/>
        </w:rPr>
        <w:t>17.2.3.</w:t>
      </w:r>
      <w:r>
        <w:rPr>
          <w:rFonts w:hint="eastAsia" w:ascii="宋体" w:hAnsi="宋体" w:eastAsia="宋体" w:cs="宋体"/>
          <w:szCs w:val="21"/>
          <w:lang w:eastAsia="zh-TW"/>
        </w:rPr>
        <w:t>单价金额小数点或者百分比有明显错位的，以开标一览表的总价为准，并修改单价；</w:t>
      </w:r>
    </w:p>
    <w:p w14:paraId="072280F8">
      <w:pPr>
        <w:snapToGrid w:val="0"/>
        <w:spacing w:line="360" w:lineRule="auto"/>
        <w:rPr>
          <w:rFonts w:hint="eastAsia" w:ascii="宋体" w:hAnsi="宋体" w:eastAsia="宋体" w:cs="宋体"/>
          <w:szCs w:val="21"/>
          <w:lang w:eastAsia="zh-TW"/>
        </w:rPr>
      </w:pPr>
      <w:r>
        <w:rPr>
          <w:rFonts w:hint="eastAsia" w:ascii="宋体" w:hAnsi="宋体" w:eastAsia="宋体" w:cs="宋体"/>
          <w:szCs w:val="21"/>
        </w:rPr>
        <w:t>17.2.4.</w:t>
      </w:r>
      <w:r>
        <w:rPr>
          <w:rFonts w:hint="eastAsia" w:ascii="宋体" w:hAnsi="宋体" w:eastAsia="宋体" w:cs="宋体"/>
          <w:szCs w:val="21"/>
          <w:lang w:eastAsia="zh-TW"/>
        </w:rPr>
        <w:t>总价金额与按单价汇总金额不一致的，以单价金额计算结果为准。</w:t>
      </w:r>
    </w:p>
    <w:p w14:paraId="2D32471E">
      <w:pPr>
        <w:snapToGrid w:val="0"/>
        <w:spacing w:line="360" w:lineRule="auto"/>
        <w:ind w:left="567"/>
        <w:rPr>
          <w:rFonts w:hint="eastAsia" w:ascii="宋体" w:hAnsi="宋体" w:eastAsia="宋体" w:cs="宋体"/>
          <w:szCs w:val="21"/>
        </w:rPr>
      </w:pPr>
      <w:r>
        <w:rPr>
          <w:rFonts w:hint="eastAsia" w:ascii="宋体" w:hAnsi="宋体" w:eastAsia="宋体" w:cs="宋体"/>
          <w:szCs w:val="21"/>
          <w:lang w:eastAsia="zh-TW"/>
        </w:rPr>
        <w:t>同时出现两种以上不一致的，按照前款规定的顺序修正。</w:t>
      </w:r>
      <w:r>
        <w:rPr>
          <w:rFonts w:hint="eastAsia" w:ascii="宋体" w:hAnsi="宋体" w:eastAsia="宋体" w:cs="宋体"/>
          <w:szCs w:val="21"/>
        </w:rPr>
        <w:t>评标委员会</w:t>
      </w:r>
      <w:r>
        <w:rPr>
          <w:rFonts w:hint="eastAsia" w:ascii="宋体" w:hAnsi="宋体" w:eastAsia="宋体" w:cs="宋体"/>
          <w:szCs w:val="21"/>
          <w:lang w:eastAsia="zh-TW"/>
        </w:rPr>
        <w:t>按上述修正误差的原则调整的价</w:t>
      </w:r>
    </w:p>
    <w:p w14:paraId="53DCEEAA">
      <w:pPr>
        <w:snapToGrid w:val="0"/>
        <w:spacing w:line="360" w:lineRule="auto"/>
        <w:rPr>
          <w:rFonts w:hint="eastAsia" w:ascii="宋体" w:hAnsi="宋体" w:eastAsia="宋体" w:cs="宋体"/>
          <w:szCs w:val="21"/>
          <w:lang w:eastAsia="zh-TW"/>
        </w:rPr>
      </w:pPr>
      <w:r>
        <w:rPr>
          <w:rFonts w:hint="eastAsia" w:ascii="宋体" w:hAnsi="宋体" w:eastAsia="宋体" w:cs="宋体"/>
          <w:szCs w:val="21"/>
          <w:lang w:eastAsia="zh-TW"/>
        </w:rPr>
        <w:t>格对</w:t>
      </w:r>
      <w:r>
        <w:rPr>
          <w:rFonts w:hint="eastAsia" w:ascii="宋体" w:hAnsi="宋体" w:eastAsia="宋体" w:cs="宋体"/>
          <w:szCs w:val="21"/>
        </w:rPr>
        <w:t>投标人</w:t>
      </w:r>
      <w:r>
        <w:rPr>
          <w:rFonts w:hint="eastAsia" w:ascii="宋体" w:hAnsi="宋体" w:eastAsia="宋体" w:cs="宋体"/>
          <w:szCs w:val="21"/>
          <w:lang w:eastAsia="zh-TW"/>
        </w:rPr>
        <w:t>具有约束力</w:t>
      </w:r>
      <w:r>
        <w:rPr>
          <w:rFonts w:hint="eastAsia" w:ascii="宋体" w:hAnsi="宋体" w:eastAsia="宋体" w:cs="宋体"/>
          <w:szCs w:val="21"/>
        </w:rPr>
        <w:t>，</w:t>
      </w:r>
      <w:r>
        <w:rPr>
          <w:rFonts w:hint="eastAsia" w:ascii="宋体" w:hAnsi="宋体" w:eastAsia="宋体" w:cs="宋体"/>
          <w:szCs w:val="21"/>
          <w:lang w:eastAsia="zh-TW"/>
        </w:rPr>
        <w:t>投标人不确认的，其投标无效。</w:t>
      </w:r>
    </w:p>
    <w:p w14:paraId="0DEE841F">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lang w:eastAsia="zh-TW"/>
        </w:rPr>
        <w:t>评标委员会认为投标人的报价明显低于其他通过</w:t>
      </w:r>
      <w:r>
        <w:rPr>
          <w:rFonts w:hint="eastAsia" w:ascii="宋体" w:hAnsi="宋体" w:eastAsia="宋体" w:cs="宋体"/>
          <w:szCs w:val="21"/>
        </w:rPr>
        <w:t>资格、</w:t>
      </w:r>
      <w:r>
        <w:rPr>
          <w:rFonts w:hint="eastAsia" w:ascii="宋体" w:hAnsi="宋体" w:eastAsia="宋体" w:cs="宋体"/>
          <w:szCs w:val="21"/>
          <w:lang w:eastAsia="zh-TW"/>
        </w:rPr>
        <w:t>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szCs w:val="21"/>
        </w:rPr>
        <w:t>。</w:t>
      </w:r>
    </w:p>
    <w:p w14:paraId="702D3633">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lang w:eastAsia="zh-TW"/>
        </w:rPr>
        <w:t>在详细评标之前</w:t>
      </w:r>
      <w:r>
        <w:rPr>
          <w:rFonts w:hint="eastAsia" w:ascii="宋体" w:hAnsi="宋体" w:eastAsia="宋体" w:cs="宋体"/>
          <w:szCs w:val="21"/>
        </w:rPr>
        <w:t>，</w:t>
      </w:r>
      <w:r>
        <w:rPr>
          <w:rFonts w:hint="eastAsia" w:ascii="宋体" w:hAnsi="宋体" w:eastAsia="宋体" w:cs="宋体"/>
          <w:szCs w:val="21"/>
          <w:lang w:eastAsia="zh-TW"/>
        </w:rPr>
        <w:t>评标委员会要审查每份投标文件是否实质上响应了招标文件的要求。实质上</w:t>
      </w:r>
      <w:r>
        <w:rPr>
          <w:rFonts w:hint="eastAsia" w:ascii="宋体" w:hAnsi="宋体" w:eastAsia="宋体" w:cs="宋体"/>
          <w:szCs w:val="21"/>
        </w:rPr>
        <w:t>响</w:t>
      </w:r>
      <w:r>
        <w:rPr>
          <w:rFonts w:hint="eastAsia" w:ascii="宋体" w:hAnsi="宋体" w:eastAsia="宋体" w:cs="宋体"/>
          <w:szCs w:val="21"/>
          <w:lang w:eastAsia="zh-TW"/>
        </w:rPr>
        <w:t>应的投标</w:t>
      </w:r>
      <w:r>
        <w:rPr>
          <w:rFonts w:hint="eastAsia" w:ascii="宋体" w:hAnsi="宋体" w:eastAsia="宋体" w:cs="宋体"/>
          <w:szCs w:val="21"/>
        </w:rPr>
        <w:t>文件</w:t>
      </w:r>
      <w:r>
        <w:rPr>
          <w:rFonts w:hint="eastAsia" w:ascii="宋体" w:hAnsi="宋体" w:eastAsia="宋体" w:cs="宋体"/>
          <w:szCs w:val="21"/>
          <w:lang w:eastAsia="zh-TW"/>
        </w:rPr>
        <w:t>应该是与招标文件要求的关键条款</w:t>
      </w:r>
      <w:r>
        <w:rPr>
          <w:rFonts w:hint="eastAsia" w:ascii="宋体" w:hAnsi="宋体" w:eastAsia="宋体" w:cs="宋体"/>
          <w:szCs w:val="21"/>
        </w:rPr>
        <w:t>、</w:t>
      </w:r>
      <w:r>
        <w:rPr>
          <w:rFonts w:hint="eastAsia" w:ascii="宋体" w:hAnsi="宋体" w:eastAsia="宋体" w:cs="宋体"/>
          <w:szCs w:val="21"/>
          <w:lang w:eastAsia="zh-TW"/>
        </w:rPr>
        <w:t>条件和规格相符</w:t>
      </w:r>
      <w:r>
        <w:rPr>
          <w:rFonts w:hint="eastAsia" w:ascii="宋体" w:hAnsi="宋体" w:eastAsia="宋体" w:cs="宋体"/>
          <w:szCs w:val="21"/>
        </w:rPr>
        <w:t>或优于，</w:t>
      </w:r>
      <w:r>
        <w:rPr>
          <w:rFonts w:hint="eastAsia" w:ascii="宋体" w:hAnsi="宋体" w:eastAsia="宋体" w:cs="宋体"/>
          <w:szCs w:val="21"/>
          <w:lang w:eastAsia="zh-TW"/>
        </w:rPr>
        <w:t>没有</w:t>
      </w:r>
      <w:r>
        <w:rPr>
          <w:rFonts w:hint="eastAsia" w:ascii="宋体" w:hAnsi="宋体" w:eastAsia="宋体" w:cs="宋体"/>
          <w:szCs w:val="21"/>
        </w:rPr>
        <w:t>实质</w:t>
      </w:r>
      <w:r>
        <w:rPr>
          <w:rFonts w:hint="eastAsia" w:ascii="宋体" w:hAnsi="宋体" w:eastAsia="宋体" w:cs="宋体"/>
          <w:szCs w:val="21"/>
          <w:lang w:eastAsia="zh-TW"/>
        </w:rPr>
        <w:t>偏离的投标</w:t>
      </w:r>
      <w:r>
        <w:rPr>
          <w:rFonts w:hint="eastAsia" w:ascii="宋体" w:hAnsi="宋体" w:eastAsia="宋体" w:cs="宋体"/>
          <w:szCs w:val="21"/>
        </w:rPr>
        <w:t>文件</w:t>
      </w:r>
      <w:r>
        <w:rPr>
          <w:rFonts w:hint="eastAsia" w:ascii="宋体" w:hAnsi="宋体" w:eastAsia="宋体" w:cs="宋体"/>
          <w:szCs w:val="21"/>
          <w:lang w:eastAsia="zh-TW"/>
        </w:rPr>
        <w:t>。评标委员会决定投标的响应性只根据投标</w:t>
      </w:r>
      <w:r>
        <w:rPr>
          <w:rFonts w:hint="eastAsia" w:ascii="宋体" w:hAnsi="宋体" w:eastAsia="宋体" w:cs="宋体"/>
          <w:szCs w:val="21"/>
        </w:rPr>
        <w:t>文件</w:t>
      </w:r>
      <w:r>
        <w:rPr>
          <w:rFonts w:hint="eastAsia" w:ascii="宋体" w:hAnsi="宋体" w:eastAsia="宋体" w:cs="宋体"/>
          <w:szCs w:val="21"/>
          <w:lang w:eastAsia="zh-TW"/>
        </w:rPr>
        <w:t>本身的真实无误的内容</w:t>
      </w:r>
      <w:r>
        <w:rPr>
          <w:rFonts w:hint="eastAsia" w:ascii="宋体" w:hAnsi="宋体" w:eastAsia="宋体" w:cs="宋体"/>
          <w:szCs w:val="21"/>
        </w:rPr>
        <w:t>，</w:t>
      </w:r>
      <w:r>
        <w:rPr>
          <w:rFonts w:hint="eastAsia" w:ascii="宋体" w:hAnsi="宋体" w:eastAsia="宋体" w:cs="宋体"/>
          <w:szCs w:val="21"/>
          <w:lang w:eastAsia="zh-TW"/>
        </w:rPr>
        <w:t>而不依据外部的证据</w:t>
      </w:r>
      <w:r>
        <w:rPr>
          <w:rFonts w:hint="eastAsia" w:ascii="宋体" w:hAnsi="宋体" w:eastAsia="宋体" w:cs="宋体"/>
          <w:szCs w:val="21"/>
        </w:rPr>
        <w:t>，</w:t>
      </w:r>
      <w:r>
        <w:rPr>
          <w:rFonts w:hint="eastAsia" w:ascii="宋体" w:hAnsi="宋体" w:eastAsia="宋体" w:cs="宋体"/>
          <w:szCs w:val="21"/>
          <w:lang w:eastAsia="zh-TW"/>
        </w:rPr>
        <w:t>但投标有不真实的内容时除外。</w:t>
      </w:r>
    </w:p>
    <w:p w14:paraId="7784F67E">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lang w:eastAsia="zh-TW"/>
        </w:rPr>
        <w:t>实质上没有响应招标文件要求的投标将</w:t>
      </w:r>
      <w:r>
        <w:rPr>
          <w:rFonts w:hint="eastAsia" w:ascii="宋体" w:hAnsi="宋体" w:eastAsia="宋体" w:cs="宋体"/>
          <w:szCs w:val="21"/>
        </w:rPr>
        <w:t>被否决</w:t>
      </w:r>
      <w:r>
        <w:rPr>
          <w:rFonts w:hint="eastAsia" w:ascii="宋体" w:hAnsi="宋体" w:eastAsia="宋体" w:cs="宋体"/>
          <w:szCs w:val="21"/>
          <w:lang w:eastAsia="zh-TW"/>
        </w:rPr>
        <w:t>。投标人不得通过修正</w:t>
      </w:r>
      <w:r>
        <w:rPr>
          <w:rFonts w:hint="eastAsia" w:ascii="宋体" w:hAnsi="宋体" w:eastAsia="宋体" w:cs="宋体"/>
          <w:szCs w:val="21"/>
        </w:rPr>
        <w:t>、补充</w:t>
      </w:r>
      <w:r>
        <w:rPr>
          <w:rFonts w:hint="eastAsia" w:ascii="宋体" w:hAnsi="宋体" w:eastAsia="宋体" w:cs="宋体"/>
          <w:szCs w:val="21"/>
          <w:lang w:eastAsia="zh-TW"/>
        </w:rPr>
        <w:t>或撤销不合要求的偏离或保留从而使其投标成为实质上响应的投标。</w:t>
      </w:r>
    </w:p>
    <w:p w14:paraId="4C4C8DD0">
      <w:pPr>
        <w:snapToGrid w:val="0"/>
        <w:spacing w:line="360" w:lineRule="auto"/>
        <w:ind w:left="709" w:hanging="709"/>
        <w:rPr>
          <w:rFonts w:hint="eastAsia" w:ascii="宋体" w:hAnsi="宋体" w:eastAsia="宋体" w:cs="宋体"/>
          <w:szCs w:val="21"/>
        </w:rPr>
      </w:pPr>
      <w:r>
        <w:rPr>
          <w:rFonts w:hint="eastAsia" w:ascii="宋体" w:hAnsi="宋体" w:eastAsia="宋体" w:cs="宋体"/>
          <w:szCs w:val="21"/>
        </w:rPr>
        <w:t>17.5.1.</w:t>
      </w:r>
      <w:r>
        <w:rPr>
          <w:rFonts w:hint="eastAsia" w:ascii="宋体" w:hAnsi="宋体" w:eastAsia="宋体" w:cs="宋体"/>
          <w:szCs w:val="21"/>
          <w:lang w:eastAsia="zh-TW"/>
        </w:rPr>
        <w:t>在资格、符合性检查时，未能通过资格、符合性审查</w:t>
      </w:r>
      <w:r>
        <w:rPr>
          <w:rFonts w:hint="eastAsia" w:ascii="宋体" w:hAnsi="宋体" w:eastAsia="宋体" w:cs="宋体"/>
          <w:szCs w:val="21"/>
        </w:rPr>
        <w:t>的其投标</w:t>
      </w:r>
      <w:r>
        <w:rPr>
          <w:rFonts w:hint="eastAsia" w:ascii="宋体" w:hAnsi="宋体" w:eastAsia="宋体" w:cs="宋体"/>
          <w:szCs w:val="21"/>
          <w:lang w:eastAsia="zh-TW"/>
        </w:rPr>
        <w:t>被</w:t>
      </w:r>
      <w:r>
        <w:rPr>
          <w:rFonts w:hint="eastAsia" w:ascii="宋体" w:hAnsi="宋体" w:eastAsia="宋体" w:cs="宋体"/>
          <w:szCs w:val="21"/>
        </w:rPr>
        <w:t>否决。</w:t>
      </w:r>
      <w:r>
        <w:rPr>
          <w:rFonts w:hint="eastAsia" w:ascii="宋体" w:hAnsi="宋体" w:eastAsia="宋体" w:cs="宋体"/>
          <w:szCs w:val="21"/>
          <w:lang w:eastAsia="zh-TW"/>
        </w:rPr>
        <w:t>对初步被认定为资格</w:t>
      </w:r>
      <w:r>
        <w:rPr>
          <w:rFonts w:hint="eastAsia" w:ascii="宋体" w:hAnsi="宋体" w:eastAsia="宋体" w:cs="宋体"/>
          <w:szCs w:val="21"/>
        </w:rPr>
        <w:t>、符合</w:t>
      </w:r>
      <w:r>
        <w:rPr>
          <w:rFonts w:hint="eastAsia" w:ascii="宋体" w:hAnsi="宋体" w:eastAsia="宋体" w:cs="宋体"/>
          <w:szCs w:val="21"/>
          <w:lang w:eastAsia="zh-TW"/>
        </w:rPr>
        <w:t>性审查不</w:t>
      </w:r>
      <w:r>
        <w:rPr>
          <w:rFonts w:hint="eastAsia" w:ascii="宋体" w:hAnsi="宋体" w:eastAsia="宋体" w:cs="宋体"/>
          <w:szCs w:val="21"/>
        </w:rPr>
        <w:t>通过</w:t>
      </w:r>
      <w:r>
        <w:rPr>
          <w:rFonts w:hint="eastAsia" w:ascii="宋体" w:hAnsi="宋体" w:eastAsia="宋体" w:cs="宋体"/>
          <w:szCs w:val="21"/>
          <w:lang w:eastAsia="zh-TW"/>
        </w:rPr>
        <w:t>的，可实行告知投标当事人，以让其核证、澄清事实。未通过资格</w:t>
      </w:r>
      <w:r>
        <w:rPr>
          <w:rFonts w:hint="eastAsia" w:ascii="宋体" w:hAnsi="宋体" w:eastAsia="宋体" w:cs="宋体"/>
          <w:szCs w:val="21"/>
        </w:rPr>
        <w:t>、符合</w:t>
      </w:r>
      <w:r>
        <w:rPr>
          <w:rFonts w:hint="eastAsia" w:ascii="宋体" w:hAnsi="宋体" w:eastAsia="宋体" w:cs="宋体"/>
          <w:szCs w:val="21"/>
          <w:lang w:eastAsia="zh-TW"/>
        </w:rPr>
        <w:t>性审查的投标人，不进入</w:t>
      </w:r>
      <w:r>
        <w:rPr>
          <w:rFonts w:hint="eastAsia" w:ascii="宋体" w:hAnsi="宋体" w:eastAsia="宋体" w:cs="宋体"/>
          <w:szCs w:val="21"/>
        </w:rPr>
        <w:t>技术、商务、价格评审</w:t>
      </w:r>
      <w:r>
        <w:rPr>
          <w:rFonts w:hint="eastAsia" w:ascii="宋体" w:hAnsi="宋体" w:eastAsia="宋体" w:cs="宋体"/>
          <w:szCs w:val="21"/>
          <w:lang w:eastAsia="zh-TW"/>
        </w:rPr>
        <w:t>。对投标有效性认定意见不一致的，评标委员会按</w:t>
      </w:r>
      <w:r>
        <w:rPr>
          <w:rFonts w:hint="eastAsia" w:ascii="宋体" w:hAnsi="宋体" w:eastAsia="宋体" w:cs="宋体"/>
          <w:szCs w:val="21"/>
        </w:rPr>
        <w:t>少数服从多数的</w:t>
      </w:r>
      <w:r>
        <w:rPr>
          <w:rFonts w:hint="eastAsia" w:ascii="宋体" w:hAnsi="宋体" w:eastAsia="宋体" w:cs="宋体"/>
          <w:szCs w:val="21"/>
          <w:lang w:eastAsia="zh-TW"/>
        </w:rPr>
        <w:t>原则</w:t>
      </w:r>
      <w:r>
        <w:rPr>
          <w:rFonts w:hint="eastAsia" w:ascii="宋体" w:hAnsi="宋体" w:eastAsia="宋体" w:cs="宋体"/>
          <w:szCs w:val="21"/>
        </w:rPr>
        <w:t>做出结论</w:t>
      </w:r>
      <w:r>
        <w:rPr>
          <w:rFonts w:hint="eastAsia" w:ascii="宋体" w:hAnsi="宋体" w:eastAsia="宋体" w:cs="宋体"/>
          <w:szCs w:val="21"/>
          <w:lang w:eastAsia="zh-TW"/>
        </w:rPr>
        <w:t>。具体条款</w:t>
      </w:r>
      <w:r>
        <w:rPr>
          <w:rFonts w:hint="eastAsia" w:ascii="宋体" w:hAnsi="宋体" w:eastAsia="宋体" w:cs="宋体"/>
          <w:szCs w:val="21"/>
        </w:rPr>
        <w:t>详</w:t>
      </w:r>
      <w:r>
        <w:rPr>
          <w:rFonts w:hint="eastAsia" w:ascii="宋体" w:hAnsi="宋体" w:eastAsia="宋体" w:cs="宋体"/>
          <w:szCs w:val="21"/>
          <w:lang w:eastAsia="zh-TW"/>
        </w:rPr>
        <w:t>见招标文件《资格、符合性评审条款》。</w:t>
      </w:r>
    </w:p>
    <w:p w14:paraId="146AA9F7">
      <w:pPr>
        <w:numPr>
          <w:ilvl w:val="1"/>
          <w:numId w:val="12"/>
        </w:num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szCs w:val="21"/>
        </w:rPr>
        <w:t>投标文件初审中关于供应商家数的计算。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公开招标以外采购方式以及政府采购服务和工程涉及采购货物的项目，也按此方法计算供应商家数。</w:t>
      </w:r>
    </w:p>
    <w:p w14:paraId="0418E59C">
      <w:pPr>
        <w:numPr>
          <w:ilvl w:val="1"/>
          <w:numId w:val="12"/>
        </w:num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szCs w:val="21"/>
        </w:rPr>
        <w:t>通过资格、符合性审查的投标人少于3个时，不再继续技术商务评审，本项目招标失败。</w:t>
      </w:r>
    </w:p>
    <w:p w14:paraId="2F4808C4">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投标文件的澄清</w:t>
      </w:r>
    </w:p>
    <w:p w14:paraId="0481389B">
      <w:pPr>
        <w:numPr>
          <w:ilvl w:val="1"/>
          <w:numId w:val="12"/>
        </w:numPr>
        <w:autoSpaceDE w:val="0"/>
        <w:autoSpaceDN w:val="0"/>
        <w:adjustRightInd w:val="0"/>
        <w:snapToGrid w:val="0"/>
        <w:spacing w:line="360" w:lineRule="auto"/>
        <w:rPr>
          <w:rFonts w:hint="eastAsia" w:ascii="宋体" w:hAnsi="宋体" w:eastAsia="宋体" w:cs="宋体"/>
          <w:bCs/>
          <w:szCs w:val="21"/>
        </w:rPr>
      </w:pPr>
      <w:r>
        <w:rPr>
          <w:rFonts w:hint="eastAsia" w:ascii="宋体" w:hAnsi="宋体" w:eastAsia="宋体" w:cs="宋体"/>
          <w:bCs/>
          <w:szCs w:val="21"/>
        </w:rPr>
        <w:t>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w:t>
      </w:r>
      <w:r>
        <w:rPr>
          <w:rFonts w:hint="eastAsia" w:ascii="宋体" w:hAnsi="宋体" w:eastAsia="宋体" w:cs="宋体"/>
          <w:szCs w:val="21"/>
          <w:lang w:eastAsia="zh-TW"/>
        </w:rPr>
        <w:t>投标人的澄清</w:t>
      </w:r>
      <w:r>
        <w:rPr>
          <w:rFonts w:hint="eastAsia" w:ascii="宋体" w:hAnsi="宋体" w:eastAsia="宋体" w:cs="宋体"/>
          <w:szCs w:val="21"/>
        </w:rPr>
        <w:t>或</w:t>
      </w:r>
      <w:r>
        <w:rPr>
          <w:rFonts w:hint="eastAsia" w:ascii="宋体" w:hAnsi="宋体" w:eastAsia="宋体" w:cs="宋体"/>
          <w:szCs w:val="21"/>
          <w:lang w:eastAsia="zh-TW"/>
        </w:rPr>
        <w:t>说明</w:t>
      </w:r>
      <w:r>
        <w:rPr>
          <w:rFonts w:hint="eastAsia" w:ascii="宋体" w:hAnsi="宋体" w:eastAsia="宋体" w:cs="宋体"/>
          <w:szCs w:val="21"/>
        </w:rPr>
        <w:t>答复应加盖公章或</w:t>
      </w:r>
      <w:r>
        <w:rPr>
          <w:rFonts w:hint="eastAsia" w:ascii="宋体" w:hAnsi="宋体" w:eastAsia="宋体" w:cs="宋体"/>
          <w:szCs w:val="21"/>
          <w:lang w:eastAsia="zh-TW"/>
        </w:rPr>
        <w:t>由投标人的法定代表人或其授权的代表签字</w:t>
      </w:r>
      <w:r>
        <w:rPr>
          <w:rFonts w:hint="eastAsia" w:ascii="宋体" w:hAnsi="宋体" w:eastAsia="宋体" w:cs="宋体"/>
          <w:szCs w:val="21"/>
        </w:rPr>
        <w:t>或盖章。</w:t>
      </w:r>
    </w:p>
    <w:p w14:paraId="6918AE43">
      <w:pPr>
        <w:numPr>
          <w:ilvl w:val="1"/>
          <w:numId w:val="12"/>
        </w:numPr>
        <w:autoSpaceDE w:val="0"/>
        <w:autoSpaceDN w:val="0"/>
        <w:adjustRightInd w:val="0"/>
        <w:snapToGrid w:val="0"/>
        <w:spacing w:line="360" w:lineRule="auto"/>
        <w:rPr>
          <w:rFonts w:hint="eastAsia" w:ascii="宋体" w:hAnsi="宋体" w:eastAsia="宋体" w:cs="宋体"/>
          <w:szCs w:val="21"/>
          <w:lang w:eastAsia="zh-TW"/>
        </w:rPr>
      </w:pPr>
      <w:r>
        <w:rPr>
          <w:rFonts w:hint="eastAsia" w:ascii="宋体" w:hAnsi="宋体" w:eastAsia="宋体" w:cs="宋体"/>
          <w:szCs w:val="21"/>
          <w:lang w:eastAsia="zh-TW"/>
        </w:rPr>
        <w:t>投标人的澄清</w:t>
      </w:r>
      <w:r>
        <w:rPr>
          <w:rFonts w:hint="eastAsia" w:ascii="宋体" w:hAnsi="宋体" w:eastAsia="宋体" w:cs="宋体"/>
          <w:szCs w:val="21"/>
        </w:rPr>
        <w:t>或说明答复</w:t>
      </w:r>
      <w:r>
        <w:rPr>
          <w:rFonts w:hint="eastAsia" w:ascii="宋体" w:hAnsi="宋体" w:eastAsia="宋体" w:cs="宋体"/>
          <w:szCs w:val="21"/>
          <w:lang w:eastAsia="zh-TW"/>
        </w:rPr>
        <w:t>文件是其投标文件的组成部分。</w:t>
      </w:r>
    </w:p>
    <w:p w14:paraId="4EE8FC50">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投标文件详细评价</w:t>
      </w:r>
    </w:p>
    <w:p w14:paraId="6E56E633">
      <w:pPr>
        <w:numPr>
          <w:ilvl w:val="1"/>
          <w:numId w:val="12"/>
        </w:numPr>
        <w:autoSpaceDE w:val="0"/>
        <w:autoSpaceDN w:val="0"/>
        <w:adjustRightInd w:val="0"/>
        <w:snapToGrid w:val="0"/>
        <w:spacing w:line="360" w:lineRule="auto"/>
        <w:rPr>
          <w:rFonts w:hint="eastAsia" w:ascii="宋体" w:hAnsi="宋体" w:eastAsia="宋体" w:cs="宋体"/>
          <w:szCs w:val="21"/>
          <w:lang w:eastAsia="zh-TW"/>
        </w:rPr>
      </w:pPr>
      <w:r>
        <w:rPr>
          <w:rFonts w:hint="eastAsia" w:ascii="宋体" w:hAnsi="宋体" w:eastAsia="宋体" w:cs="宋体"/>
          <w:szCs w:val="21"/>
          <w:lang w:eastAsia="zh-TW"/>
        </w:rPr>
        <w:t>评标委员会按照招标文件确定的评标方法、步骤、标准对通过资格、符合性审查的投标文件进行详细评价和比较</w:t>
      </w:r>
      <w:r>
        <w:rPr>
          <w:rFonts w:hint="eastAsia" w:ascii="宋体" w:hAnsi="宋体" w:eastAsia="宋体" w:cs="宋体"/>
          <w:szCs w:val="21"/>
        </w:rPr>
        <w:t>，并出具书面评标报告。</w:t>
      </w:r>
    </w:p>
    <w:p w14:paraId="727287E6">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中标候选人的推荐方法</w:t>
      </w:r>
    </w:p>
    <w:p w14:paraId="0ACD4381">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采用综合评分法的，按评审后综合得分由高到低顺序排列，综合得分相同的，按下列顺序比较确定：（1）投标报价由低到高；（2）技术部分（或技术商务部分）得分由高到低；（3）以少数服从多数为原则，由评标委员会投票确定。</w:t>
      </w:r>
    </w:p>
    <w:p w14:paraId="74261B44">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采用最低评标价法的，按投标报价（经价格核准后的价格）由低到高顺序排列。投标报价相同的，以少数服从多数为原则，由评标委员会投票确定。</w:t>
      </w:r>
    </w:p>
    <w:p w14:paraId="1D63A72A">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除</w:t>
      </w:r>
      <w:r>
        <w:rPr>
          <w:rFonts w:hint="eastAsia" w:ascii="宋体" w:hAnsi="宋体" w:eastAsia="宋体" w:cs="宋体"/>
          <w:b/>
          <w:szCs w:val="21"/>
        </w:rPr>
        <w:t>“第二章  对通用条款的补充内容”</w:t>
      </w:r>
      <w:r>
        <w:rPr>
          <w:rFonts w:hint="eastAsia" w:ascii="宋体" w:hAnsi="宋体" w:eastAsia="宋体" w:cs="宋体"/>
          <w:szCs w:val="21"/>
        </w:rPr>
        <w:t>另有规定的，采用综合评分法的推荐综合得分排名前三的投标人为候选中标供应商。</w:t>
      </w:r>
    </w:p>
    <w:p w14:paraId="4FA7075E">
      <w:pPr>
        <w:numPr>
          <w:ilvl w:val="1"/>
          <w:numId w:val="12"/>
        </w:numPr>
        <w:autoSpaceDE w:val="0"/>
        <w:autoSpaceDN w:val="0"/>
        <w:adjustRightInd w:val="0"/>
        <w:snapToGrid w:val="0"/>
        <w:spacing w:line="360" w:lineRule="auto"/>
        <w:rPr>
          <w:rFonts w:hint="eastAsia" w:ascii="宋体" w:hAnsi="宋体" w:eastAsia="宋体" w:cs="宋体"/>
          <w:szCs w:val="21"/>
          <w:lang w:eastAsia="zh-TW"/>
        </w:rPr>
      </w:pPr>
      <w:r>
        <w:rPr>
          <w:rFonts w:hint="eastAsia" w:ascii="宋体" w:hAnsi="宋体" w:eastAsia="宋体" w:cs="宋体"/>
          <w:szCs w:val="21"/>
        </w:rPr>
        <w:t>排名前三的中标候选人放弃中标、因不可抗力不能履行合同、不按照招标文件要求提交履约保证金，或者被查实存在影响中标结果的违法行为等情形，不符合中标条件的，招标人可以按照评标委员会推荐的中标候选人名单排序依次确定其他中标候选人为中标人，也可以重新招标。</w:t>
      </w:r>
    </w:p>
    <w:p w14:paraId="12525CD1">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评标结果公示与中标通知书</w:t>
      </w:r>
    </w:p>
    <w:p w14:paraId="54F8A480">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评标结果经招标人确定后，招标代理机构将在发布本项目招标公告媒体上进行评标结果公示，公示期为3日。</w:t>
      </w:r>
    </w:p>
    <w:p w14:paraId="4C8E4292">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评标结果公示无异议的，招标代理机构向其发出中标通知书，同时将中标结果通知所有未中标的投标人。</w:t>
      </w:r>
    </w:p>
    <w:p w14:paraId="3D5D61D7">
      <w:pPr>
        <w:snapToGrid w:val="0"/>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第四章、异议的提出与答复</w:t>
      </w:r>
    </w:p>
    <w:p w14:paraId="62684434">
      <w:pPr>
        <w:numPr>
          <w:ilvl w:val="0"/>
          <w:numId w:val="12"/>
        </w:numPr>
        <w:autoSpaceDE w:val="0"/>
        <w:autoSpaceDN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异议的提出与答复</w:t>
      </w:r>
    </w:p>
    <w:p w14:paraId="209F5DA7">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潜在投标人或其他利害关系人对招标文件有异议的，应当在投标截止时间10日前以书面形式（加盖投标人公章）向招标代理机构提交异议函原件，逾期异议无效。</w:t>
      </w:r>
    </w:p>
    <w:p w14:paraId="7FD1B9D3">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投标人对开标异议的，应当在开标现场提出，招标人或招标代理机构应当当场作出答复，并制作记录。</w:t>
      </w:r>
    </w:p>
    <w:p w14:paraId="211AA26D">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投标人对评标结果有异议的，应当在公示期间以书面形式（加盖投标人公章）向招标代理机构提交异议函原件，逾期异议无效。</w:t>
      </w:r>
    </w:p>
    <w:p w14:paraId="491ED1D9">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以联合体形式参加采购活动的，其异议应当由组成联合体的所有供应商共同提出。</w:t>
      </w:r>
    </w:p>
    <w:p w14:paraId="35446FD8">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提交异议应以书面形式（加盖投标人公章）向招标人及招标代理机构提出异议，异议内容不得含有虚假、恶意成分。依据谁主张谁举证的原则，异议者提供的异议书应当包括下列主要内容：具体的异议事项、法律依据、事实依据及相关确凿的证明材料、明确的请求、异议项目名称、编号、投标人名称及地址、授权代表姓名及其联系电话、异议时间，异议书应当署名并由法定代表人或授权代表签字并加盖公章。投标人递交异议书时需提供异议书原件、法定代表人授权委托书（应载明委托代理的具体权限及事项）及授权代表身份证复印件。招标人及招标代理机构不接受投标人以电话、传真或电邮形式提交的异议。</w:t>
      </w:r>
    </w:p>
    <w:p w14:paraId="576812B4">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投标人异议应当有明确的请求和必要的证明材料，捏造事实、提供虚假材料或者以非法手段取得证明材料不能作为异议的证明材料。</w:t>
      </w:r>
    </w:p>
    <w:p w14:paraId="65692406">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投标人异议须提供相关证明材料，包括但不限于权益受损害的情况说明及受损害的原因、证据内容等，并对异议内容的真实性承担责任。</w:t>
      </w:r>
    </w:p>
    <w:p w14:paraId="15BAAF81">
      <w:pPr>
        <w:numPr>
          <w:ilvl w:val="1"/>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szCs w:val="21"/>
        </w:rPr>
        <w:t>招标人及招标代理机构应当在收到书面异议之日起3日内作出答复，但答复的内容不得涉及其他投标人的商业秘密。</w:t>
      </w:r>
    </w:p>
    <w:p w14:paraId="0EF6255F">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投标人提出的异议涉及评审过程或者结果的，招标人及招标代理机构可以组织原评审委员会协助处理异议事项，并可依据评审委员会出具的意见进行答复。</w:t>
      </w:r>
    </w:p>
    <w:p w14:paraId="6F7DA6DF">
      <w:pPr>
        <w:snapToGrid w:val="0"/>
        <w:spacing w:line="360" w:lineRule="auto"/>
        <w:rPr>
          <w:rFonts w:hint="eastAsia" w:ascii="宋体" w:hAnsi="宋体" w:eastAsia="宋体" w:cs="宋体"/>
          <w:b/>
          <w:bCs/>
          <w:szCs w:val="21"/>
        </w:rPr>
      </w:pPr>
    </w:p>
    <w:p w14:paraId="230711B4">
      <w:pPr>
        <w:snapToGrid w:val="0"/>
        <w:spacing w:line="360" w:lineRule="auto"/>
        <w:jc w:val="center"/>
        <w:rPr>
          <w:rFonts w:hint="eastAsia" w:ascii="宋体" w:hAnsi="宋体" w:eastAsia="宋体" w:cs="宋体"/>
          <w:b/>
          <w:sz w:val="28"/>
          <w:szCs w:val="28"/>
          <w:lang w:eastAsia="zh-TW"/>
        </w:rPr>
      </w:pPr>
      <w:r>
        <w:rPr>
          <w:rFonts w:hint="eastAsia" w:ascii="宋体" w:hAnsi="宋体" w:eastAsia="宋体" w:cs="宋体"/>
          <w:b/>
          <w:sz w:val="28"/>
          <w:szCs w:val="28"/>
        </w:rPr>
        <w:t>第五章、</w:t>
      </w:r>
      <w:r>
        <w:rPr>
          <w:rFonts w:hint="eastAsia" w:ascii="宋体" w:hAnsi="宋体" w:eastAsia="宋体" w:cs="宋体"/>
          <w:b/>
          <w:sz w:val="28"/>
          <w:szCs w:val="28"/>
          <w:lang w:eastAsia="zh-TW"/>
        </w:rPr>
        <w:t>授予合同</w:t>
      </w:r>
    </w:p>
    <w:p w14:paraId="2D1D70F5">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合同的订立</w:t>
      </w:r>
    </w:p>
    <w:p w14:paraId="56820F65">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除非</w:t>
      </w:r>
      <w:r>
        <w:rPr>
          <w:rFonts w:hint="eastAsia" w:ascii="宋体" w:hAnsi="宋体" w:eastAsia="宋体" w:cs="宋体"/>
          <w:b/>
          <w:szCs w:val="21"/>
        </w:rPr>
        <w:t>“ 对通用条款的补充内容”</w:t>
      </w:r>
      <w:r>
        <w:rPr>
          <w:rFonts w:hint="eastAsia" w:ascii="宋体" w:hAnsi="宋体" w:eastAsia="宋体" w:cs="宋体"/>
          <w:szCs w:val="21"/>
        </w:rPr>
        <w:t>另有规定，招标人和中标人应当自中标通知书发出之日起十个工作日内，参照《中华人民共和国招标投标法》及其实施条例的规定签订书面合同，合同的标的、价款、质量、履行期限等主要条款应当与招标文件和中标人的投标文件的内容一致。招标人和中标人不得再行订立背离合同实质性内容的其他协议。</w:t>
      </w:r>
    </w:p>
    <w:p w14:paraId="117CC157">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履约保证金</w:t>
      </w:r>
    </w:p>
    <w:p w14:paraId="23FB7699">
      <w:pPr>
        <w:numPr>
          <w:ilvl w:val="1"/>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szCs w:val="21"/>
          <w:lang w:eastAsia="zh-TW"/>
        </w:rPr>
        <w:t>中标人</w:t>
      </w:r>
      <w:r>
        <w:rPr>
          <w:rFonts w:hint="eastAsia" w:ascii="宋体" w:hAnsi="宋体" w:eastAsia="宋体" w:cs="宋体"/>
          <w:szCs w:val="21"/>
        </w:rPr>
        <w:t>应按照</w:t>
      </w:r>
      <w:r>
        <w:rPr>
          <w:rFonts w:hint="eastAsia" w:ascii="宋体" w:hAnsi="宋体" w:eastAsia="宋体" w:cs="宋体"/>
          <w:b/>
          <w:szCs w:val="21"/>
        </w:rPr>
        <w:t>招标文件</w:t>
      </w:r>
      <w:r>
        <w:rPr>
          <w:rFonts w:hint="eastAsia" w:ascii="宋体" w:hAnsi="宋体" w:eastAsia="宋体" w:cs="宋体"/>
          <w:szCs w:val="21"/>
        </w:rPr>
        <w:t>规定的金额，采用招标人可以接受的形式向招标人提交履约保证金。</w:t>
      </w:r>
    </w:p>
    <w:p w14:paraId="6504F831">
      <w:pPr>
        <w:numPr>
          <w:ilvl w:val="0"/>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b/>
          <w:bCs/>
          <w:szCs w:val="21"/>
        </w:rPr>
        <w:t>招标代理服务费</w:t>
      </w:r>
    </w:p>
    <w:p w14:paraId="0916708C">
      <w:pPr>
        <w:numPr>
          <w:ilvl w:val="1"/>
          <w:numId w:val="12"/>
        </w:numPr>
        <w:autoSpaceDE w:val="0"/>
        <w:autoSpaceDN w:val="0"/>
        <w:adjustRightInd w:val="0"/>
        <w:snapToGrid w:val="0"/>
        <w:spacing w:line="360" w:lineRule="auto"/>
        <w:rPr>
          <w:rFonts w:hint="eastAsia" w:ascii="宋体" w:hAnsi="宋体" w:eastAsia="宋体" w:cs="宋体"/>
          <w:b/>
          <w:bCs/>
          <w:szCs w:val="21"/>
        </w:rPr>
      </w:pPr>
      <w:r>
        <w:rPr>
          <w:rFonts w:hint="eastAsia" w:ascii="宋体" w:hAnsi="宋体" w:eastAsia="宋体" w:cs="宋体"/>
          <w:szCs w:val="21"/>
        </w:rPr>
        <w:t>中标人应按照招标文件的规定缴纳招标代理服务费。</w:t>
      </w:r>
    </w:p>
    <w:p w14:paraId="3BBC45F8">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服务费按差额定率累进法计算。</w:t>
      </w:r>
    </w:p>
    <w:tbl>
      <w:tblPr>
        <w:tblStyle w:val="5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3D2C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130" w:type="dxa"/>
            <w:noWrap w:val="0"/>
            <w:vAlign w:val="center"/>
          </w:tcPr>
          <w:p w14:paraId="58B05CB7">
            <w:pPr>
              <w:spacing w:line="360" w:lineRule="auto"/>
              <w:jc w:val="right"/>
              <w:rPr>
                <w:rFonts w:hint="eastAsia" w:ascii="宋体" w:hAnsi="宋体" w:eastAsia="宋体" w:cs="宋体"/>
                <w:bCs/>
                <w:szCs w:val="21"/>
              </w:rPr>
            </w:pPr>
            <w:r>
              <w:rPr>
                <w:rFonts w:hint="eastAsia" w:ascii="宋体" w:hAnsi="宋体" w:eastAsia="宋体" w:cs="宋体"/>
                <w:bCs/>
                <w:szCs w:val="21"/>
              </w:rPr>
              <w:t>服务类型</w:t>
            </w:r>
          </w:p>
          <w:p w14:paraId="0C7164E9">
            <w:pPr>
              <w:spacing w:line="360" w:lineRule="auto"/>
              <w:rPr>
                <w:rFonts w:hint="eastAsia" w:ascii="宋体" w:hAnsi="宋体" w:eastAsia="宋体" w:cs="宋体"/>
                <w:bCs/>
                <w:szCs w:val="21"/>
              </w:rPr>
            </w:pPr>
            <w:r>
              <w:rPr>
                <w:rFonts w:hint="eastAsia" w:ascii="宋体" w:hAnsi="宋体" w:eastAsia="宋体" w:cs="宋体"/>
                <w:bCs/>
                <w:szCs w:val="21"/>
              </w:rPr>
              <w:t>取费基准（万元）</w:t>
            </w:r>
          </w:p>
        </w:tc>
        <w:tc>
          <w:tcPr>
            <w:tcW w:w="2130" w:type="dxa"/>
            <w:noWrap w:val="0"/>
            <w:vAlign w:val="center"/>
          </w:tcPr>
          <w:p w14:paraId="3F949E61">
            <w:pPr>
              <w:spacing w:line="360" w:lineRule="auto"/>
              <w:jc w:val="center"/>
              <w:rPr>
                <w:rFonts w:hint="eastAsia" w:ascii="宋体" w:hAnsi="宋体" w:eastAsia="宋体" w:cs="宋体"/>
                <w:bCs/>
                <w:szCs w:val="21"/>
              </w:rPr>
            </w:pPr>
            <w:r>
              <w:rPr>
                <w:rFonts w:hint="eastAsia" w:ascii="宋体" w:hAnsi="宋体" w:eastAsia="宋体" w:cs="宋体"/>
                <w:bCs/>
                <w:szCs w:val="21"/>
              </w:rPr>
              <w:t>货物招标</w:t>
            </w:r>
          </w:p>
        </w:tc>
        <w:tc>
          <w:tcPr>
            <w:tcW w:w="2131" w:type="dxa"/>
            <w:noWrap w:val="0"/>
            <w:vAlign w:val="center"/>
          </w:tcPr>
          <w:p w14:paraId="75678931">
            <w:pPr>
              <w:spacing w:line="360" w:lineRule="auto"/>
              <w:jc w:val="center"/>
              <w:rPr>
                <w:rFonts w:hint="eastAsia" w:ascii="宋体" w:hAnsi="宋体" w:eastAsia="宋体" w:cs="宋体"/>
                <w:bCs/>
                <w:szCs w:val="21"/>
              </w:rPr>
            </w:pPr>
            <w:r>
              <w:rPr>
                <w:rFonts w:hint="eastAsia" w:ascii="宋体" w:hAnsi="宋体" w:eastAsia="宋体" w:cs="宋体"/>
                <w:bCs/>
                <w:szCs w:val="21"/>
              </w:rPr>
              <w:t>服务招标</w:t>
            </w:r>
          </w:p>
        </w:tc>
        <w:tc>
          <w:tcPr>
            <w:tcW w:w="2131" w:type="dxa"/>
            <w:noWrap w:val="0"/>
            <w:vAlign w:val="center"/>
          </w:tcPr>
          <w:p w14:paraId="3F1B4E59">
            <w:pPr>
              <w:spacing w:line="360" w:lineRule="auto"/>
              <w:jc w:val="center"/>
              <w:rPr>
                <w:rFonts w:hint="eastAsia" w:ascii="宋体" w:hAnsi="宋体" w:eastAsia="宋体" w:cs="宋体"/>
                <w:bCs/>
                <w:szCs w:val="21"/>
              </w:rPr>
            </w:pPr>
            <w:r>
              <w:rPr>
                <w:rFonts w:hint="eastAsia" w:ascii="宋体" w:hAnsi="宋体" w:eastAsia="宋体" w:cs="宋体"/>
                <w:bCs/>
                <w:szCs w:val="21"/>
              </w:rPr>
              <w:t>工程招标</w:t>
            </w:r>
          </w:p>
        </w:tc>
      </w:tr>
      <w:tr w14:paraId="5B38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3029857B">
            <w:pPr>
              <w:spacing w:line="360" w:lineRule="auto"/>
              <w:rPr>
                <w:rFonts w:hint="eastAsia" w:ascii="宋体" w:hAnsi="宋体" w:eastAsia="宋体" w:cs="宋体"/>
                <w:bCs/>
                <w:szCs w:val="21"/>
              </w:rPr>
            </w:pPr>
            <w:r>
              <w:rPr>
                <w:rFonts w:hint="eastAsia" w:ascii="宋体" w:hAnsi="宋体" w:eastAsia="宋体" w:cs="宋体"/>
                <w:bCs/>
                <w:szCs w:val="21"/>
              </w:rPr>
              <w:t>100以下</w:t>
            </w:r>
          </w:p>
        </w:tc>
        <w:tc>
          <w:tcPr>
            <w:tcW w:w="2130" w:type="dxa"/>
            <w:noWrap w:val="0"/>
            <w:vAlign w:val="top"/>
          </w:tcPr>
          <w:p w14:paraId="2C5FC58A">
            <w:pPr>
              <w:spacing w:line="360" w:lineRule="auto"/>
              <w:rPr>
                <w:rFonts w:hint="eastAsia" w:ascii="宋体" w:hAnsi="宋体" w:eastAsia="宋体" w:cs="宋体"/>
                <w:bCs/>
                <w:szCs w:val="21"/>
              </w:rPr>
            </w:pPr>
            <w:r>
              <w:rPr>
                <w:rFonts w:hint="eastAsia" w:ascii="宋体" w:hAnsi="宋体" w:eastAsia="宋体" w:cs="宋体"/>
                <w:bCs/>
                <w:szCs w:val="21"/>
              </w:rPr>
              <w:t>1.5%</w:t>
            </w:r>
          </w:p>
        </w:tc>
        <w:tc>
          <w:tcPr>
            <w:tcW w:w="2131" w:type="dxa"/>
            <w:noWrap w:val="0"/>
            <w:vAlign w:val="top"/>
          </w:tcPr>
          <w:p w14:paraId="06B5E0FC">
            <w:pPr>
              <w:spacing w:line="360" w:lineRule="auto"/>
              <w:rPr>
                <w:rFonts w:hint="eastAsia" w:ascii="宋体" w:hAnsi="宋体" w:eastAsia="宋体" w:cs="宋体"/>
                <w:bCs/>
                <w:szCs w:val="21"/>
              </w:rPr>
            </w:pPr>
            <w:r>
              <w:rPr>
                <w:rFonts w:hint="eastAsia" w:ascii="宋体" w:hAnsi="宋体" w:eastAsia="宋体" w:cs="宋体"/>
                <w:bCs/>
                <w:szCs w:val="21"/>
              </w:rPr>
              <w:t>1.5%</w:t>
            </w:r>
          </w:p>
        </w:tc>
        <w:tc>
          <w:tcPr>
            <w:tcW w:w="2131" w:type="dxa"/>
            <w:noWrap w:val="0"/>
            <w:vAlign w:val="top"/>
          </w:tcPr>
          <w:p w14:paraId="50A59BA6">
            <w:pPr>
              <w:spacing w:line="360" w:lineRule="auto"/>
              <w:rPr>
                <w:rFonts w:hint="eastAsia" w:ascii="宋体" w:hAnsi="宋体" w:eastAsia="宋体" w:cs="宋体"/>
                <w:bCs/>
                <w:szCs w:val="21"/>
              </w:rPr>
            </w:pPr>
            <w:r>
              <w:rPr>
                <w:rFonts w:hint="eastAsia" w:ascii="宋体" w:hAnsi="宋体" w:eastAsia="宋体" w:cs="宋体"/>
                <w:bCs/>
                <w:szCs w:val="21"/>
              </w:rPr>
              <w:t>1.0%</w:t>
            </w:r>
          </w:p>
        </w:tc>
      </w:tr>
      <w:tr w14:paraId="6004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490EFB33">
            <w:pPr>
              <w:spacing w:line="360" w:lineRule="auto"/>
              <w:rPr>
                <w:rFonts w:hint="eastAsia" w:ascii="宋体" w:hAnsi="宋体" w:eastAsia="宋体" w:cs="宋体"/>
                <w:bCs/>
                <w:szCs w:val="21"/>
              </w:rPr>
            </w:pPr>
            <w:r>
              <w:rPr>
                <w:rFonts w:hint="eastAsia" w:ascii="宋体" w:hAnsi="宋体" w:eastAsia="宋体" w:cs="宋体"/>
                <w:bCs/>
                <w:szCs w:val="21"/>
              </w:rPr>
              <w:t>100-500</w:t>
            </w:r>
          </w:p>
        </w:tc>
        <w:tc>
          <w:tcPr>
            <w:tcW w:w="2130" w:type="dxa"/>
            <w:noWrap w:val="0"/>
            <w:vAlign w:val="top"/>
          </w:tcPr>
          <w:p w14:paraId="665614B4">
            <w:pPr>
              <w:spacing w:line="360" w:lineRule="auto"/>
              <w:rPr>
                <w:rFonts w:hint="eastAsia" w:ascii="宋体" w:hAnsi="宋体" w:eastAsia="宋体" w:cs="宋体"/>
                <w:bCs/>
                <w:szCs w:val="21"/>
              </w:rPr>
            </w:pPr>
            <w:r>
              <w:rPr>
                <w:rFonts w:hint="eastAsia" w:ascii="宋体" w:hAnsi="宋体" w:eastAsia="宋体" w:cs="宋体"/>
                <w:bCs/>
                <w:szCs w:val="21"/>
              </w:rPr>
              <w:t>1.1%</w:t>
            </w:r>
          </w:p>
        </w:tc>
        <w:tc>
          <w:tcPr>
            <w:tcW w:w="2131" w:type="dxa"/>
            <w:noWrap w:val="0"/>
            <w:vAlign w:val="top"/>
          </w:tcPr>
          <w:p w14:paraId="5EA29E51">
            <w:pPr>
              <w:spacing w:line="360" w:lineRule="auto"/>
              <w:rPr>
                <w:rFonts w:hint="eastAsia" w:ascii="宋体" w:hAnsi="宋体" w:eastAsia="宋体" w:cs="宋体"/>
                <w:bCs/>
                <w:szCs w:val="21"/>
              </w:rPr>
            </w:pPr>
            <w:r>
              <w:rPr>
                <w:rFonts w:hint="eastAsia" w:ascii="宋体" w:hAnsi="宋体" w:eastAsia="宋体" w:cs="宋体"/>
                <w:bCs/>
                <w:szCs w:val="21"/>
              </w:rPr>
              <w:t>0.8%</w:t>
            </w:r>
          </w:p>
        </w:tc>
        <w:tc>
          <w:tcPr>
            <w:tcW w:w="2131" w:type="dxa"/>
            <w:noWrap w:val="0"/>
            <w:vAlign w:val="top"/>
          </w:tcPr>
          <w:p w14:paraId="4791D0E7">
            <w:pPr>
              <w:spacing w:line="360" w:lineRule="auto"/>
              <w:rPr>
                <w:rFonts w:hint="eastAsia" w:ascii="宋体" w:hAnsi="宋体" w:eastAsia="宋体" w:cs="宋体"/>
                <w:bCs/>
                <w:szCs w:val="21"/>
              </w:rPr>
            </w:pPr>
            <w:r>
              <w:rPr>
                <w:rFonts w:hint="eastAsia" w:ascii="宋体" w:hAnsi="宋体" w:eastAsia="宋体" w:cs="宋体"/>
                <w:bCs/>
                <w:szCs w:val="21"/>
              </w:rPr>
              <w:t>0.7%</w:t>
            </w:r>
          </w:p>
        </w:tc>
      </w:tr>
      <w:tr w14:paraId="1E6B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2610A709">
            <w:pPr>
              <w:spacing w:line="360" w:lineRule="auto"/>
              <w:rPr>
                <w:rFonts w:hint="eastAsia" w:ascii="宋体" w:hAnsi="宋体" w:eastAsia="宋体" w:cs="宋体"/>
                <w:bCs/>
                <w:szCs w:val="21"/>
              </w:rPr>
            </w:pPr>
            <w:r>
              <w:rPr>
                <w:rFonts w:hint="eastAsia" w:ascii="宋体" w:hAnsi="宋体" w:eastAsia="宋体" w:cs="宋体"/>
                <w:bCs/>
                <w:szCs w:val="21"/>
              </w:rPr>
              <w:t>500-1000</w:t>
            </w:r>
          </w:p>
        </w:tc>
        <w:tc>
          <w:tcPr>
            <w:tcW w:w="2130" w:type="dxa"/>
            <w:noWrap w:val="0"/>
            <w:vAlign w:val="top"/>
          </w:tcPr>
          <w:p w14:paraId="18E751BC">
            <w:pPr>
              <w:spacing w:line="360" w:lineRule="auto"/>
              <w:rPr>
                <w:rFonts w:hint="eastAsia" w:ascii="宋体" w:hAnsi="宋体" w:eastAsia="宋体" w:cs="宋体"/>
                <w:bCs/>
                <w:szCs w:val="21"/>
              </w:rPr>
            </w:pPr>
            <w:r>
              <w:rPr>
                <w:rFonts w:hint="eastAsia" w:ascii="宋体" w:hAnsi="宋体" w:eastAsia="宋体" w:cs="宋体"/>
                <w:bCs/>
                <w:szCs w:val="21"/>
              </w:rPr>
              <w:t>0.8%</w:t>
            </w:r>
          </w:p>
        </w:tc>
        <w:tc>
          <w:tcPr>
            <w:tcW w:w="2131" w:type="dxa"/>
            <w:noWrap w:val="0"/>
            <w:vAlign w:val="top"/>
          </w:tcPr>
          <w:p w14:paraId="5C1C3DEA">
            <w:pPr>
              <w:spacing w:line="360" w:lineRule="auto"/>
              <w:rPr>
                <w:rFonts w:hint="eastAsia" w:ascii="宋体" w:hAnsi="宋体" w:eastAsia="宋体" w:cs="宋体"/>
                <w:bCs/>
                <w:szCs w:val="21"/>
              </w:rPr>
            </w:pPr>
            <w:r>
              <w:rPr>
                <w:rFonts w:hint="eastAsia" w:ascii="宋体" w:hAnsi="宋体" w:eastAsia="宋体" w:cs="宋体"/>
                <w:bCs/>
                <w:szCs w:val="21"/>
              </w:rPr>
              <w:t>0.45%</w:t>
            </w:r>
          </w:p>
        </w:tc>
        <w:tc>
          <w:tcPr>
            <w:tcW w:w="2131" w:type="dxa"/>
            <w:noWrap w:val="0"/>
            <w:vAlign w:val="top"/>
          </w:tcPr>
          <w:p w14:paraId="02AC38ED">
            <w:pPr>
              <w:spacing w:line="360" w:lineRule="auto"/>
              <w:rPr>
                <w:rFonts w:hint="eastAsia" w:ascii="宋体" w:hAnsi="宋体" w:eastAsia="宋体" w:cs="宋体"/>
                <w:bCs/>
                <w:szCs w:val="21"/>
              </w:rPr>
            </w:pPr>
            <w:r>
              <w:rPr>
                <w:rFonts w:hint="eastAsia" w:ascii="宋体" w:hAnsi="宋体" w:eastAsia="宋体" w:cs="宋体"/>
                <w:bCs/>
                <w:szCs w:val="21"/>
              </w:rPr>
              <w:t>0.55%</w:t>
            </w:r>
          </w:p>
        </w:tc>
      </w:tr>
      <w:tr w14:paraId="3884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5FDF6205">
            <w:pPr>
              <w:spacing w:line="360" w:lineRule="auto"/>
              <w:rPr>
                <w:rFonts w:hint="eastAsia" w:ascii="宋体" w:hAnsi="宋体" w:eastAsia="宋体" w:cs="宋体"/>
                <w:bCs/>
                <w:szCs w:val="21"/>
              </w:rPr>
            </w:pPr>
            <w:r>
              <w:rPr>
                <w:rFonts w:hint="eastAsia" w:ascii="宋体" w:hAnsi="宋体" w:eastAsia="宋体" w:cs="宋体"/>
                <w:bCs/>
                <w:szCs w:val="21"/>
              </w:rPr>
              <w:t>1000-5000</w:t>
            </w:r>
          </w:p>
        </w:tc>
        <w:tc>
          <w:tcPr>
            <w:tcW w:w="2130" w:type="dxa"/>
            <w:noWrap w:val="0"/>
            <w:vAlign w:val="top"/>
          </w:tcPr>
          <w:p w14:paraId="573436C8">
            <w:pPr>
              <w:spacing w:line="360" w:lineRule="auto"/>
              <w:rPr>
                <w:rFonts w:hint="eastAsia" w:ascii="宋体" w:hAnsi="宋体" w:eastAsia="宋体" w:cs="宋体"/>
                <w:bCs/>
                <w:szCs w:val="21"/>
              </w:rPr>
            </w:pPr>
            <w:r>
              <w:rPr>
                <w:rFonts w:hint="eastAsia" w:ascii="宋体" w:hAnsi="宋体" w:eastAsia="宋体" w:cs="宋体"/>
                <w:bCs/>
                <w:szCs w:val="21"/>
              </w:rPr>
              <w:t>0.5%</w:t>
            </w:r>
          </w:p>
        </w:tc>
        <w:tc>
          <w:tcPr>
            <w:tcW w:w="2131" w:type="dxa"/>
            <w:noWrap w:val="0"/>
            <w:vAlign w:val="top"/>
          </w:tcPr>
          <w:p w14:paraId="1E6E9CBA">
            <w:pPr>
              <w:spacing w:line="360" w:lineRule="auto"/>
              <w:rPr>
                <w:rFonts w:hint="eastAsia" w:ascii="宋体" w:hAnsi="宋体" w:eastAsia="宋体" w:cs="宋体"/>
                <w:bCs/>
                <w:szCs w:val="21"/>
              </w:rPr>
            </w:pPr>
            <w:r>
              <w:rPr>
                <w:rFonts w:hint="eastAsia" w:ascii="宋体" w:hAnsi="宋体" w:eastAsia="宋体" w:cs="宋体"/>
                <w:bCs/>
                <w:szCs w:val="21"/>
              </w:rPr>
              <w:t>0.25%</w:t>
            </w:r>
          </w:p>
        </w:tc>
        <w:tc>
          <w:tcPr>
            <w:tcW w:w="2131" w:type="dxa"/>
            <w:noWrap w:val="0"/>
            <w:vAlign w:val="top"/>
          </w:tcPr>
          <w:p w14:paraId="6142B413">
            <w:pPr>
              <w:spacing w:line="360" w:lineRule="auto"/>
              <w:rPr>
                <w:rFonts w:hint="eastAsia" w:ascii="宋体" w:hAnsi="宋体" w:eastAsia="宋体" w:cs="宋体"/>
                <w:bCs/>
                <w:szCs w:val="21"/>
              </w:rPr>
            </w:pPr>
            <w:r>
              <w:rPr>
                <w:rFonts w:hint="eastAsia" w:ascii="宋体" w:hAnsi="宋体" w:eastAsia="宋体" w:cs="宋体"/>
                <w:bCs/>
                <w:szCs w:val="21"/>
              </w:rPr>
              <w:t>0.35%</w:t>
            </w:r>
          </w:p>
        </w:tc>
      </w:tr>
      <w:tr w14:paraId="27A5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6718BF30">
            <w:pPr>
              <w:spacing w:line="360" w:lineRule="auto"/>
              <w:rPr>
                <w:rFonts w:hint="eastAsia" w:ascii="宋体" w:hAnsi="宋体" w:eastAsia="宋体" w:cs="宋体"/>
                <w:bCs/>
                <w:szCs w:val="21"/>
              </w:rPr>
            </w:pPr>
            <w:r>
              <w:rPr>
                <w:rFonts w:hint="eastAsia" w:ascii="宋体" w:hAnsi="宋体" w:eastAsia="宋体" w:cs="宋体"/>
                <w:bCs/>
                <w:szCs w:val="21"/>
              </w:rPr>
              <w:t>5000-10000</w:t>
            </w:r>
          </w:p>
        </w:tc>
        <w:tc>
          <w:tcPr>
            <w:tcW w:w="2130" w:type="dxa"/>
            <w:noWrap w:val="0"/>
            <w:vAlign w:val="top"/>
          </w:tcPr>
          <w:p w14:paraId="07648947">
            <w:pPr>
              <w:spacing w:line="360" w:lineRule="auto"/>
              <w:rPr>
                <w:rFonts w:hint="eastAsia" w:ascii="宋体" w:hAnsi="宋体" w:eastAsia="宋体" w:cs="宋体"/>
                <w:bCs/>
                <w:szCs w:val="21"/>
              </w:rPr>
            </w:pPr>
            <w:r>
              <w:rPr>
                <w:rFonts w:hint="eastAsia" w:ascii="宋体" w:hAnsi="宋体" w:eastAsia="宋体" w:cs="宋体"/>
                <w:bCs/>
                <w:szCs w:val="21"/>
              </w:rPr>
              <w:t>0.25%</w:t>
            </w:r>
          </w:p>
        </w:tc>
        <w:tc>
          <w:tcPr>
            <w:tcW w:w="2131" w:type="dxa"/>
            <w:noWrap w:val="0"/>
            <w:vAlign w:val="top"/>
          </w:tcPr>
          <w:p w14:paraId="3C7C9821">
            <w:pPr>
              <w:spacing w:line="360" w:lineRule="auto"/>
              <w:rPr>
                <w:rFonts w:hint="eastAsia" w:ascii="宋体" w:hAnsi="宋体" w:eastAsia="宋体" w:cs="宋体"/>
                <w:bCs/>
                <w:szCs w:val="21"/>
              </w:rPr>
            </w:pPr>
            <w:r>
              <w:rPr>
                <w:rFonts w:hint="eastAsia" w:ascii="宋体" w:hAnsi="宋体" w:eastAsia="宋体" w:cs="宋体"/>
                <w:bCs/>
                <w:szCs w:val="21"/>
              </w:rPr>
              <w:t>0.1%</w:t>
            </w:r>
          </w:p>
        </w:tc>
        <w:tc>
          <w:tcPr>
            <w:tcW w:w="2131" w:type="dxa"/>
            <w:noWrap w:val="0"/>
            <w:vAlign w:val="top"/>
          </w:tcPr>
          <w:p w14:paraId="1713D311">
            <w:pPr>
              <w:spacing w:line="360" w:lineRule="auto"/>
              <w:rPr>
                <w:rFonts w:hint="eastAsia" w:ascii="宋体" w:hAnsi="宋体" w:eastAsia="宋体" w:cs="宋体"/>
                <w:bCs/>
                <w:szCs w:val="21"/>
              </w:rPr>
            </w:pPr>
            <w:r>
              <w:rPr>
                <w:rFonts w:hint="eastAsia" w:ascii="宋体" w:hAnsi="宋体" w:eastAsia="宋体" w:cs="宋体"/>
                <w:bCs/>
                <w:szCs w:val="21"/>
              </w:rPr>
              <w:t>0.2%</w:t>
            </w:r>
          </w:p>
        </w:tc>
      </w:tr>
      <w:tr w14:paraId="22DB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687E6D5C">
            <w:pPr>
              <w:spacing w:line="360" w:lineRule="auto"/>
              <w:rPr>
                <w:rFonts w:hint="eastAsia" w:ascii="宋体" w:hAnsi="宋体" w:eastAsia="宋体" w:cs="宋体"/>
                <w:bCs/>
                <w:szCs w:val="21"/>
              </w:rPr>
            </w:pPr>
            <w:r>
              <w:rPr>
                <w:rFonts w:hint="eastAsia" w:ascii="宋体" w:hAnsi="宋体" w:eastAsia="宋体" w:cs="宋体"/>
                <w:bCs/>
                <w:szCs w:val="21"/>
              </w:rPr>
              <w:t>10000-100000</w:t>
            </w:r>
          </w:p>
        </w:tc>
        <w:tc>
          <w:tcPr>
            <w:tcW w:w="2130" w:type="dxa"/>
            <w:noWrap w:val="0"/>
            <w:vAlign w:val="top"/>
          </w:tcPr>
          <w:p w14:paraId="563431C7">
            <w:pPr>
              <w:spacing w:line="360" w:lineRule="auto"/>
              <w:rPr>
                <w:rFonts w:hint="eastAsia" w:ascii="宋体" w:hAnsi="宋体" w:eastAsia="宋体" w:cs="宋体"/>
                <w:bCs/>
                <w:szCs w:val="21"/>
              </w:rPr>
            </w:pPr>
            <w:r>
              <w:rPr>
                <w:rFonts w:hint="eastAsia" w:ascii="宋体" w:hAnsi="宋体" w:eastAsia="宋体" w:cs="宋体"/>
                <w:bCs/>
                <w:szCs w:val="21"/>
              </w:rPr>
              <w:t>0.05%</w:t>
            </w:r>
          </w:p>
        </w:tc>
        <w:tc>
          <w:tcPr>
            <w:tcW w:w="2131" w:type="dxa"/>
            <w:noWrap w:val="0"/>
            <w:vAlign w:val="top"/>
          </w:tcPr>
          <w:p w14:paraId="45038EFC">
            <w:pPr>
              <w:spacing w:line="360" w:lineRule="auto"/>
              <w:rPr>
                <w:rFonts w:hint="eastAsia" w:ascii="宋体" w:hAnsi="宋体" w:eastAsia="宋体" w:cs="宋体"/>
                <w:bCs/>
                <w:szCs w:val="21"/>
              </w:rPr>
            </w:pPr>
            <w:r>
              <w:rPr>
                <w:rFonts w:hint="eastAsia" w:ascii="宋体" w:hAnsi="宋体" w:eastAsia="宋体" w:cs="宋体"/>
                <w:bCs/>
                <w:szCs w:val="21"/>
              </w:rPr>
              <w:t>0.05%</w:t>
            </w:r>
          </w:p>
        </w:tc>
        <w:tc>
          <w:tcPr>
            <w:tcW w:w="2131" w:type="dxa"/>
            <w:noWrap w:val="0"/>
            <w:vAlign w:val="top"/>
          </w:tcPr>
          <w:p w14:paraId="4ED841AA">
            <w:pPr>
              <w:spacing w:line="360" w:lineRule="auto"/>
              <w:rPr>
                <w:rFonts w:hint="eastAsia" w:ascii="宋体" w:hAnsi="宋体" w:eastAsia="宋体" w:cs="宋体"/>
                <w:bCs/>
                <w:szCs w:val="21"/>
              </w:rPr>
            </w:pPr>
            <w:r>
              <w:rPr>
                <w:rFonts w:hint="eastAsia" w:ascii="宋体" w:hAnsi="宋体" w:eastAsia="宋体" w:cs="宋体"/>
                <w:bCs/>
                <w:szCs w:val="21"/>
              </w:rPr>
              <w:t>0.05%</w:t>
            </w:r>
          </w:p>
        </w:tc>
      </w:tr>
      <w:tr w14:paraId="3296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67016A31">
            <w:pPr>
              <w:spacing w:line="360" w:lineRule="auto"/>
              <w:rPr>
                <w:rFonts w:hint="eastAsia" w:ascii="宋体" w:hAnsi="宋体" w:eastAsia="宋体" w:cs="宋体"/>
                <w:bCs/>
                <w:szCs w:val="21"/>
              </w:rPr>
            </w:pPr>
            <w:r>
              <w:rPr>
                <w:rFonts w:hint="eastAsia" w:ascii="宋体" w:hAnsi="宋体" w:eastAsia="宋体" w:cs="宋体"/>
                <w:bCs/>
                <w:szCs w:val="21"/>
              </w:rPr>
              <w:t>100000以上</w:t>
            </w:r>
          </w:p>
        </w:tc>
        <w:tc>
          <w:tcPr>
            <w:tcW w:w="2130" w:type="dxa"/>
            <w:noWrap w:val="0"/>
            <w:vAlign w:val="top"/>
          </w:tcPr>
          <w:p w14:paraId="11E7400E">
            <w:pPr>
              <w:spacing w:line="360" w:lineRule="auto"/>
              <w:rPr>
                <w:rFonts w:hint="eastAsia" w:ascii="宋体" w:hAnsi="宋体" w:eastAsia="宋体" w:cs="宋体"/>
                <w:bCs/>
                <w:szCs w:val="21"/>
              </w:rPr>
            </w:pPr>
            <w:r>
              <w:rPr>
                <w:rFonts w:hint="eastAsia" w:ascii="宋体" w:hAnsi="宋体" w:eastAsia="宋体" w:cs="宋体"/>
                <w:bCs/>
                <w:szCs w:val="21"/>
              </w:rPr>
              <w:t>0.01%</w:t>
            </w:r>
          </w:p>
        </w:tc>
        <w:tc>
          <w:tcPr>
            <w:tcW w:w="2131" w:type="dxa"/>
            <w:noWrap w:val="0"/>
            <w:vAlign w:val="top"/>
          </w:tcPr>
          <w:p w14:paraId="336B2338">
            <w:pPr>
              <w:spacing w:line="360" w:lineRule="auto"/>
              <w:rPr>
                <w:rFonts w:hint="eastAsia" w:ascii="宋体" w:hAnsi="宋体" w:eastAsia="宋体" w:cs="宋体"/>
                <w:bCs/>
                <w:szCs w:val="21"/>
              </w:rPr>
            </w:pPr>
            <w:r>
              <w:rPr>
                <w:rFonts w:hint="eastAsia" w:ascii="宋体" w:hAnsi="宋体" w:eastAsia="宋体" w:cs="宋体"/>
                <w:bCs/>
                <w:szCs w:val="21"/>
              </w:rPr>
              <w:t>0.01%</w:t>
            </w:r>
          </w:p>
        </w:tc>
        <w:tc>
          <w:tcPr>
            <w:tcW w:w="2131" w:type="dxa"/>
            <w:noWrap w:val="0"/>
            <w:vAlign w:val="top"/>
          </w:tcPr>
          <w:p w14:paraId="20278750">
            <w:pPr>
              <w:spacing w:line="360" w:lineRule="auto"/>
              <w:rPr>
                <w:rFonts w:hint="eastAsia" w:ascii="宋体" w:hAnsi="宋体" w:eastAsia="宋体" w:cs="宋体"/>
                <w:bCs/>
                <w:szCs w:val="21"/>
              </w:rPr>
            </w:pPr>
            <w:r>
              <w:rPr>
                <w:rFonts w:hint="eastAsia" w:ascii="宋体" w:hAnsi="宋体" w:eastAsia="宋体" w:cs="宋体"/>
                <w:bCs/>
                <w:szCs w:val="21"/>
              </w:rPr>
              <w:t>0.01%</w:t>
            </w:r>
          </w:p>
        </w:tc>
      </w:tr>
    </w:tbl>
    <w:p w14:paraId="3B8E1AA1">
      <w:pPr>
        <w:snapToGrid w:val="0"/>
        <w:spacing w:line="360" w:lineRule="auto"/>
        <w:ind w:left="644"/>
        <w:rPr>
          <w:rFonts w:hint="eastAsia" w:ascii="宋体" w:hAnsi="宋体" w:eastAsia="宋体" w:cs="宋体"/>
          <w:szCs w:val="21"/>
        </w:rPr>
      </w:pPr>
    </w:p>
    <w:p w14:paraId="65579E46">
      <w:pPr>
        <w:snapToGrid w:val="0"/>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第六章、 其他</w:t>
      </w:r>
    </w:p>
    <w:p w14:paraId="4D85050F">
      <w:pPr>
        <w:pStyle w:val="83"/>
        <w:widowControl/>
        <w:numPr>
          <w:ilvl w:val="0"/>
          <w:numId w:val="12"/>
        </w:numPr>
        <w:autoSpaceDE w:val="0"/>
        <w:autoSpaceDN w:val="0"/>
        <w:adjustRightInd w:val="0"/>
        <w:spacing w:line="360" w:lineRule="auto"/>
        <w:ind w:firstLineChars="0"/>
        <w:jc w:val="left"/>
        <w:rPr>
          <w:rFonts w:hint="eastAsia" w:ascii="宋体" w:hAnsi="宋体" w:eastAsia="宋体" w:cs="宋体"/>
          <w:szCs w:val="21"/>
        </w:rPr>
      </w:pPr>
      <w:r>
        <w:rPr>
          <w:rFonts w:hint="eastAsia" w:ascii="宋体" w:hAnsi="宋体" w:eastAsia="宋体" w:cs="宋体"/>
          <w:szCs w:val="21"/>
        </w:rPr>
        <w:t>有下列情形之一的，属于投标人相互串通投标：</w:t>
      </w:r>
    </w:p>
    <w:p w14:paraId="20851CDB">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投标人之间协商投标报价等投标文件的实质性内容；</w:t>
      </w:r>
    </w:p>
    <w:p w14:paraId="69460298">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投标人之间约定中标人；</w:t>
      </w:r>
    </w:p>
    <w:p w14:paraId="7417984D">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投标人之间约定部分投标人放弃投标或者中标；</w:t>
      </w:r>
    </w:p>
    <w:p w14:paraId="0C433402">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属于同一集团、协会、商会等组织成员的投标人按照该组织要求协同投标；</w:t>
      </w:r>
    </w:p>
    <w:p w14:paraId="316888FE">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投标人之间为谋取中标或者排斥特定投标人而采取的其他联合行动</w:t>
      </w:r>
    </w:p>
    <w:p w14:paraId="34FB79E9">
      <w:pPr>
        <w:pStyle w:val="83"/>
        <w:widowControl/>
        <w:numPr>
          <w:ilvl w:val="0"/>
          <w:numId w:val="12"/>
        </w:numPr>
        <w:autoSpaceDE w:val="0"/>
        <w:autoSpaceDN w:val="0"/>
        <w:adjustRightInd w:val="0"/>
        <w:spacing w:line="360" w:lineRule="auto"/>
        <w:ind w:firstLineChars="0"/>
        <w:jc w:val="left"/>
        <w:rPr>
          <w:rFonts w:hint="eastAsia" w:ascii="宋体" w:hAnsi="宋体" w:eastAsia="宋体" w:cs="宋体"/>
          <w:szCs w:val="21"/>
        </w:rPr>
      </w:pPr>
      <w:r>
        <w:rPr>
          <w:rFonts w:hint="eastAsia" w:ascii="宋体" w:hAnsi="宋体" w:eastAsia="宋体" w:cs="宋体"/>
          <w:szCs w:val="21"/>
        </w:rPr>
        <w:t>有下列情形之一的，视为投标人串通投标，其投标无效：</w:t>
      </w:r>
    </w:p>
    <w:p w14:paraId="62982723">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不同投标人的投标文件由同一单位或者个人编制；</w:t>
      </w:r>
    </w:p>
    <w:p w14:paraId="6FC51C85">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不同投标人委托同一单位或者个人办理投标事宜；</w:t>
      </w:r>
    </w:p>
    <w:p w14:paraId="4157A021">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不同投标人的投标文件载明的项目管理成员或者联系人员为同一人；</w:t>
      </w:r>
    </w:p>
    <w:p w14:paraId="66A5B100">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不同投标人的投标文件异常一致或者投标报价呈规律性差异；</w:t>
      </w:r>
    </w:p>
    <w:p w14:paraId="39252D45">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不同投标人的投标文件相互混装；</w:t>
      </w:r>
    </w:p>
    <w:p w14:paraId="071C1D5D">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不同投标人的投标保证金从同一单位或者个人的账户转出。</w:t>
      </w:r>
    </w:p>
    <w:p w14:paraId="5F2831BD">
      <w:pPr>
        <w:pStyle w:val="83"/>
        <w:widowControl/>
        <w:numPr>
          <w:ilvl w:val="0"/>
          <w:numId w:val="12"/>
        </w:numPr>
        <w:autoSpaceDE w:val="0"/>
        <w:autoSpaceDN w:val="0"/>
        <w:adjustRightInd w:val="0"/>
        <w:spacing w:line="360" w:lineRule="auto"/>
        <w:ind w:firstLineChars="0"/>
        <w:jc w:val="left"/>
        <w:rPr>
          <w:rFonts w:hint="eastAsia" w:ascii="宋体" w:hAnsi="宋体" w:eastAsia="宋体" w:cs="宋体"/>
          <w:szCs w:val="21"/>
        </w:rPr>
      </w:pPr>
      <w:r>
        <w:rPr>
          <w:rFonts w:hint="eastAsia" w:ascii="宋体" w:hAnsi="宋体" w:eastAsia="宋体" w:cs="宋体"/>
          <w:szCs w:val="21"/>
        </w:rPr>
        <w:t>有下列情形之一的，评标委员会应当否决其投标：</w:t>
      </w:r>
    </w:p>
    <w:p w14:paraId="59FC21F8">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投标文件未经投标单位盖章和单位负责人签字；</w:t>
      </w:r>
    </w:p>
    <w:p w14:paraId="7653EBEC">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投标联合体没有提交共同投标协议；</w:t>
      </w:r>
    </w:p>
    <w:p w14:paraId="6433CCE1">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投标人不符合国家或者招标文件规定的资格条件；</w:t>
      </w:r>
    </w:p>
    <w:p w14:paraId="0D121CB5">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同一投标人提交两个以上不同的投标文件或者投标报价，但招标文件要求提交备选投标的除外；</w:t>
      </w:r>
    </w:p>
    <w:p w14:paraId="4F8648DD">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投标报价低于成本或者高于招标文件设定的最高投标限价；</w:t>
      </w:r>
    </w:p>
    <w:p w14:paraId="343FB3A7">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投标文件没有对招标文件的实质性要求和条件作出响应；</w:t>
      </w:r>
    </w:p>
    <w:p w14:paraId="1818F18D">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投标人有串通投标、弄虚作假、行贿等违法行为；</w:t>
      </w:r>
    </w:p>
    <w:p w14:paraId="7FFDE6A7">
      <w:pPr>
        <w:pStyle w:val="83"/>
        <w:widowControl/>
        <w:numPr>
          <w:ilvl w:val="0"/>
          <w:numId w:val="12"/>
        </w:numPr>
        <w:autoSpaceDE w:val="0"/>
        <w:autoSpaceDN w:val="0"/>
        <w:adjustRightInd w:val="0"/>
        <w:spacing w:line="360" w:lineRule="auto"/>
        <w:ind w:firstLineChars="0"/>
        <w:jc w:val="left"/>
        <w:rPr>
          <w:rFonts w:hint="eastAsia" w:ascii="宋体" w:hAnsi="宋体" w:eastAsia="宋体" w:cs="宋体"/>
          <w:szCs w:val="21"/>
        </w:rPr>
      </w:pPr>
      <w:r>
        <w:rPr>
          <w:rFonts w:hint="eastAsia" w:ascii="宋体" w:hAnsi="宋体" w:eastAsia="宋体" w:cs="宋体"/>
          <w:szCs w:val="21"/>
        </w:rPr>
        <w:t>投标人存在下列情况之一的，投标无效:</w:t>
      </w:r>
    </w:p>
    <w:p w14:paraId="15859948">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未按照招标文件的规定提交投标保证金的；</w:t>
      </w:r>
    </w:p>
    <w:p w14:paraId="085E9AFF">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投标文件未按招标文件要求签署、盖章的；</w:t>
      </w:r>
    </w:p>
    <w:p w14:paraId="432A884A">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不具备招标文件中规定的资格要求的；</w:t>
      </w:r>
    </w:p>
    <w:p w14:paraId="24686AE8">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报价超过招标文件中规定的预算金额或者最高限价的；</w:t>
      </w:r>
    </w:p>
    <w:p w14:paraId="6C257A4A">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投标文件含有招标人不能接受的附加条件的;</w:t>
      </w:r>
    </w:p>
    <w:p w14:paraId="192AB7F9">
      <w:pPr>
        <w:numPr>
          <w:ilvl w:val="1"/>
          <w:numId w:val="12"/>
        </w:numPr>
        <w:autoSpaceDE w:val="0"/>
        <w:autoSpaceDN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法律、法规和招标文件规定的其他无效情形。</w:t>
      </w:r>
    </w:p>
    <w:p w14:paraId="6DBC31DD">
      <w:pPr>
        <w:pStyle w:val="42"/>
        <w:adjustRightInd w:val="0"/>
        <w:snapToGrid w:val="0"/>
        <w:spacing w:line="360" w:lineRule="auto"/>
        <w:outlineLvl w:val="3"/>
        <w:rPr>
          <w:rFonts w:hint="eastAsia" w:ascii="宋体" w:hAnsi="宋体" w:eastAsia="宋体" w:cs="宋体"/>
          <w:sz w:val="21"/>
          <w:szCs w:val="21"/>
        </w:rPr>
      </w:pPr>
      <w:r>
        <w:rPr>
          <w:rFonts w:hint="eastAsia" w:ascii="宋体" w:hAnsi="宋体" w:eastAsia="宋体" w:cs="宋体"/>
          <w:sz w:val="21"/>
          <w:szCs w:val="21"/>
        </w:rPr>
        <w:br w:type="page"/>
      </w:r>
      <w:r>
        <w:rPr>
          <w:rFonts w:hint="eastAsia" w:ascii="宋体" w:hAnsi="宋体" w:eastAsia="宋体" w:cs="宋体"/>
          <w:sz w:val="21"/>
          <w:szCs w:val="21"/>
        </w:rPr>
        <w:t>2：异议函格式</w:t>
      </w:r>
    </w:p>
    <w:p w14:paraId="3B6B0E8C">
      <w:pPr>
        <w:jc w:val="center"/>
        <w:rPr>
          <w:rFonts w:hint="eastAsia" w:ascii="宋体" w:hAnsi="宋体" w:eastAsia="宋体" w:cs="宋体"/>
          <w:b/>
          <w:bCs/>
          <w:szCs w:val="21"/>
        </w:rPr>
      </w:pPr>
      <w:r>
        <w:rPr>
          <w:rFonts w:hint="eastAsia" w:ascii="宋体" w:hAnsi="宋体" w:eastAsia="宋体" w:cs="宋体"/>
          <w:b/>
          <w:bCs/>
          <w:szCs w:val="21"/>
        </w:rPr>
        <w:t>异议函范本</w:t>
      </w:r>
    </w:p>
    <w:p w14:paraId="40A86128">
      <w:pPr>
        <w:snapToGrid w:val="0"/>
        <w:spacing w:before="312" w:beforeLines="100" w:line="360" w:lineRule="auto"/>
        <w:rPr>
          <w:rFonts w:hint="eastAsia" w:ascii="宋体" w:hAnsi="宋体" w:eastAsia="宋体" w:cs="宋体"/>
          <w:bCs/>
          <w:szCs w:val="21"/>
        </w:rPr>
      </w:pPr>
      <w:r>
        <w:rPr>
          <w:rFonts w:hint="eastAsia" w:ascii="宋体" w:hAnsi="宋体" w:eastAsia="宋体" w:cs="宋体"/>
          <w:bCs/>
          <w:szCs w:val="21"/>
        </w:rPr>
        <w:t>一、异议供应商基本信息</w:t>
      </w:r>
    </w:p>
    <w:p w14:paraId="1C6AE816">
      <w:pPr>
        <w:snapToGrid w:val="0"/>
        <w:spacing w:line="360" w:lineRule="auto"/>
        <w:rPr>
          <w:rFonts w:hint="eastAsia" w:ascii="宋体" w:hAnsi="宋体" w:eastAsia="宋体" w:cs="宋体"/>
          <w:szCs w:val="21"/>
          <w:u w:val="dotted"/>
        </w:rPr>
      </w:pPr>
      <w:r>
        <w:rPr>
          <w:rFonts w:hint="eastAsia" w:ascii="宋体" w:hAnsi="宋体" w:eastAsia="宋体" w:cs="宋体"/>
          <w:szCs w:val="21"/>
        </w:rPr>
        <w:t>异议供应商：</w:t>
      </w:r>
    </w:p>
    <w:p w14:paraId="3147174D">
      <w:pPr>
        <w:snapToGrid w:val="0"/>
        <w:spacing w:line="360" w:lineRule="auto"/>
        <w:rPr>
          <w:rFonts w:hint="eastAsia" w:ascii="宋体" w:hAnsi="宋体" w:eastAsia="宋体" w:cs="宋体"/>
          <w:szCs w:val="21"/>
        </w:rPr>
      </w:pPr>
      <w:r>
        <w:rPr>
          <w:rFonts w:hint="eastAsia" w:ascii="宋体" w:hAnsi="宋体" w:eastAsia="宋体" w:cs="宋体"/>
          <w:szCs w:val="21"/>
        </w:rPr>
        <w:t>地址：邮编：</w:t>
      </w:r>
    </w:p>
    <w:p w14:paraId="312EC8E4">
      <w:pPr>
        <w:snapToGrid w:val="0"/>
        <w:spacing w:line="360" w:lineRule="auto"/>
        <w:rPr>
          <w:rFonts w:hint="eastAsia" w:ascii="宋体" w:hAnsi="宋体" w:eastAsia="宋体" w:cs="宋体"/>
          <w:szCs w:val="21"/>
        </w:rPr>
      </w:pPr>
      <w:r>
        <w:rPr>
          <w:rFonts w:hint="eastAsia" w:ascii="宋体" w:hAnsi="宋体" w:eastAsia="宋体" w:cs="宋体"/>
          <w:szCs w:val="21"/>
        </w:rPr>
        <w:t>联系人：联系电话：</w:t>
      </w:r>
    </w:p>
    <w:p w14:paraId="13515819">
      <w:pPr>
        <w:snapToGrid w:val="0"/>
        <w:spacing w:line="360" w:lineRule="auto"/>
        <w:rPr>
          <w:rFonts w:hint="eastAsia" w:ascii="宋体" w:hAnsi="宋体" w:eastAsia="宋体" w:cs="宋体"/>
          <w:szCs w:val="21"/>
          <w:u w:val="dotted"/>
        </w:rPr>
      </w:pPr>
      <w:r>
        <w:rPr>
          <w:rFonts w:hint="eastAsia" w:ascii="宋体" w:hAnsi="宋体" w:eastAsia="宋体" w:cs="宋体"/>
          <w:szCs w:val="21"/>
        </w:rPr>
        <w:t>授权代表：</w:t>
      </w:r>
    </w:p>
    <w:p w14:paraId="2B70039E">
      <w:pPr>
        <w:snapToGrid w:val="0"/>
        <w:spacing w:line="360" w:lineRule="auto"/>
        <w:rPr>
          <w:rFonts w:hint="eastAsia" w:ascii="宋体" w:hAnsi="宋体" w:eastAsia="宋体" w:cs="宋体"/>
          <w:szCs w:val="21"/>
        </w:rPr>
      </w:pPr>
      <w:r>
        <w:rPr>
          <w:rFonts w:hint="eastAsia" w:ascii="宋体" w:hAnsi="宋体" w:eastAsia="宋体" w:cs="宋体"/>
          <w:szCs w:val="21"/>
        </w:rPr>
        <w:t>联系电话：</w:t>
      </w:r>
    </w:p>
    <w:p w14:paraId="3C702D27">
      <w:pPr>
        <w:snapToGrid w:val="0"/>
        <w:spacing w:line="360" w:lineRule="auto"/>
        <w:rPr>
          <w:rFonts w:hint="eastAsia" w:ascii="宋体" w:hAnsi="宋体" w:eastAsia="宋体" w:cs="宋体"/>
          <w:szCs w:val="21"/>
        </w:rPr>
      </w:pPr>
      <w:r>
        <w:rPr>
          <w:rFonts w:hint="eastAsia" w:ascii="宋体" w:hAnsi="宋体" w:eastAsia="宋体" w:cs="宋体"/>
          <w:szCs w:val="21"/>
        </w:rPr>
        <w:t>地址：邮编：</w:t>
      </w:r>
    </w:p>
    <w:p w14:paraId="0EA87D38">
      <w:pPr>
        <w:snapToGrid w:val="0"/>
        <w:spacing w:line="360" w:lineRule="auto"/>
        <w:rPr>
          <w:rFonts w:hint="eastAsia" w:ascii="宋体" w:hAnsi="宋体" w:eastAsia="宋体" w:cs="宋体"/>
          <w:bCs/>
          <w:szCs w:val="21"/>
        </w:rPr>
      </w:pPr>
      <w:r>
        <w:rPr>
          <w:rFonts w:hint="eastAsia" w:ascii="宋体" w:hAnsi="宋体" w:eastAsia="宋体" w:cs="宋体"/>
          <w:bCs/>
          <w:szCs w:val="21"/>
        </w:rPr>
        <w:t>二、异议项目基本情况</w:t>
      </w:r>
    </w:p>
    <w:p w14:paraId="411C0559">
      <w:pPr>
        <w:snapToGrid w:val="0"/>
        <w:spacing w:line="360" w:lineRule="auto"/>
        <w:rPr>
          <w:rFonts w:hint="eastAsia" w:ascii="宋体" w:hAnsi="宋体" w:eastAsia="宋体" w:cs="宋体"/>
          <w:szCs w:val="21"/>
        </w:rPr>
      </w:pPr>
      <w:r>
        <w:rPr>
          <w:rFonts w:hint="eastAsia" w:ascii="宋体" w:hAnsi="宋体" w:eastAsia="宋体" w:cs="宋体"/>
          <w:szCs w:val="21"/>
        </w:rPr>
        <w:t>异议项目的名称：</w:t>
      </w:r>
    </w:p>
    <w:p w14:paraId="4279F341">
      <w:pPr>
        <w:snapToGrid w:val="0"/>
        <w:spacing w:line="360" w:lineRule="auto"/>
        <w:rPr>
          <w:rFonts w:hint="eastAsia" w:ascii="宋体" w:hAnsi="宋体" w:eastAsia="宋体" w:cs="宋体"/>
          <w:szCs w:val="21"/>
        </w:rPr>
      </w:pPr>
      <w:r>
        <w:rPr>
          <w:rFonts w:hint="eastAsia" w:ascii="宋体" w:hAnsi="宋体" w:eastAsia="宋体" w:cs="宋体"/>
          <w:szCs w:val="21"/>
        </w:rPr>
        <w:t>异议项目的编号：包号：</w:t>
      </w:r>
    </w:p>
    <w:p w14:paraId="30ADE287">
      <w:pPr>
        <w:snapToGrid w:val="0"/>
        <w:spacing w:line="360" w:lineRule="auto"/>
        <w:rPr>
          <w:rFonts w:hint="eastAsia" w:ascii="宋体" w:hAnsi="宋体" w:eastAsia="宋体" w:cs="宋体"/>
          <w:szCs w:val="21"/>
          <w:u w:val="single"/>
        </w:rPr>
      </w:pPr>
      <w:r>
        <w:rPr>
          <w:rFonts w:hint="eastAsia" w:ascii="宋体" w:hAnsi="宋体" w:eastAsia="宋体" w:cs="宋体"/>
          <w:szCs w:val="21"/>
        </w:rPr>
        <w:t xml:space="preserve"> </w:t>
      </w:r>
    </w:p>
    <w:p w14:paraId="307E8290">
      <w:pPr>
        <w:snapToGrid w:val="0"/>
        <w:spacing w:line="360" w:lineRule="auto"/>
        <w:rPr>
          <w:rFonts w:hint="eastAsia" w:ascii="宋体" w:hAnsi="宋体" w:eastAsia="宋体" w:cs="宋体"/>
          <w:szCs w:val="21"/>
          <w:u w:val="single"/>
        </w:rPr>
      </w:pPr>
      <w:r>
        <w:rPr>
          <w:rFonts w:hint="eastAsia" w:ascii="宋体" w:hAnsi="宋体" w:eastAsia="宋体" w:cs="宋体"/>
          <w:szCs w:val="21"/>
        </w:rPr>
        <w:t>招标文件获取日期：</w:t>
      </w:r>
    </w:p>
    <w:p w14:paraId="4192616A">
      <w:pPr>
        <w:snapToGrid w:val="0"/>
        <w:spacing w:line="360" w:lineRule="auto"/>
        <w:rPr>
          <w:rFonts w:hint="eastAsia" w:ascii="宋体" w:hAnsi="宋体" w:eastAsia="宋体" w:cs="宋体"/>
          <w:bCs/>
          <w:szCs w:val="21"/>
        </w:rPr>
      </w:pPr>
      <w:r>
        <w:rPr>
          <w:rFonts w:hint="eastAsia" w:ascii="宋体" w:hAnsi="宋体" w:eastAsia="宋体" w:cs="宋体"/>
          <w:bCs/>
          <w:szCs w:val="21"/>
        </w:rPr>
        <w:t>三、异议事项具体内容</w:t>
      </w:r>
    </w:p>
    <w:p w14:paraId="0DE05395">
      <w:pPr>
        <w:snapToGrid w:val="0"/>
        <w:spacing w:line="360" w:lineRule="auto"/>
        <w:rPr>
          <w:rFonts w:hint="eastAsia" w:ascii="宋体" w:hAnsi="宋体" w:eastAsia="宋体" w:cs="宋体"/>
          <w:szCs w:val="21"/>
          <w:u w:val="single"/>
        </w:rPr>
      </w:pPr>
      <w:r>
        <w:rPr>
          <w:rFonts w:hint="eastAsia" w:ascii="宋体" w:hAnsi="宋体" w:eastAsia="宋体" w:cs="宋体"/>
          <w:szCs w:val="21"/>
        </w:rPr>
        <w:t>异议事项1：</w:t>
      </w:r>
    </w:p>
    <w:p w14:paraId="555BD846">
      <w:pPr>
        <w:snapToGrid w:val="0"/>
        <w:spacing w:line="360" w:lineRule="auto"/>
        <w:rPr>
          <w:rFonts w:hint="eastAsia" w:ascii="宋体" w:hAnsi="宋体" w:eastAsia="宋体" w:cs="宋体"/>
          <w:szCs w:val="21"/>
          <w:u w:val="single"/>
        </w:rPr>
      </w:pPr>
      <w:r>
        <w:rPr>
          <w:rFonts w:hint="eastAsia" w:ascii="宋体" w:hAnsi="宋体" w:eastAsia="宋体" w:cs="宋体"/>
          <w:szCs w:val="21"/>
        </w:rPr>
        <w:t>事实依据：</w:t>
      </w:r>
    </w:p>
    <w:p w14:paraId="3FC941B3">
      <w:pPr>
        <w:snapToGrid w:val="0"/>
        <w:spacing w:line="360" w:lineRule="auto"/>
        <w:rPr>
          <w:rFonts w:hint="eastAsia" w:ascii="宋体" w:hAnsi="宋体" w:eastAsia="宋体" w:cs="宋体"/>
          <w:szCs w:val="21"/>
          <w:u w:val="single"/>
        </w:rPr>
      </w:pPr>
    </w:p>
    <w:p w14:paraId="0C1347D1">
      <w:pPr>
        <w:snapToGrid w:val="0"/>
        <w:spacing w:line="360" w:lineRule="auto"/>
        <w:rPr>
          <w:rFonts w:hint="eastAsia" w:ascii="宋体" w:hAnsi="宋体" w:eastAsia="宋体" w:cs="宋体"/>
          <w:szCs w:val="21"/>
          <w:u w:val="single"/>
        </w:rPr>
      </w:pPr>
      <w:r>
        <w:rPr>
          <w:rFonts w:hint="eastAsia" w:ascii="宋体" w:hAnsi="宋体" w:eastAsia="宋体" w:cs="宋体"/>
          <w:szCs w:val="21"/>
        </w:rPr>
        <w:t>法律依据：</w:t>
      </w:r>
    </w:p>
    <w:p w14:paraId="5089826D">
      <w:pPr>
        <w:snapToGrid w:val="0"/>
        <w:spacing w:line="360" w:lineRule="auto"/>
        <w:rPr>
          <w:rFonts w:hint="eastAsia" w:ascii="宋体" w:hAnsi="宋体" w:eastAsia="宋体" w:cs="宋体"/>
          <w:szCs w:val="21"/>
          <w:u w:val="single"/>
        </w:rPr>
      </w:pPr>
    </w:p>
    <w:p w14:paraId="49A77FCC">
      <w:pPr>
        <w:snapToGrid w:val="0"/>
        <w:spacing w:line="360" w:lineRule="auto"/>
        <w:rPr>
          <w:rFonts w:hint="eastAsia" w:ascii="宋体" w:hAnsi="宋体" w:eastAsia="宋体" w:cs="宋体"/>
          <w:szCs w:val="21"/>
          <w:u w:val="dotted"/>
        </w:rPr>
      </w:pPr>
      <w:r>
        <w:rPr>
          <w:rFonts w:hint="eastAsia" w:ascii="宋体" w:hAnsi="宋体" w:eastAsia="宋体" w:cs="宋体"/>
          <w:szCs w:val="21"/>
        </w:rPr>
        <w:t>异议事项2</w:t>
      </w:r>
    </w:p>
    <w:p w14:paraId="2CA81655">
      <w:pPr>
        <w:snapToGrid w:val="0"/>
        <w:spacing w:line="360" w:lineRule="auto"/>
        <w:rPr>
          <w:rFonts w:hint="eastAsia" w:ascii="宋体" w:hAnsi="宋体" w:eastAsia="宋体" w:cs="宋体"/>
          <w:szCs w:val="21"/>
        </w:rPr>
      </w:pPr>
      <w:r>
        <w:rPr>
          <w:rFonts w:hint="eastAsia" w:ascii="宋体" w:hAnsi="宋体" w:eastAsia="宋体" w:cs="宋体"/>
          <w:szCs w:val="21"/>
        </w:rPr>
        <w:t>……</w:t>
      </w:r>
    </w:p>
    <w:p w14:paraId="327AB2EF">
      <w:pPr>
        <w:snapToGrid w:val="0"/>
        <w:spacing w:line="360" w:lineRule="auto"/>
        <w:rPr>
          <w:rFonts w:hint="eastAsia" w:ascii="宋体" w:hAnsi="宋体" w:eastAsia="宋体" w:cs="宋体"/>
          <w:bCs/>
          <w:szCs w:val="21"/>
        </w:rPr>
      </w:pPr>
      <w:r>
        <w:rPr>
          <w:rFonts w:hint="eastAsia" w:ascii="宋体" w:hAnsi="宋体" w:eastAsia="宋体" w:cs="宋体"/>
          <w:bCs/>
          <w:szCs w:val="21"/>
        </w:rPr>
        <w:t>四、与异议事项相关的异议请求</w:t>
      </w:r>
    </w:p>
    <w:p w14:paraId="52478C96">
      <w:pPr>
        <w:snapToGrid w:val="0"/>
        <w:spacing w:line="360" w:lineRule="auto"/>
        <w:rPr>
          <w:rFonts w:hint="eastAsia" w:ascii="宋体" w:hAnsi="宋体" w:eastAsia="宋体" w:cs="宋体"/>
          <w:szCs w:val="21"/>
          <w:u w:val="dotted"/>
        </w:rPr>
      </w:pPr>
      <w:r>
        <w:rPr>
          <w:rFonts w:hint="eastAsia" w:ascii="宋体" w:hAnsi="宋体" w:eastAsia="宋体" w:cs="宋体"/>
          <w:szCs w:val="21"/>
        </w:rPr>
        <w:t>请求：</w:t>
      </w:r>
    </w:p>
    <w:p w14:paraId="5C0B874D">
      <w:pPr>
        <w:spacing w:line="360" w:lineRule="auto"/>
        <w:rPr>
          <w:rFonts w:hint="eastAsia" w:ascii="宋体" w:hAnsi="宋体" w:eastAsia="宋体" w:cs="宋体"/>
          <w:szCs w:val="21"/>
        </w:rPr>
      </w:pPr>
      <w:r>
        <w:rPr>
          <w:rFonts w:hint="eastAsia" w:ascii="宋体" w:hAnsi="宋体" w:eastAsia="宋体" w:cs="宋体"/>
          <w:szCs w:val="21"/>
        </w:rPr>
        <w:t xml:space="preserve">签字(签章)：                   公章：                      </w:t>
      </w:r>
    </w:p>
    <w:p w14:paraId="780D75BB">
      <w:pPr>
        <w:spacing w:line="360" w:lineRule="auto"/>
        <w:rPr>
          <w:rFonts w:hint="eastAsia" w:ascii="宋体" w:hAnsi="宋体" w:eastAsia="宋体" w:cs="宋体"/>
          <w:szCs w:val="21"/>
        </w:rPr>
      </w:pPr>
      <w:r>
        <w:rPr>
          <w:rFonts w:hint="eastAsia" w:ascii="宋体" w:hAnsi="宋体" w:eastAsia="宋体" w:cs="宋体"/>
          <w:szCs w:val="21"/>
        </w:rPr>
        <w:t xml:space="preserve">日期：   </w:t>
      </w:r>
    </w:p>
    <w:p w14:paraId="6FD951BD">
      <w:pPr>
        <w:snapToGrid w:val="0"/>
        <w:spacing w:line="360" w:lineRule="auto"/>
        <w:rPr>
          <w:rFonts w:hint="eastAsia" w:ascii="宋体" w:hAnsi="宋体" w:eastAsia="宋体" w:cs="宋体"/>
          <w:szCs w:val="21"/>
        </w:rPr>
      </w:pPr>
      <w:r>
        <w:rPr>
          <w:rFonts w:hint="eastAsia" w:ascii="宋体" w:hAnsi="宋体" w:eastAsia="宋体" w:cs="宋体"/>
          <w:szCs w:val="21"/>
        </w:rPr>
        <w:t>附件：</w:t>
      </w:r>
    </w:p>
    <w:tbl>
      <w:tblPr>
        <w:tblStyle w:val="50"/>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7"/>
        <w:gridCol w:w="2761"/>
        <w:gridCol w:w="2247"/>
        <w:gridCol w:w="2247"/>
      </w:tblGrid>
      <w:tr w14:paraId="7704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noWrap w:val="0"/>
            <w:tcMar>
              <w:top w:w="72" w:type="dxa"/>
              <w:left w:w="144" w:type="dxa"/>
              <w:bottom w:w="72" w:type="dxa"/>
              <w:right w:w="144" w:type="dxa"/>
            </w:tcMar>
            <w:vAlign w:val="top"/>
          </w:tcPr>
          <w:p w14:paraId="6E26D755">
            <w:pPr>
              <w:snapToGrid w:val="0"/>
              <w:spacing w:line="360" w:lineRule="auto"/>
              <w:rPr>
                <w:rFonts w:hint="eastAsia" w:ascii="宋体" w:hAnsi="宋体" w:eastAsia="宋体" w:cs="宋体"/>
                <w:szCs w:val="21"/>
              </w:rPr>
            </w:pPr>
            <w:r>
              <w:rPr>
                <w:rFonts w:hint="eastAsia" w:ascii="宋体" w:hAnsi="宋体" w:eastAsia="宋体" w:cs="宋体"/>
                <w:szCs w:val="21"/>
              </w:rPr>
              <w:t>序号</w:t>
            </w:r>
          </w:p>
        </w:tc>
        <w:tc>
          <w:tcPr>
            <w:tcW w:w="2761" w:type="dxa"/>
            <w:noWrap w:val="0"/>
            <w:tcMar>
              <w:top w:w="72" w:type="dxa"/>
              <w:left w:w="144" w:type="dxa"/>
              <w:bottom w:w="72" w:type="dxa"/>
              <w:right w:w="144" w:type="dxa"/>
            </w:tcMar>
            <w:vAlign w:val="top"/>
          </w:tcPr>
          <w:p w14:paraId="65D2041C">
            <w:pPr>
              <w:snapToGrid w:val="0"/>
              <w:spacing w:line="360" w:lineRule="auto"/>
              <w:rPr>
                <w:rFonts w:hint="eastAsia" w:ascii="宋体" w:hAnsi="宋体" w:eastAsia="宋体" w:cs="宋体"/>
                <w:szCs w:val="21"/>
              </w:rPr>
            </w:pPr>
            <w:r>
              <w:rPr>
                <w:rFonts w:hint="eastAsia" w:ascii="宋体" w:hAnsi="宋体" w:eastAsia="宋体" w:cs="宋体"/>
                <w:szCs w:val="21"/>
              </w:rPr>
              <w:t>证明材料名称</w:t>
            </w:r>
          </w:p>
        </w:tc>
        <w:tc>
          <w:tcPr>
            <w:tcW w:w="2247" w:type="dxa"/>
            <w:noWrap w:val="0"/>
            <w:tcMar>
              <w:top w:w="72" w:type="dxa"/>
              <w:left w:w="144" w:type="dxa"/>
              <w:bottom w:w="72" w:type="dxa"/>
              <w:right w:w="144" w:type="dxa"/>
            </w:tcMar>
            <w:vAlign w:val="top"/>
          </w:tcPr>
          <w:p w14:paraId="3C55436D">
            <w:pPr>
              <w:snapToGrid w:val="0"/>
              <w:spacing w:line="360" w:lineRule="auto"/>
              <w:rPr>
                <w:rFonts w:hint="eastAsia" w:ascii="宋体" w:hAnsi="宋体" w:eastAsia="宋体" w:cs="宋体"/>
                <w:szCs w:val="21"/>
              </w:rPr>
            </w:pPr>
            <w:r>
              <w:rPr>
                <w:rFonts w:hint="eastAsia" w:ascii="宋体" w:hAnsi="宋体" w:eastAsia="宋体" w:cs="宋体"/>
                <w:szCs w:val="21"/>
              </w:rPr>
              <w:t>证明材料来源</w:t>
            </w:r>
          </w:p>
        </w:tc>
        <w:tc>
          <w:tcPr>
            <w:tcW w:w="2247" w:type="dxa"/>
            <w:noWrap w:val="0"/>
            <w:tcMar>
              <w:top w:w="72" w:type="dxa"/>
              <w:left w:w="144" w:type="dxa"/>
              <w:bottom w:w="72" w:type="dxa"/>
              <w:right w:w="144" w:type="dxa"/>
            </w:tcMar>
            <w:vAlign w:val="top"/>
          </w:tcPr>
          <w:p w14:paraId="2F6253F6">
            <w:pPr>
              <w:snapToGrid w:val="0"/>
              <w:spacing w:line="360" w:lineRule="auto"/>
              <w:rPr>
                <w:rFonts w:hint="eastAsia" w:ascii="宋体" w:hAnsi="宋体" w:eastAsia="宋体" w:cs="宋体"/>
                <w:szCs w:val="21"/>
              </w:rPr>
            </w:pPr>
            <w:r>
              <w:rPr>
                <w:rFonts w:hint="eastAsia" w:ascii="宋体" w:hAnsi="宋体" w:eastAsia="宋体" w:cs="宋体"/>
                <w:szCs w:val="21"/>
              </w:rPr>
              <w:t>证明对象</w:t>
            </w:r>
          </w:p>
        </w:tc>
      </w:tr>
      <w:tr w14:paraId="7062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noWrap w:val="0"/>
            <w:tcMar>
              <w:top w:w="72" w:type="dxa"/>
              <w:left w:w="144" w:type="dxa"/>
              <w:bottom w:w="72" w:type="dxa"/>
              <w:right w:w="144" w:type="dxa"/>
            </w:tcMar>
            <w:vAlign w:val="top"/>
          </w:tcPr>
          <w:p w14:paraId="795EDF8B">
            <w:pPr>
              <w:snapToGrid w:val="0"/>
              <w:spacing w:line="360" w:lineRule="auto"/>
              <w:rPr>
                <w:rFonts w:hint="eastAsia" w:ascii="宋体" w:hAnsi="宋体" w:eastAsia="宋体" w:cs="宋体"/>
                <w:szCs w:val="21"/>
              </w:rPr>
            </w:pPr>
            <w:r>
              <w:rPr>
                <w:rFonts w:hint="eastAsia" w:ascii="宋体" w:hAnsi="宋体" w:eastAsia="宋体" w:cs="宋体"/>
                <w:szCs w:val="21"/>
              </w:rPr>
              <w:t xml:space="preserve">1 </w:t>
            </w:r>
          </w:p>
        </w:tc>
        <w:tc>
          <w:tcPr>
            <w:tcW w:w="2761" w:type="dxa"/>
            <w:noWrap w:val="0"/>
            <w:tcMar>
              <w:top w:w="72" w:type="dxa"/>
              <w:left w:w="144" w:type="dxa"/>
              <w:bottom w:w="72" w:type="dxa"/>
              <w:right w:w="144" w:type="dxa"/>
            </w:tcMar>
            <w:vAlign w:val="top"/>
          </w:tcPr>
          <w:p w14:paraId="2074CBB7">
            <w:pPr>
              <w:snapToGrid w:val="0"/>
              <w:spacing w:line="360" w:lineRule="auto"/>
              <w:rPr>
                <w:rFonts w:hint="eastAsia" w:ascii="宋体" w:hAnsi="宋体" w:eastAsia="宋体" w:cs="宋体"/>
                <w:szCs w:val="21"/>
              </w:rPr>
            </w:pPr>
          </w:p>
        </w:tc>
        <w:tc>
          <w:tcPr>
            <w:tcW w:w="2247" w:type="dxa"/>
            <w:noWrap w:val="0"/>
            <w:tcMar>
              <w:top w:w="72" w:type="dxa"/>
              <w:left w:w="144" w:type="dxa"/>
              <w:bottom w:w="72" w:type="dxa"/>
              <w:right w:w="144" w:type="dxa"/>
            </w:tcMar>
            <w:vAlign w:val="top"/>
          </w:tcPr>
          <w:p w14:paraId="6E8F33E9">
            <w:pPr>
              <w:snapToGrid w:val="0"/>
              <w:spacing w:line="360" w:lineRule="auto"/>
              <w:rPr>
                <w:rFonts w:hint="eastAsia" w:ascii="宋体" w:hAnsi="宋体" w:eastAsia="宋体" w:cs="宋体"/>
                <w:szCs w:val="21"/>
              </w:rPr>
            </w:pPr>
          </w:p>
        </w:tc>
        <w:tc>
          <w:tcPr>
            <w:tcW w:w="2247" w:type="dxa"/>
            <w:noWrap w:val="0"/>
            <w:tcMar>
              <w:top w:w="72" w:type="dxa"/>
              <w:left w:w="144" w:type="dxa"/>
              <w:bottom w:w="72" w:type="dxa"/>
              <w:right w:w="144" w:type="dxa"/>
            </w:tcMar>
            <w:vAlign w:val="top"/>
          </w:tcPr>
          <w:p w14:paraId="01DC0BF4">
            <w:pPr>
              <w:snapToGrid w:val="0"/>
              <w:spacing w:line="360" w:lineRule="auto"/>
              <w:rPr>
                <w:rFonts w:hint="eastAsia" w:ascii="宋体" w:hAnsi="宋体" w:eastAsia="宋体" w:cs="宋体"/>
                <w:szCs w:val="21"/>
              </w:rPr>
            </w:pPr>
          </w:p>
        </w:tc>
      </w:tr>
      <w:tr w14:paraId="279E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noWrap w:val="0"/>
            <w:tcMar>
              <w:top w:w="72" w:type="dxa"/>
              <w:left w:w="144" w:type="dxa"/>
              <w:bottom w:w="72" w:type="dxa"/>
              <w:right w:w="144" w:type="dxa"/>
            </w:tcMar>
            <w:vAlign w:val="top"/>
          </w:tcPr>
          <w:p w14:paraId="4FBE70A0">
            <w:pPr>
              <w:snapToGrid w:val="0"/>
              <w:spacing w:line="360" w:lineRule="auto"/>
              <w:rPr>
                <w:rFonts w:hint="eastAsia" w:ascii="宋体" w:hAnsi="宋体" w:eastAsia="宋体" w:cs="宋体"/>
                <w:szCs w:val="21"/>
              </w:rPr>
            </w:pPr>
            <w:r>
              <w:rPr>
                <w:rFonts w:hint="eastAsia" w:ascii="宋体" w:hAnsi="宋体" w:eastAsia="宋体" w:cs="宋体"/>
                <w:szCs w:val="21"/>
              </w:rPr>
              <w:t xml:space="preserve">2 </w:t>
            </w:r>
          </w:p>
        </w:tc>
        <w:tc>
          <w:tcPr>
            <w:tcW w:w="2761" w:type="dxa"/>
            <w:noWrap w:val="0"/>
            <w:tcMar>
              <w:top w:w="72" w:type="dxa"/>
              <w:left w:w="144" w:type="dxa"/>
              <w:bottom w:w="72" w:type="dxa"/>
              <w:right w:w="144" w:type="dxa"/>
            </w:tcMar>
            <w:vAlign w:val="top"/>
          </w:tcPr>
          <w:p w14:paraId="7186BC91">
            <w:pPr>
              <w:snapToGrid w:val="0"/>
              <w:spacing w:line="360" w:lineRule="auto"/>
              <w:rPr>
                <w:rFonts w:hint="eastAsia" w:ascii="宋体" w:hAnsi="宋体" w:eastAsia="宋体" w:cs="宋体"/>
                <w:szCs w:val="21"/>
              </w:rPr>
            </w:pPr>
          </w:p>
        </w:tc>
        <w:tc>
          <w:tcPr>
            <w:tcW w:w="2247" w:type="dxa"/>
            <w:noWrap w:val="0"/>
            <w:tcMar>
              <w:top w:w="72" w:type="dxa"/>
              <w:left w:w="144" w:type="dxa"/>
              <w:bottom w:w="72" w:type="dxa"/>
              <w:right w:w="144" w:type="dxa"/>
            </w:tcMar>
            <w:vAlign w:val="top"/>
          </w:tcPr>
          <w:p w14:paraId="6E9C2377">
            <w:pPr>
              <w:snapToGrid w:val="0"/>
              <w:spacing w:line="360" w:lineRule="auto"/>
              <w:rPr>
                <w:rFonts w:hint="eastAsia" w:ascii="宋体" w:hAnsi="宋体" w:eastAsia="宋体" w:cs="宋体"/>
                <w:szCs w:val="21"/>
              </w:rPr>
            </w:pPr>
          </w:p>
        </w:tc>
        <w:tc>
          <w:tcPr>
            <w:tcW w:w="2247" w:type="dxa"/>
            <w:noWrap w:val="0"/>
            <w:tcMar>
              <w:top w:w="72" w:type="dxa"/>
              <w:left w:w="144" w:type="dxa"/>
              <w:bottom w:w="72" w:type="dxa"/>
              <w:right w:w="144" w:type="dxa"/>
            </w:tcMar>
            <w:vAlign w:val="top"/>
          </w:tcPr>
          <w:p w14:paraId="3FE4CC66">
            <w:pPr>
              <w:snapToGrid w:val="0"/>
              <w:spacing w:line="360" w:lineRule="auto"/>
              <w:rPr>
                <w:rFonts w:hint="eastAsia" w:ascii="宋体" w:hAnsi="宋体" w:eastAsia="宋体" w:cs="宋体"/>
                <w:szCs w:val="21"/>
              </w:rPr>
            </w:pPr>
          </w:p>
        </w:tc>
      </w:tr>
      <w:tr w14:paraId="43D4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noWrap w:val="0"/>
            <w:tcMar>
              <w:top w:w="72" w:type="dxa"/>
              <w:left w:w="144" w:type="dxa"/>
              <w:bottom w:w="72" w:type="dxa"/>
              <w:right w:w="144" w:type="dxa"/>
            </w:tcMar>
            <w:vAlign w:val="top"/>
          </w:tcPr>
          <w:p w14:paraId="3AF4A4E3">
            <w:pPr>
              <w:snapToGrid w:val="0"/>
              <w:spacing w:line="360" w:lineRule="auto"/>
              <w:rPr>
                <w:rFonts w:hint="eastAsia" w:ascii="宋体" w:hAnsi="宋体" w:eastAsia="宋体" w:cs="宋体"/>
                <w:szCs w:val="21"/>
              </w:rPr>
            </w:pPr>
            <w:r>
              <w:rPr>
                <w:rFonts w:hint="eastAsia" w:ascii="宋体" w:hAnsi="宋体" w:eastAsia="宋体" w:cs="宋体"/>
                <w:szCs w:val="21"/>
              </w:rPr>
              <w:t>……</w:t>
            </w:r>
          </w:p>
        </w:tc>
        <w:tc>
          <w:tcPr>
            <w:tcW w:w="2761" w:type="dxa"/>
            <w:noWrap w:val="0"/>
            <w:tcMar>
              <w:top w:w="72" w:type="dxa"/>
              <w:left w:w="144" w:type="dxa"/>
              <w:bottom w:w="72" w:type="dxa"/>
              <w:right w:w="144" w:type="dxa"/>
            </w:tcMar>
            <w:vAlign w:val="top"/>
          </w:tcPr>
          <w:p w14:paraId="18911B63">
            <w:pPr>
              <w:snapToGrid w:val="0"/>
              <w:spacing w:line="360" w:lineRule="auto"/>
              <w:rPr>
                <w:rFonts w:hint="eastAsia" w:ascii="宋体" w:hAnsi="宋体" w:eastAsia="宋体" w:cs="宋体"/>
                <w:szCs w:val="21"/>
              </w:rPr>
            </w:pPr>
          </w:p>
        </w:tc>
        <w:tc>
          <w:tcPr>
            <w:tcW w:w="2247" w:type="dxa"/>
            <w:noWrap w:val="0"/>
            <w:tcMar>
              <w:top w:w="72" w:type="dxa"/>
              <w:left w:w="144" w:type="dxa"/>
              <w:bottom w:w="72" w:type="dxa"/>
              <w:right w:w="144" w:type="dxa"/>
            </w:tcMar>
            <w:vAlign w:val="top"/>
          </w:tcPr>
          <w:p w14:paraId="7C197374">
            <w:pPr>
              <w:snapToGrid w:val="0"/>
              <w:spacing w:line="360" w:lineRule="auto"/>
              <w:rPr>
                <w:rFonts w:hint="eastAsia" w:ascii="宋体" w:hAnsi="宋体" w:eastAsia="宋体" w:cs="宋体"/>
                <w:szCs w:val="21"/>
              </w:rPr>
            </w:pPr>
          </w:p>
        </w:tc>
        <w:tc>
          <w:tcPr>
            <w:tcW w:w="2247" w:type="dxa"/>
            <w:noWrap w:val="0"/>
            <w:tcMar>
              <w:top w:w="72" w:type="dxa"/>
              <w:left w:w="144" w:type="dxa"/>
              <w:bottom w:w="72" w:type="dxa"/>
              <w:right w:w="144" w:type="dxa"/>
            </w:tcMar>
            <w:vAlign w:val="top"/>
          </w:tcPr>
          <w:p w14:paraId="31356D33">
            <w:pPr>
              <w:snapToGrid w:val="0"/>
              <w:spacing w:line="360" w:lineRule="auto"/>
              <w:rPr>
                <w:rFonts w:hint="eastAsia" w:ascii="宋体" w:hAnsi="宋体" w:eastAsia="宋体" w:cs="宋体"/>
                <w:szCs w:val="21"/>
              </w:rPr>
            </w:pPr>
          </w:p>
        </w:tc>
      </w:tr>
    </w:tbl>
    <w:p w14:paraId="58429711">
      <w:pPr>
        <w:snapToGrid w:val="0"/>
        <w:spacing w:line="360" w:lineRule="auto"/>
        <w:rPr>
          <w:rFonts w:hint="eastAsia" w:ascii="宋体" w:hAnsi="宋体" w:eastAsia="宋体" w:cs="宋体"/>
          <w:szCs w:val="21"/>
        </w:rPr>
      </w:pPr>
    </w:p>
    <w:p w14:paraId="474F8E32">
      <w:pPr>
        <w:spacing w:line="360" w:lineRule="auto"/>
        <w:rPr>
          <w:rFonts w:hint="eastAsia" w:ascii="宋体" w:hAnsi="宋体" w:eastAsia="宋体" w:cs="宋体"/>
          <w:b/>
          <w:szCs w:val="21"/>
        </w:rPr>
      </w:pPr>
      <w:r>
        <w:rPr>
          <w:rFonts w:hint="eastAsia" w:ascii="宋体" w:hAnsi="宋体" w:eastAsia="宋体" w:cs="宋体"/>
          <w:b/>
          <w:szCs w:val="21"/>
        </w:rPr>
        <w:t>异议函制作说明：</w:t>
      </w:r>
    </w:p>
    <w:p w14:paraId="430D6586">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1.供应商提出异议时，应提交异议函和必要的证明材料。</w:t>
      </w:r>
    </w:p>
    <w:p w14:paraId="28025AA7">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2.异议供应商若委托代理人进行异议的，异议函应按要求列明“授权代表”的有关内容，并在附件中提交由异议供应商签署的授权委托书。授权委托书应载明代理人的姓名或者名称、代理事项、具体权限、期限和相关事项。</w:t>
      </w:r>
    </w:p>
    <w:p w14:paraId="1BAF80C4">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3.异议供应商若对项目的某一分包进行异议，异议函中应列明具体标段号。</w:t>
      </w:r>
    </w:p>
    <w:p w14:paraId="744466DE">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4.异议函的异议事项应具体、明确，并有必要的事实依据和法律依据。</w:t>
      </w:r>
    </w:p>
    <w:p w14:paraId="31820872">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5.异议函的异议请求应与异议事项相关。</w:t>
      </w:r>
    </w:p>
    <w:p w14:paraId="112D95F1">
      <w:pPr>
        <w:ind w:firstLine="420"/>
        <w:rPr>
          <w:rFonts w:hint="eastAsia" w:ascii="宋体" w:hAnsi="宋体" w:eastAsia="宋体" w:cs="宋体"/>
          <w:szCs w:val="21"/>
        </w:rPr>
      </w:pPr>
      <w:r>
        <w:rPr>
          <w:rFonts w:hint="eastAsia" w:ascii="宋体" w:hAnsi="宋体" w:eastAsia="宋体" w:cs="宋体"/>
          <w:szCs w:val="21"/>
        </w:rPr>
        <w:t>6.异议供应商为自然人的，异议函应由本人签字；异议供应商为法人或者其他组织的，异议函应由法定代表人、主要负责人，或者其授权代表签字或者盖章，并加盖公章。</w:t>
      </w:r>
    </w:p>
    <w:p w14:paraId="50F3D573">
      <w:pPr>
        <w:ind w:firstLine="420"/>
        <w:rPr>
          <w:rFonts w:hint="eastAsia" w:ascii="宋体" w:hAnsi="宋体" w:eastAsia="宋体" w:cs="宋体"/>
        </w:rPr>
      </w:pPr>
      <w:r>
        <w:rPr>
          <w:rFonts w:hint="eastAsia" w:ascii="宋体" w:hAnsi="宋体" w:eastAsia="宋体" w:cs="宋体"/>
          <w:szCs w:val="21"/>
        </w:rPr>
        <w:t>7. 供应商应在提交的证明材料中对异议点的内容作出相应的标识或以醒目的方式标明。</w:t>
      </w:r>
    </w:p>
    <w:p w14:paraId="3FA9DB85">
      <w:pPr>
        <w:pStyle w:val="87"/>
        <w:ind w:firstLine="480"/>
        <w:rPr>
          <w:rFonts w:hint="eastAsia" w:ascii="宋体" w:hAnsi="宋体" w:eastAsia="宋体" w:cs="宋体"/>
        </w:rPr>
      </w:pPr>
    </w:p>
    <w:p w14:paraId="1B9817C0">
      <w:pPr>
        <w:rPr>
          <w:rFonts w:hint="eastAsia" w:ascii="宋体" w:hAnsi="宋体" w:eastAsia="宋体" w:cs="宋体"/>
          <w:kern w:val="0"/>
          <w:sz w:val="24"/>
          <w:szCs w:val="20"/>
        </w:rPr>
      </w:pPr>
    </w:p>
    <w:p w14:paraId="6E7244FE">
      <w:pPr>
        <w:rPr>
          <w:rFonts w:hint="eastAsia" w:ascii="宋体" w:hAnsi="宋体" w:eastAsia="宋体" w:cs="宋体"/>
          <w:kern w:val="0"/>
          <w:sz w:val="24"/>
          <w:szCs w:val="20"/>
        </w:rPr>
      </w:pPr>
    </w:p>
    <w:p w14:paraId="11246414">
      <w:pPr>
        <w:pStyle w:val="35"/>
        <w:tabs>
          <w:tab w:val="clear" w:pos="426"/>
        </w:tabs>
        <w:rPr>
          <w:rFonts w:hint="eastAsia" w:ascii="宋体" w:hAnsi="宋体" w:eastAsia="宋体" w:cs="宋体"/>
        </w:rPr>
      </w:pPr>
    </w:p>
    <w:p w14:paraId="326B6250">
      <w:pPr>
        <w:rPr>
          <w:rFonts w:hint="eastAsia" w:ascii="宋体" w:hAnsi="宋体" w:eastAsia="宋体" w:cs="宋体"/>
          <w:kern w:val="0"/>
          <w:sz w:val="24"/>
          <w:szCs w:val="20"/>
        </w:rPr>
      </w:pPr>
    </w:p>
    <w:p w14:paraId="4F4565E1">
      <w:pPr>
        <w:rPr>
          <w:rFonts w:hint="eastAsia" w:ascii="宋体" w:hAnsi="宋体" w:eastAsia="宋体" w:cs="宋体"/>
          <w:kern w:val="0"/>
          <w:sz w:val="24"/>
          <w:szCs w:val="20"/>
        </w:rPr>
      </w:pPr>
    </w:p>
    <w:p w14:paraId="5796F9C1">
      <w:pPr>
        <w:rPr>
          <w:rFonts w:hint="eastAsia" w:ascii="宋体" w:hAnsi="宋体" w:eastAsia="宋体" w:cs="宋体"/>
          <w:kern w:val="0"/>
          <w:sz w:val="24"/>
          <w:szCs w:val="20"/>
        </w:rPr>
      </w:pPr>
    </w:p>
    <w:bookmarkEnd w:id="1"/>
    <w:bookmarkEnd w:id="2"/>
    <w:p w14:paraId="48E66F70">
      <w:pPr>
        <w:rPr>
          <w:rFonts w:hint="eastAsia" w:ascii="宋体" w:hAnsi="宋体" w:eastAsia="宋体" w:cs="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ndale Sans UI">
    <w:altName w:val="宋体"/>
    <w:panose1 w:val="00000000000000000000"/>
    <w:charset w:val="86"/>
    <w:family w:val="auto"/>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0" w:csb1="00000000"/>
  </w:font>
  <w:font w:name="长城仿宋">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F381">
    <w:pPr>
      <w:pStyle w:val="30"/>
      <w:jc w:val="center"/>
    </w:pPr>
    <w:r>
      <w:fldChar w:fldCharType="begin"/>
    </w:r>
    <w:r>
      <w:instrText xml:space="preserve"> PAGE   \* MERGEFORMAT </w:instrText>
    </w:r>
    <w:r>
      <w:fldChar w:fldCharType="separate"/>
    </w:r>
    <w:r>
      <w:rPr>
        <w:lang w:val="zh-CN"/>
      </w:rPr>
      <w:t>24</w:t>
    </w:r>
    <w:r>
      <w:fldChar w:fldCharType="end"/>
    </w:r>
  </w:p>
  <w:p w14:paraId="05002596">
    <w:pPr>
      <w:pStyle w:val="3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8A33D"/>
    <w:multiLevelType w:val="singleLevel"/>
    <w:tmpl w:val="87C8A33D"/>
    <w:lvl w:ilvl="0" w:tentative="0">
      <w:start w:val="1"/>
      <w:numFmt w:val="decimal"/>
      <w:lvlText w:val="%1."/>
      <w:lvlJc w:val="left"/>
      <w:pPr>
        <w:tabs>
          <w:tab w:val="left" w:pos="312"/>
        </w:tabs>
      </w:pPr>
    </w:lvl>
  </w:abstractNum>
  <w:abstractNum w:abstractNumId="1">
    <w:nsid w:val="88368C50"/>
    <w:multiLevelType w:val="singleLevel"/>
    <w:tmpl w:val="88368C50"/>
    <w:lvl w:ilvl="0" w:tentative="0">
      <w:start w:val="8"/>
      <w:numFmt w:val="chineseCounting"/>
      <w:suff w:val="nothing"/>
      <w:lvlText w:val="%1、"/>
      <w:lvlJc w:val="left"/>
      <w:rPr>
        <w:rFonts w:hint="eastAsia"/>
      </w:rPr>
    </w:lvl>
  </w:abstractNum>
  <w:abstractNum w:abstractNumId="2">
    <w:nsid w:val="8EA080A1"/>
    <w:multiLevelType w:val="singleLevel"/>
    <w:tmpl w:val="8EA080A1"/>
    <w:lvl w:ilvl="0" w:tentative="0">
      <w:start w:val="4"/>
      <w:numFmt w:val="chineseCounting"/>
      <w:suff w:val="nothing"/>
      <w:lvlText w:val="%1、"/>
      <w:lvlJc w:val="left"/>
      <w:rPr>
        <w:rFonts w:hint="eastAsia"/>
      </w:rPr>
    </w:lvl>
  </w:abstractNum>
  <w:abstractNum w:abstractNumId="3">
    <w:nsid w:val="ADD38251"/>
    <w:multiLevelType w:val="singleLevel"/>
    <w:tmpl w:val="ADD38251"/>
    <w:lvl w:ilvl="0" w:tentative="0">
      <w:start w:val="1"/>
      <w:numFmt w:val="decimal"/>
      <w:suff w:val="nothing"/>
      <w:lvlText w:val="%1、"/>
      <w:lvlJc w:val="left"/>
    </w:lvl>
  </w:abstractNum>
  <w:abstractNum w:abstractNumId="4">
    <w:nsid w:val="0BD4F8BC"/>
    <w:multiLevelType w:val="singleLevel"/>
    <w:tmpl w:val="0BD4F8BC"/>
    <w:lvl w:ilvl="0" w:tentative="0">
      <w:start w:val="1"/>
      <w:numFmt w:val="decimal"/>
      <w:suff w:val="nothing"/>
      <w:lvlText w:val="%1、"/>
      <w:lvlJc w:val="left"/>
    </w:lvl>
  </w:abstractNum>
  <w:abstractNum w:abstractNumId="5">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pStyle w:val="93"/>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6">
    <w:nsid w:val="33EF11C5"/>
    <w:multiLevelType w:val="singleLevel"/>
    <w:tmpl w:val="33EF11C5"/>
    <w:lvl w:ilvl="0" w:tentative="0">
      <w:start w:val="1"/>
      <w:numFmt w:val="chineseCounting"/>
      <w:suff w:val="space"/>
      <w:lvlText w:val="第%1章"/>
      <w:lvlJc w:val="left"/>
      <w:rPr>
        <w:rFonts w:hint="eastAsia"/>
      </w:rPr>
    </w:lvl>
  </w:abstractNum>
  <w:abstractNum w:abstractNumId="7">
    <w:nsid w:val="44DA27F3"/>
    <w:multiLevelType w:val="multilevel"/>
    <w:tmpl w:val="44DA27F3"/>
    <w:lvl w:ilvl="0" w:tentative="0">
      <w:start w:val="1"/>
      <w:numFmt w:val="decimal"/>
      <w:lvlText w:val="%1."/>
      <w:lvlJc w:val="left"/>
      <w:pPr>
        <w:ind w:left="425" w:hanging="425"/>
      </w:pPr>
      <w:rPr>
        <w:rFonts w:ascii="宋体" w:hAnsi="宋体" w:eastAsia="宋体"/>
      </w:rPr>
    </w:lvl>
    <w:lvl w:ilvl="1" w:tentative="0">
      <w:start w:val="1"/>
      <w:numFmt w:val="decimal"/>
      <w:lvlText w:val="%1.%2."/>
      <w:lvlJc w:val="left"/>
      <w:pPr>
        <w:ind w:left="567" w:hanging="567"/>
      </w:pPr>
      <w:rPr>
        <w:rFonts w:ascii="宋体" w:hAnsi="宋体" w:eastAsia="宋体"/>
        <w:b w:val="0"/>
        <w:dstrike w:val="0"/>
        <w:sz w:val="21"/>
        <w:szCs w:val="21"/>
      </w:rPr>
    </w:lvl>
    <w:lvl w:ilvl="2" w:tentative="0">
      <w:start w:val="1"/>
      <w:numFmt w:val="decimal"/>
      <w:lvlText w:val="%1.%2.%3."/>
      <w:lvlJc w:val="left"/>
      <w:pPr>
        <w:ind w:left="709" w:hanging="709"/>
      </w:pPr>
      <w:rPr>
        <w:rFonts w:ascii="宋体" w:hAnsi="宋体" w:eastAsia="宋体"/>
        <w:dstrike w:val="0"/>
        <w:color w:val="0000FF"/>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571D36E9"/>
    <w:multiLevelType w:val="singleLevel"/>
    <w:tmpl w:val="571D36E9"/>
    <w:lvl w:ilvl="0" w:tentative="0">
      <w:start w:val="5"/>
      <w:numFmt w:val="chineseCounting"/>
      <w:suff w:val="nothing"/>
      <w:lvlText w:val="%1、"/>
      <w:lvlJc w:val="left"/>
      <w:rPr>
        <w:rFonts w:hint="eastAsia"/>
      </w:rPr>
    </w:lvl>
  </w:abstractNum>
  <w:abstractNum w:abstractNumId="9">
    <w:nsid w:val="70B47A0E"/>
    <w:multiLevelType w:val="singleLevel"/>
    <w:tmpl w:val="70B47A0E"/>
    <w:lvl w:ilvl="0" w:tentative="0">
      <w:start w:val="1"/>
      <w:numFmt w:val="decimal"/>
      <w:suff w:val="nothing"/>
      <w:lvlText w:val="%1、"/>
      <w:lvlJc w:val="left"/>
    </w:lvl>
  </w:abstractNum>
  <w:abstractNum w:abstractNumId="10">
    <w:nsid w:val="74C27CE1"/>
    <w:multiLevelType w:val="singleLevel"/>
    <w:tmpl w:val="74C27CE1"/>
    <w:lvl w:ilvl="0" w:tentative="0">
      <w:start w:val="1"/>
      <w:numFmt w:val="decimal"/>
      <w:suff w:val="nothing"/>
      <w:lvlText w:val="%1、"/>
      <w:lvlJc w:val="left"/>
    </w:lvl>
  </w:abstractNum>
  <w:abstractNum w:abstractNumId="11">
    <w:nsid w:val="7AA7339C"/>
    <w:multiLevelType w:val="singleLevel"/>
    <w:tmpl w:val="7AA7339C"/>
    <w:lvl w:ilvl="0" w:tentative="0">
      <w:start w:val="1"/>
      <w:numFmt w:val="decimal"/>
      <w:suff w:val="nothing"/>
      <w:lvlText w:val="%1、"/>
      <w:lvlJc w:val="left"/>
    </w:lvl>
  </w:abstractNum>
  <w:num w:numId="1">
    <w:abstractNumId w:val="5"/>
  </w:num>
  <w:num w:numId="2">
    <w:abstractNumId w:val="9"/>
  </w:num>
  <w:num w:numId="3">
    <w:abstractNumId w:val="0"/>
  </w:num>
  <w:num w:numId="4">
    <w:abstractNumId w:val="3"/>
  </w:num>
  <w:num w:numId="5">
    <w:abstractNumId w:val="6"/>
  </w:num>
  <w:num w:numId="6">
    <w:abstractNumId w:val="4"/>
  </w:num>
  <w:num w:numId="7">
    <w:abstractNumId w:val="2"/>
  </w:num>
  <w:num w:numId="8">
    <w:abstractNumId w:val="8"/>
  </w:num>
  <w:num w:numId="9">
    <w:abstractNumId w:val="1"/>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MzczNmQ0MWQ0MThmMDk5Yzg3YmFkMzgxM2Y5ZGQifQ=="/>
    <w:docVar w:name="KSO_WPS_MARK_KEY" w:val="c2a48d59-0483-4ad9-936d-81c77dbc922b"/>
  </w:docVars>
  <w:rsids>
    <w:rsidRoot w:val="00246612"/>
    <w:rsid w:val="000005B8"/>
    <w:rsid w:val="00001557"/>
    <w:rsid w:val="0000178D"/>
    <w:rsid w:val="00001AC0"/>
    <w:rsid w:val="00002699"/>
    <w:rsid w:val="000029C6"/>
    <w:rsid w:val="00003ABB"/>
    <w:rsid w:val="00004377"/>
    <w:rsid w:val="000045D5"/>
    <w:rsid w:val="000047AF"/>
    <w:rsid w:val="0000518B"/>
    <w:rsid w:val="00005261"/>
    <w:rsid w:val="00005A86"/>
    <w:rsid w:val="000065CD"/>
    <w:rsid w:val="00006F5D"/>
    <w:rsid w:val="00006FB3"/>
    <w:rsid w:val="000074C4"/>
    <w:rsid w:val="00007707"/>
    <w:rsid w:val="00007E38"/>
    <w:rsid w:val="00010793"/>
    <w:rsid w:val="00010D68"/>
    <w:rsid w:val="000110EA"/>
    <w:rsid w:val="00011752"/>
    <w:rsid w:val="00012D2B"/>
    <w:rsid w:val="00012E91"/>
    <w:rsid w:val="0001348A"/>
    <w:rsid w:val="00013BCC"/>
    <w:rsid w:val="00014283"/>
    <w:rsid w:val="000148EB"/>
    <w:rsid w:val="00014922"/>
    <w:rsid w:val="00014BB8"/>
    <w:rsid w:val="00014C26"/>
    <w:rsid w:val="000152B7"/>
    <w:rsid w:val="0001583D"/>
    <w:rsid w:val="00015961"/>
    <w:rsid w:val="00015A3D"/>
    <w:rsid w:val="00016785"/>
    <w:rsid w:val="00016B1F"/>
    <w:rsid w:val="00017125"/>
    <w:rsid w:val="0001765C"/>
    <w:rsid w:val="000177CF"/>
    <w:rsid w:val="00017830"/>
    <w:rsid w:val="000205B0"/>
    <w:rsid w:val="00020748"/>
    <w:rsid w:val="00021005"/>
    <w:rsid w:val="00021588"/>
    <w:rsid w:val="00022D69"/>
    <w:rsid w:val="000230C9"/>
    <w:rsid w:val="000232F3"/>
    <w:rsid w:val="00023827"/>
    <w:rsid w:val="00023BA3"/>
    <w:rsid w:val="000241A8"/>
    <w:rsid w:val="0002483A"/>
    <w:rsid w:val="00024B4E"/>
    <w:rsid w:val="0002504A"/>
    <w:rsid w:val="00025563"/>
    <w:rsid w:val="00025639"/>
    <w:rsid w:val="000257D8"/>
    <w:rsid w:val="000263E2"/>
    <w:rsid w:val="0002644C"/>
    <w:rsid w:val="00026805"/>
    <w:rsid w:val="00026E8D"/>
    <w:rsid w:val="000272F8"/>
    <w:rsid w:val="0002739F"/>
    <w:rsid w:val="00027CDB"/>
    <w:rsid w:val="00027F7E"/>
    <w:rsid w:val="000300D2"/>
    <w:rsid w:val="0003081F"/>
    <w:rsid w:val="000308E3"/>
    <w:rsid w:val="00030B96"/>
    <w:rsid w:val="00030D7C"/>
    <w:rsid w:val="00031468"/>
    <w:rsid w:val="000318CC"/>
    <w:rsid w:val="000319F3"/>
    <w:rsid w:val="000321F9"/>
    <w:rsid w:val="00032998"/>
    <w:rsid w:val="00032C94"/>
    <w:rsid w:val="0003305A"/>
    <w:rsid w:val="00033329"/>
    <w:rsid w:val="00034B21"/>
    <w:rsid w:val="00035872"/>
    <w:rsid w:val="00035D9B"/>
    <w:rsid w:val="00036245"/>
    <w:rsid w:val="00036C54"/>
    <w:rsid w:val="000371D6"/>
    <w:rsid w:val="00037CFC"/>
    <w:rsid w:val="0004043A"/>
    <w:rsid w:val="00040801"/>
    <w:rsid w:val="00040928"/>
    <w:rsid w:val="00041C37"/>
    <w:rsid w:val="000421E7"/>
    <w:rsid w:val="000424A9"/>
    <w:rsid w:val="00042666"/>
    <w:rsid w:val="00042EDD"/>
    <w:rsid w:val="00042F4B"/>
    <w:rsid w:val="00043DC8"/>
    <w:rsid w:val="00045CBF"/>
    <w:rsid w:val="000463B2"/>
    <w:rsid w:val="0004658D"/>
    <w:rsid w:val="000465CC"/>
    <w:rsid w:val="00046F63"/>
    <w:rsid w:val="00047345"/>
    <w:rsid w:val="0004755E"/>
    <w:rsid w:val="00047AD0"/>
    <w:rsid w:val="00047C12"/>
    <w:rsid w:val="00047C93"/>
    <w:rsid w:val="00047CA6"/>
    <w:rsid w:val="00050033"/>
    <w:rsid w:val="0005070E"/>
    <w:rsid w:val="000509AA"/>
    <w:rsid w:val="00050B55"/>
    <w:rsid w:val="00050C47"/>
    <w:rsid w:val="00050D49"/>
    <w:rsid w:val="00051555"/>
    <w:rsid w:val="000515A5"/>
    <w:rsid w:val="00051629"/>
    <w:rsid w:val="00051E4D"/>
    <w:rsid w:val="00051F72"/>
    <w:rsid w:val="00052211"/>
    <w:rsid w:val="0005223E"/>
    <w:rsid w:val="00052ADD"/>
    <w:rsid w:val="00052DC4"/>
    <w:rsid w:val="000538A6"/>
    <w:rsid w:val="00054F25"/>
    <w:rsid w:val="00056CF0"/>
    <w:rsid w:val="0005741D"/>
    <w:rsid w:val="00057676"/>
    <w:rsid w:val="00057782"/>
    <w:rsid w:val="000610FF"/>
    <w:rsid w:val="0006127A"/>
    <w:rsid w:val="00061A09"/>
    <w:rsid w:val="00062108"/>
    <w:rsid w:val="0006239B"/>
    <w:rsid w:val="00062A2E"/>
    <w:rsid w:val="00063342"/>
    <w:rsid w:val="000635A3"/>
    <w:rsid w:val="00063D66"/>
    <w:rsid w:val="00063FC4"/>
    <w:rsid w:val="0006440A"/>
    <w:rsid w:val="0006489B"/>
    <w:rsid w:val="00064B43"/>
    <w:rsid w:val="000659F4"/>
    <w:rsid w:val="00065B43"/>
    <w:rsid w:val="0006696C"/>
    <w:rsid w:val="00067367"/>
    <w:rsid w:val="00067542"/>
    <w:rsid w:val="00067786"/>
    <w:rsid w:val="00067811"/>
    <w:rsid w:val="000710D4"/>
    <w:rsid w:val="00072E8F"/>
    <w:rsid w:val="00073984"/>
    <w:rsid w:val="00073C7D"/>
    <w:rsid w:val="00073F02"/>
    <w:rsid w:val="000740B9"/>
    <w:rsid w:val="000742B9"/>
    <w:rsid w:val="000746D9"/>
    <w:rsid w:val="00074C85"/>
    <w:rsid w:val="00074E52"/>
    <w:rsid w:val="00074F5B"/>
    <w:rsid w:val="00075101"/>
    <w:rsid w:val="000757EA"/>
    <w:rsid w:val="00075E76"/>
    <w:rsid w:val="000769C0"/>
    <w:rsid w:val="00077092"/>
    <w:rsid w:val="00077F58"/>
    <w:rsid w:val="0008128A"/>
    <w:rsid w:val="0008128B"/>
    <w:rsid w:val="0008185A"/>
    <w:rsid w:val="000819F5"/>
    <w:rsid w:val="00081FA1"/>
    <w:rsid w:val="000828C7"/>
    <w:rsid w:val="0008292C"/>
    <w:rsid w:val="00083D96"/>
    <w:rsid w:val="00083F52"/>
    <w:rsid w:val="0008405E"/>
    <w:rsid w:val="0008475E"/>
    <w:rsid w:val="00084846"/>
    <w:rsid w:val="00085118"/>
    <w:rsid w:val="00086476"/>
    <w:rsid w:val="00087011"/>
    <w:rsid w:val="00090574"/>
    <w:rsid w:val="00090A6A"/>
    <w:rsid w:val="00090D5A"/>
    <w:rsid w:val="00091168"/>
    <w:rsid w:val="00091442"/>
    <w:rsid w:val="00091726"/>
    <w:rsid w:val="00091749"/>
    <w:rsid w:val="000919D7"/>
    <w:rsid w:val="00091A18"/>
    <w:rsid w:val="00091C14"/>
    <w:rsid w:val="00092C31"/>
    <w:rsid w:val="000934E1"/>
    <w:rsid w:val="00093970"/>
    <w:rsid w:val="00093A51"/>
    <w:rsid w:val="0009405A"/>
    <w:rsid w:val="00094156"/>
    <w:rsid w:val="0009450A"/>
    <w:rsid w:val="00094BB1"/>
    <w:rsid w:val="0009507A"/>
    <w:rsid w:val="00095E5B"/>
    <w:rsid w:val="00095F0D"/>
    <w:rsid w:val="000978A2"/>
    <w:rsid w:val="00097C2B"/>
    <w:rsid w:val="00097C55"/>
    <w:rsid w:val="000A0DBF"/>
    <w:rsid w:val="000A1C06"/>
    <w:rsid w:val="000A2F79"/>
    <w:rsid w:val="000A31CD"/>
    <w:rsid w:val="000A43BF"/>
    <w:rsid w:val="000A4606"/>
    <w:rsid w:val="000A490F"/>
    <w:rsid w:val="000A56D8"/>
    <w:rsid w:val="000A56FA"/>
    <w:rsid w:val="000A5B65"/>
    <w:rsid w:val="000A5CC2"/>
    <w:rsid w:val="000A5D08"/>
    <w:rsid w:val="000A5D9C"/>
    <w:rsid w:val="000A6277"/>
    <w:rsid w:val="000A636A"/>
    <w:rsid w:val="000A708B"/>
    <w:rsid w:val="000A738A"/>
    <w:rsid w:val="000A74C6"/>
    <w:rsid w:val="000A7A21"/>
    <w:rsid w:val="000A7B54"/>
    <w:rsid w:val="000B0FA3"/>
    <w:rsid w:val="000B108C"/>
    <w:rsid w:val="000B18CF"/>
    <w:rsid w:val="000B19D9"/>
    <w:rsid w:val="000B19E1"/>
    <w:rsid w:val="000B2C00"/>
    <w:rsid w:val="000B342D"/>
    <w:rsid w:val="000B3A0D"/>
    <w:rsid w:val="000B3E8A"/>
    <w:rsid w:val="000B4208"/>
    <w:rsid w:val="000B4CF8"/>
    <w:rsid w:val="000B4F05"/>
    <w:rsid w:val="000B4FBB"/>
    <w:rsid w:val="000B603A"/>
    <w:rsid w:val="000B60D0"/>
    <w:rsid w:val="000B6304"/>
    <w:rsid w:val="000B6B01"/>
    <w:rsid w:val="000B6C23"/>
    <w:rsid w:val="000B6D40"/>
    <w:rsid w:val="000C086C"/>
    <w:rsid w:val="000C08E3"/>
    <w:rsid w:val="000C0D8D"/>
    <w:rsid w:val="000C0DA8"/>
    <w:rsid w:val="000C1E85"/>
    <w:rsid w:val="000C3602"/>
    <w:rsid w:val="000C3662"/>
    <w:rsid w:val="000C3DBD"/>
    <w:rsid w:val="000C4C0B"/>
    <w:rsid w:val="000C5F95"/>
    <w:rsid w:val="000C625F"/>
    <w:rsid w:val="000C6766"/>
    <w:rsid w:val="000C67CE"/>
    <w:rsid w:val="000C6BCF"/>
    <w:rsid w:val="000C78F6"/>
    <w:rsid w:val="000C7AC8"/>
    <w:rsid w:val="000C7C76"/>
    <w:rsid w:val="000D12F8"/>
    <w:rsid w:val="000D15ED"/>
    <w:rsid w:val="000D1A42"/>
    <w:rsid w:val="000D1AB2"/>
    <w:rsid w:val="000D1E8F"/>
    <w:rsid w:val="000D2373"/>
    <w:rsid w:val="000D2864"/>
    <w:rsid w:val="000D2B12"/>
    <w:rsid w:val="000D31C8"/>
    <w:rsid w:val="000D3E7F"/>
    <w:rsid w:val="000D5C6D"/>
    <w:rsid w:val="000D5C92"/>
    <w:rsid w:val="000D6BAC"/>
    <w:rsid w:val="000D6C0E"/>
    <w:rsid w:val="000D7207"/>
    <w:rsid w:val="000D7649"/>
    <w:rsid w:val="000D7EF7"/>
    <w:rsid w:val="000D7F42"/>
    <w:rsid w:val="000E0613"/>
    <w:rsid w:val="000E131A"/>
    <w:rsid w:val="000E1C29"/>
    <w:rsid w:val="000E20C2"/>
    <w:rsid w:val="000E23FF"/>
    <w:rsid w:val="000E31D2"/>
    <w:rsid w:val="000E52F0"/>
    <w:rsid w:val="000E6B7D"/>
    <w:rsid w:val="000E7413"/>
    <w:rsid w:val="000E7E2E"/>
    <w:rsid w:val="000F0BC7"/>
    <w:rsid w:val="000F0D42"/>
    <w:rsid w:val="000F0D6E"/>
    <w:rsid w:val="000F107D"/>
    <w:rsid w:val="000F1119"/>
    <w:rsid w:val="000F14D3"/>
    <w:rsid w:val="000F1606"/>
    <w:rsid w:val="000F29A2"/>
    <w:rsid w:val="000F2A73"/>
    <w:rsid w:val="000F2BA8"/>
    <w:rsid w:val="000F394C"/>
    <w:rsid w:val="000F4427"/>
    <w:rsid w:val="000F4550"/>
    <w:rsid w:val="000F4660"/>
    <w:rsid w:val="000F6066"/>
    <w:rsid w:val="000F76A3"/>
    <w:rsid w:val="00100487"/>
    <w:rsid w:val="00100580"/>
    <w:rsid w:val="00100764"/>
    <w:rsid w:val="001008D0"/>
    <w:rsid w:val="00101512"/>
    <w:rsid w:val="001018DB"/>
    <w:rsid w:val="001020D4"/>
    <w:rsid w:val="00102552"/>
    <w:rsid w:val="001026CC"/>
    <w:rsid w:val="00102903"/>
    <w:rsid w:val="00102DF7"/>
    <w:rsid w:val="00102E24"/>
    <w:rsid w:val="001030D8"/>
    <w:rsid w:val="0010451F"/>
    <w:rsid w:val="0010478F"/>
    <w:rsid w:val="00104880"/>
    <w:rsid w:val="00104A32"/>
    <w:rsid w:val="00104B44"/>
    <w:rsid w:val="0010665E"/>
    <w:rsid w:val="001067E4"/>
    <w:rsid w:val="00106E37"/>
    <w:rsid w:val="00106FA7"/>
    <w:rsid w:val="001071E5"/>
    <w:rsid w:val="0010799B"/>
    <w:rsid w:val="001103C2"/>
    <w:rsid w:val="00110B90"/>
    <w:rsid w:val="0011107D"/>
    <w:rsid w:val="00111487"/>
    <w:rsid w:val="00111A0E"/>
    <w:rsid w:val="00112396"/>
    <w:rsid w:val="001133C8"/>
    <w:rsid w:val="00113519"/>
    <w:rsid w:val="00113C91"/>
    <w:rsid w:val="00114A2C"/>
    <w:rsid w:val="00114F4E"/>
    <w:rsid w:val="00115243"/>
    <w:rsid w:val="00116498"/>
    <w:rsid w:val="00116871"/>
    <w:rsid w:val="001171AB"/>
    <w:rsid w:val="00120496"/>
    <w:rsid w:val="00120953"/>
    <w:rsid w:val="00120BB7"/>
    <w:rsid w:val="00121480"/>
    <w:rsid w:val="001216A5"/>
    <w:rsid w:val="00122267"/>
    <w:rsid w:val="00122AD2"/>
    <w:rsid w:val="00122EE9"/>
    <w:rsid w:val="001233DD"/>
    <w:rsid w:val="001238F8"/>
    <w:rsid w:val="00123916"/>
    <w:rsid w:val="00123C83"/>
    <w:rsid w:val="00123D03"/>
    <w:rsid w:val="001254F8"/>
    <w:rsid w:val="0012699A"/>
    <w:rsid w:val="00127261"/>
    <w:rsid w:val="0012794C"/>
    <w:rsid w:val="00127E18"/>
    <w:rsid w:val="001316BE"/>
    <w:rsid w:val="00131B4F"/>
    <w:rsid w:val="00131F95"/>
    <w:rsid w:val="00133A93"/>
    <w:rsid w:val="00133F94"/>
    <w:rsid w:val="00134167"/>
    <w:rsid w:val="00134524"/>
    <w:rsid w:val="001347D6"/>
    <w:rsid w:val="00134B12"/>
    <w:rsid w:val="001358FF"/>
    <w:rsid w:val="00135DDF"/>
    <w:rsid w:val="00136732"/>
    <w:rsid w:val="001367D3"/>
    <w:rsid w:val="0013683F"/>
    <w:rsid w:val="00137DE7"/>
    <w:rsid w:val="00140E31"/>
    <w:rsid w:val="00142150"/>
    <w:rsid w:val="001427B6"/>
    <w:rsid w:val="00142982"/>
    <w:rsid w:val="00143595"/>
    <w:rsid w:val="001438FC"/>
    <w:rsid w:val="00144B39"/>
    <w:rsid w:val="001459ED"/>
    <w:rsid w:val="00145A6F"/>
    <w:rsid w:val="00146A43"/>
    <w:rsid w:val="00146E25"/>
    <w:rsid w:val="00146EFD"/>
    <w:rsid w:val="00147E98"/>
    <w:rsid w:val="0015050C"/>
    <w:rsid w:val="00150E23"/>
    <w:rsid w:val="001510ED"/>
    <w:rsid w:val="0015186C"/>
    <w:rsid w:val="00151E7E"/>
    <w:rsid w:val="00151E84"/>
    <w:rsid w:val="001527DD"/>
    <w:rsid w:val="00152A62"/>
    <w:rsid w:val="001551FB"/>
    <w:rsid w:val="00155224"/>
    <w:rsid w:val="00155EFB"/>
    <w:rsid w:val="00155F07"/>
    <w:rsid w:val="00155F44"/>
    <w:rsid w:val="00156228"/>
    <w:rsid w:val="0015650B"/>
    <w:rsid w:val="0015669C"/>
    <w:rsid w:val="001567A2"/>
    <w:rsid w:val="001567E8"/>
    <w:rsid w:val="00156B61"/>
    <w:rsid w:val="001572CC"/>
    <w:rsid w:val="001575E8"/>
    <w:rsid w:val="0015793A"/>
    <w:rsid w:val="00157A8E"/>
    <w:rsid w:val="00157DAB"/>
    <w:rsid w:val="001608CD"/>
    <w:rsid w:val="00160978"/>
    <w:rsid w:val="00160A4B"/>
    <w:rsid w:val="00160DC5"/>
    <w:rsid w:val="00161880"/>
    <w:rsid w:val="001624DB"/>
    <w:rsid w:val="00162E75"/>
    <w:rsid w:val="001631DC"/>
    <w:rsid w:val="001634FB"/>
    <w:rsid w:val="00163552"/>
    <w:rsid w:val="00163F1A"/>
    <w:rsid w:val="001644F8"/>
    <w:rsid w:val="00164660"/>
    <w:rsid w:val="00164DF9"/>
    <w:rsid w:val="0016579C"/>
    <w:rsid w:val="00165849"/>
    <w:rsid w:val="001662D5"/>
    <w:rsid w:val="0016742A"/>
    <w:rsid w:val="0016744C"/>
    <w:rsid w:val="001674DB"/>
    <w:rsid w:val="00167B75"/>
    <w:rsid w:val="00170317"/>
    <w:rsid w:val="00170C6D"/>
    <w:rsid w:val="0017227A"/>
    <w:rsid w:val="00173C96"/>
    <w:rsid w:val="00173D95"/>
    <w:rsid w:val="00174CFE"/>
    <w:rsid w:val="001760DA"/>
    <w:rsid w:val="001765D6"/>
    <w:rsid w:val="00176B50"/>
    <w:rsid w:val="001771AB"/>
    <w:rsid w:val="00177448"/>
    <w:rsid w:val="00177DBF"/>
    <w:rsid w:val="001807E5"/>
    <w:rsid w:val="0018081A"/>
    <w:rsid w:val="00180C1F"/>
    <w:rsid w:val="00181DB0"/>
    <w:rsid w:val="0018227C"/>
    <w:rsid w:val="00182642"/>
    <w:rsid w:val="00182B26"/>
    <w:rsid w:val="001832E9"/>
    <w:rsid w:val="0018396B"/>
    <w:rsid w:val="00183DC6"/>
    <w:rsid w:val="00183F76"/>
    <w:rsid w:val="0018455C"/>
    <w:rsid w:val="0018495B"/>
    <w:rsid w:val="00184C4A"/>
    <w:rsid w:val="00185E19"/>
    <w:rsid w:val="001865E6"/>
    <w:rsid w:val="00186E12"/>
    <w:rsid w:val="001872A2"/>
    <w:rsid w:val="00187C77"/>
    <w:rsid w:val="00187FDC"/>
    <w:rsid w:val="00190182"/>
    <w:rsid w:val="00190193"/>
    <w:rsid w:val="00190CA3"/>
    <w:rsid w:val="00191131"/>
    <w:rsid w:val="0019113F"/>
    <w:rsid w:val="00191551"/>
    <w:rsid w:val="00191A86"/>
    <w:rsid w:val="00191FAA"/>
    <w:rsid w:val="001924B3"/>
    <w:rsid w:val="00192CEF"/>
    <w:rsid w:val="00193221"/>
    <w:rsid w:val="00193529"/>
    <w:rsid w:val="00193D03"/>
    <w:rsid w:val="00194144"/>
    <w:rsid w:val="0019490B"/>
    <w:rsid w:val="0019547F"/>
    <w:rsid w:val="0019609B"/>
    <w:rsid w:val="00196310"/>
    <w:rsid w:val="00196731"/>
    <w:rsid w:val="00196CC4"/>
    <w:rsid w:val="00196EBD"/>
    <w:rsid w:val="001971B6"/>
    <w:rsid w:val="00197550"/>
    <w:rsid w:val="00197945"/>
    <w:rsid w:val="00197BDE"/>
    <w:rsid w:val="00197E0E"/>
    <w:rsid w:val="001A019E"/>
    <w:rsid w:val="001A040C"/>
    <w:rsid w:val="001A0B03"/>
    <w:rsid w:val="001A0E84"/>
    <w:rsid w:val="001A0FAA"/>
    <w:rsid w:val="001A10C2"/>
    <w:rsid w:val="001A11CF"/>
    <w:rsid w:val="001A18EC"/>
    <w:rsid w:val="001A1953"/>
    <w:rsid w:val="001A2A65"/>
    <w:rsid w:val="001A32F9"/>
    <w:rsid w:val="001A3385"/>
    <w:rsid w:val="001A348B"/>
    <w:rsid w:val="001A363C"/>
    <w:rsid w:val="001A38CE"/>
    <w:rsid w:val="001A3BF9"/>
    <w:rsid w:val="001A49DB"/>
    <w:rsid w:val="001A4D2B"/>
    <w:rsid w:val="001A5415"/>
    <w:rsid w:val="001A5C3F"/>
    <w:rsid w:val="001A5FF2"/>
    <w:rsid w:val="001A6966"/>
    <w:rsid w:val="001A6D44"/>
    <w:rsid w:val="001A7163"/>
    <w:rsid w:val="001A7CEA"/>
    <w:rsid w:val="001A7D4F"/>
    <w:rsid w:val="001B00B7"/>
    <w:rsid w:val="001B0A48"/>
    <w:rsid w:val="001B0FF8"/>
    <w:rsid w:val="001B10CB"/>
    <w:rsid w:val="001B239E"/>
    <w:rsid w:val="001B2D0C"/>
    <w:rsid w:val="001B32EB"/>
    <w:rsid w:val="001B3517"/>
    <w:rsid w:val="001B39B2"/>
    <w:rsid w:val="001B4E2D"/>
    <w:rsid w:val="001B5451"/>
    <w:rsid w:val="001B590C"/>
    <w:rsid w:val="001B69D2"/>
    <w:rsid w:val="001B709B"/>
    <w:rsid w:val="001B72BE"/>
    <w:rsid w:val="001B7F58"/>
    <w:rsid w:val="001C0360"/>
    <w:rsid w:val="001C0B7E"/>
    <w:rsid w:val="001C158A"/>
    <w:rsid w:val="001C19CF"/>
    <w:rsid w:val="001C1AAF"/>
    <w:rsid w:val="001C2A35"/>
    <w:rsid w:val="001C2C47"/>
    <w:rsid w:val="001C2CCF"/>
    <w:rsid w:val="001C355B"/>
    <w:rsid w:val="001C3D15"/>
    <w:rsid w:val="001C3DC1"/>
    <w:rsid w:val="001C4654"/>
    <w:rsid w:val="001C48A5"/>
    <w:rsid w:val="001C561B"/>
    <w:rsid w:val="001C5936"/>
    <w:rsid w:val="001C5C21"/>
    <w:rsid w:val="001C7A6F"/>
    <w:rsid w:val="001D0920"/>
    <w:rsid w:val="001D097F"/>
    <w:rsid w:val="001D0A9E"/>
    <w:rsid w:val="001D0B39"/>
    <w:rsid w:val="001D0B8E"/>
    <w:rsid w:val="001D0DEC"/>
    <w:rsid w:val="001D1661"/>
    <w:rsid w:val="001D18D2"/>
    <w:rsid w:val="001D18F6"/>
    <w:rsid w:val="001D27DE"/>
    <w:rsid w:val="001D3099"/>
    <w:rsid w:val="001D30FD"/>
    <w:rsid w:val="001D365B"/>
    <w:rsid w:val="001D3E4C"/>
    <w:rsid w:val="001D3F32"/>
    <w:rsid w:val="001D45E7"/>
    <w:rsid w:val="001D4898"/>
    <w:rsid w:val="001D4FCB"/>
    <w:rsid w:val="001D5094"/>
    <w:rsid w:val="001D50B1"/>
    <w:rsid w:val="001D5139"/>
    <w:rsid w:val="001D5760"/>
    <w:rsid w:val="001D5A2C"/>
    <w:rsid w:val="001D5F26"/>
    <w:rsid w:val="001D6101"/>
    <w:rsid w:val="001D65D7"/>
    <w:rsid w:val="001D7180"/>
    <w:rsid w:val="001D7B9D"/>
    <w:rsid w:val="001D7F2F"/>
    <w:rsid w:val="001E0577"/>
    <w:rsid w:val="001E0FED"/>
    <w:rsid w:val="001E1E77"/>
    <w:rsid w:val="001E2072"/>
    <w:rsid w:val="001E2784"/>
    <w:rsid w:val="001E3EC9"/>
    <w:rsid w:val="001E45B5"/>
    <w:rsid w:val="001E4AF3"/>
    <w:rsid w:val="001E4CEF"/>
    <w:rsid w:val="001E4F74"/>
    <w:rsid w:val="001E5214"/>
    <w:rsid w:val="001E575D"/>
    <w:rsid w:val="001E5A0B"/>
    <w:rsid w:val="001E5FC9"/>
    <w:rsid w:val="001E6545"/>
    <w:rsid w:val="001E689D"/>
    <w:rsid w:val="001E71CE"/>
    <w:rsid w:val="001E7235"/>
    <w:rsid w:val="001E762C"/>
    <w:rsid w:val="001F0B24"/>
    <w:rsid w:val="001F1308"/>
    <w:rsid w:val="001F1895"/>
    <w:rsid w:val="001F1AB0"/>
    <w:rsid w:val="001F263F"/>
    <w:rsid w:val="001F2DE6"/>
    <w:rsid w:val="001F2EE8"/>
    <w:rsid w:val="001F3969"/>
    <w:rsid w:val="001F3C27"/>
    <w:rsid w:val="001F464F"/>
    <w:rsid w:val="001F4FEA"/>
    <w:rsid w:val="001F6E9C"/>
    <w:rsid w:val="001F6FE4"/>
    <w:rsid w:val="001F6FEF"/>
    <w:rsid w:val="001F72BF"/>
    <w:rsid w:val="00200EDB"/>
    <w:rsid w:val="002024C2"/>
    <w:rsid w:val="00203652"/>
    <w:rsid w:val="00203AF6"/>
    <w:rsid w:val="00203BFC"/>
    <w:rsid w:val="002043AC"/>
    <w:rsid w:val="00205331"/>
    <w:rsid w:val="0020543C"/>
    <w:rsid w:val="0020603E"/>
    <w:rsid w:val="00206122"/>
    <w:rsid w:val="002065D1"/>
    <w:rsid w:val="00206908"/>
    <w:rsid w:val="0020698A"/>
    <w:rsid w:val="00206C1E"/>
    <w:rsid w:val="002072F4"/>
    <w:rsid w:val="002075F9"/>
    <w:rsid w:val="00207893"/>
    <w:rsid w:val="002100E5"/>
    <w:rsid w:val="00210CE0"/>
    <w:rsid w:val="0021151D"/>
    <w:rsid w:val="00211864"/>
    <w:rsid w:val="00211D39"/>
    <w:rsid w:val="00211FA1"/>
    <w:rsid w:val="002128F5"/>
    <w:rsid w:val="00212A0A"/>
    <w:rsid w:val="00212AFA"/>
    <w:rsid w:val="002130D3"/>
    <w:rsid w:val="00213418"/>
    <w:rsid w:val="002135C9"/>
    <w:rsid w:val="00213E13"/>
    <w:rsid w:val="00213F6C"/>
    <w:rsid w:val="0021417B"/>
    <w:rsid w:val="002143BF"/>
    <w:rsid w:val="0021622D"/>
    <w:rsid w:val="002162CA"/>
    <w:rsid w:val="00216989"/>
    <w:rsid w:val="002171B6"/>
    <w:rsid w:val="00217FCD"/>
    <w:rsid w:val="002208FA"/>
    <w:rsid w:val="00220AE2"/>
    <w:rsid w:val="00220BAB"/>
    <w:rsid w:val="00220DFB"/>
    <w:rsid w:val="0022132C"/>
    <w:rsid w:val="0022190B"/>
    <w:rsid w:val="00221F36"/>
    <w:rsid w:val="00222310"/>
    <w:rsid w:val="00222423"/>
    <w:rsid w:val="002225BA"/>
    <w:rsid w:val="00222BF9"/>
    <w:rsid w:val="00223A39"/>
    <w:rsid w:val="00224257"/>
    <w:rsid w:val="00224370"/>
    <w:rsid w:val="0022576C"/>
    <w:rsid w:val="00225882"/>
    <w:rsid w:val="00225E0C"/>
    <w:rsid w:val="002265CC"/>
    <w:rsid w:val="002268C8"/>
    <w:rsid w:val="00226CEE"/>
    <w:rsid w:val="00227224"/>
    <w:rsid w:val="0022729F"/>
    <w:rsid w:val="00227B3F"/>
    <w:rsid w:val="002309B5"/>
    <w:rsid w:val="00231609"/>
    <w:rsid w:val="00231637"/>
    <w:rsid w:val="00231A8F"/>
    <w:rsid w:val="00231F6F"/>
    <w:rsid w:val="002323F9"/>
    <w:rsid w:val="00232861"/>
    <w:rsid w:val="00232D26"/>
    <w:rsid w:val="00233CA0"/>
    <w:rsid w:val="0023473E"/>
    <w:rsid w:val="0023693D"/>
    <w:rsid w:val="00236CB1"/>
    <w:rsid w:val="00236FD6"/>
    <w:rsid w:val="00237219"/>
    <w:rsid w:val="00237B00"/>
    <w:rsid w:val="00240052"/>
    <w:rsid w:val="00240969"/>
    <w:rsid w:val="00240DD9"/>
    <w:rsid w:val="00240EC4"/>
    <w:rsid w:val="002418FE"/>
    <w:rsid w:val="00241BB3"/>
    <w:rsid w:val="00241FAD"/>
    <w:rsid w:val="002420AA"/>
    <w:rsid w:val="00242305"/>
    <w:rsid w:val="00242AA3"/>
    <w:rsid w:val="00242D0E"/>
    <w:rsid w:val="00243400"/>
    <w:rsid w:val="00243423"/>
    <w:rsid w:val="0024361A"/>
    <w:rsid w:val="00244056"/>
    <w:rsid w:val="00244553"/>
    <w:rsid w:val="00245744"/>
    <w:rsid w:val="00245E4A"/>
    <w:rsid w:val="00245E5E"/>
    <w:rsid w:val="002464E5"/>
    <w:rsid w:val="00246612"/>
    <w:rsid w:val="00246972"/>
    <w:rsid w:val="00247686"/>
    <w:rsid w:val="00247F1C"/>
    <w:rsid w:val="0025005D"/>
    <w:rsid w:val="002505DF"/>
    <w:rsid w:val="0025077B"/>
    <w:rsid w:val="00250ADE"/>
    <w:rsid w:val="00251303"/>
    <w:rsid w:val="0025165B"/>
    <w:rsid w:val="00251F53"/>
    <w:rsid w:val="00252003"/>
    <w:rsid w:val="00252CE0"/>
    <w:rsid w:val="002539BB"/>
    <w:rsid w:val="002539C7"/>
    <w:rsid w:val="00254C86"/>
    <w:rsid w:val="00255760"/>
    <w:rsid w:val="00257D8D"/>
    <w:rsid w:val="00257E4C"/>
    <w:rsid w:val="00260187"/>
    <w:rsid w:val="002605F1"/>
    <w:rsid w:val="00260737"/>
    <w:rsid w:val="00260BFC"/>
    <w:rsid w:val="00260EAD"/>
    <w:rsid w:val="00261917"/>
    <w:rsid w:val="00261DDA"/>
    <w:rsid w:val="00261EF2"/>
    <w:rsid w:val="0026216A"/>
    <w:rsid w:val="0026273B"/>
    <w:rsid w:val="00262E23"/>
    <w:rsid w:val="002637F3"/>
    <w:rsid w:val="002646A2"/>
    <w:rsid w:val="00264EC9"/>
    <w:rsid w:val="002654F2"/>
    <w:rsid w:val="00265D2B"/>
    <w:rsid w:val="0026617A"/>
    <w:rsid w:val="0026621F"/>
    <w:rsid w:val="0026637B"/>
    <w:rsid w:val="0026663F"/>
    <w:rsid w:val="00267418"/>
    <w:rsid w:val="0027020F"/>
    <w:rsid w:val="00270BFF"/>
    <w:rsid w:val="00270E9A"/>
    <w:rsid w:val="00271292"/>
    <w:rsid w:val="00272942"/>
    <w:rsid w:val="002729B5"/>
    <w:rsid w:val="00272D54"/>
    <w:rsid w:val="00273360"/>
    <w:rsid w:val="00273C3E"/>
    <w:rsid w:val="00273F66"/>
    <w:rsid w:val="00274065"/>
    <w:rsid w:val="00274FBD"/>
    <w:rsid w:val="00275437"/>
    <w:rsid w:val="0027589A"/>
    <w:rsid w:val="002761A3"/>
    <w:rsid w:val="002767C2"/>
    <w:rsid w:val="00276819"/>
    <w:rsid w:val="00277462"/>
    <w:rsid w:val="002814FD"/>
    <w:rsid w:val="00281CDA"/>
    <w:rsid w:val="00281E5A"/>
    <w:rsid w:val="00282254"/>
    <w:rsid w:val="00282C1B"/>
    <w:rsid w:val="002830F7"/>
    <w:rsid w:val="00283120"/>
    <w:rsid w:val="00283892"/>
    <w:rsid w:val="0028452A"/>
    <w:rsid w:val="00284583"/>
    <w:rsid w:val="002845AA"/>
    <w:rsid w:val="00284A8F"/>
    <w:rsid w:val="00284AF5"/>
    <w:rsid w:val="0028500A"/>
    <w:rsid w:val="00285D00"/>
    <w:rsid w:val="00285D2F"/>
    <w:rsid w:val="0028604E"/>
    <w:rsid w:val="00286EA6"/>
    <w:rsid w:val="00286F3F"/>
    <w:rsid w:val="00287944"/>
    <w:rsid w:val="00287D16"/>
    <w:rsid w:val="002905CC"/>
    <w:rsid w:val="002908AE"/>
    <w:rsid w:val="00290EA5"/>
    <w:rsid w:val="00291167"/>
    <w:rsid w:val="002917FA"/>
    <w:rsid w:val="002929C4"/>
    <w:rsid w:val="00292AC7"/>
    <w:rsid w:val="00292C84"/>
    <w:rsid w:val="00293F76"/>
    <w:rsid w:val="00294480"/>
    <w:rsid w:val="00294641"/>
    <w:rsid w:val="00295452"/>
    <w:rsid w:val="002957BB"/>
    <w:rsid w:val="00295F57"/>
    <w:rsid w:val="00296D9A"/>
    <w:rsid w:val="002976EF"/>
    <w:rsid w:val="002A0652"/>
    <w:rsid w:val="002A0E1D"/>
    <w:rsid w:val="002A1717"/>
    <w:rsid w:val="002A1737"/>
    <w:rsid w:val="002A19D5"/>
    <w:rsid w:val="002A1A41"/>
    <w:rsid w:val="002A2062"/>
    <w:rsid w:val="002A20CD"/>
    <w:rsid w:val="002A2175"/>
    <w:rsid w:val="002A39DA"/>
    <w:rsid w:val="002A416F"/>
    <w:rsid w:val="002A558C"/>
    <w:rsid w:val="002A5B20"/>
    <w:rsid w:val="002A5BCE"/>
    <w:rsid w:val="002A7323"/>
    <w:rsid w:val="002A7455"/>
    <w:rsid w:val="002A74D9"/>
    <w:rsid w:val="002A7A04"/>
    <w:rsid w:val="002B0235"/>
    <w:rsid w:val="002B04DA"/>
    <w:rsid w:val="002B05F5"/>
    <w:rsid w:val="002B061E"/>
    <w:rsid w:val="002B1464"/>
    <w:rsid w:val="002B1633"/>
    <w:rsid w:val="002B1B50"/>
    <w:rsid w:val="002B1C04"/>
    <w:rsid w:val="002B1EF9"/>
    <w:rsid w:val="002B2346"/>
    <w:rsid w:val="002B2384"/>
    <w:rsid w:val="002B27E8"/>
    <w:rsid w:val="002B296C"/>
    <w:rsid w:val="002B2FFD"/>
    <w:rsid w:val="002B3B35"/>
    <w:rsid w:val="002B3F92"/>
    <w:rsid w:val="002B44DD"/>
    <w:rsid w:val="002B6185"/>
    <w:rsid w:val="002B6240"/>
    <w:rsid w:val="002B6249"/>
    <w:rsid w:val="002B6879"/>
    <w:rsid w:val="002B6D0E"/>
    <w:rsid w:val="002B72CD"/>
    <w:rsid w:val="002B743B"/>
    <w:rsid w:val="002B7C9C"/>
    <w:rsid w:val="002B7CA8"/>
    <w:rsid w:val="002C0185"/>
    <w:rsid w:val="002C0F4C"/>
    <w:rsid w:val="002C1221"/>
    <w:rsid w:val="002C139F"/>
    <w:rsid w:val="002C16FC"/>
    <w:rsid w:val="002C18D7"/>
    <w:rsid w:val="002C1ADA"/>
    <w:rsid w:val="002C2357"/>
    <w:rsid w:val="002C279A"/>
    <w:rsid w:val="002C2AC4"/>
    <w:rsid w:val="002C2CDB"/>
    <w:rsid w:val="002C2DF7"/>
    <w:rsid w:val="002C4390"/>
    <w:rsid w:val="002C5AFB"/>
    <w:rsid w:val="002C6250"/>
    <w:rsid w:val="002C674D"/>
    <w:rsid w:val="002C7583"/>
    <w:rsid w:val="002C7767"/>
    <w:rsid w:val="002D1099"/>
    <w:rsid w:val="002D237F"/>
    <w:rsid w:val="002D3396"/>
    <w:rsid w:val="002D3CB6"/>
    <w:rsid w:val="002D42B4"/>
    <w:rsid w:val="002D4D5E"/>
    <w:rsid w:val="002D4F8A"/>
    <w:rsid w:val="002D529C"/>
    <w:rsid w:val="002D5300"/>
    <w:rsid w:val="002D5BF2"/>
    <w:rsid w:val="002D7176"/>
    <w:rsid w:val="002D7272"/>
    <w:rsid w:val="002D7B35"/>
    <w:rsid w:val="002E0146"/>
    <w:rsid w:val="002E0300"/>
    <w:rsid w:val="002E0419"/>
    <w:rsid w:val="002E0FA8"/>
    <w:rsid w:val="002E1874"/>
    <w:rsid w:val="002E1A5F"/>
    <w:rsid w:val="002E1BBF"/>
    <w:rsid w:val="002E203C"/>
    <w:rsid w:val="002E2305"/>
    <w:rsid w:val="002E2BEF"/>
    <w:rsid w:val="002E2C9E"/>
    <w:rsid w:val="002E2D78"/>
    <w:rsid w:val="002E3473"/>
    <w:rsid w:val="002E3DD4"/>
    <w:rsid w:val="002E4A7C"/>
    <w:rsid w:val="002E549C"/>
    <w:rsid w:val="002E5604"/>
    <w:rsid w:val="002E5705"/>
    <w:rsid w:val="002E5D76"/>
    <w:rsid w:val="002E5E59"/>
    <w:rsid w:val="002E61B6"/>
    <w:rsid w:val="002E62C0"/>
    <w:rsid w:val="002E695C"/>
    <w:rsid w:val="002E6E55"/>
    <w:rsid w:val="002F0594"/>
    <w:rsid w:val="002F0C89"/>
    <w:rsid w:val="002F0D24"/>
    <w:rsid w:val="002F1398"/>
    <w:rsid w:val="002F2050"/>
    <w:rsid w:val="002F2445"/>
    <w:rsid w:val="002F2F54"/>
    <w:rsid w:val="002F302B"/>
    <w:rsid w:val="002F336F"/>
    <w:rsid w:val="002F3BE1"/>
    <w:rsid w:val="002F3DD4"/>
    <w:rsid w:val="002F5305"/>
    <w:rsid w:val="002F5CA9"/>
    <w:rsid w:val="002F5E4F"/>
    <w:rsid w:val="002F5FC0"/>
    <w:rsid w:val="002F6B60"/>
    <w:rsid w:val="002F6CA7"/>
    <w:rsid w:val="002F6F0B"/>
    <w:rsid w:val="002F6F9A"/>
    <w:rsid w:val="002F79AC"/>
    <w:rsid w:val="002F79F4"/>
    <w:rsid w:val="0030042D"/>
    <w:rsid w:val="003018B0"/>
    <w:rsid w:val="00301C9A"/>
    <w:rsid w:val="00301EFE"/>
    <w:rsid w:val="00301F66"/>
    <w:rsid w:val="00301FA5"/>
    <w:rsid w:val="003023D9"/>
    <w:rsid w:val="0030258C"/>
    <w:rsid w:val="0030280D"/>
    <w:rsid w:val="00302FD5"/>
    <w:rsid w:val="003037C7"/>
    <w:rsid w:val="00303C2F"/>
    <w:rsid w:val="00304066"/>
    <w:rsid w:val="00304248"/>
    <w:rsid w:val="00304939"/>
    <w:rsid w:val="00304957"/>
    <w:rsid w:val="00304A9C"/>
    <w:rsid w:val="00304E80"/>
    <w:rsid w:val="00305895"/>
    <w:rsid w:val="00305981"/>
    <w:rsid w:val="00305C60"/>
    <w:rsid w:val="00307526"/>
    <w:rsid w:val="00307873"/>
    <w:rsid w:val="00307CC4"/>
    <w:rsid w:val="00310378"/>
    <w:rsid w:val="00310A7E"/>
    <w:rsid w:val="00310B52"/>
    <w:rsid w:val="00310E38"/>
    <w:rsid w:val="00311775"/>
    <w:rsid w:val="003123DD"/>
    <w:rsid w:val="003126DE"/>
    <w:rsid w:val="003135F1"/>
    <w:rsid w:val="00314323"/>
    <w:rsid w:val="003143D8"/>
    <w:rsid w:val="00315D43"/>
    <w:rsid w:val="00316067"/>
    <w:rsid w:val="0031620F"/>
    <w:rsid w:val="00316446"/>
    <w:rsid w:val="003164DD"/>
    <w:rsid w:val="00316739"/>
    <w:rsid w:val="00316BDF"/>
    <w:rsid w:val="00316CE5"/>
    <w:rsid w:val="00317479"/>
    <w:rsid w:val="00317997"/>
    <w:rsid w:val="00317D2C"/>
    <w:rsid w:val="00320855"/>
    <w:rsid w:val="00320E48"/>
    <w:rsid w:val="00320EC4"/>
    <w:rsid w:val="00320EE7"/>
    <w:rsid w:val="0032123F"/>
    <w:rsid w:val="003212CA"/>
    <w:rsid w:val="00321B86"/>
    <w:rsid w:val="00322B58"/>
    <w:rsid w:val="00322BF2"/>
    <w:rsid w:val="00323096"/>
    <w:rsid w:val="00323785"/>
    <w:rsid w:val="003238AA"/>
    <w:rsid w:val="00323A50"/>
    <w:rsid w:val="00323AB2"/>
    <w:rsid w:val="003246C2"/>
    <w:rsid w:val="003257D3"/>
    <w:rsid w:val="0032709B"/>
    <w:rsid w:val="0032767C"/>
    <w:rsid w:val="00330A90"/>
    <w:rsid w:val="0033268B"/>
    <w:rsid w:val="003329CD"/>
    <w:rsid w:val="00332DA6"/>
    <w:rsid w:val="00333313"/>
    <w:rsid w:val="00333B2F"/>
    <w:rsid w:val="00333DDB"/>
    <w:rsid w:val="00334853"/>
    <w:rsid w:val="003352DB"/>
    <w:rsid w:val="00335783"/>
    <w:rsid w:val="00335794"/>
    <w:rsid w:val="00335AD5"/>
    <w:rsid w:val="00336845"/>
    <w:rsid w:val="00337E7E"/>
    <w:rsid w:val="00340015"/>
    <w:rsid w:val="003400F9"/>
    <w:rsid w:val="00340755"/>
    <w:rsid w:val="003410DF"/>
    <w:rsid w:val="00342ED6"/>
    <w:rsid w:val="0034341C"/>
    <w:rsid w:val="00343D0B"/>
    <w:rsid w:val="00343DEF"/>
    <w:rsid w:val="00343ECF"/>
    <w:rsid w:val="00344429"/>
    <w:rsid w:val="00344636"/>
    <w:rsid w:val="0034550B"/>
    <w:rsid w:val="00345BFE"/>
    <w:rsid w:val="00346091"/>
    <w:rsid w:val="00346A6F"/>
    <w:rsid w:val="00346E4E"/>
    <w:rsid w:val="00347134"/>
    <w:rsid w:val="0034715E"/>
    <w:rsid w:val="00347E37"/>
    <w:rsid w:val="00350207"/>
    <w:rsid w:val="0035081A"/>
    <w:rsid w:val="00351114"/>
    <w:rsid w:val="003524B9"/>
    <w:rsid w:val="00352798"/>
    <w:rsid w:val="00352917"/>
    <w:rsid w:val="00352ECC"/>
    <w:rsid w:val="00353545"/>
    <w:rsid w:val="00353AAF"/>
    <w:rsid w:val="00353C6A"/>
    <w:rsid w:val="00354046"/>
    <w:rsid w:val="0035419B"/>
    <w:rsid w:val="003549F9"/>
    <w:rsid w:val="00354ED7"/>
    <w:rsid w:val="00354F99"/>
    <w:rsid w:val="0035530D"/>
    <w:rsid w:val="0035552C"/>
    <w:rsid w:val="00355844"/>
    <w:rsid w:val="00355981"/>
    <w:rsid w:val="00355A7D"/>
    <w:rsid w:val="00355E91"/>
    <w:rsid w:val="00356335"/>
    <w:rsid w:val="003568F3"/>
    <w:rsid w:val="00356DB9"/>
    <w:rsid w:val="00357BE2"/>
    <w:rsid w:val="00357CC3"/>
    <w:rsid w:val="00357DCA"/>
    <w:rsid w:val="003609F0"/>
    <w:rsid w:val="00360DB5"/>
    <w:rsid w:val="00360EF4"/>
    <w:rsid w:val="0036109F"/>
    <w:rsid w:val="00361335"/>
    <w:rsid w:val="0036139E"/>
    <w:rsid w:val="003637A4"/>
    <w:rsid w:val="00363BED"/>
    <w:rsid w:val="00363E0A"/>
    <w:rsid w:val="00364298"/>
    <w:rsid w:val="00364E3C"/>
    <w:rsid w:val="0036569C"/>
    <w:rsid w:val="0036586F"/>
    <w:rsid w:val="003658EB"/>
    <w:rsid w:val="00366580"/>
    <w:rsid w:val="003666BB"/>
    <w:rsid w:val="003669CD"/>
    <w:rsid w:val="003704F3"/>
    <w:rsid w:val="0037090B"/>
    <w:rsid w:val="00370E7E"/>
    <w:rsid w:val="00371D82"/>
    <w:rsid w:val="00371EF4"/>
    <w:rsid w:val="003736FE"/>
    <w:rsid w:val="00373804"/>
    <w:rsid w:val="00373A15"/>
    <w:rsid w:val="00374770"/>
    <w:rsid w:val="00374BAB"/>
    <w:rsid w:val="00375DB5"/>
    <w:rsid w:val="003763F1"/>
    <w:rsid w:val="0037663B"/>
    <w:rsid w:val="00377266"/>
    <w:rsid w:val="0037728B"/>
    <w:rsid w:val="0037796D"/>
    <w:rsid w:val="0038032F"/>
    <w:rsid w:val="00380D77"/>
    <w:rsid w:val="00380EC3"/>
    <w:rsid w:val="00381004"/>
    <w:rsid w:val="0038165F"/>
    <w:rsid w:val="00382023"/>
    <w:rsid w:val="00382241"/>
    <w:rsid w:val="0038249C"/>
    <w:rsid w:val="003825C1"/>
    <w:rsid w:val="00382FF5"/>
    <w:rsid w:val="00383779"/>
    <w:rsid w:val="00383F84"/>
    <w:rsid w:val="003853AD"/>
    <w:rsid w:val="0038570C"/>
    <w:rsid w:val="0038572B"/>
    <w:rsid w:val="00386B51"/>
    <w:rsid w:val="00386C6B"/>
    <w:rsid w:val="00387267"/>
    <w:rsid w:val="00387783"/>
    <w:rsid w:val="00387CA1"/>
    <w:rsid w:val="00390AA0"/>
    <w:rsid w:val="00390FAB"/>
    <w:rsid w:val="00391E81"/>
    <w:rsid w:val="00393206"/>
    <w:rsid w:val="003949E2"/>
    <w:rsid w:val="00394A1C"/>
    <w:rsid w:val="003955FA"/>
    <w:rsid w:val="0039656D"/>
    <w:rsid w:val="00396B2E"/>
    <w:rsid w:val="003973BD"/>
    <w:rsid w:val="00397794"/>
    <w:rsid w:val="003A02EA"/>
    <w:rsid w:val="003A0677"/>
    <w:rsid w:val="003A0709"/>
    <w:rsid w:val="003A08FB"/>
    <w:rsid w:val="003A14F9"/>
    <w:rsid w:val="003A155C"/>
    <w:rsid w:val="003A1CC1"/>
    <w:rsid w:val="003A1DC1"/>
    <w:rsid w:val="003A2487"/>
    <w:rsid w:val="003A28FC"/>
    <w:rsid w:val="003A4683"/>
    <w:rsid w:val="003A4751"/>
    <w:rsid w:val="003A4C7F"/>
    <w:rsid w:val="003A4F69"/>
    <w:rsid w:val="003A54D0"/>
    <w:rsid w:val="003A5D66"/>
    <w:rsid w:val="003A6625"/>
    <w:rsid w:val="003A6944"/>
    <w:rsid w:val="003A6FAC"/>
    <w:rsid w:val="003A7108"/>
    <w:rsid w:val="003B0483"/>
    <w:rsid w:val="003B06BD"/>
    <w:rsid w:val="003B07A0"/>
    <w:rsid w:val="003B0C08"/>
    <w:rsid w:val="003B0E3D"/>
    <w:rsid w:val="003B0E9D"/>
    <w:rsid w:val="003B0ECD"/>
    <w:rsid w:val="003B17B3"/>
    <w:rsid w:val="003B1B32"/>
    <w:rsid w:val="003B1C66"/>
    <w:rsid w:val="003B1D5F"/>
    <w:rsid w:val="003B239E"/>
    <w:rsid w:val="003B24B7"/>
    <w:rsid w:val="003B4BE0"/>
    <w:rsid w:val="003B4C46"/>
    <w:rsid w:val="003B4CC3"/>
    <w:rsid w:val="003B54FC"/>
    <w:rsid w:val="003B56F1"/>
    <w:rsid w:val="003B668F"/>
    <w:rsid w:val="003B6A25"/>
    <w:rsid w:val="003B6FC0"/>
    <w:rsid w:val="003B7C1C"/>
    <w:rsid w:val="003C0324"/>
    <w:rsid w:val="003C095A"/>
    <w:rsid w:val="003C0ACF"/>
    <w:rsid w:val="003C0C18"/>
    <w:rsid w:val="003C0D94"/>
    <w:rsid w:val="003C1143"/>
    <w:rsid w:val="003C1209"/>
    <w:rsid w:val="003C18B3"/>
    <w:rsid w:val="003C1A5F"/>
    <w:rsid w:val="003C1B6D"/>
    <w:rsid w:val="003C1BEB"/>
    <w:rsid w:val="003C2AE5"/>
    <w:rsid w:val="003C3D1A"/>
    <w:rsid w:val="003C44A7"/>
    <w:rsid w:val="003C4A92"/>
    <w:rsid w:val="003C4B66"/>
    <w:rsid w:val="003C5346"/>
    <w:rsid w:val="003C54F7"/>
    <w:rsid w:val="003C6531"/>
    <w:rsid w:val="003C6592"/>
    <w:rsid w:val="003C6718"/>
    <w:rsid w:val="003C67DC"/>
    <w:rsid w:val="003C7191"/>
    <w:rsid w:val="003D17C5"/>
    <w:rsid w:val="003D24D2"/>
    <w:rsid w:val="003D25F0"/>
    <w:rsid w:val="003D2A95"/>
    <w:rsid w:val="003D2FD2"/>
    <w:rsid w:val="003D3BA9"/>
    <w:rsid w:val="003D3C36"/>
    <w:rsid w:val="003D3F66"/>
    <w:rsid w:val="003D43C3"/>
    <w:rsid w:val="003D48C9"/>
    <w:rsid w:val="003D4A16"/>
    <w:rsid w:val="003D589E"/>
    <w:rsid w:val="003D58C3"/>
    <w:rsid w:val="003D59A4"/>
    <w:rsid w:val="003D637B"/>
    <w:rsid w:val="003D6591"/>
    <w:rsid w:val="003D6949"/>
    <w:rsid w:val="003D7373"/>
    <w:rsid w:val="003D766B"/>
    <w:rsid w:val="003D76E5"/>
    <w:rsid w:val="003D7E01"/>
    <w:rsid w:val="003E010C"/>
    <w:rsid w:val="003E0359"/>
    <w:rsid w:val="003E03A4"/>
    <w:rsid w:val="003E0C1D"/>
    <w:rsid w:val="003E0C4B"/>
    <w:rsid w:val="003E0DDE"/>
    <w:rsid w:val="003E0FD7"/>
    <w:rsid w:val="003E1A26"/>
    <w:rsid w:val="003E1F54"/>
    <w:rsid w:val="003E2119"/>
    <w:rsid w:val="003E2A22"/>
    <w:rsid w:val="003E2A46"/>
    <w:rsid w:val="003E3563"/>
    <w:rsid w:val="003E3D08"/>
    <w:rsid w:val="003E42FF"/>
    <w:rsid w:val="003E482F"/>
    <w:rsid w:val="003E4D8C"/>
    <w:rsid w:val="003E5063"/>
    <w:rsid w:val="003E5111"/>
    <w:rsid w:val="003E523E"/>
    <w:rsid w:val="003E595C"/>
    <w:rsid w:val="003E5CD5"/>
    <w:rsid w:val="003E618D"/>
    <w:rsid w:val="003E6CD5"/>
    <w:rsid w:val="003E6EB4"/>
    <w:rsid w:val="003E75AE"/>
    <w:rsid w:val="003E7816"/>
    <w:rsid w:val="003E7CCC"/>
    <w:rsid w:val="003F0F15"/>
    <w:rsid w:val="003F18C2"/>
    <w:rsid w:val="003F2557"/>
    <w:rsid w:val="003F2588"/>
    <w:rsid w:val="003F2A72"/>
    <w:rsid w:val="003F387D"/>
    <w:rsid w:val="003F54DF"/>
    <w:rsid w:val="003F55A4"/>
    <w:rsid w:val="003F598B"/>
    <w:rsid w:val="003F6190"/>
    <w:rsid w:val="003F65A2"/>
    <w:rsid w:val="003F7A50"/>
    <w:rsid w:val="0040017A"/>
    <w:rsid w:val="004009EC"/>
    <w:rsid w:val="004015B5"/>
    <w:rsid w:val="004019C3"/>
    <w:rsid w:val="00401ADB"/>
    <w:rsid w:val="00401E68"/>
    <w:rsid w:val="00402903"/>
    <w:rsid w:val="00402B6D"/>
    <w:rsid w:val="004033E5"/>
    <w:rsid w:val="004035F0"/>
    <w:rsid w:val="00403945"/>
    <w:rsid w:val="00403BDE"/>
    <w:rsid w:val="00403BFD"/>
    <w:rsid w:val="00404128"/>
    <w:rsid w:val="004043E8"/>
    <w:rsid w:val="004044DA"/>
    <w:rsid w:val="00404CC3"/>
    <w:rsid w:val="00405428"/>
    <w:rsid w:val="0040570D"/>
    <w:rsid w:val="00405C18"/>
    <w:rsid w:val="00405C7C"/>
    <w:rsid w:val="00405D9F"/>
    <w:rsid w:val="0040614B"/>
    <w:rsid w:val="00406BBA"/>
    <w:rsid w:val="00406E24"/>
    <w:rsid w:val="00407B26"/>
    <w:rsid w:val="00407DDC"/>
    <w:rsid w:val="00410257"/>
    <w:rsid w:val="004102A2"/>
    <w:rsid w:val="004103C5"/>
    <w:rsid w:val="00410412"/>
    <w:rsid w:val="0041108B"/>
    <w:rsid w:val="00411832"/>
    <w:rsid w:val="00411AA6"/>
    <w:rsid w:val="00413911"/>
    <w:rsid w:val="00414141"/>
    <w:rsid w:val="0041423C"/>
    <w:rsid w:val="00414BF9"/>
    <w:rsid w:val="00414D8D"/>
    <w:rsid w:val="004165B2"/>
    <w:rsid w:val="00416A05"/>
    <w:rsid w:val="004170D6"/>
    <w:rsid w:val="00417D1C"/>
    <w:rsid w:val="0042176D"/>
    <w:rsid w:val="004217F2"/>
    <w:rsid w:val="00422BEF"/>
    <w:rsid w:val="00422E86"/>
    <w:rsid w:val="0042306B"/>
    <w:rsid w:val="00423275"/>
    <w:rsid w:val="0042352A"/>
    <w:rsid w:val="00423FE8"/>
    <w:rsid w:val="00424320"/>
    <w:rsid w:val="00424444"/>
    <w:rsid w:val="00424DB5"/>
    <w:rsid w:val="0042574B"/>
    <w:rsid w:val="00425C4B"/>
    <w:rsid w:val="00425E15"/>
    <w:rsid w:val="00425E97"/>
    <w:rsid w:val="00425F5D"/>
    <w:rsid w:val="00426948"/>
    <w:rsid w:val="00426A5C"/>
    <w:rsid w:val="00426C57"/>
    <w:rsid w:val="00426D7A"/>
    <w:rsid w:val="0042741C"/>
    <w:rsid w:val="0042743E"/>
    <w:rsid w:val="004307CF"/>
    <w:rsid w:val="004309AF"/>
    <w:rsid w:val="00431369"/>
    <w:rsid w:val="004315F2"/>
    <w:rsid w:val="00432975"/>
    <w:rsid w:val="00433009"/>
    <w:rsid w:val="00433B21"/>
    <w:rsid w:val="0043408B"/>
    <w:rsid w:val="004349F9"/>
    <w:rsid w:val="0043594F"/>
    <w:rsid w:val="00435B18"/>
    <w:rsid w:val="00435D65"/>
    <w:rsid w:val="00436270"/>
    <w:rsid w:val="0043675F"/>
    <w:rsid w:val="00436ECB"/>
    <w:rsid w:val="004378F6"/>
    <w:rsid w:val="0043796C"/>
    <w:rsid w:val="0044009F"/>
    <w:rsid w:val="00440585"/>
    <w:rsid w:val="00440A35"/>
    <w:rsid w:val="00440DE2"/>
    <w:rsid w:val="004415F1"/>
    <w:rsid w:val="00443395"/>
    <w:rsid w:val="004433CC"/>
    <w:rsid w:val="004434B3"/>
    <w:rsid w:val="004435C2"/>
    <w:rsid w:val="00443FAA"/>
    <w:rsid w:val="0044552A"/>
    <w:rsid w:val="00445535"/>
    <w:rsid w:val="004458EE"/>
    <w:rsid w:val="00445A94"/>
    <w:rsid w:val="00445FEA"/>
    <w:rsid w:val="0044613F"/>
    <w:rsid w:val="0044619A"/>
    <w:rsid w:val="00446E46"/>
    <w:rsid w:val="00446F2C"/>
    <w:rsid w:val="00447FE6"/>
    <w:rsid w:val="004509A9"/>
    <w:rsid w:val="00450BEC"/>
    <w:rsid w:val="00450C09"/>
    <w:rsid w:val="0045102E"/>
    <w:rsid w:val="00451E78"/>
    <w:rsid w:val="00452C30"/>
    <w:rsid w:val="00452C88"/>
    <w:rsid w:val="004531C9"/>
    <w:rsid w:val="004534FA"/>
    <w:rsid w:val="00453B45"/>
    <w:rsid w:val="00454F8A"/>
    <w:rsid w:val="00454FD5"/>
    <w:rsid w:val="0045560C"/>
    <w:rsid w:val="0045573C"/>
    <w:rsid w:val="0045592F"/>
    <w:rsid w:val="00456327"/>
    <w:rsid w:val="00457AB7"/>
    <w:rsid w:val="00460339"/>
    <w:rsid w:val="00461387"/>
    <w:rsid w:val="00461ED7"/>
    <w:rsid w:val="00461F3D"/>
    <w:rsid w:val="00462933"/>
    <w:rsid w:val="00462DCC"/>
    <w:rsid w:val="004636F8"/>
    <w:rsid w:val="00463A94"/>
    <w:rsid w:val="00463B1F"/>
    <w:rsid w:val="00463E4B"/>
    <w:rsid w:val="00463FA9"/>
    <w:rsid w:val="00463FF9"/>
    <w:rsid w:val="0046496D"/>
    <w:rsid w:val="0046528B"/>
    <w:rsid w:val="0046582D"/>
    <w:rsid w:val="004660C1"/>
    <w:rsid w:val="00466132"/>
    <w:rsid w:val="0046662B"/>
    <w:rsid w:val="00466C15"/>
    <w:rsid w:val="00467E1C"/>
    <w:rsid w:val="004713FD"/>
    <w:rsid w:val="004719F7"/>
    <w:rsid w:val="00471EFF"/>
    <w:rsid w:val="00471FEF"/>
    <w:rsid w:val="00472423"/>
    <w:rsid w:val="00472B65"/>
    <w:rsid w:val="00472B67"/>
    <w:rsid w:val="00472DD3"/>
    <w:rsid w:val="00473380"/>
    <w:rsid w:val="00474168"/>
    <w:rsid w:val="00474CD5"/>
    <w:rsid w:val="00475050"/>
    <w:rsid w:val="00475475"/>
    <w:rsid w:val="00475C1D"/>
    <w:rsid w:val="004760FA"/>
    <w:rsid w:val="00476F6E"/>
    <w:rsid w:val="004770FA"/>
    <w:rsid w:val="004773E7"/>
    <w:rsid w:val="004807C9"/>
    <w:rsid w:val="004816FD"/>
    <w:rsid w:val="004818D2"/>
    <w:rsid w:val="00482979"/>
    <w:rsid w:val="00482C9D"/>
    <w:rsid w:val="00482DE7"/>
    <w:rsid w:val="00482E32"/>
    <w:rsid w:val="00483052"/>
    <w:rsid w:val="004830ED"/>
    <w:rsid w:val="00483BFF"/>
    <w:rsid w:val="0048402F"/>
    <w:rsid w:val="0048414B"/>
    <w:rsid w:val="0048489E"/>
    <w:rsid w:val="00484F4B"/>
    <w:rsid w:val="004850D6"/>
    <w:rsid w:val="00485431"/>
    <w:rsid w:val="00485770"/>
    <w:rsid w:val="00485AA4"/>
    <w:rsid w:val="00486C20"/>
    <w:rsid w:val="00487AA7"/>
    <w:rsid w:val="0049019E"/>
    <w:rsid w:val="004904FA"/>
    <w:rsid w:val="0049053A"/>
    <w:rsid w:val="00490710"/>
    <w:rsid w:val="0049087B"/>
    <w:rsid w:val="00491A6C"/>
    <w:rsid w:val="00491F29"/>
    <w:rsid w:val="00493097"/>
    <w:rsid w:val="004930DB"/>
    <w:rsid w:val="00493423"/>
    <w:rsid w:val="00493719"/>
    <w:rsid w:val="00493F14"/>
    <w:rsid w:val="004941B1"/>
    <w:rsid w:val="00494649"/>
    <w:rsid w:val="00494887"/>
    <w:rsid w:val="00494C41"/>
    <w:rsid w:val="00494C95"/>
    <w:rsid w:val="004957F5"/>
    <w:rsid w:val="004959AC"/>
    <w:rsid w:val="00495B34"/>
    <w:rsid w:val="00495EF3"/>
    <w:rsid w:val="00495EF5"/>
    <w:rsid w:val="0049610B"/>
    <w:rsid w:val="00496204"/>
    <w:rsid w:val="0049738F"/>
    <w:rsid w:val="004A026D"/>
    <w:rsid w:val="004A07F1"/>
    <w:rsid w:val="004A1013"/>
    <w:rsid w:val="004A1398"/>
    <w:rsid w:val="004A141C"/>
    <w:rsid w:val="004A1B2E"/>
    <w:rsid w:val="004A1BDC"/>
    <w:rsid w:val="004A20FC"/>
    <w:rsid w:val="004A21E3"/>
    <w:rsid w:val="004A291A"/>
    <w:rsid w:val="004A311A"/>
    <w:rsid w:val="004A37E3"/>
    <w:rsid w:val="004A39C9"/>
    <w:rsid w:val="004A460D"/>
    <w:rsid w:val="004A4B04"/>
    <w:rsid w:val="004A4DE6"/>
    <w:rsid w:val="004A5D4F"/>
    <w:rsid w:val="004A6210"/>
    <w:rsid w:val="004A6D0B"/>
    <w:rsid w:val="004A70CC"/>
    <w:rsid w:val="004A7D55"/>
    <w:rsid w:val="004B0105"/>
    <w:rsid w:val="004B0284"/>
    <w:rsid w:val="004B0DC4"/>
    <w:rsid w:val="004B20DB"/>
    <w:rsid w:val="004B21CA"/>
    <w:rsid w:val="004B2578"/>
    <w:rsid w:val="004B2918"/>
    <w:rsid w:val="004B29E9"/>
    <w:rsid w:val="004B329B"/>
    <w:rsid w:val="004B4E2C"/>
    <w:rsid w:val="004B6A4D"/>
    <w:rsid w:val="004B6E8B"/>
    <w:rsid w:val="004C0363"/>
    <w:rsid w:val="004C05C3"/>
    <w:rsid w:val="004C112D"/>
    <w:rsid w:val="004C1542"/>
    <w:rsid w:val="004C2B0B"/>
    <w:rsid w:val="004C2F9D"/>
    <w:rsid w:val="004C3346"/>
    <w:rsid w:val="004C4894"/>
    <w:rsid w:val="004C50A2"/>
    <w:rsid w:val="004C548F"/>
    <w:rsid w:val="004C5515"/>
    <w:rsid w:val="004C66E2"/>
    <w:rsid w:val="004C684D"/>
    <w:rsid w:val="004C6899"/>
    <w:rsid w:val="004C6AE4"/>
    <w:rsid w:val="004C729A"/>
    <w:rsid w:val="004C73DB"/>
    <w:rsid w:val="004C73E7"/>
    <w:rsid w:val="004C79CC"/>
    <w:rsid w:val="004D0029"/>
    <w:rsid w:val="004D0226"/>
    <w:rsid w:val="004D1AD1"/>
    <w:rsid w:val="004D1F18"/>
    <w:rsid w:val="004D2009"/>
    <w:rsid w:val="004D21DF"/>
    <w:rsid w:val="004D2C0C"/>
    <w:rsid w:val="004D3008"/>
    <w:rsid w:val="004D3025"/>
    <w:rsid w:val="004D3836"/>
    <w:rsid w:val="004D6010"/>
    <w:rsid w:val="004D63A0"/>
    <w:rsid w:val="004D6B34"/>
    <w:rsid w:val="004D7BEB"/>
    <w:rsid w:val="004E006C"/>
    <w:rsid w:val="004E09CF"/>
    <w:rsid w:val="004E09D2"/>
    <w:rsid w:val="004E0B15"/>
    <w:rsid w:val="004E1151"/>
    <w:rsid w:val="004E1514"/>
    <w:rsid w:val="004E16E3"/>
    <w:rsid w:val="004E18A3"/>
    <w:rsid w:val="004E1E57"/>
    <w:rsid w:val="004E2244"/>
    <w:rsid w:val="004E3596"/>
    <w:rsid w:val="004E4EA1"/>
    <w:rsid w:val="004E54F6"/>
    <w:rsid w:val="004E5636"/>
    <w:rsid w:val="004E57D8"/>
    <w:rsid w:val="004E59D1"/>
    <w:rsid w:val="004E5D26"/>
    <w:rsid w:val="004E5EC7"/>
    <w:rsid w:val="004E618D"/>
    <w:rsid w:val="004E6431"/>
    <w:rsid w:val="004E6918"/>
    <w:rsid w:val="004E796F"/>
    <w:rsid w:val="004E7DEE"/>
    <w:rsid w:val="004E7E39"/>
    <w:rsid w:val="004F01BB"/>
    <w:rsid w:val="004F13F2"/>
    <w:rsid w:val="004F1456"/>
    <w:rsid w:val="004F1724"/>
    <w:rsid w:val="004F3831"/>
    <w:rsid w:val="004F3FB9"/>
    <w:rsid w:val="004F4467"/>
    <w:rsid w:val="004F476D"/>
    <w:rsid w:val="004F4A0E"/>
    <w:rsid w:val="004F4A75"/>
    <w:rsid w:val="004F52B6"/>
    <w:rsid w:val="004F54EE"/>
    <w:rsid w:val="004F567E"/>
    <w:rsid w:val="004F5C9B"/>
    <w:rsid w:val="004F5CC7"/>
    <w:rsid w:val="004F64D1"/>
    <w:rsid w:val="004F6840"/>
    <w:rsid w:val="004F7FE0"/>
    <w:rsid w:val="0050012B"/>
    <w:rsid w:val="00500431"/>
    <w:rsid w:val="005004B0"/>
    <w:rsid w:val="0050070A"/>
    <w:rsid w:val="00500FA2"/>
    <w:rsid w:val="0050268A"/>
    <w:rsid w:val="0050327D"/>
    <w:rsid w:val="00503A51"/>
    <w:rsid w:val="00505E9C"/>
    <w:rsid w:val="0050606D"/>
    <w:rsid w:val="00506C58"/>
    <w:rsid w:val="005072EA"/>
    <w:rsid w:val="005074EC"/>
    <w:rsid w:val="00507944"/>
    <w:rsid w:val="00507F1F"/>
    <w:rsid w:val="00510075"/>
    <w:rsid w:val="005100FC"/>
    <w:rsid w:val="00510850"/>
    <w:rsid w:val="005109E5"/>
    <w:rsid w:val="00512D92"/>
    <w:rsid w:val="005132FA"/>
    <w:rsid w:val="00513363"/>
    <w:rsid w:val="005134E1"/>
    <w:rsid w:val="0051356E"/>
    <w:rsid w:val="0051402B"/>
    <w:rsid w:val="005146CA"/>
    <w:rsid w:val="00514B64"/>
    <w:rsid w:val="00514CCD"/>
    <w:rsid w:val="005150D5"/>
    <w:rsid w:val="005156AC"/>
    <w:rsid w:val="00515A54"/>
    <w:rsid w:val="00515C41"/>
    <w:rsid w:val="00516275"/>
    <w:rsid w:val="0051645D"/>
    <w:rsid w:val="0051663A"/>
    <w:rsid w:val="00516C1A"/>
    <w:rsid w:val="00517EB6"/>
    <w:rsid w:val="005203BA"/>
    <w:rsid w:val="00520471"/>
    <w:rsid w:val="005214BE"/>
    <w:rsid w:val="00521928"/>
    <w:rsid w:val="005227BB"/>
    <w:rsid w:val="00522F86"/>
    <w:rsid w:val="00522FA9"/>
    <w:rsid w:val="00523620"/>
    <w:rsid w:val="00523700"/>
    <w:rsid w:val="00523F47"/>
    <w:rsid w:val="00524ACE"/>
    <w:rsid w:val="005250BE"/>
    <w:rsid w:val="00525334"/>
    <w:rsid w:val="00525641"/>
    <w:rsid w:val="00526042"/>
    <w:rsid w:val="00526158"/>
    <w:rsid w:val="00526449"/>
    <w:rsid w:val="005265B6"/>
    <w:rsid w:val="00526DB6"/>
    <w:rsid w:val="005279B7"/>
    <w:rsid w:val="00527C5C"/>
    <w:rsid w:val="005300C7"/>
    <w:rsid w:val="00530CE6"/>
    <w:rsid w:val="00531FE5"/>
    <w:rsid w:val="00532088"/>
    <w:rsid w:val="00532621"/>
    <w:rsid w:val="00532B1F"/>
    <w:rsid w:val="00532F40"/>
    <w:rsid w:val="005330AB"/>
    <w:rsid w:val="00533153"/>
    <w:rsid w:val="00533BBF"/>
    <w:rsid w:val="005346E7"/>
    <w:rsid w:val="00534CD1"/>
    <w:rsid w:val="00535194"/>
    <w:rsid w:val="005358D9"/>
    <w:rsid w:val="005368CC"/>
    <w:rsid w:val="00537A75"/>
    <w:rsid w:val="00537C7F"/>
    <w:rsid w:val="005402C7"/>
    <w:rsid w:val="00540604"/>
    <w:rsid w:val="00540EEA"/>
    <w:rsid w:val="0054127B"/>
    <w:rsid w:val="005431C9"/>
    <w:rsid w:val="005434AB"/>
    <w:rsid w:val="0054407E"/>
    <w:rsid w:val="00544191"/>
    <w:rsid w:val="00544211"/>
    <w:rsid w:val="0054435A"/>
    <w:rsid w:val="00544706"/>
    <w:rsid w:val="00545057"/>
    <w:rsid w:val="00546093"/>
    <w:rsid w:val="00547BA5"/>
    <w:rsid w:val="00547EBB"/>
    <w:rsid w:val="00547F9F"/>
    <w:rsid w:val="005507AD"/>
    <w:rsid w:val="00550BEA"/>
    <w:rsid w:val="00551104"/>
    <w:rsid w:val="0055122F"/>
    <w:rsid w:val="005514C8"/>
    <w:rsid w:val="00551AC0"/>
    <w:rsid w:val="00552C80"/>
    <w:rsid w:val="00553A1B"/>
    <w:rsid w:val="0055444D"/>
    <w:rsid w:val="00554AFA"/>
    <w:rsid w:val="00554B6D"/>
    <w:rsid w:val="00554E9F"/>
    <w:rsid w:val="00555142"/>
    <w:rsid w:val="005551CA"/>
    <w:rsid w:val="00555358"/>
    <w:rsid w:val="00555D74"/>
    <w:rsid w:val="00556020"/>
    <w:rsid w:val="0055647A"/>
    <w:rsid w:val="0055659A"/>
    <w:rsid w:val="00556E96"/>
    <w:rsid w:val="00556F2B"/>
    <w:rsid w:val="00557035"/>
    <w:rsid w:val="00557A41"/>
    <w:rsid w:val="00557ACA"/>
    <w:rsid w:val="00557F62"/>
    <w:rsid w:val="00560575"/>
    <w:rsid w:val="005610A6"/>
    <w:rsid w:val="0056206A"/>
    <w:rsid w:val="005627DD"/>
    <w:rsid w:val="00562EBD"/>
    <w:rsid w:val="005653FE"/>
    <w:rsid w:val="00565739"/>
    <w:rsid w:val="00565A8B"/>
    <w:rsid w:val="00566017"/>
    <w:rsid w:val="005675F7"/>
    <w:rsid w:val="0057092F"/>
    <w:rsid w:val="00570BD7"/>
    <w:rsid w:val="005715A4"/>
    <w:rsid w:val="005716B8"/>
    <w:rsid w:val="0057282E"/>
    <w:rsid w:val="00572D72"/>
    <w:rsid w:val="0057328D"/>
    <w:rsid w:val="00573594"/>
    <w:rsid w:val="00573776"/>
    <w:rsid w:val="00573DF3"/>
    <w:rsid w:val="00574914"/>
    <w:rsid w:val="00574DA5"/>
    <w:rsid w:val="0057536C"/>
    <w:rsid w:val="00575618"/>
    <w:rsid w:val="00575980"/>
    <w:rsid w:val="00575FAB"/>
    <w:rsid w:val="00576A5E"/>
    <w:rsid w:val="00576EFF"/>
    <w:rsid w:val="00577877"/>
    <w:rsid w:val="00577A8A"/>
    <w:rsid w:val="00577EF4"/>
    <w:rsid w:val="0058019A"/>
    <w:rsid w:val="0058052A"/>
    <w:rsid w:val="00580BD4"/>
    <w:rsid w:val="00581843"/>
    <w:rsid w:val="00581ED8"/>
    <w:rsid w:val="00582845"/>
    <w:rsid w:val="0058338E"/>
    <w:rsid w:val="005833B0"/>
    <w:rsid w:val="00585304"/>
    <w:rsid w:val="0058542D"/>
    <w:rsid w:val="0058566B"/>
    <w:rsid w:val="005858F2"/>
    <w:rsid w:val="00585910"/>
    <w:rsid w:val="005859B4"/>
    <w:rsid w:val="00586003"/>
    <w:rsid w:val="005868F4"/>
    <w:rsid w:val="00586C16"/>
    <w:rsid w:val="005874E2"/>
    <w:rsid w:val="00587773"/>
    <w:rsid w:val="00590EF0"/>
    <w:rsid w:val="00590F77"/>
    <w:rsid w:val="00591551"/>
    <w:rsid w:val="0059156A"/>
    <w:rsid w:val="00591C1C"/>
    <w:rsid w:val="00591CA2"/>
    <w:rsid w:val="00593178"/>
    <w:rsid w:val="005935DA"/>
    <w:rsid w:val="00594098"/>
    <w:rsid w:val="0059440E"/>
    <w:rsid w:val="00595AAD"/>
    <w:rsid w:val="005967F7"/>
    <w:rsid w:val="005970AE"/>
    <w:rsid w:val="00597910"/>
    <w:rsid w:val="00597A45"/>
    <w:rsid w:val="005A0826"/>
    <w:rsid w:val="005A1863"/>
    <w:rsid w:val="005A1C2B"/>
    <w:rsid w:val="005A2EFE"/>
    <w:rsid w:val="005A2FC7"/>
    <w:rsid w:val="005A3497"/>
    <w:rsid w:val="005A35A7"/>
    <w:rsid w:val="005A470D"/>
    <w:rsid w:val="005A4DAC"/>
    <w:rsid w:val="005A56B2"/>
    <w:rsid w:val="005A5E8F"/>
    <w:rsid w:val="005A60A3"/>
    <w:rsid w:val="005A6A13"/>
    <w:rsid w:val="005A733D"/>
    <w:rsid w:val="005A7AC7"/>
    <w:rsid w:val="005B03EE"/>
    <w:rsid w:val="005B129A"/>
    <w:rsid w:val="005B13D2"/>
    <w:rsid w:val="005B1406"/>
    <w:rsid w:val="005B1618"/>
    <w:rsid w:val="005B1AEF"/>
    <w:rsid w:val="005B29E8"/>
    <w:rsid w:val="005B2A5E"/>
    <w:rsid w:val="005B2A8D"/>
    <w:rsid w:val="005B341A"/>
    <w:rsid w:val="005B38C4"/>
    <w:rsid w:val="005B3F61"/>
    <w:rsid w:val="005B4292"/>
    <w:rsid w:val="005B42F2"/>
    <w:rsid w:val="005B4361"/>
    <w:rsid w:val="005B4719"/>
    <w:rsid w:val="005B50D7"/>
    <w:rsid w:val="005B5181"/>
    <w:rsid w:val="005B5800"/>
    <w:rsid w:val="005B5B38"/>
    <w:rsid w:val="005B62D7"/>
    <w:rsid w:val="005B6EDE"/>
    <w:rsid w:val="005B7CFC"/>
    <w:rsid w:val="005C1019"/>
    <w:rsid w:val="005C107C"/>
    <w:rsid w:val="005C1EDB"/>
    <w:rsid w:val="005C1F5A"/>
    <w:rsid w:val="005C30B9"/>
    <w:rsid w:val="005C30D5"/>
    <w:rsid w:val="005C32FB"/>
    <w:rsid w:val="005C37D2"/>
    <w:rsid w:val="005C3954"/>
    <w:rsid w:val="005C3A61"/>
    <w:rsid w:val="005C3D23"/>
    <w:rsid w:val="005C42E9"/>
    <w:rsid w:val="005C556D"/>
    <w:rsid w:val="005C5BEF"/>
    <w:rsid w:val="005C672B"/>
    <w:rsid w:val="005C690E"/>
    <w:rsid w:val="005C6B5E"/>
    <w:rsid w:val="005D0183"/>
    <w:rsid w:val="005D02EA"/>
    <w:rsid w:val="005D036C"/>
    <w:rsid w:val="005D05DB"/>
    <w:rsid w:val="005D0753"/>
    <w:rsid w:val="005D0A29"/>
    <w:rsid w:val="005D1134"/>
    <w:rsid w:val="005D1137"/>
    <w:rsid w:val="005D14C1"/>
    <w:rsid w:val="005D1B4B"/>
    <w:rsid w:val="005D1D77"/>
    <w:rsid w:val="005D22FB"/>
    <w:rsid w:val="005D319D"/>
    <w:rsid w:val="005D344C"/>
    <w:rsid w:val="005D44FA"/>
    <w:rsid w:val="005D4B70"/>
    <w:rsid w:val="005D4BE2"/>
    <w:rsid w:val="005D5113"/>
    <w:rsid w:val="005D5240"/>
    <w:rsid w:val="005D557C"/>
    <w:rsid w:val="005D559A"/>
    <w:rsid w:val="005D5C3A"/>
    <w:rsid w:val="005D64B6"/>
    <w:rsid w:val="005D6C10"/>
    <w:rsid w:val="005D70BE"/>
    <w:rsid w:val="005D7880"/>
    <w:rsid w:val="005E0285"/>
    <w:rsid w:val="005E07A5"/>
    <w:rsid w:val="005E096E"/>
    <w:rsid w:val="005E0EFC"/>
    <w:rsid w:val="005E1A47"/>
    <w:rsid w:val="005E1E44"/>
    <w:rsid w:val="005E1F80"/>
    <w:rsid w:val="005E23FC"/>
    <w:rsid w:val="005E2D68"/>
    <w:rsid w:val="005E2F5B"/>
    <w:rsid w:val="005E3194"/>
    <w:rsid w:val="005E345F"/>
    <w:rsid w:val="005E36B6"/>
    <w:rsid w:val="005E4298"/>
    <w:rsid w:val="005E42B4"/>
    <w:rsid w:val="005E52ED"/>
    <w:rsid w:val="005E54BD"/>
    <w:rsid w:val="005E5EB2"/>
    <w:rsid w:val="005E655F"/>
    <w:rsid w:val="005E65A0"/>
    <w:rsid w:val="005E682E"/>
    <w:rsid w:val="005E6B0A"/>
    <w:rsid w:val="005E7122"/>
    <w:rsid w:val="005E76A5"/>
    <w:rsid w:val="005E780B"/>
    <w:rsid w:val="005E7D3A"/>
    <w:rsid w:val="005E7FFE"/>
    <w:rsid w:val="005F0034"/>
    <w:rsid w:val="005F0533"/>
    <w:rsid w:val="005F064A"/>
    <w:rsid w:val="005F0CD4"/>
    <w:rsid w:val="005F0E0F"/>
    <w:rsid w:val="005F1006"/>
    <w:rsid w:val="005F10C6"/>
    <w:rsid w:val="005F1867"/>
    <w:rsid w:val="005F1C57"/>
    <w:rsid w:val="005F1F52"/>
    <w:rsid w:val="005F29D8"/>
    <w:rsid w:val="005F34BF"/>
    <w:rsid w:val="005F3C48"/>
    <w:rsid w:val="005F43F5"/>
    <w:rsid w:val="005F4928"/>
    <w:rsid w:val="005F4D78"/>
    <w:rsid w:val="005F4F91"/>
    <w:rsid w:val="005F5014"/>
    <w:rsid w:val="005F5372"/>
    <w:rsid w:val="005F54C5"/>
    <w:rsid w:val="005F56A8"/>
    <w:rsid w:val="005F5764"/>
    <w:rsid w:val="005F58E0"/>
    <w:rsid w:val="005F6F14"/>
    <w:rsid w:val="006003E7"/>
    <w:rsid w:val="00600821"/>
    <w:rsid w:val="00600E8D"/>
    <w:rsid w:val="006014F9"/>
    <w:rsid w:val="006018A5"/>
    <w:rsid w:val="00601A20"/>
    <w:rsid w:val="0060215A"/>
    <w:rsid w:val="006022E5"/>
    <w:rsid w:val="00602FBC"/>
    <w:rsid w:val="00603FE7"/>
    <w:rsid w:val="0060408F"/>
    <w:rsid w:val="006044C1"/>
    <w:rsid w:val="00604B01"/>
    <w:rsid w:val="00604BE8"/>
    <w:rsid w:val="00604D6E"/>
    <w:rsid w:val="0060692B"/>
    <w:rsid w:val="00606F87"/>
    <w:rsid w:val="0060759E"/>
    <w:rsid w:val="006075E7"/>
    <w:rsid w:val="00607B58"/>
    <w:rsid w:val="006105BE"/>
    <w:rsid w:val="00611973"/>
    <w:rsid w:val="00612387"/>
    <w:rsid w:val="00612892"/>
    <w:rsid w:val="00613135"/>
    <w:rsid w:val="00613708"/>
    <w:rsid w:val="00614132"/>
    <w:rsid w:val="006144CB"/>
    <w:rsid w:val="0061483B"/>
    <w:rsid w:val="006148EC"/>
    <w:rsid w:val="0061490D"/>
    <w:rsid w:val="00614D01"/>
    <w:rsid w:val="00614D3B"/>
    <w:rsid w:val="006152D9"/>
    <w:rsid w:val="00615569"/>
    <w:rsid w:val="00615C40"/>
    <w:rsid w:val="00615D59"/>
    <w:rsid w:val="00615F7D"/>
    <w:rsid w:val="0061697E"/>
    <w:rsid w:val="00616C21"/>
    <w:rsid w:val="00616F6D"/>
    <w:rsid w:val="00617234"/>
    <w:rsid w:val="006172E3"/>
    <w:rsid w:val="00617622"/>
    <w:rsid w:val="00620C31"/>
    <w:rsid w:val="00620D28"/>
    <w:rsid w:val="00621992"/>
    <w:rsid w:val="00621A66"/>
    <w:rsid w:val="00622812"/>
    <w:rsid w:val="00623324"/>
    <w:rsid w:val="00623475"/>
    <w:rsid w:val="00624590"/>
    <w:rsid w:val="00626DFA"/>
    <w:rsid w:val="0062706B"/>
    <w:rsid w:val="006276B9"/>
    <w:rsid w:val="006277D1"/>
    <w:rsid w:val="00627866"/>
    <w:rsid w:val="00627FBB"/>
    <w:rsid w:val="0063000F"/>
    <w:rsid w:val="0063034F"/>
    <w:rsid w:val="006306E3"/>
    <w:rsid w:val="00630A90"/>
    <w:rsid w:val="00630ED9"/>
    <w:rsid w:val="00631176"/>
    <w:rsid w:val="00631287"/>
    <w:rsid w:val="00631846"/>
    <w:rsid w:val="006318A8"/>
    <w:rsid w:val="00631987"/>
    <w:rsid w:val="006320D4"/>
    <w:rsid w:val="0063285C"/>
    <w:rsid w:val="006329BC"/>
    <w:rsid w:val="00632CBE"/>
    <w:rsid w:val="00633052"/>
    <w:rsid w:val="00633353"/>
    <w:rsid w:val="00633979"/>
    <w:rsid w:val="00633EEE"/>
    <w:rsid w:val="006340FB"/>
    <w:rsid w:val="0063432E"/>
    <w:rsid w:val="00634CFC"/>
    <w:rsid w:val="00635684"/>
    <w:rsid w:val="00636094"/>
    <w:rsid w:val="00636A37"/>
    <w:rsid w:val="00636D18"/>
    <w:rsid w:val="00636DDB"/>
    <w:rsid w:val="00636F0E"/>
    <w:rsid w:val="00637319"/>
    <w:rsid w:val="00637355"/>
    <w:rsid w:val="00637876"/>
    <w:rsid w:val="00640311"/>
    <w:rsid w:val="00641261"/>
    <w:rsid w:val="006420B5"/>
    <w:rsid w:val="00642532"/>
    <w:rsid w:val="006426E1"/>
    <w:rsid w:val="006430A1"/>
    <w:rsid w:val="006434BD"/>
    <w:rsid w:val="00643DFE"/>
    <w:rsid w:val="0064408A"/>
    <w:rsid w:val="0064414B"/>
    <w:rsid w:val="00644C3F"/>
    <w:rsid w:val="00644F04"/>
    <w:rsid w:val="00644F14"/>
    <w:rsid w:val="00644FA9"/>
    <w:rsid w:val="00645458"/>
    <w:rsid w:val="00645EE1"/>
    <w:rsid w:val="00646390"/>
    <w:rsid w:val="006464E3"/>
    <w:rsid w:val="006467CE"/>
    <w:rsid w:val="00646C7B"/>
    <w:rsid w:val="00646E53"/>
    <w:rsid w:val="00647C12"/>
    <w:rsid w:val="006508F5"/>
    <w:rsid w:val="00651098"/>
    <w:rsid w:val="0065124B"/>
    <w:rsid w:val="0065142C"/>
    <w:rsid w:val="006515FA"/>
    <w:rsid w:val="00651DF9"/>
    <w:rsid w:val="0065217D"/>
    <w:rsid w:val="0065271E"/>
    <w:rsid w:val="006535AF"/>
    <w:rsid w:val="00653EE0"/>
    <w:rsid w:val="006540DA"/>
    <w:rsid w:val="00655543"/>
    <w:rsid w:val="006560D4"/>
    <w:rsid w:val="00656CB9"/>
    <w:rsid w:val="0065709C"/>
    <w:rsid w:val="0065718D"/>
    <w:rsid w:val="0066048A"/>
    <w:rsid w:val="00661315"/>
    <w:rsid w:val="00661543"/>
    <w:rsid w:val="0066154F"/>
    <w:rsid w:val="00661A56"/>
    <w:rsid w:val="00662DAE"/>
    <w:rsid w:val="00663D02"/>
    <w:rsid w:val="0066461B"/>
    <w:rsid w:val="00664CF3"/>
    <w:rsid w:val="006665F1"/>
    <w:rsid w:val="006667A4"/>
    <w:rsid w:val="00666A31"/>
    <w:rsid w:val="00666F6A"/>
    <w:rsid w:val="00667045"/>
    <w:rsid w:val="006671F8"/>
    <w:rsid w:val="00671317"/>
    <w:rsid w:val="00672191"/>
    <w:rsid w:val="00673061"/>
    <w:rsid w:val="0067341B"/>
    <w:rsid w:val="00673CC9"/>
    <w:rsid w:val="00674115"/>
    <w:rsid w:val="0067530E"/>
    <w:rsid w:val="006768F6"/>
    <w:rsid w:val="00676ADC"/>
    <w:rsid w:val="0067754C"/>
    <w:rsid w:val="006801F8"/>
    <w:rsid w:val="00681E2E"/>
    <w:rsid w:val="006827E8"/>
    <w:rsid w:val="00682E02"/>
    <w:rsid w:val="0068408E"/>
    <w:rsid w:val="006842C2"/>
    <w:rsid w:val="00684436"/>
    <w:rsid w:val="00684EC3"/>
    <w:rsid w:val="00685165"/>
    <w:rsid w:val="0068586B"/>
    <w:rsid w:val="00685FF7"/>
    <w:rsid w:val="0068621A"/>
    <w:rsid w:val="0069001D"/>
    <w:rsid w:val="00690073"/>
    <w:rsid w:val="0069186A"/>
    <w:rsid w:val="00691BEF"/>
    <w:rsid w:val="00691E21"/>
    <w:rsid w:val="0069203B"/>
    <w:rsid w:val="00692B80"/>
    <w:rsid w:val="00692D6C"/>
    <w:rsid w:val="00693431"/>
    <w:rsid w:val="00694122"/>
    <w:rsid w:val="006942C3"/>
    <w:rsid w:val="006946F1"/>
    <w:rsid w:val="00694779"/>
    <w:rsid w:val="00694AE3"/>
    <w:rsid w:val="00695962"/>
    <w:rsid w:val="00695CB8"/>
    <w:rsid w:val="006968A5"/>
    <w:rsid w:val="006969FB"/>
    <w:rsid w:val="00697233"/>
    <w:rsid w:val="006972E3"/>
    <w:rsid w:val="0069764C"/>
    <w:rsid w:val="006A12E9"/>
    <w:rsid w:val="006A1AAE"/>
    <w:rsid w:val="006A2935"/>
    <w:rsid w:val="006A36E3"/>
    <w:rsid w:val="006A3A8E"/>
    <w:rsid w:val="006A3BEF"/>
    <w:rsid w:val="006A40AB"/>
    <w:rsid w:val="006A6304"/>
    <w:rsid w:val="006A72DB"/>
    <w:rsid w:val="006B1ABA"/>
    <w:rsid w:val="006B29B4"/>
    <w:rsid w:val="006B4119"/>
    <w:rsid w:val="006B478A"/>
    <w:rsid w:val="006B4A5C"/>
    <w:rsid w:val="006B4A5E"/>
    <w:rsid w:val="006B58E0"/>
    <w:rsid w:val="006B63A1"/>
    <w:rsid w:val="006B66E0"/>
    <w:rsid w:val="006B68D8"/>
    <w:rsid w:val="006B7246"/>
    <w:rsid w:val="006B7280"/>
    <w:rsid w:val="006B7514"/>
    <w:rsid w:val="006B7751"/>
    <w:rsid w:val="006B7BD5"/>
    <w:rsid w:val="006B7EDB"/>
    <w:rsid w:val="006C0037"/>
    <w:rsid w:val="006C0CF6"/>
    <w:rsid w:val="006C1CC8"/>
    <w:rsid w:val="006C2472"/>
    <w:rsid w:val="006C2EA1"/>
    <w:rsid w:val="006C318D"/>
    <w:rsid w:val="006C4517"/>
    <w:rsid w:val="006C49B9"/>
    <w:rsid w:val="006C4A8B"/>
    <w:rsid w:val="006C4FA3"/>
    <w:rsid w:val="006C55FD"/>
    <w:rsid w:val="006C56DC"/>
    <w:rsid w:val="006C5A77"/>
    <w:rsid w:val="006C637F"/>
    <w:rsid w:val="006C6B3B"/>
    <w:rsid w:val="006C6B8B"/>
    <w:rsid w:val="006D1293"/>
    <w:rsid w:val="006D1CC4"/>
    <w:rsid w:val="006D1E35"/>
    <w:rsid w:val="006D1EB4"/>
    <w:rsid w:val="006D3B59"/>
    <w:rsid w:val="006D46F3"/>
    <w:rsid w:val="006D4A17"/>
    <w:rsid w:val="006D4DCC"/>
    <w:rsid w:val="006D56EE"/>
    <w:rsid w:val="006D5ABA"/>
    <w:rsid w:val="006D6065"/>
    <w:rsid w:val="006D630B"/>
    <w:rsid w:val="006D6A20"/>
    <w:rsid w:val="006D6B11"/>
    <w:rsid w:val="006D6F32"/>
    <w:rsid w:val="006D78EA"/>
    <w:rsid w:val="006D7A53"/>
    <w:rsid w:val="006E00AE"/>
    <w:rsid w:val="006E010E"/>
    <w:rsid w:val="006E02ED"/>
    <w:rsid w:val="006E04C5"/>
    <w:rsid w:val="006E060B"/>
    <w:rsid w:val="006E2501"/>
    <w:rsid w:val="006E270B"/>
    <w:rsid w:val="006E28F0"/>
    <w:rsid w:val="006E29A0"/>
    <w:rsid w:val="006E335C"/>
    <w:rsid w:val="006E38B3"/>
    <w:rsid w:val="006E3A0D"/>
    <w:rsid w:val="006E3D0B"/>
    <w:rsid w:val="006E3DA2"/>
    <w:rsid w:val="006E3ED3"/>
    <w:rsid w:val="006E4919"/>
    <w:rsid w:val="006E570D"/>
    <w:rsid w:val="006E67CB"/>
    <w:rsid w:val="006E696B"/>
    <w:rsid w:val="006E6A9D"/>
    <w:rsid w:val="006E6AAC"/>
    <w:rsid w:val="006E6ECD"/>
    <w:rsid w:val="006E7058"/>
    <w:rsid w:val="006E714A"/>
    <w:rsid w:val="006E7F60"/>
    <w:rsid w:val="006F12E0"/>
    <w:rsid w:val="006F140F"/>
    <w:rsid w:val="006F1B41"/>
    <w:rsid w:val="006F2155"/>
    <w:rsid w:val="006F241C"/>
    <w:rsid w:val="006F24F2"/>
    <w:rsid w:val="006F3444"/>
    <w:rsid w:val="006F43C3"/>
    <w:rsid w:val="006F4B5F"/>
    <w:rsid w:val="006F514C"/>
    <w:rsid w:val="006F5187"/>
    <w:rsid w:val="006F552A"/>
    <w:rsid w:val="006F5877"/>
    <w:rsid w:val="006F5C3A"/>
    <w:rsid w:val="006F6501"/>
    <w:rsid w:val="006F7843"/>
    <w:rsid w:val="006F7A4E"/>
    <w:rsid w:val="006F7CFD"/>
    <w:rsid w:val="006F7F7A"/>
    <w:rsid w:val="00700545"/>
    <w:rsid w:val="00700C1B"/>
    <w:rsid w:val="0070137A"/>
    <w:rsid w:val="00701E7A"/>
    <w:rsid w:val="00701EB6"/>
    <w:rsid w:val="0070232E"/>
    <w:rsid w:val="00702854"/>
    <w:rsid w:val="00702FD3"/>
    <w:rsid w:val="00704DB4"/>
    <w:rsid w:val="00704E25"/>
    <w:rsid w:val="00705395"/>
    <w:rsid w:val="007057EC"/>
    <w:rsid w:val="007059BA"/>
    <w:rsid w:val="00705D31"/>
    <w:rsid w:val="00705FA5"/>
    <w:rsid w:val="00706605"/>
    <w:rsid w:val="00706A4D"/>
    <w:rsid w:val="00706F1D"/>
    <w:rsid w:val="00707744"/>
    <w:rsid w:val="0071015F"/>
    <w:rsid w:val="00710BA2"/>
    <w:rsid w:val="007117AC"/>
    <w:rsid w:val="00711CD5"/>
    <w:rsid w:val="00712145"/>
    <w:rsid w:val="00712662"/>
    <w:rsid w:val="0071269F"/>
    <w:rsid w:val="007129F0"/>
    <w:rsid w:val="007133BD"/>
    <w:rsid w:val="00714B0B"/>
    <w:rsid w:val="00714E18"/>
    <w:rsid w:val="00715392"/>
    <w:rsid w:val="0071557A"/>
    <w:rsid w:val="007156A8"/>
    <w:rsid w:val="00717C9B"/>
    <w:rsid w:val="00720358"/>
    <w:rsid w:val="007212B8"/>
    <w:rsid w:val="00722204"/>
    <w:rsid w:val="00722398"/>
    <w:rsid w:val="00723319"/>
    <w:rsid w:val="00723DE0"/>
    <w:rsid w:val="00724460"/>
    <w:rsid w:val="00724F96"/>
    <w:rsid w:val="0072557C"/>
    <w:rsid w:val="00725587"/>
    <w:rsid w:val="00727836"/>
    <w:rsid w:val="00727C31"/>
    <w:rsid w:val="00730190"/>
    <w:rsid w:val="00730651"/>
    <w:rsid w:val="007309BA"/>
    <w:rsid w:val="00730B86"/>
    <w:rsid w:val="007313C7"/>
    <w:rsid w:val="00731D1F"/>
    <w:rsid w:val="007322A2"/>
    <w:rsid w:val="007326D4"/>
    <w:rsid w:val="0073271F"/>
    <w:rsid w:val="007339E6"/>
    <w:rsid w:val="00733F6E"/>
    <w:rsid w:val="007343F9"/>
    <w:rsid w:val="00734436"/>
    <w:rsid w:val="00734CD0"/>
    <w:rsid w:val="00734CEB"/>
    <w:rsid w:val="00735854"/>
    <w:rsid w:val="007359AD"/>
    <w:rsid w:val="00737A5B"/>
    <w:rsid w:val="00737D3A"/>
    <w:rsid w:val="00740F51"/>
    <w:rsid w:val="00741462"/>
    <w:rsid w:val="0074176F"/>
    <w:rsid w:val="007419B5"/>
    <w:rsid w:val="007434E6"/>
    <w:rsid w:val="0074357E"/>
    <w:rsid w:val="0074382C"/>
    <w:rsid w:val="00745073"/>
    <w:rsid w:val="007452C1"/>
    <w:rsid w:val="00745696"/>
    <w:rsid w:val="00745F61"/>
    <w:rsid w:val="00746259"/>
    <w:rsid w:val="0074643E"/>
    <w:rsid w:val="007469F6"/>
    <w:rsid w:val="00746ABC"/>
    <w:rsid w:val="0074760B"/>
    <w:rsid w:val="00747FE2"/>
    <w:rsid w:val="0075138B"/>
    <w:rsid w:val="007514CC"/>
    <w:rsid w:val="0075152E"/>
    <w:rsid w:val="007518FB"/>
    <w:rsid w:val="00751D17"/>
    <w:rsid w:val="0075252D"/>
    <w:rsid w:val="00753892"/>
    <w:rsid w:val="00753F59"/>
    <w:rsid w:val="00753FCF"/>
    <w:rsid w:val="00754439"/>
    <w:rsid w:val="00754800"/>
    <w:rsid w:val="00754A5C"/>
    <w:rsid w:val="00754AE5"/>
    <w:rsid w:val="007554D3"/>
    <w:rsid w:val="007563E1"/>
    <w:rsid w:val="00756B74"/>
    <w:rsid w:val="00756FE5"/>
    <w:rsid w:val="00757878"/>
    <w:rsid w:val="007579E9"/>
    <w:rsid w:val="00760407"/>
    <w:rsid w:val="00760813"/>
    <w:rsid w:val="00760DD7"/>
    <w:rsid w:val="00760E3E"/>
    <w:rsid w:val="00761288"/>
    <w:rsid w:val="00761678"/>
    <w:rsid w:val="00762CF1"/>
    <w:rsid w:val="00763381"/>
    <w:rsid w:val="007634B2"/>
    <w:rsid w:val="0076350E"/>
    <w:rsid w:val="007635C6"/>
    <w:rsid w:val="00763F10"/>
    <w:rsid w:val="00765673"/>
    <w:rsid w:val="00765A1B"/>
    <w:rsid w:val="00765C48"/>
    <w:rsid w:val="00765FA0"/>
    <w:rsid w:val="0076600D"/>
    <w:rsid w:val="00766E5E"/>
    <w:rsid w:val="00766F11"/>
    <w:rsid w:val="0076708F"/>
    <w:rsid w:val="007670C1"/>
    <w:rsid w:val="0076730A"/>
    <w:rsid w:val="00767546"/>
    <w:rsid w:val="00767761"/>
    <w:rsid w:val="00767DF2"/>
    <w:rsid w:val="00767FDF"/>
    <w:rsid w:val="007700D8"/>
    <w:rsid w:val="00770C49"/>
    <w:rsid w:val="00771457"/>
    <w:rsid w:val="0077153E"/>
    <w:rsid w:val="007717B9"/>
    <w:rsid w:val="00771B5A"/>
    <w:rsid w:val="00772207"/>
    <w:rsid w:val="00772334"/>
    <w:rsid w:val="0077275B"/>
    <w:rsid w:val="007734BE"/>
    <w:rsid w:val="00773BAF"/>
    <w:rsid w:val="0077451B"/>
    <w:rsid w:val="00774590"/>
    <w:rsid w:val="0077463B"/>
    <w:rsid w:val="00774B91"/>
    <w:rsid w:val="007754F4"/>
    <w:rsid w:val="00775BFD"/>
    <w:rsid w:val="00775D94"/>
    <w:rsid w:val="0077695A"/>
    <w:rsid w:val="007771FB"/>
    <w:rsid w:val="00777A83"/>
    <w:rsid w:val="00777E7F"/>
    <w:rsid w:val="00781809"/>
    <w:rsid w:val="00781EE6"/>
    <w:rsid w:val="0078213F"/>
    <w:rsid w:val="007823C8"/>
    <w:rsid w:val="007829F2"/>
    <w:rsid w:val="00782D12"/>
    <w:rsid w:val="00782D45"/>
    <w:rsid w:val="00783430"/>
    <w:rsid w:val="00783927"/>
    <w:rsid w:val="00784FC4"/>
    <w:rsid w:val="007854BF"/>
    <w:rsid w:val="0078609A"/>
    <w:rsid w:val="00786395"/>
    <w:rsid w:val="007868A4"/>
    <w:rsid w:val="007868D1"/>
    <w:rsid w:val="00786F6E"/>
    <w:rsid w:val="007871A7"/>
    <w:rsid w:val="007877E8"/>
    <w:rsid w:val="007901F3"/>
    <w:rsid w:val="007909CA"/>
    <w:rsid w:val="007910F7"/>
    <w:rsid w:val="0079114A"/>
    <w:rsid w:val="007916EE"/>
    <w:rsid w:val="007917EA"/>
    <w:rsid w:val="00791E82"/>
    <w:rsid w:val="0079290C"/>
    <w:rsid w:val="00792D63"/>
    <w:rsid w:val="00792ECA"/>
    <w:rsid w:val="007930CC"/>
    <w:rsid w:val="00793394"/>
    <w:rsid w:val="00793B5A"/>
    <w:rsid w:val="00793F3A"/>
    <w:rsid w:val="007959B8"/>
    <w:rsid w:val="007961BA"/>
    <w:rsid w:val="0079737C"/>
    <w:rsid w:val="00797794"/>
    <w:rsid w:val="00797A8C"/>
    <w:rsid w:val="007A025E"/>
    <w:rsid w:val="007A08BF"/>
    <w:rsid w:val="007A09DB"/>
    <w:rsid w:val="007A0E18"/>
    <w:rsid w:val="007A10AD"/>
    <w:rsid w:val="007A12D7"/>
    <w:rsid w:val="007A148F"/>
    <w:rsid w:val="007A1879"/>
    <w:rsid w:val="007A18FA"/>
    <w:rsid w:val="007A20D5"/>
    <w:rsid w:val="007A2100"/>
    <w:rsid w:val="007A22A2"/>
    <w:rsid w:val="007A2301"/>
    <w:rsid w:val="007A28DB"/>
    <w:rsid w:val="007A29DE"/>
    <w:rsid w:val="007A2EAC"/>
    <w:rsid w:val="007A2F27"/>
    <w:rsid w:val="007A5766"/>
    <w:rsid w:val="007A597B"/>
    <w:rsid w:val="007A6113"/>
    <w:rsid w:val="007A6129"/>
    <w:rsid w:val="007A6278"/>
    <w:rsid w:val="007A638A"/>
    <w:rsid w:val="007B004F"/>
    <w:rsid w:val="007B0082"/>
    <w:rsid w:val="007B06C4"/>
    <w:rsid w:val="007B0B30"/>
    <w:rsid w:val="007B1742"/>
    <w:rsid w:val="007B220B"/>
    <w:rsid w:val="007B2765"/>
    <w:rsid w:val="007B2C70"/>
    <w:rsid w:val="007B3407"/>
    <w:rsid w:val="007B37E1"/>
    <w:rsid w:val="007B4002"/>
    <w:rsid w:val="007B55AF"/>
    <w:rsid w:val="007B585D"/>
    <w:rsid w:val="007B720D"/>
    <w:rsid w:val="007B7DBA"/>
    <w:rsid w:val="007C0077"/>
    <w:rsid w:val="007C02F0"/>
    <w:rsid w:val="007C192C"/>
    <w:rsid w:val="007C1B6E"/>
    <w:rsid w:val="007C2660"/>
    <w:rsid w:val="007C34F5"/>
    <w:rsid w:val="007C370E"/>
    <w:rsid w:val="007C5B29"/>
    <w:rsid w:val="007C5DD2"/>
    <w:rsid w:val="007C6BD9"/>
    <w:rsid w:val="007C6FEB"/>
    <w:rsid w:val="007C7973"/>
    <w:rsid w:val="007D0760"/>
    <w:rsid w:val="007D0BA8"/>
    <w:rsid w:val="007D0BD1"/>
    <w:rsid w:val="007D1DB0"/>
    <w:rsid w:val="007D2804"/>
    <w:rsid w:val="007D38B9"/>
    <w:rsid w:val="007D40B7"/>
    <w:rsid w:val="007D442E"/>
    <w:rsid w:val="007D4C91"/>
    <w:rsid w:val="007D4D66"/>
    <w:rsid w:val="007D4F06"/>
    <w:rsid w:val="007D5E34"/>
    <w:rsid w:val="007D66CE"/>
    <w:rsid w:val="007D765D"/>
    <w:rsid w:val="007D7B83"/>
    <w:rsid w:val="007E0193"/>
    <w:rsid w:val="007E034C"/>
    <w:rsid w:val="007E0781"/>
    <w:rsid w:val="007E0B8E"/>
    <w:rsid w:val="007E0D1E"/>
    <w:rsid w:val="007E0D90"/>
    <w:rsid w:val="007E12A7"/>
    <w:rsid w:val="007E131C"/>
    <w:rsid w:val="007E264F"/>
    <w:rsid w:val="007E34E7"/>
    <w:rsid w:val="007E4224"/>
    <w:rsid w:val="007E448A"/>
    <w:rsid w:val="007E580C"/>
    <w:rsid w:val="007E6B15"/>
    <w:rsid w:val="007E71EB"/>
    <w:rsid w:val="007E7475"/>
    <w:rsid w:val="007E7ABA"/>
    <w:rsid w:val="007F097B"/>
    <w:rsid w:val="007F0EFD"/>
    <w:rsid w:val="007F0FC2"/>
    <w:rsid w:val="007F11AF"/>
    <w:rsid w:val="007F17F2"/>
    <w:rsid w:val="007F2AF6"/>
    <w:rsid w:val="007F2EFE"/>
    <w:rsid w:val="007F3202"/>
    <w:rsid w:val="007F389E"/>
    <w:rsid w:val="007F4096"/>
    <w:rsid w:val="007F5205"/>
    <w:rsid w:val="007F576E"/>
    <w:rsid w:val="007F6504"/>
    <w:rsid w:val="007F6CDD"/>
    <w:rsid w:val="007F784D"/>
    <w:rsid w:val="00800DC3"/>
    <w:rsid w:val="0080203C"/>
    <w:rsid w:val="00802AB4"/>
    <w:rsid w:val="0080361B"/>
    <w:rsid w:val="00803C36"/>
    <w:rsid w:val="0080447F"/>
    <w:rsid w:val="0080458F"/>
    <w:rsid w:val="00804B01"/>
    <w:rsid w:val="00804F69"/>
    <w:rsid w:val="00804F7E"/>
    <w:rsid w:val="00805A06"/>
    <w:rsid w:val="00805A36"/>
    <w:rsid w:val="00807138"/>
    <w:rsid w:val="008072DD"/>
    <w:rsid w:val="00807D0B"/>
    <w:rsid w:val="0081082D"/>
    <w:rsid w:val="00810BCA"/>
    <w:rsid w:val="00812050"/>
    <w:rsid w:val="00812432"/>
    <w:rsid w:val="008125C6"/>
    <w:rsid w:val="008127A4"/>
    <w:rsid w:val="008133DB"/>
    <w:rsid w:val="00813836"/>
    <w:rsid w:val="0081399D"/>
    <w:rsid w:val="00813C5F"/>
    <w:rsid w:val="00814128"/>
    <w:rsid w:val="00814A01"/>
    <w:rsid w:val="00815820"/>
    <w:rsid w:val="00815DB3"/>
    <w:rsid w:val="00815F56"/>
    <w:rsid w:val="0082061A"/>
    <w:rsid w:val="00820BB0"/>
    <w:rsid w:val="00821276"/>
    <w:rsid w:val="0082180C"/>
    <w:rsid w:val="00821848"/>
    <w:rsid w:val="00821F5A"/>
    <w:rsid w:val="00822DF7"/>
    <w:rsid w:val="00823915"/>
    <w:rsid w:val="008248C0"/>
    <w:rsid w:val="00824C71"/>
    <w:rsid w:val="00824F58"/>
    <w:rsid w:val="00824FAE"/>
    <w:rsid w:val="00825057"/>
    <w:rsid w:val="00826120"/>
    <w:rsid w:val="00826AA2"/>
    <w:rsid w:val="00826EC2"/>
    <w:rsid w:val="008276D7"/>
    <w:rsid w:val="0082775E"/>
    <w:rsid w:val="00830394"/>
    <w:rsid w:val="00830411"/>
    <w:rsid w:val="0083101E"/>
    <w:rsid w:val="00833210"/>
    <w:rsid w:val="008337E1"/>
    <w:rsid w:val="0083406A"/>
    <w:rsid w:val="008348F3"/>
    <w:rsid w:val="008349F8"/>
    <w:rsid w:val="00834CB0"/>
    <w:rsid w:val="00835170"/>
    <w:rsid w:val="0083548D"/>
    <w:rsid w:val="0083556E"/>
    <w:rsid w:val="00835615"/>
    <w:rsid w:val="00835B2E"/>
    <w:rsid w:val="00835D52"/>
    <w:rsid w:val="008363E1"/>
    <w:rsid w:val="008365D2"/>
    <w:rsid w:val="008366EB"/>
    <w:rsid w:val="008377D4"/>
    <w:rsid w:val="008401E2"/>
    <w:rsid w:val="008410DC"/>
    <w:rsid w:val="00841CE2"/>
    <w:rsid w:val="00841E8C"/>
    <w:rsid w:val="00843152"/>
    <w:rsid w:val="0084318B"/>
    <w:rsid w:val="00843201"/>
    <w:rsid w:val="00843A6D"/>
    <w:rsid w:val="00843D36"/>
    <w:rsid w:val="00844E18"/>
    <w:rsid w:val="00845BE9"/>
    <w:rsid w:val="00846717"/>
    <w:rsid w:val="00846790"/>
    <w:rsid w:val="00846AB3"/>
    <w:rsid w:val="00846AF7"/>
    <w:rsid w:val="00846CAD"/>
    <w:rsid w:val="00847411"/>
    <w:rsid w:val="00847FB6"/>
    <w:rsid w:val="00850436"/>
    <w:rsid w:val="00851254"/>
    <w:rsid w:val="00851714"/>
    <w:rsid w:val="008523BC"/>
    <w:rsid w:val="00853D59"/>
    <w:rsid w:val="0085471F"/>
    <w:rsid w:val="008547CB"/>
    <w:rsid w:val="008548CC"/>
    <w:rsid w:val="00854CED"/>
    <w:rsid w:val="0085561B"/>
    <w:rsid w:val="00855EDA"/>
    <w:rsid w:val="00855FAD"/>
    <w:rsid w:val="00856684"/>
    <w:rsid w:val="00856E1D"/>
    <w:rsid w:val="008571E9"/>
    <w:rsid w:val="00857864"/>
    <w:rsid w:val="00860467"/>
    <w:rsid w:val="0086077E"/>
    <w:rsid w:val="008609CF"/>
    <w:rsid w:val="00860A07"/>
    <w:rsid w:val="00862597"/>
    <w:rsid w:val="00862CC5"/>
    <w:rsid w:val="00863F2C"/>
    <w:rsid w:val="00864BF6"/>
    <w:rsid w:val="00865CC9"/>
    <w:rsid w:val="00866157"/>
    <w:rsid w:val="0086618C"/>
    <w:rsid w:val="00866CBC"/>
    <w:rsid w:val="00870F9F"/>
    <w:rsid w:val="00871F83"/>
    <w:rsid w:val="008735BF"/>
    <w:rsid w:val="008736E3"/>
    <w:rsid w:val="00873A22"/>
    <w:rsid w:val="0087431E"/>
    <w:rsid w:val="00874581"/>
    <w:rsid w:val="008746FB"/>
    <w:rsid w:val="00874837"/>
    <w:rsid w:val="00875598"/>
    <w:rsid w:val="008758C9"/>
    <w:rsid w:val="00880319"/>
    <w:rsid w:val="00880577"/>
    <w:rsid w:val="00880A21"/>
    <w:rsid w:val="00881777"/>
    <w:rsid w:val="00881CF8"/>
    <w:rsid w:val="008840F3"/>
    <w:rsid w:val="008846F8"/>
    <w:rsid w:val="00884EB2"/>
    <w:rsid w:val="008851EC"/>
    <w:rsid w:val="00885220"/>
    <w:rsid w:val="0088529A"/>
    <w:rsid w:val="00885573"/>
    <w:rsid w:val="008856D0"/>
    <w:rsid w:val="008858C9"/>
    <w:rsid w:val="00885E35"/>
    <w:rsid w:val="00886047"/>
    <w:rsid w:val="008860B9"/>
    <w:rsid w:val="008873B6"/>
    <w:rsid w:val="008900A5"/>
    <w:rsid w:val="0089054D"/>
    <w:rsid w:val="008908A0"/>
    <w:rsid w:val="00890DF6"/>
    <w:rsid w:val="008911F1"/>
    <w:rsid w:val="0089190B"/>
    <w:rsid w:val="00891A28"/>
    <w:rsid w:val="00892F75"/>
    <w:rsid w:val="008951AA"/>
    <w:rsid w:val="0089569A"/>
    <w:rsid w:val="00895CB2"/>
    <w:rsid w:val="00896468"/>
    <w:rsid w:val="00896A2B"/>
    <w:rsid w:val="00896CB1"/>
    <w:rsid w:val="008973A9"/>
    <w:rsid w:val="00897A80"/>
    <w:rsid w:val="00897D21"/>
    <w:rsid w:val="00897DC4"/>
    <w:rsid w:val="00897EDB"/>
    <w:rsid w:val="008A0763"/>
    <w:rsid w:val="008A08F8"/>
    <w:rsid w:val="008A0BF7"/>
    <w:rsid w:val="008A1519"/>
    <w:rsid w:val="008A197A"/>
    <w:rsid w:val="008A21D7"/>
    <w:rsid w:val="008A2696"/>
    <w:rsid w:val="008A29D0"/>
    <w:rsid w:val="008A2A7E"/>
    <w:rsid w:val="008A2F5F"/>
    <w:rsid w:val="008A3776"/>
    <w:rsid w:val="008A37B4"/>
    <w:rsid w:val="008A3B0D"/>
    <w:rsid w:val="008A400F"/>
    <w:rsid w:val="008A4299"/>
    <w:rsid w:val="008A42CF"/>
    <w:rsid w:val="008A4C0C"/>
    <w:rsid w:val="008A616D"/>
    <w:rsid w:val="008A617D"/>
    <w:rsid w:val="008A63D7"/>
    <w:rsid w:val="008A65EC"/>
    <w:rsid w:val="008A6884"/>
    <w:rsid w:val="008A6CFF"/>
    <w:rsid w:val="008A6E62"/>
    <w:rsid w:val="008A7040"/>
    <w:rsid w:val="008A7779"/>
    <w:rsid w:val="008A7DC6"/>
    <w:rsid w:val="008B03AE"/>
    <w:rsid w:val="008B13DB"/>
    <w:rsid w:val="008B144E"/>
    <w:rsid w:val="008B1615"/>
    <w:rsid w:val="008B2E10"/>
    <w:rsid w:val="008B30A4"/>
    <w:rsid w:val="008B3283"/>
    <w:rsid w:val="008B3C5F"/>
    <w:rsid w:val="008B3EE8"/>
    <w:rsid w:val="008B469F"/>
    <w:rsid w:val="008B4ED8"/>
    <w:rsid w:val="008B504F"/>
    <w:rsid w:val="008B5134"/>
    <w:rsid w:val="008B5397"/>
    <w:rsid w:val="008B5D6F"/>
    <w:rsid w:val="008B7740"/>
    <w:rsid w:val="008B7E2C"/>
    <w:rsid w:val="008C0363"/>
    <w:rsid w:val="008C17E3"/>
    <w:rsid w:val="008C20FA"/>
    <w:rsid w:val="008C2A6C"/>
    <w:rsid w:val="008C2ABE"/>
    <w:rsid w:val="008C2D0D"/>
    <w:rsid w:val="008C3F4E"/>
    <w:rsid w:val="008C4876"/>
    <w:rsid w:val="008C67A9"/>
    <w:rsid w:val="008C6882"/>
    <w:rsid w:val="008D0FD6"/>
    <w:rsid w:val="008D163E"/>
    <w:rsid w:val="008D1A93"/>
    <w:rsid w:val="008D1B8E"/>
    <w:rsid w:val="008D1E15"/>
    <w:rsid w:val="008D2185"/>
    <w:rsid w:val="008D2285"/>
    <w:rsid w:val="008D248E"/>
    <w:rsid w:val="008D2592"/>
    <w:rsid w:val="008D285D"/>
    <w:rsid w:val="008D2B2F"/>
    <w:rsid w:val="008D2BB6"/>
    <w:rsid w:val="008D361A"/>
    <w:rsid w:val="008D3730"/>
    <w:rsid w:val="008D3C54"/>
    <w:rsid w:val="008D3E3F"/>
    <w:rsid w:val="008D45FE"/>
    <w:rsid w:val="008D468B"/>
    <w:rsid w:val="008D47FA"/>
    <w:rsid w:val="008D4F36"/>
    <w:rsid w:val="008D597B"/>
    <w:rsid w:val="008D6CFC"/>
    <w:rsid w:val="008D71E0"/>
    <w:rsid w:val="008D73AD"/>
    <w:rsid w:val="008D7C1E"/>
    <w:rsid w:val="008E0D44"/>
    <w:rsid w:val="008E0F73"/>
    <w:rsid w:val="008E143E"/>
    <w:rsid w:val="008E1830"/>
    <w:rsid w:val="008E1C68"/>
    <w:rsid w:val="008E2275"/>
    <w:rsid w:val="008E2512"/>
    <w:rsid w:val="008E2B41"/>
    <w:rsid w:val="008E3170"/>
    <w:rsid w:val="008E393F"/>
    <w:rsid w:val="008E3F38"/>
    <w:rsid w:val="008E512C"/>
    <w:rsid w:val="008E5B6D"/>
    <w:rsid w:val="008E5E31"/>
    <w:rsid w:val="008E6919"/>
    <w:rsid w:val="008E6D85"/>
    <w:rsid w:val="008E6F46"/>
    <w:rsid w:val="008E7BDB"/>
    <w:rsid w:val="008F00B1"/>
    <w:rsid w:val="008F0B1D"/>
    <w:rsid w:val="008F0EEB"/>
    <w:rsid w:val="008F104F"/>
    <w:rsid w:val="008F21C5"/>
    <w:rsid w:val="008F22AF"/>
    <w:rsid w:val="008F27A1"/>
    <w:rsid w:val="008F2BC1"/>
    <w:rsid w:val="008F35C2"/>
    <w:rsid w:val="008F3E97"/>
    <w:rsid w:val="008F41E6"/>
    <w:rsid w:val="008F46A2"/>
    <w:rsid w:val="008F5A1F"/>
    <w:rsid w:val="008F5ABF"/>
    <w:rsid w:val="008F6C26"/>
    <w:rsid w:val="008F6EB7"/>
    <w:rsid w:val="008F701C"/>
    <w:rsid w:val="008F7857"/>
    <w:rsid w:val="008F7EFC"/>
    <w:rsid w:val="00900A5B"/>
    <w:rsid w:val="0090151B"/>
    <w:rsid w:val="00901538"/>
    <w:rsid w:val="00901B6D"/>
    <w:rsid w:val="009031CC"/>
    <w:rsid w:val="00903C12"/>
    <w:rsid w:val="009052F3"/>
    <w:rsid w:val="009056FA"/>
    <w:rsid w:val="009057A2"/>
    <w:rsid w:val="009057AF"/>
    <w:rsid w:val="00905BFB"/>
    <w:rsid w:val="009061B5"/>
    <w:rsid w:val="009064F5"/>
    <w:rsid w:val="009065F3"/>
    <w:rsid w:val="00906759"/>
    <w:rsid w:val="00906A75"/>
    <w:rsid w:val="00906AB0"/>
    <w:rsid w:val="009079A8"/>
    <w:rsid w:val="00907B61"/>
    <w:rsid w:val="00907F57"/>
    <w:rsid w:val="009100FA"/>
    <w:rsid w:val="009101DD"/>
    <w:rsid w:val="00910B54"/>
    <w:rsid w:val="00910CAD"/>
    <w:rsid w:val="00910EF0"/>
    <w:rsid w:val="009114B7"/>
    <w:rsid w:val="00912435"/>
    <w:rsid w:val="00913434"/>
    <w:rsid w:val="0091390C"/>
    <w:rsid w:val="009141B5"/>
    <w:rsid w:val="009143B5"/>
    <w:rsid w:val="009144FC"/>
    <w:rsid w:val="0091451C"/>
    <w:rsid w:val="00915846"/>
    <w:rsid w:val="009166C4"/>
    <w:rsid w:val="00916A45"/>
    <w:rsid w:val="00916BCB"/>
    <w:rsid w:val="00917B2B"/>
    <w:rsid w:val="00917BC4"/>
    <w:rsid w:val="00917BF5"/>
    <w:rsid w:val="00917C43"/>
    <w:rsid w:val="00921F83"/>
    <w:rsid w:val="00922225"/>
    <w:rsid w:val="009222F4"/>
    <w:rsid w:val="0092259D"/>
    <w:rsid w:val="00922BBC"/>
    <w:rsid w:val="00922C4C"/>
    <w:rsid w:val="00923EB3"/>
    <w:rsid w:val="009248AF"/>
    <w:rsid w:val="00925C84"/>
    <w:rsid w:val="00925EB2"/>
    <w:rsid w:val="00925EF5"/>
    <w:rsid w:val="00925F2D"/>
    <w:rsid w:val="00926165"/>
    <w:rsid w:val="00927329"/>
    <w:rsid w:val="00927E89"/>
    <w:rsid w:val="009300EC"/>
    <w:rsid w:val="00930219"/>
    <w:rsid w:val="009302AA"/>
    <w:rsid w:val="00930DC4"/>
    <w:rsid w:val="00930EF2"/>
    <w:rsid w:val="009317A2"/>
    <w:rsid w:val="00931CF9"/>
    <w:rsid w:val="00932B2B"/>
    <w:rsid w:val="00932FDA"/>
    <w:rsid w:val="009333E3"/>
    <w:rsid w:val="00933605"/>
    <w:rsid w:val="00933663"/>
    <w:rsid w:val="00933D31"/>
    <w:rsid w:val="00934BFF"/>
    <w:rsid w:val="0093552D"/>
    <w:rsid w:val="009358B3"/>
    <w:rsid w:val="00935B07"/>
    <w:rsid w:val="0093664E"/>
    <w:rsid w:val="00936ABB"/>
    <w:rsid w:val="00940333"/>
    <w:rsid w:val="009407DA"/>
    <w:rsid w:val="0094141E"/>
    <w:rsid w:val="00941A80"/>
    <w:rsid w:val="009422C0"/>
    <w:rsid w:val="00942D13"/>
    <w:rsid w:val="009444FF"/>
    <w:rsid w:val="0094477D"/>
    <w:rsid w:val="00944B94"/>
    <w:rsid w:val="009462F4"/>
    <w:rsid w:val="00946835"/>
    <w:rsid w:val="009468F9"/>
    <w:rsid w:val="009471AF"/>
    <w:rsid w:val="00947959"/>
    <w:rsid w:val="00947AB5"/>
    <w:rsid w:val="00947F43"/>
    <w:rsid w:val="009502C9"/>
    <w:rsid w:val="0095076F"/>
    <w:rsid w:val="009508BB"/>
    <w:rsid w:val="00950BA2"/>
    <w:rsid w:val="00950C6E"/>
    <w:rsid w:val="009525D3"/>
    <w:rsid w:val="0095273F"/>
    <w:rsid w:val="00952FE9"/>
    <w:rsid w:val="00953821"/>
    <w:rsid w:val="00953A48"/>
    <w:rsid w:val="00953C32"/>
    <w:rsid w:val="009542AB"/>
    <w:rsid w:val="0095448F"/>
    <w:rsid w:val="00954492"/>
    <w:rsid w:val="00954B15"/>
    <w:rsid w:val="00954DB4"/>
    <w:rsid w:val="00954F98"/>
    <w:rsid w:val="009560AD"/>
    <w:rsid w:val="009561FC"/>
    <w:rsid w:val="00957140"/>
    <w:rsid w:val="0096021B"/>
    <w:rsid w:val="009608B8"/>
    <w:rsid w:val="00960CFE"/>
    <w:rsid w:val="00960F46"/>
    <w:rsid w:val="00962E6C"/>
    <w:rsid w:val="00963253"/>
    <w:rsid w:val="0096383D"/>
    <w:rsid w:val="009639DD"/>
    <w:rsid w:val="00964160"/>
    <w:rsid w:val="0096439A"/>
    <w:rsid w:val="009645D5"/>
    <w:rsid w:val="00965236"/>
    <w:rsid w:val="0096553D"/>
    <w:rsid w:val="00965E13"/>
    <w:rsid w:val="009669C9"/>
    <w:rsid w:val="00966A0F"/>
    <w:rsid w:val="00966F3B"/>
    <w:rsid w:val="009671A0"/>
    <w:rsid w:val="00967C31"/>
    <w:rsid w:val="009709AB"/>
    <w:rsid w:val="00970EC6"/>
    <w:rsid w:val="00970F30"/>
    <w:rsid w:val="00971FB6"/>
    <w:rsid w:val="00972A41"/>
    <w:rsid w:val="00973179"/>
    <w:rsid w:val="00973630"/>
    <w:rsid w:val="009740A1"/>
    <w:rsid w:val="00974946"/>
    <w:rsid w:val="00974E24"/>
    <w:rsid w:val="0097520B"/>
    <w:rsid w:val="00975945"/>
    <w:rsid w:val="009763B6"/>
    <w:rsid w:val="00977B6C"/>
    <w:rsid w:val="00977F0E"/>
    <w:rsid w:val="00980155"/>
    <w:rsid w:val="00980A01"/>
    <w:rsid w:val="00980E73"/>
    <w:rsid w:val="00981EB7"/>
    <w:rsid w:val="00981F9C"/>
    <w:rsid w:val="009828A5"/>
    <w:rsid w:val="00982AF8"/>
    <w:rsid w:val="00982D24"/>
    <w:rsid w:val="00982FB7"/>
    <w:rsid w:val="00983213"/>
    <w:rsid w:val="009832CF"/>
    <w:rsid w:val="009834C9"/>
    <w:rsid w:val="0098371D"/>
    <w:rsid w:val="00983C8D"/>
    <w:rsid w:val="0098404A"/>
    <w:rsid w:val="009842B4"/>
    <w:rsid w:val="0098444A"/>
    <w:rsid w:val="00984E8F"/>
    <w:rsid w:val="009852EE"/>
    <w:rsid w:val="009854E1"/>
    <w:rsid w:val="00985557"/>
    <w:rsid w:val="00985A47"/>
    <w:rsid w:val="00985C87"/>
    <w:rsid w:val="009860EC"/>
    <w:rsid w:val="00986CD3"/>
    <w:rsid w:val="00991097"/>
    <w:rsid w:val="00991805"/>
    <w:rsid w:val="009921E1"/>
    <w:rsid w:val="00992818"/>
    <w:rsid w:val="00992D20"/>
    <w:rsid w:val="00992DB1"/>
    <w:rsid w:val="009932A9"/>
    <w:rsid w:val="009938C5"/>
    <w:rsid w:val="00994AAD"/>
    <w:rsid w:val="00994BC0"/>
    <w:rsid w:val="00994BE1"/>
    <w:rsid w:val="0099524B"/>
    <w:rsid w:val="009952CA"/>
    <w:rsid w:val="00995861"/>
    <w:rsid w:val="00995946"/>
    <w:rsid w:val="0099673B"/>
    <w:rsid w:val="00996A0F"/>
    <w:rsid w:val="009977A4"/>
    <w:rsid w:val="00997CDC"/>
    <w:rsid w:val="00997E1B"/>
    <w:rsid w:val="009A1058"/>
    <w:rsid w:val="009A1DDA"/>
    <w:rsid w:val="009A1EEA"/>
    <w:rsid w:val="009A26E1"/>
    <w:rsid w:val="009A2877"/>
    <w:rsid w:val="009A4CAD"/>
    <w:rsid w:val="009A52A8"/>
    <w:rsid w:val="009A5BE7"/>
    <w:rsid w:val="009A5D84"/>
    <w:rsid w:val="009A5F16"/>
    <w:rsid w:val="009A61C7"/>
    <w:rsid w:val="009A72C7"/>
    <w:rsid w:val="009B00F7"/>
    <w:rsid w:val="009B1102"/>
    <w:rsid w:val="009B127C"/>
    <w:rsid w:val="009B1827"/>
    <w:rsid w:val="009B23A8"/>
    <w:rsid w:val="009B23B4"/>
    <w:rsid w:val="009B2564"/>
    <w:rsid w:val="009B296D"/>
    <w:rsid w:val="009B2F97"/>
    <w:rsid w:val="009B339D"/>
    <w:rsid w:val="009B3667"/>
    <w:rsid w:val="009B3F59"/>
    <w:rsid w:val="009B4811"/>
    <w:rsid w:val="009B4CB3"/>
    <w:rsid w:val="009B4D44"/>
    <w:rsid w:val="009B5C67"/>
    <w:rsid w:val="009B6573"/>
    <w:rsid w:val="009B65C1"/>
    <w:rsid w:val="009B67BC"/>
    <w:rsid w:val="009B6A8C"/>
    <w:rsid w:val="009B6E60"/>
    <w:rsid w:val="009B78BB"/>
    <w:rsid w:val="009B7947"/>
    <w:rsid w:val="009B794A"/>
    <w:rsid w:val="009C01F0"/>
    <w:rsid w:val="009C0B66"/>
    <w:rsid w:val="009C137D"/>
    <w:rsid w:val="009C2455"/>
    <w:rsid w:val="009C2896"/>
    <w:rsid w:val="009C463A"/>
    <w:rsid w:val="009C48E9"/>
    <w:rsid w:val="009C4EBB"/>
    <w:rsid w:val="009C5087"/>
    <w:rsid w:val="009C61AE"/>
    <w:rsid w:val="009C683E"/>
    <w:rsid w:val="009C6BD2"/>
    <w:rsid w:val="009C6BE3"/>
    <w:rsid w:val="009C78CD"/>
    <w:rsid w:val="009D0416"/>
    <w:rsid w:val="009D05A7"/>
    <w:rsid w:val="009D0869"/>
    <w:rsid w:val="009D0B7D"/>
    <w:rsid w:val="009D19C2"/>
    <w:rsid w:val="009D1BA0"/>
    <w:rsid w:val="009D1C11"/>
    <w:rsid w:val="009D1DB1"/>
    <w:rsid w:val="009D2479"/>
    <w:rsid w:val="009D2F50"/>
    <w:rsid w:val="009D2FAE"/>
    <w:rsid w:val="009D3E46"/>
    <w:rsid w:val="009D4C27"/>
    <w:rsid w:val="009D51D4"/>
    <w:rsid w:val="009D5FDF"/>
    <w:rsid w:val="009D5FED"/>
    <w:rsid w:val="009D60C8"/>
    <w:rsid w:val="009D7ECA"/>
    <w:rsid w:val="009E049A"/>
    <w:rsid w:val="009E1E4F"/>
    <w:rsid w:val="009E2097"/>
    <w:rsid w:val="009E24F2"/>
    <w:rsid w:val="009E5531"/>
    <w:rsid w:val="009E6F8D"/>
    <w:rsid w:val="009E70C9"/>
    <w:rsid w:val="009E7438"/>
    <w:rsid w:val="009E77D5"/>
    <w:rsid w:val="009E78C9"/>
    <w:rsid w:val="009F090B"/>
    <w:rsid w:val="009F1047"/>
    <w:rsid w:val="009F1DEE"/>
    <w:rsid w:val="009F4145"/>
    <w:rsid w:val="009F422C"/>
    <w:rsid w:val="009F4FBF"/>
    <w:rsid w:val="009F50B5"/>
    <w:rsid w:val="009F51CC"/>
    <w:rsid w:val="009F6686"/>
    <w:rsid w:val="009F67BF"/>
    <w:rsid w:val="009F69C7"/>
    <w:rsid w:val="009F7E60"/>
    <w:rsid w:val="00A0021C"/>
    <w:rsid w:val="00A00654"/>
    <w:rsid w:val="00A0131D"/>
    <w:rsid w:val="00A01BE0"/>
    <w:rsid w:val="00A02018"/>
    <w:rsid w:val="00A024DA"/>
    <w:rsid w:val="00A04160"/>
    <w:rsid w:val="00A0441E"/>
    <w:rsid w:val="00A04C6D"/>
    <w:rsid w:val="00A0559B"/>
    <w:rsid w:val="00A0576C"/>
    <w:rsid w:val="00A05D24"/>
    <w:rsid w:val="00A062FD"/>
    <w:rsid w:val="00A06EE2"/>
    <w:rsid w:val="00A06EE6"/>
    <w:rsid w:val="00A102BE"/>
    <w:rsid w:val="00A10719"/>
    <w:rsid w:val="00A11BAE"/>
    <w:rsid w:val="00A12E06"/>
    <w:rsid w:val="00A12E1A"/>
    <w:rsid w:val="00A13119"/>
    <w:rsid w:val="00A13501"/>
    <w:rsid w:val="00A13EF7"/>
    <w:rsid w:val="00A14F23"/>
    <w:rsid w:val="00A15061"/>
    <w:rsid w:val="00A15383"/>
    <w:rsid w:val="00A15B0A"/>
    <w:rsid w:val="00A15C0E"/>
    <w:rsid w:val="00A16D52"/>
    <w:rsid w:val="00A1716B"/>
    <w:rsid w:val="00A176E6"/>
    <w:rsid w:val="00A17BC6"/>
    <w:rsid w:val="00A20EC9"/>
    <w:rsid w:val="00A21BF7"/>
    <w:rsid w:val="00A21C20"/>
    <w:rsid w:val="00A21D2E"/>
    <w:rsid w:val="00A2388E"/>
    <w:rsid w:val="00A23B75"/>
    <w:rsid w:val="00A243AA"/>
    <w:rsid w:val="00A24BE3"/>
    <w:rsid w:val="00A24BF1"/>
    <w:rsid w:val="00A25396"/>
    <w:rsid w:val="00A25450"/>
    <w:rsid w:val="00A256CA"/>
    <w:rsid w:val="00A269A4"/>
    <w:rsid w:val="00A26AE6"/>
    <w:rsid w:val="00A27B43"/>
    <w:rsid w:val="00A304B9"/>
    <w:rsid w:val="00A3089E"/>
    <w:rsid w:val="00A320EA"/>
    <w:rsid w:val="00A3235F"/>
    <w:rsid w:val="00A32A49"/>
    <w:rsid w:val="00A32BCB"/>
    <w:rsid w:val="00A33220"/>
    <w:rsid w:val="00A334EF"/>
    <w:rsid w:val="00A33929"/>
    <w:rsid w:val="00A33D57"/>
    <w:rsid w:val="00A3498A"/>
    <w:rsid w:val="00A359E6"/>
    <w:rsid w:val="00A360CA"/>
    <w:rsid w:val="00A363D2"/>
    <w:rsid w:val="00A36FCF"/>
    <w:rsid w:val="00A374D0"/>
    <w:rsid w:val="00A40191"/>
    <w:rsid w:val="00A41532"/>
    <w:rsid w:val="00A41871"/>
    <w:rsid w:val="00A42638"/>
    <w:rsid w:val="00A427CC"/>
    <w:rsid w:val="00A43294"/>
    <w:rsid w:val="00A433EC"/>
    <w:rsid w:val="00A435DC"/>
    <w:rsid w:val="00A4400B"/>
    <w:rsid w:val="00A44C99"/>
    <w:rsid w:val="00A45060"/>
    <w:rsid w:val="00A45066"/>
    <w:rsid w:val="00A45153"/>
    <w:rsid w:val="00A45577"/>
    <w:rsid w:val="00A457F5"/>
    <w:rsid w:val="00A45A2E"/>
    <w:rsid w:val="00A45D3C"/>
    <w:rsid w:val="00A45D77"/>
    <w:rsid w:val="00A45E4B"/>
    <w:rsid w:val="00A465D9"/>
    <w:rsid w:val="00A46D6C"/>
    <w:rsid w:val="00A4700D"/>
    <w:rsid w:val="00A472A7"/>
    <w:rsid w:val="00A4735E"/>
    <w:rsid w:val="00A47847"/>
    <w:rsid w:val="00A47F06"/>
    <w:rsid w:val="00A50761"/>
    <w:rsid w:val="00A514C3"/>
    <w:rsid w:val="00A51CC3"/>
    <w:rsid w:val="00A52936"/>
    <w:rsid w:val="00A53635"/>
    <w:rsid w:val="00A54302"/>
    <w:rsid w:val="00A543C9"/>
    <w:rsid w:val="00A547F3"/>
    <w:rsid w:val="00A5512E"/>
    <w:rsid w:val="00A55505"/>
    <w:rsid w:val="00A5569C"/>
    <w:rsid w:val="00A56514"/>
    <w:rsid w:val="00A56E44"/>
    <w:rsid w:val="00A56E9D"/>
    <w:rsid w:val="00A576B5"/>
    <w:rsid w:val="00A5774F"/>
    <w:rsid w:val="00A57890"/>
    <w:rsid w:val="00A57CBB"/>
    <w:rsid w:val="00A60419"/>
    <w:rsid w:val="00A61CA7"/>
    <w:rsid w:val="00A62F27"/>
    <w:rsid w:val="00A632C0"/>
    <w:rsid w:val="00A63953"/>
    <w:rsid w:val="00A64F68"/>
    <w:rsid w:val="00A6553D"/>
    <w:rsid w:val="00A65DE8"/>
    <w:rsid w:val="00A66065"/>
    <w:rsid w:val="00A66100"/>
    <w:rsid w:val="00A669A2"/>
    <w:rsid w:val="00A67047"/>
    <w:rsid w:val="00A6723E"/>
    <w:rsid w:val="00A67505"/>
    <w:rsid w:val="00A675F4"/>
    <w:rsid w:val="00A677E5"/>
    <w:rsid w:val="00A7016E"/>
    <w:rsid w:val="00A70180"/>
    <w:rsid w:val="00A70619"/>
    <w:rsid w:val="00A71C22"/>
    <w:rsid w:val="00A71CB8"/>
    <w:rsid w:val="00A722A8"/>
    <w:rsid w:val="00A7305D"/>
    <w:rsid w:val="00A739F6"/>
    <w:rsid w:val="00A74799"/>
    <w:rsid w:val="00A7557B"/>
    <w:rsid w:val="00A75B92"/>
    <w:rsid w:val="00A7667F"/>
    <w:rsid w:val="00A768F5"/>
    <w:rsid w:val="00A76AE8"/>
    <w:rsid w:val="00A76E07"/>
    <w:rsid w:val="00A77357"/>
    <w:rsid w:val="00A77705"/>
    <w:rsid w:val="00A77AF3"/>
    <w:rsid w:val="00A81028"/>
    <w:rsid w:val="00A8119E"/>
    <w:rsid w:val="00A81F83"/>
    <w:rsid w:val="00A823E8"/>
    <w:rsid w:val="00A823F6"/>
    <w:rsid w:val="00A82DB4"/>
    <w:rsid w:val="00A83630"/>
    <w:rsid w:val="00A83665"/>
    <w:rsid w:val="00A83764"/>
    <w:rsid w:val="00A83ED2"/>
    <w:rsid w:val="00A83FA9"/>
    <w:rsid w:val="00A85BE8"/>
    <w:rsid w:val="00A85FEE"/>
    <w:rsid w:val="00A86050"/>
    <w:rsid w:val="00A86131"/>
    <w:rsid w:val="00A86990"/>
    <w:rsid w:val="00A86DBF"/>
    <w:rsid w:val="00A8725E"/>
    <w:rsid w:val="00A87E54"/>
    <w:rsid w:val="00A900D1"/>
    <w:rsid w:val="00A90B14"/>
    <w:rsid w:val="00A90D6C"/>
    <w:rsid w:val="00A91742"/>
    <w:rsid w:val="00A91881"/>
    <w:rsid w:val="00A921C8"/>
    <w:rsid w:val="00A924C7"/>
    <w:rsid w:val="00A928AB"/>
    <w:rsid w:val="00A92DA8"/>
    <w:rsid w:val="00A92F55"/>
    <w:rsid w:val="00A93E4D"/>
    <w:rsid w:val="00A94363"/>
    <w:rsid w:val="00A95592"/>
    <w:rsid w:val="00A955A7"/>
    <w:rsid w:val="00A95B36"/>
    <w:rsid w:val="00A96B77"/>
    <w:rsid w:val="00A971C0"/>
    <w:rsid w:val="00A97905"/>
    <w:rsid w:val="00AA05A3"/>
    <w:rsid w:val="00AA0FEC"/>
    <w:rsid w:val="00AA149D"/>
    <w:rsid w:val="00AA1663"/>
    <w:rsid w:val="00AA179F"/>
    <w:rsid w:val="00AA27B4"/>
    <w:rsid w:val="00AA298F"/>
    <w:rsid w:val="00AA2DFC"/>
    <w:rsid w:val="00AA3F77"/>
    <w:rsid w:val="00AA41D4"/>
    <w:rsid w:val="00AA41D7"/>
    <w:rsid w:val="00AA44CF"/>
    <w:rsid w:val="00AA50DB"/>
    <w:rsid w:val="00AA61D8"/>
    <w:rsid w:val="00AA6309"/>
    <w:rsid w:val="00AA6586"/>
    <w:rsid w:val="00AA7616"/>
    <w:rsid w:val="00AB0589"/>
    <w:rsid w:val="00AB0A2F"/>
    <w:rsid w:val="00AB12A6"/>
    <w:rsid w:val="00AB2C0D"/>
    <w:rsid w:val="00AB2C12"/>
    <w:rsid w:val="00AB3109"/>
    <w:rsid w:val="00AB3594"/>
    <w:rsid w:val="00AB37AA"/>
    <w:rsid w:val="00AB3908"/>
    <w:rsid w:val="00AB3B86"/>
    <w:rsid w:val="00AB43D2"/>
    <w:rsid w:val="00AB4969"/>
    <w:rsid w:val="00AB523E"/>
    <w:rsid w:val="00AB6138"/>
    <w:rsid w:val="00AB613F"/>
    <w:rsid w:val="00AB6EDC"/>
    <w:rsid w:val="00AB762B"/>
    <w:rsid w:val="00AB7F01"/>
    <w:rsid w:val="00AC0409"/>
    <w:rsid w:val="00AC05D4"/>
    <w:rsid w:val="00AC0657"/>
    <w:rsid w:val="00AC0C3D"/>
    <w:rsid w:val="00AC1688"/>
    <w:rsid w:val="00AC1A49"/>
    <w:rsid w:val="00AC1BC6"/>
    <w:rsid w:val="00AC2588"/>
    <w:rsid w:val="00AC32F7"/>
    <w:rsid w:val="00AC35B2"/>
    <w:rsid w:val="00AC38C4"/>
    <w:rsid w:val="00AC49B8"/>
    <w:rsid w:val="00AC506E"/>
    <w:rsid w:val="00AC545A"/>
    <w:rsid w:val="00AC5FBA"/>
    <w:rsid w:val="00AC72AA"/>
    <w:rsid w:val="00AC731C"/>
    <w:rsid w:val="00AC7D31"/>
    <w:rsid w:val="00AD0010"/>
    <w:rsid w:val="00AD0200"/>
    <w:rsid w:val="00AD0BBA"/>
    <w:rsid w:val="00AD1022"/>
    <w:rsid w:val="00AD194A"/>
    <w:rsid w:val="00AD2111"/>
    <w:rsid w:val="00AD269D"/>
    <w:rsid w:val="00AD3A08"/>
    <w:rsid w:val="00AD3AB3"/>
    <w:rsid w:val="00AD42A8"/>
    <w:rsid w:val="00AD4489"/>
    <w:rsid w:val="00AD4614"/>
    <w:rsid w:val="00AD507F"/>
    <w:rsid w:val="00AD5D2B"/>
    <w:rsid w:val="00AD5EB0"/>
    <w:rsid w:val="00AD61E9"/>
    <w:rsid w:val="00AD7357"/>
    <w:rsid w:val="00AD737F"/>
    <w:rsid w:val="00AE0DB7"/>
    <w:rsid w:val="00AE17CF"/>
    <w:rsid w:val="00AE19F3"/>
    <w:rsid w:val="00AE19FA"/>
    <w:rsid w:val="00AE1A1F"/>
    <w:rsid w:val="00AE35A9"/>
    <w:rsid w:val="00AE394F"/>
    <w:rsid w:val="00AE4A66"/>
    <w:rsid w:val="00AE501E"/>
    <w:rsid w:val="00AE5297"/>
    <w:rsid w:val="00AE5E6D"/>
    <w:rsid w:val="00AE6417"/>
    <w:rsid w:val="00AE6677"/>
    <w:rsid w:val="00AE6F13"/>
    <w:rsid w:val="00AE71E5"/>
    <w:rsid w:val="00AE7F0B"/>
    <w:rsid w:val="00AF0644"/>
    <w:rsid w:val="00AF0C3A"/>
    <w:rsid w:val="00AF1545"/>
    <w:rsid w:val="00AF1909"/>
    <w:rsid w:val="00AF2166"/>
    <w:rsid w:val="00AF3005"/>
    <w:rsid w:val="00AF4286"/>
    <w:rsid w:val="00AF434D"/>
    <w:rsid w:val="00AF4788"/>
    <w:rsid w:val="00AF570B"/>
    <w:rsid w:val="00AF572D"/>
    <w:rsid w:val="00AF629A"/>
    <w:rsid w:val="00AF74C2"/>
    <w:rsid w:val="00B0042A"/>
    <w:rsid w:val="00B00BBF"/>
    <w:rsid w:val="00B01996"/>
    <w:rsid w:val="00B01C2F"/>
    <w:rsid w:val="00B01C75"/>
    <w:rsid w:val="00B01DE0"/>
    <w:rsid w:val="00B01EE3"/>
    <w:rsid w:val="00B022BB"/>
    <w:rsid w:val="00B026F4"/>
    <w:rsid w:val="00B02D61"/>
    <w:rsid w:val="00B02FFA"/>
    <w:rsid w:val="00B04393"/>
    <w:rsid w:val="00B04EBD"/>
    <w:rsid w:val="00B05C41"/>
    <w:rsid w:val="00B05DBE"/>
    <w:rsid w:val="00B060D3"/>
    <w:rsid w:val="00B068A9"/>
    <w:rsid w:val="00B06ED2"/>
    <w:rsid w:val="00B06F0E"/>
    <w:rsid w:val="00B0713E"/>
    <w:rsid w:val="00B07372"/>
    <w:rsid w:val="00B07494"/>
    <w:rsid w:val="00B07F71"/>
    <w:rsid w:val="00B108AE"/>
    <w:rsid w:val="00B10CDB"/>
    <w:rsid w:val="00B11270"/>
    <w:rsid w:val="00B11F15"/>
    <w:rsid w:val="00B12207"/>
    <w:rsid w:val="00B127A4"/>
    <w:rsid w:val="00B12823"/>
    <w:rsid w:val="00B12D36"/>
    <w:rsid w:val="00B133C2"/>
    <w:rsid w:val="00B13AD7"/>
    <w:rsid w:val="00B13BEA"/>
    <w:rsid w:val="00B142EA"/>
    <w:rsid w:val="00B14563"/>
    <w:rsid w:val="00B1461E"/>
    <w:rsid w:val="00B177A9"/>
    <w:rsid w:val="00B20934"/>
    <w:rsid w:val="00B21B1C"/>
    <w:rsid w:val="00B226CB"/>
    <w:rsid w:val="00B22B78"/>
    <w:rsid w:val="00B22E38"/>
    <w:rsid w:val="00B22F07"/>
    <w:rsid w:val="00B232E0"/>
    <w:rsid w:val="00B23790"/>
    <w:rsid w:val="00B24205"/>
    <w:rsid w:val="00B24E8E"/>
    <w:rsid w:val="00B25767"/>
    <w:rsid w:val="00B25BA3"/>
    <w:rsid w:val="00B265E3"/>
    <w:rsid w:val="00B26714"/>
    <w:rsid w:val="00B26D17"/>
    <w:rsid w:val="00B274D3"/>
    <w:rsid w:val="00B27637"/>
    <w:rsid w:val="00B27A2A"/>
    <w:rsid w:val="00B27C4E"/>
    <w:rsid w:val="00B27E57"/>
    <w:rsid w:val="00B300C1"/>
    <w:rsid w:val="00B3011B"/>
    <w:rsid w:val="00B302F8"/>
    <w:rsid w:val="00B3062E"/>
    <w:rsid w:val="00B30CE8"/>
    <w:rsid w:val="00B30F18"/>
    <w:rsid w:val="00B31898"/>
    <w:rsid w:val="00B31973"/>
    <w:rsid w:val="00B31BC2"/>
    <w:rsid w:val="00B31CB3"/>
    <w:rsid w:val="00B3208D"/>
    <w:rsid w:val="00B32705"/>
    <w:rsid w:val="00B32E87"/>
    <w:rsid w:val="00B338F7"/>
    <w:rsid w:val="00B33F06"/>
    <w:rsid w:val="00B3424B"/>
    <w:rsid w:val="00B34581"/>
    <w:rsid w:val="00B3583C"/>
    <w:rsid w:val="00B358F2"/>
    <w:rsid w:val="00B35D56"/>
    <w:rsid w:val="00B36635"/>
    <w:rsid w:val="00B36FB5"/>
    <w:rsid w:val="00B37471"/>
    <w:rsid w:val="00B37A09"/>
    <w:rsid w:val="00B37AE6"/>
    <w:rsid w:val="00B421C5"/>
    <w:rsid w:val="00B42331"/>
    <w:rsid w:val="00B43009"/>
    <w:rsid w:val="00B435CD"/>
    <w:rsid w:val="00B44704"/>
    <w:rsid w:val="00B4493E"/>
    <w:rsid w:val="00B44C0C"/>
    <w:rsid w:val="00B45D93"/>
    <w:rsid w:val="00B46750"/>
    <w:rsid w:val="00B47218"/>
    <w:rsid w:val="00B4794D"/>
    <w:rsid w:val="00B50221"/>
    <w:rsid w:val="00B503A4"/>
    <w:rsid w:val="00B50459"/>
    <w:rsid w:val="00B505CB"/>
    <w:rsid w:val="00B5095B"/>
    <w:rsid w:val="00B50E85"/>
    <w:rsid w:val="00B51613"/>
    <w:rsid w:val="00B517E7"/>
    <w:rsid w:val="00B51AB4"/>
    <w:rsid w:val="00B52DB9"/>
    <w:rsid w:val="00B52E2F"/>
    <w:rsid w:val="00B536E9"/>
    <w:rsid w:val="00B538DD"/>
    <w:rsid w:val="00B53F39"/>
    <w:rsid w:val="00B54726"/>
    <w:rsid w:val="00B54841"/>
    <w:rsid w:val="00B55034"/>
    <w:rsid w:val="00B551AB"/>
    <w:rsid w:val="00B55BD6"/>
    <w:rsid w:val="00B56B9E"/>
    <w:rsid w:val="00B5771D"/>
    <w:rsid w:val="00B577DC"/>
    <w:rsid w:val="00B57D33"/>
    <w:rsid w:val="00B60042"/>
    <w:rsid w:val="00B60832"/>
    <w:rsid w:val="00B60E76"/>
    <w:rsid w:val="00B60E7B"/>
    <w:rsid w:val="00B6185B"/>
    <w:rsid w:val="00B61B71"/>
    <w:rsid w:val="00B61BEF"/>
    <w:rsid w:val="00B61D10"/>
    <w:rsid w:val="00B62C53"/>
    <w:rsid w:val="00B62F74"/>
    <w:rsid w:val="00B63284"/>
    <w:rsid w:val="00B63E4A"/>
    <w:rsid w:val="00B640BA"/>
    <w:rsid w:val="00B641CB"/>
    <w:rsid w:val="00B64EBA"/>
    <w:rsid w:val="00B65530"/>
    <w:rsid w:val="00B6593B"/>
    <w:rsid w:val="00B65992"/>
    <w:rsid w:val="00B664BF"/>
    <w:rsid w:val="00B66A04"/>
    <w:rsid w:val="00B66C52"/>
    <w:rsid w:val="00B66D41"/>
    <w:rsid w:val="00B67546"/>
    <w:rsid w:val="00B67815"/>
    <w:rsid w:val="00B7007E"/>
    <w:rsid w:val="00B70283"/>
    <w:rsid w:val="00B702DE"/>
    <w:rsid w:val="00B705D3"/>
    <w:rsid w:val="00B70A9F"/>
    <w:rsid w:val="00B70C70"/>
    <w:rsid w:val="00B70E2C"/>
    <w:rsid w:val="00B7134F"/>
    <w:rsid w:val="00B7139A"/>
    <w:rsid w:val="00B71ECC"/>
    <w:rsid w:val="00B71F7A"/>
    <w:rsid w:val="00B727F6"/>
    <w:rsid w:val="00B72D6E"/>
    <w:rsid w:val="00B7341E"/>
    <w:rsid w:val="00B7342D"/>
    <w:rsid w:val="00B73C33"/>
    <w:rsid w:val="00B74A7D"/>
    <w:rsid w:val="00B74F3A"/>
    <w:rsid w:val="00B75254"/>
    <w:rsid w:val="00B75677"/>
    <w:rsid w:val="00B761F5"/>
    <w:rsid w:val="00B76ACC"/>
    <w:rsid w:val="00B77271"/>
    <w:rsid w:val="00B773C6"/>
    <w:rsid w:val="00B775EF"/>
    <w:rsid w:val="00B804D9"/>
    <w:rsid w:val="00B80CBF"/>
    <w:rsid w:val="00B81214"/>
    <w:rsid w:val="00B81248"/>
    <w:rsid w:val="00B81935"/>
    <w:rsid w:val="00B81EA4"/>
    <w:rsid w:val="00B82472"/>
    <w:rsid w:val="00B824EE"/>
    <w:rsid w:val="00B82FF9"/>
    <w:rsid w:val="00B833E9"/>
    <w:rsid w:val="00B833F4"/>
    <w:rsid w:val="00B8341A"/>
    <w:rsid w:val="00B83672"/>
    <w:rsid w:val="00B837A5"/>
    <w:rsid w:val="00B8420B"/>
    <w:rsid w:val="00B84BDA"/>
    <w:rsid w:val="00B850C7"/>
    <w:rsid w:val="00B860CA"/>
    <w:rsid w:val="00B86712"/>
    <w:rsid w:val="00B86C2E"/>
    <w:rsid w:val="00B87022"/>
    <w:rsid w:val="00B879DE"/>
    <w:rsid w:val="00B87A8C"/>
    <w:rsid w:val="00B91345"/>
    <w:rsid w:val="00B940AB"/>
    <w:rsid w:val="00B95103"/>
    <w:rsid w:val="00B953B8"/>
    <w:rsid w:val="00B954C3"/>
    <w:rsid w:val="00B95EFD"/>
    <w:rsid w:val="00B96376"/>
    <w:rsid w:val="00B96A50"/>
    <w:rsid w:val="00B97869"/>
    <w:rsid w:val="00BA0303"/>
    <w:rsid w:val="00BA0425"/>
    <w:rsid w:val="00BA07A4"/>
    <w:rsid w:val="00BA1AC6"/>
    <w:rsid w:val="00BA222F"/>
    <w:rsid w:val="00BA2348"/>
    <w:rsid w:val="00BA2DDC"/>
    <w:rsid w:val="00BA369F"/>
    <w:rsid w:val="00BA3D47"/>
    <w:rsid w:val="00BA4771"/>
    <w:rsid w:val="00BA486F"/>
    <w:rsid w:val="00BA4961"/>
    <w:rsid w:val="00BA5117"/>
    <w:rsid w:val="00BA55C8"/>
    <w:rsid w:val="00BA7024"/>
    <w:rsid w:val="00BA741F"/>
    <w:rsid w:val="00BA7D35"/>
    <w:rsid w:val="00BA7EA6"/>
    <w:rsid w:val="00BB0291"/>
    <w:rsid w:val="00BB041F"/>
    <w:rsid w:val="00BB05F5"/>
    <w:rsid w:val="00BB0DC5"/>
    <w:rsid w:val="00BB0E5F"/>
    <w:rsid w:val="00BB13E7"/>
    <w:rsid w:val="00BB228A"/>
    <w:rsid w:val="00BB27D5"/>
    <w:rsid w:val="00BB2B9C"/>
    <w:rsid w:val="00BB2C13"/>
    <w:rsid w:val="00BB2FD0"/>
    <w:rsid w:val="00BB3CBA"/>
    <w:rsid w:val="00BB3FAF"/>
    <w:rsid w:val="00BB47D2"/>
    <w:rsid w:val="00BB661A"/>
    <w:rsid w:val="00BB6734"/>
    <w:rsid w:val="00BB6CA4"/>
    <w:rsid w:val="00BB765C"/>
    <w:rsid w:val="00BB7EC2"/>
    <w:rsid w:val="00BC07F6"/>
    <w:rsid w:val="00BC0B93"/>
    <w:rsid w:val="00BC0FCF"/>
    <w:rsid w:val="00BC1C21"/>
    <w:rsid w:val="00BC216B"/>
    <w:rsid w:val="00BC25E9"/>
    <w:rsid w:val="00BC261A"/>
    <w:rsid w:val="00BC3624"/>
    <w:rsid w:val="00BC4326"/>
    <w:rsid w:val="00BC43FF"/>
    <w:rsid w:val="00BC56F8"/>
    <w:rsid w:val="00BC5BAD"/>
    <w:rsid w:val="00BC6298"/>
    <w:rsid w:val="00BC6364"/>
    <w:rsid w:val="00BC641E"/>
    <w:rsid w:val="00BC6E40"/>
    <w:rsid w:val="00BC753C"/>
    <w:rsid w:val="00BC7FB0"/>
    <w:rsid w:val="00BD0500"/>
    <w:rsid w:val="00BD05AE"/>
    <w:rsid w:val="00BD1215"/>
    <w:rsid w:val="00BD153E"/>
    <w:rsid w:val="00BD17D9"/>
    <w:rsid w:val="00BD2053"/>
    <w:rsid w:val="00BD25B3"/>
    <w:rsid w:val="00BD29D2"/>
    <w:rsid w:val="00BD2DC1"/>
    <w:rsid w:val="00BD2EB6"/>
    <w:rsid w:val="00BD3446"/>
    <w:rsid w:val="00BD35C8"/>
    <w:rsid w:val="00BD3672"/>
    <w:rsid w:val="00BD4272"/>
    <w:rsid w:val="00BD4448"/>
    <w:rsid w:val="00BD448C"/>
    <w:rsid w:val="00BD4F46"/>
    <w:rsid w:val="00BD5A8E"/>
    <w:rsid w:val="00BD5ABD"/>
    <w:rsid w:val="00BD5ACC"/>
    <w:rsid w:val="00BD60E9"/>
    <w:rsid w:val="00BD6266"/>
    <w:rsid w:val="00BD6553"/>
    <w:rsid w:val="00BD677E"/>
    <w:rsid w:val="00BD6C83"/>
    <w:rsid w:val="00BD6EF9"/>
    <w:rsid w:val="00BD7AFC"/>
    <w:rsid w:val="00BD7C3C"/>
    <w:rsid w:val="00BD7F58"/>
    <w:rsid w:val="00BE01F4"/>
    <w:rsid w:val="00BE0505"/>
    <w:rsid w:val="00BE068F"/>
    <w:rsid w:val="00BE0CC1"/>
    <w:rsid w:val="00BE1968"/>
    <w:rsid w:val="00BE1F71"/>
    <w:rsid w:val="00BE26F1"/>
    <w:rsid w:val="00BE3288"/>
    <w:rsid w:val="00BE47BC"/>
    <w:rsid w:val="00BE4A00"/>
    <w:rsid w:val="00BE4A13"/>
    <w:rsid w:val="00BE4CA2"/>
    <w:rsid w:val="00BE4DB4"/>
    <w:rsid w:val="00BE57AB"/>
    <w:rsid w:val="00BE57F9"/>
    <w:rsid w:val="00BE5D3D"/>
    <w:rsid w:val="00BE5E01"/>
    <w:rsid w:val="00BE638D"/>
    <w:rsid w:val="00BE651F"/>
    <w:rsid w:val="00BE696F"/>
    <w:rsid w:val="00BE6AA4"/>
    <w:rsid w:val="00BE7718"/>
    <w:rsid w:val="00BF127E"/>
    <w:rsid w:val="00BF242C"/>
    <w:rsid w:val="00BF2469"/>
    <w:rsid w:val="00BF294E"/>
    <w:rsid w:val="00BF2C23"/>
    <w:rsid w:val="00BF2CCA"/>
    <w:rsid w:val="00BF3489"/>
    <w:rsid w:val="00BF4D41"/>
    <w:rsid w:val="00BF6381"/>
    <w:rsid w:val="00BF7146"/>
    <w:rsid w:val="00BF7426"/>
    <w:rsid w:val="00BF7B09"/>
    <w:rsid w:val="00BF7CA6"/>
    <w:rsid w:val="00C002E8"/>
    <w:rsid w:val="00C00FD6"/>
    <w:rsid w:val="00C01161"/>
    <w:rsid w:val="00C026A1"/>
    <w:rsid w:val="00C026A5"/>
    <w:rsid w:val="00C02B05"/>
    <w:rsid w:val="00C036BA"/>
    <w:rsid w:val="00C03803"/>
    <w:rsid w:val="00C03816"/>
    <w:rsid w:val="00C03CDD"/>
    <w:rsid w:val="00C04162"/>
    <w:rsid w:val="00C04277"/>
    <w:rsid w:val="00C04ACB"/>
    <w:rsid w:val="00C04D8F"/>
    <w:rsid w:val="00C053A1"/>
    <w:rsid w:val="00C0550A"/>
    <w:rsid w:val="00C055F8"/>
    <w:rsid w:val="00C05851"/>
    <w:rsid w:val="00C05AFD"/>
    <w:rsid w:val="00C05D13"/>
    <w:rsid w:val="00C068B3"/>
    <w:rsid w:val="00C06934"/>
    <w:rsid w:val="00C06A3A"/>
    <w:rsid w:val="00C06C6F"/>
    <w:rsid w:val="00C0716B"/>
    <w:rsid w:val="00C07A00"/>
    <w:rsid w:val="00C07CE4"/>
    <w:rsid w:val="00C10027"/>
    <w:rsid w:val="00C1010B"/>
    <w:rsid w:val="00C10293"/>
    <w:rsid w:val="00C104B5"/>
    <w:rsid w:val="00C108A5"/>
    <w:rsid w:val="00C1108B"/>
    <w:rsid w:val="00C116F4"/>
    <w:rsid w:val="00C11814"/>
    <w:rsid w:val="00C11A20"/>
    <w:rsid w:val="00C11CB5"/>
    <w:rsid w:val="00C12916"/>
    <w:rsid w:val="00C12996"/>
    <w:rsid w:val="00C134B9"/>
    <w:rsid w:val="00C13615"/>
    <w:rsid w:val="00C13712"/>
    <w:rsid w:val="00C13F88"/>
    <w:rsid w:val="00C140EE"/>
    <w:rsid w:val="00C14172"/>
    <w:rsid w:val="00C14E75"/>
    <w:rsid w:val="00C155AF"/>
    <w:rsid w:val="00C15FD9"/>
    <w:rsid w:val="00C163C6"/>
    <w:rsid w:val="00C16AB4"/>
    <w:rsid w:val="00C16F16"/>
    <w:rsid w:val="00C173FA"/>
    <w:rsid w:val="00C17605"/>
    <w:rsid w:val="00C178B9"/>
    <w:rsid w:val="00C20030"/>
    <w:rsid w:val="00C21E93"/>
    <w:rsid w:val="00C22255"/>
    <w:rsid w:val="00C2310D"/>
    <w:rsid w:val="00C23D5C"/>
    <w:rsid w:val="00C24268"/>
    <w:rsid w:val="00C24532"/>
    <w:rsid w:val="00C24A38"/>
    <w:rsid w:val="00C24C63"/>
    <w:rsid w:val="00C24EE4"/>
    <w:rsid w:val="00C252D2"/>
    <w:rsid w:val="00C25325"/>
    <w:rsid w:val="00C25871"/>
    <w:rsid w:val="00C25B61"/>
    <w:rsid w:val="00C25B81"/>
    <w:rsid w:val="00C26191"/>
    <w:rsid w:val="00C26308"/>
    <w:rsid w:val="00C2664D"/>
    <w:rsid w:val="00C26B30"/>
    <w:rsid w:val="00C2713C"/>
    <w:rsid w:val="00C2793F"/>
    <w:rsid w:val="00C27C5F"/>
    <w:rsid w:val="00C27DE3"/>
    <w:rsid w:val="00C27F82"/>
    <w:rsid w:val="00C30B60"/>
    <w:rsid w:val="00C30CFA"/>
    <w:rsid w:val="00C31FB3"/>
    <w:rsid w:val="00C325FF"/>
    <w:rsid w:val="00C32788"/>
    <w:rsid w:val="00C3283B"/>
    <w:rsid w:val="00C32B21"/>
    <w:rsid w:val="00C33579"/>
    <w:rsid w:val="00C33F06"/>
    <w:rsid w:val="00C340A4"/>
    <w:rsid w:val="00C34396"/>
    <w:rsid w:val="00C346CE"/>
    <w:rsid w:val="00C34A90"/>
    <w:rsid w:val="00C34B44"/>
    <w:rsid w:val="00C34DE9"/>
    <w:rsid w:val="00C34F44"/>
    <w:rsid w:val="00C35597"/>
    <w:rsid w:val="00C35D37"/>
    <w:rsid w:val="00C3655E"/>
    <w:rsid w:val="00C367B4"/>
    <w:rsid w:val="00C3697B"/>
    <w:rsid w:val="00C36DFE"/>
    <w:rsid w:val="00C3701A"/>
    <w:rsid w:val="00C37652"/>
    <w:rsid w:val="00C4076C"/>
    <w:rsid w:val="00C40886"/>
    <w:rsid w:val="00C40B07"/>
    <w:rsid w:val="00C4179F"/>
    <w:rsid w:val="00C41A79"/>
    <w:rsid w:val="00C41C0D"/>
    <w:rsid w:val="00C4218F"/>
    <w:rsid w:val="00C42414"/>
    <w:rsid w:val="00C42444"/>
    <w:rsid w:val="00C42D0A"/>
    <w:rsid w:val="00C42DD1"/>
    <w:rsid w:val="00C4341E"/>
    <w:rsid w:val="00C43AD7"/>
    <w:rsid w:val="00C44768"/>
    <w:rsid w:val="00C44BA0"/>
    <w:rsid w:val="00C452C8"/>
    <w:rsid w:val="00C456C9"/>
    <w:rsid w:val="00C4575A"/>
    <w:rsid w:val="00C459FB"/>
    <w:rsid w:val="00C45CA9"/>
    <w:rsid w:val="00C45D1C"/>
    <w:rsid w:val="00C46512"/>
    <w:rsid w:val="00C4659E"/>
    <w:rsid w:val="00C46A88"/>
    <w:rsid w:val="00C46F60"/>
    <w:rsid w:val="00C475F4"/>
    <w:rsid w:val="00C47C46"/>
    <w:rsid w:val="00C47DF3"/>
    <w:rsid w:val="00C50BE5"/>
    <w:rsid w:val="00C51528"/>
    <w:rsid w:val="00C52191"/>
    <w:rsid w:val="00C52924"/>
    <w:rsid w:val="00C52930"/>
    <w:rsid w:val="00C52A9C"/>
    <w:rsid w:val="00C53A43"/>
    <w:rsid w:val="00C53D1B"/>
    <w:rsid w:val="00C53FC9"/>
    <w:rsid w:val="00C54D7F"/>
    <w:rsid w:val="00C54F4F"/>
    <w:rsid w:val="00C55835"/>
    <w:rsid w:val="00C55BD9"/>
    <w:rsid w:val="00C56125"/>
    <w:rsid w:val="00C562A6"/>
    <w:rsid w:val="00C5652F"/>
    <w:rsid w:val="00C565C4"/>
    <w:rsid w:val="00C57C34"/>
    <w:rsid w:val="00C57CDF"/>
    <w:rsid w:val="00C60147"/>
    <w:rsid w:val="00C613A4"/>
    <w:rsid w:val="00C62A44"/>
    <w:rsid w:val="00C62BA9"/>
    <w:rsid w:val="00C635D2"/>
    <w:rsid w:val="00C63ADB"/>
    <w:rsid w:val="00C64457"/>
    <w:rsid w:val="00C64A71"/>
    <w:rsid w:val="00C64F22"/>
    <w:rsid w:val="00C658E8"/>
    <w:rsid w:val="00C65C07"/>
    <w:rsid w:val="00C667B6"/>
    <w:rsid w:val="00C6744A"/>
    <w:rsid w:val="00C70399"/>
    <w:rsid w:val="00C703B2"/>
    <w:rsid w:val="00C70642"/>
    <w:rsid w:val="00C71CD8"/>
    <w:rsid w:val="00C71EBF"/>
    <w:rsid w:val="00C738C8"/>
    <w:rsid w:val="00C73E78"/>
    <w:rsid w:val="00C7406A"/>
    <w:rsid w:val="00C74143"/>
    <w:rsid w:val="00C747F1"/>
    <w:rsid w:val="00C75728"/>
    <w:rsid w:val="00C759F9"/>
    <w:rsid w:val="00C75BE5"/>
    <w:rsid w:val="00C76685"/>
    <w:rsid w:val="00C76A8D"/>
    <w:rsid w:val="00C76D9C"/>
    <w:rsid w:val="00C76F9E"/>
    <w:rsid w:val="00C77424"/>
    <w:rsid w:val="00C8067B"/>
    <w:rsid w:val="00C8075F"/>
    <w:rsid w:val="00C807D7"/>
    <w:rsid w:val="00C807D8"/>
    <w:rsid w:val="00C80DDB"/>
    <w:rsid w:val="00C81963"/>
    <w:rsid w:val="00C82B88"/>
    <w:rsid w:val="00C82CE4"/>
    <w:rsid w:val="00C82D63"/>
    <w:rsid w:val="00C82EFD"/>
    <w:rsid w:val="00C848E3"/>
    <w:rsid w:val="00C84A7B"/>
    <w:rsid w:val="00C852DB"/>
    <w:rsid w:val="00C859E7"/>
    <w:rsid w:val="00C85D8A"/>
    <w:rsid w:val="00C861EB"/>
    <w:rsid w:val="00C86B7F"/>
    <w:rsid w:val="00C86ED8"/>
    <w:rsid w:val="00C86EE5"/>
    <w:rsid w:val="00C86EE9"/>
    <w:rsid w:val="00C8746F"/>
    <w:rsid w:val="00C874B9"/>
    <w:rsid w:val="00C87527"/>
    <w:rsid w:val="00C87633"/>
    <w:rsid w:val="00C87787"/>
    <w:rsid w:val="00C87F63"/>
    <w:rsid w:val="00C9045A"/>
    <w:rsid w:val="00C9096F"/>
    <w:rsid w:val="00C9182D"/>
    <w:rsid w:val="00C91B11"/>
    <w:rsid w:val="00C91B79"/>
    <w:rsid w:val="00C91C1C"/>
    <w:rsid w:val="00C91E2D"/>
    <w:rsid w:val="00C91FF9"/>
    <w:rsid w:val="00C92015"/>
    <w:rsid w:val="00C9312C"/>
    <w:rsid w:val="00C931A5"/>
    <w:rsid w:val="00C935DD"/>
    <w:rsid w:val="00C94925"/>
    <w:rsid w:val="00C94EA5"/>
    <w:rsid w:val="00C952E2"/>
    <w:rsid w:val="00C9592C"/>
    <w:rsid w:val="00C969CD"/>
    <w:rsid w:val="00C973FA"/>
    <w:rsid w:val="00C97FF5"/>
    <w:rsid w:val="00CA0377"/>
    <w:rsid w:val="00CA0955"/>
    <w:rsid w:val="00CA26E4"/>
    <w:rsid w:val="00CA316F"/>
    <w:rsid w:val="00CA4B0E"/>
    <w:rsid w:val="00CA4BEB"/>
    <w:rsid w:val="00CA539B"/>
    <w:rsid w:val="00CA53C2"/>
    <w:rsid w:val="00CA5A7C"/>
    <w:rsid w:val="00CA5DB2"/>
    <w:rsid w:val="00CA6387"/>
    <w:rsid w:val="00CA65B2"/>
    <w:rsid w:val="00CA687B"/>
    <w:rsid w:val="00CA6A50"/>
    <w:rsid w:val="00CA6AC6"/>
    <w:rsid w:val="00CA6F29"/>
    <w:rsid w:val="00CA6FC3"/>
    <w:rsid w:val="00CA711E"/>
    <w:rsid w:val="00CA728A"/>
    <w:rsid w:val="00CA738B"/>
    <w:rsid w:val="00CB0108"/>
    <w:rsid w:val="00CB059D"/>
    <w:rsid w:val="00CB08CF"/>
    <w:rsid w:val="00CB1D93"/>
    <w:rsid w:val="00CB20FB"/>
    <w:rsid w:val="00CB2F6C"/>
    <w:rsid w:val="00CB4005"/>
    <w:rsid w:val="00CB4060"/>
    <w:rsid w:val="00CB4936"/>
    <w:rsid w:val="00CB4DFB"/>
    <w:rsid w:val="00CB54DF"/>
    <w:rsid w:val="00CB5980"/>
    <w:rsid w:val="00CB6416"/>
    <w:rsid w:val="00CB6428"/>
    <w:rsid w:val="00CB65AB"/>
    <w:rsid w:val="00CB684A"/>
    <w:rsid w:val="00CB69BE"/>
    <w:rsid w:val="00CB6A13"/>
    <w:rsid w:val="00CB6BCE"/>
    <w:rsid w:val="00CB7632"/>
    <w:rsid w:val="00CC020D"/>
    <w:rsid w:val="00CC02ED"/>
    <w:rsid w:val="00CC0CB3"/>
    <w:rsid w:val="00CC1331"/>
    <w:rsid w:val="00CC1B1B"/>
    <w:rsid w:val="00CC1E32"/>
    <w:rsid w:val="00CC2725"/>
    <w:rsid w:val="00CC3B2A"/>
    <w:rsid w:val="00CC3C60"/>
    <w:rsid w:val="00CC486F"/>
    <w:rsid w:val="00CC48D5"/>
    <w:rsid w:val="00CC4A79"/>
    <w:rsid w:val="00CC4DB4"/>
    <w:rsid w:val="00CC4E15"/>
    <w:rsid w:val="00CC4F14"/>
    <w:rsid w:val="00CC5113"/>
    <w:rsid w:val="00CC5895"/>
    <w:rsid w:val="00CC5F02"/>
    <w:rsid w:val="00CC6241"/>
    <w:rsid w:val="00CC659A"/>
    <w:rsid w:val="00CC69C4"/>
    <w:rsid w:val="00CC6AF6"/>
    <w:rsid w:val="00CC7AA5"/>
    <w:rsid w:val="00CD0003"/>
    <w:rsid w:val="00CD02D4"/>
    <w:rsid w:val="00CD0A92"/>
    <w:rsid w:val="00CD0E27"/>
    <w:rsid w:val="00CD1B79"/>
    <w:rsid w:val="00CD217E"/>
    <w:rsid w:val="00CD26B3"/>
    <w:rsid w:val="00CD3424"/>
    <w:rsid w:val="00CD3FF0"/>
    <w:rsid w:val="00CD425E"/>
    <w:rsid w:val="00CD4C69"/>
    <w:rsid w:val="00CD4E28"/>
    <w:rsid w:val="00CD4EAF"/>
    <w:rsid w:val="00CD5657"/>
    <w:rsid w:val="00CD5C69"/>
    <w:rsid w:val="00CD6070"/>
    <w:rsid w:val="00CD645B"/>
    <w:rsid w:val="00CD66FC"/>
    <w:rsid w:val="00CD6DA4"/>
    <w:rsid w:val="00CD733B"/>
    <w:rsid w:val="00CD740C"/>
    <w:rsid w:val="00CD7B01"/>
    <w:rsid w:val="00CD7D43"/>
    <w:rsid w:val="00CE03A8"/>
    <w:rsid w:val="00CE0700"/>
    <w:rsid w:val="00CE1410"/>
    <w:rsid w:val="00CE199A"/>
    <w:rsid w:val="00CE19ED"/>
    <w:rsid w:val="00CE1CF3"/>
    <w:rsid w:val="00CE2128"/>
    <w:rsid w:val="00CE2152"/>
    <w:rsid w:val="00CE24E1"/>
    <w:rsid w:val="00CE2C92"/>
    <w:rsid w:val="00CE2F71"/>
    <w:rsid w:val="00CE3522"/>
    <w:rsid w:val="00CE35E9"/>
    <w:rsid w:val="00CE3680"/>
    <w:rsid w:val="00CE3AEE"/>
    <w:rsid w:val="00CE3B8D"/>
    <w:rsid w:val="00CE3D14"/>
    <w:rsid w:val="00CE4316"/>
    <w:rsid w:val="00CE4B22"/>
    <w:rsid w:val="00CE5BE5"/>
    <w:rsid w:val="00CE5FF9"/>
    <w:rsid w:val="00CE60C4"/>
    <w:rsid w:val="00CE6327"/>
    <w:rsid w:val="00CE6AD8"/>
    <w:rsid w:val="00CE6C82"/>
    <w:rsid w:val="00CF05B1"/>
    <w:rsid w:val="00CF05B7"/>
    <w:rsid w:val="00CF0618"/>
    <w:rsid w:val="00CF0EE6"/>
    <w:rsid w:val="00CF0F21"/>
    <w:rsid w:val="00CF0F5C"/>
    <w:rsid w:val="00CF116A"/>
    <w:rsid w:val="00CF13E6"/>
    <w:rsid w:val="00CF204F"/>
    <w:rsid w:val="00CF256D"/>
    <w:rsid w:val="00CF27AB"/>
    <w:rsid w:val="00CF2F28"/>
    <w:rsid w:val="00CF3F65"/>
    <w:rsid w:val="00CF4B44"/>
    <w:rsid w:val="00CF4C8F"/>
    <w:rsid w:val="00CF4D02"/>
    <w:rsid w:val="00CF4D97"/>
    <w:rsid w:val="00CF4DCD"/>
    <w:rsid w:val="00CF556B"/>
    <w:rsid w:val="00CF5B99"/>
    <w:rsid w:val="00CF5E57"/>
    <w:rsid w:val="00CF6619"/>
    <w:rsid w:val="00CF69D3"/>
    <w:rsid w:val="00CF6EE0"/>
    <w:rsid w:val="00CF7F1C"/>
    <w:rsid w:val="00D003CB"/>
    <w:rsid w:val="00D0040C"/>
    <w:rsid w:val="00D0042B"/>
    <w:rsid w:val="00D01089"/>
    <w:rsid w:val="00D0121A"/>
    <w:rsid w:val="00D017A1"/>
    <w:rsid w:val="00D024AE"/>
    <w:rsid w:val="00D03368"/>
    <w:rsid w:val="00D03635"/>
    <w:rsid w:val="00D03771"/>
    <w:rsid w:val="00D04622"/>
    <w:rsid w:val="00D05388"/>
    <w:rsid w:val="00D05874"/>
    <w:rsid w:val="00D05C14"/>
    <w:rsid w:val="00D05FC2"/>
    <w:rsid w:val="00D06428"/>
    <w:rsid w:val="00D06515"/>
    <w:rsid w:val="00D065A2"/>
    <w:rsid w:val="00D06B3A"/>
    <w:rsid w:val="00D07C1E"/>
    <w:rsid w:val="00D1048B"/>
    <w:rsid w:val="00D105D7"/>
    <w:rsid w:val="00D10E64"/>
    <w:rsid w:val="00D11336"/>
    <w:rsid w:val="00D118D9"/>
    <w:rsid w:val="00D11B97"/>
    <w:rsid w:val="00D11FDA"/>
    <w:rsid w:val="00D121B4"/>
    <w:rsid w:val="00D12614"/>
    <w:rsid w:val="00D12A17"/>
    <w:rsid w:val="00D1393A"/>
    <w:rsid w:val="00D14004"/>
    <w:rsid w:val="00D1454B"/>
    <w:rsid w:val="00D14A23"/>
    <w:rsid w:val="00D1516C"/>
    <w:rsid w:val="00D16991"/>
    <w:rsid w:val="00D1707D"/>
    <w:rsid w:val="00D17214"/>
    <w:rsid w:val="00D17774"/>
    <w:rsid w:val="00D17ADF"/>
    <w:rsid w:val="00D17C61"/>
    <w:rsid w:val="00D17E54"/>
    <w:rsid w:val="00D17E71"/>
    <w:rsid w:val="00D20E02"/>
    <w:rsid w:val="00D20F2C"/>
    <w:rsid w:val="00D2147A"/>
    <w:rsid w:val="00D214FB"/>
    <w:rsid w:val="00D22207"/>
    <w:rsid w:val="00D22E27"/>
    <w:rsid w:val="00D232B8"/>
    <w:rsid w:val="00D2354B"/>
    <w:rsid w:val="00D235EB"/>
    <w:rsid w:val="00D23A24"/>
    <w:rsid w:val="00D23ABF"/>
    <w:rsid w:val="00D240B7"/>
    <w:rsid w:val="00D24165"/>
    <w:rsid w:val="00D251CC"/>
    <w:rsid w:val="00D257D8"/>
    <w:rsid w:val="00D25849"/>
    <w:rsid w:val="00D25B2E"/>
    <w:rsid w:val="00D25C12"/>
    <w:rsid w:val="00D26174"/>
    <w:rsid w:val="00D264F8"/>
    <w:rsid w:val="00D26921"/>
    <w:rsid w:val="00D269C9"/>
    <w:rsid w:val="00D26D32"/>
    <w:rsid w:val="00D26E9E"/>
    <w:rsid w:val="00D2728B"/>
    <w:rsid w:val="00D275A6"/>
    <w:rsid w:val="00D27AEF"/>
    <w:rsid w:val="00D27EF0"/>
    <w:rsid w:val="00D30538"/>
    <w:rsid w:val="00D307A2"/>
    <w:rsid w:val="00D31B61"/>
    <w:rsid w:val="00D328B3"/>
    <w:rsid w:val="00D32A1A"/>
    <w:rsid w:val="00D33255"/>
    <w:rsid w:val="00D33C3D"/>
    <w:rsid w:val="00D346F3"/>
    <w:rsid w:val="00D3481C"/>
    <w:rsid w:val="00D348D3"/>
    <w:rsid w:val="00D3585A"/>
    <w:rsid w:val="00D36308"/>
    <w:rsid w:val="00D367BE"/>
    <w:rsid w:val="00D36E5A"/>
    <w:rsid w:val="00D37296"/>
    <w:rsid w:val="00D37314"/>
    <w:rsid w:val="00D37478"/>
    <w:rsid w:val="00D3790A"/>
    <w:rsid w:val="00D40BE5"/>
    <w:rsid w:val="00D40E8C"/>
    <w:rsid w:val="00D41471"/>
    <w:rsid w:val="00D41554"/>
    <w:rsid w:val="00D4183E"/>
    <w:rsid w:val="00D41E01"/>
    <w:rsid w:val="00D4208B"/>
    <w:rsid w:val="00D421DB"/>
    <w:rsid w:val="00D4229B"/>
    <w:rsid w:val="00D42D72"/>
    <w:rsid w:val="00D42E27"/>
    <w:rsid w:val="00D430D8"/>
    <w:rsid w:val="00D435EF"/>
    <w:rsid w:val="00D44AD4"/>
    <w:rsid w:val="00D44ED0"/>
    <w:rsid w:val="00D4513C"/>
    <w:rsid w:val="00D4568F"/>
    <w:rsid w:val="00D45C64"/>
    <w:rsid w:val="00D460FD"/>
    <w:rsid w:val="00D47597"/>
    <w:rsid w:val="00D47727"/>
    <w:rsid w:val="00D47E07"/>
    <w:rsid w:val="00D50195"/>
    <w:rsid w:val="00D5087F"/>
    <w:rsid w:val="00D5135F"/>
    <w:rsid w:val="00D51416"/>
    <w:rsid w:val="00D51E99"/>
    <w:rsid w:val="00D5234A"/>
    <w:rsid w:val="00D52AE0"/>
    <w:rsid w:val="00D52CDD"/>
    <w:rsid w:val="00D530B0"/>
    <w:rsid w:val="00D53BFD"/>
    <w:rsid w:val="00D549B6"/>
    <w:rsid w:val="00D555AE"/>
    <w:rsid w:val="00D5563E"/>
    <w:rsid w:val="00D56156"/>
    <w:rsid w:val="00D562EB"/>
    <w:rsid w:val="00D56431"/>
    <w:rsid w:val="00D56D51"/>
    <w:rsid w:val="00D56F6B"/>
    <w:rsid w:val="00D570F1"/>
    <w:rsid w:val="00D570F3"/>
    <w:rsid w:val="00D57690"/>
    <w:rsid w:val="00D60154"/>
    <w:rsid w:val="00D60576"/>
    <w:rsid w:val="00D61010"/>
    <w:rsid w:val="00D611EC"/>
    <w:rsid w:val="00D615FC"/>
    <w:rsid w:val="00D61914"/>
    <w:rsid w:val="00D61C91"/>
    <w:rsid w:val="00D62087"/>
    <w:rsid w:val="00D623F7"/>
    <w:rsid w:val="00D62408"/>
    <w:rsid w:val="00D63143"/>
    <w:rsid w:val="00D6379C"/>
    <w:rsid w:val="00D64D58"/>
    <w:rsid w:val="00D65085"/>
    <w:rsid w:val="00D657C4"/>
    <w:rsid w:val="00D657FF"/>
    <w:rsid w:val="00D6583E"/>
    <w:rsid w:val="00D65977"/>
    <w:rsid w:val="00D65D1D"/>
    <w:rsid w:val="00D661E5"/>
    <w:rsid w:val="00D6638B"/>
    <w:rsid w:val="00D66474"/>
    <w:rsid w:val="00D67FA3"/>
    <w:rsid w:val="00D7007D"/>
    <w:rsid w:val="00D701BF"/>
    <w:rsid w:val="00D70567"/>
    <w:rsid w:val="00D70C48"/>
    <w:rsid w:val="00D70D4A"/>
    <w:rsid w:val="00D71562"/>
    <w:rsid w:val="00D7189B"/>
    <w:rsid w:val="00D73BD8"/>
    <w:rsid w:val="00D74407"/>
    <w:rsid w:val="00D75F2E"/>
    <w:rsid w:val="00D760A6"/>
    <w:rsid w:val="00D7768C"/>
    <w:rsid w:val="00D77A11"/>
    <w:rsid w:val="00D77CE6"/>
    <w:rsid w:val="00D77DCD"/>
    <w:rsid w:val="00D77F55"/>
    <w:rsid w:val="00D77F92"/>
    <w:rsid w:val="00D807D4"/>
    <w:rsid w:val="00D810BC"/>
    <w:rsid w:val="00D81C32"/>
    <w:rsid w:val="00D84105"/>
    <w:rsid w:val="00D84422"/>
    <w:rsid w:val="00D844E4"/>
    <w:rsid w:val="00D84BD7"/>
    <w:rsid w:val="00D8538C"/>
    <w:rsid w:val="00D854F4"/>
    <w:rsid w:val="00D86E1B"/>
    <w:rsid w:val="00D872EB"/>
    <w:rsid w:val="00D87756"/>
    <w:rsid w:val="00D87A56"/>
    <w:rsid w:val="00D87DD2"/>
    <w:rsid w:val="00D87E8A"/>
    <w:rsid w:val="00D90B1D"/>
    <w:rsid w:val="00D923EE"/>
    <w:rsid w:val="00D93293"/>
    <w:rsid w:val="00D93302"/>
    <w:rsid w:val="00D93466"/>
    <w:rsid w:val="00D934E0"/>
    <w:rsid w:val="00D93681"/>
    <w:rsid w:val="00D93FC3"/>
    <w:rsid w:val="00D94C45"/>
    <w:rsid w:val="00D94F10"/>
    <w:rsid w:val="00D94F5A"/>
    <w:rsid w:val="00D953D3"/>
    <w:rsid w:val="00D956A5"/>
    <w:rsid w:val="00D962E9"/>
    <w:rsid w:val="00D9631C"/>
    <w:rsid w:val="00D96604"/>
    <w:rsid w:val="00D969C2"/>
    <w:rsid w:val="00DA116E"/>
    <w:rsid w:val="00DA128A"/>
    <w:rsid w:val="00DA2BCA"/>
    <w:rsid w:val="00DA2E5B"/>
    <w:rsid w:val="00DA3549"/>
    <w:rsid w:val="00DA40DE"/>
    <w:rsid w:val="00DA46EF"/>
    <w:rsid w:val="00DA4E67"/>
    <w:rsid w:val="00DA52F0"/>
    <w:rsid w:val="00DA5F49"/>
    <w:rsid w:val="00DA6A1D"/>
    <w:rsid w:val="00DA70F8"/>
    <w:rsid w:val="00DA7553"/>
    <w:rsid w:val="00DA7743"/>
    <w:rsid w:val="00DA7820"/>
    <w:rsid w:val="00DB1BF3"/>
    <w:rsid w:val="00DB215D"/>
    <w:rsid w:val="00DB2E4C"/>
    <w:rsid w:val="00DB2FC3"/>
    <w:rsid w:val="00DB314D"/>
    <w:rsid w:val="00DB3853"/>
    <w:rsid w:val="00DB3A1D"/>
    <w:rsid w:val="00DB4019"/>
    <w:rsid w:val="00DB40D6"/>
    <w:rsid w:val="00DB48B1"/>
    <w:rsid w:val="00DB4F19"/>
    <w:rsid w:val="00DB558A"/>
    <w:rsid w:val="00DB5618"/>
    <w:rsid w:val="00DB5920"/>
    <w:rsid w:val="00DB6255"/>
    <w:rsid w:val="00DB6363"/>
    <w:rsid w:val="00DB6BED"/>
    <w:rsid w:val="00DB7423"/>
    <w:rsid w:val="00DC048D"/>
    <w:rsid w:val="00DC0A87"/>
    <w:rsid w:val="00DC2171"/>
    <w:rsid w:val="00DC2D56"/>
    <w:rsid w:val="00DC3722"/>
    <w:rsid w:val="00DC3985"/>
    <w:rsid w:val="00DC40A3"/>
    <w:rsid w:val="00DC444C"/>
    <w:rsid w:val="00DC4D22"/>
    <w:rsid w:val="00DC5951"/>
    <w:rsid w:val="00DC78D2"/>
    <w:rsid w:val="00DC7EBF"/>
    <w:rsid w:val="00DD002F"/>
    <w:rsid w:val="00DD0A4E"/>
    <w:rsid w:val="00DD0D97"/>
    <w:rsid w:val="00DD12D7"/>
    <w:rsid w:val="00DD167C"/>
    <w:rsid w:val="00DD1B01"/>
    <w:rsid w:val="00DD2406"/>
    <w:rsid w:val="00DD2E4D"/>
    <w:rsid w:val="00DD3CB8"/>
    <w:rsid w:val="00DD3DF1"/>
    <w:rsid w:val="00DD40D8"/>
    <w:rsid w:val="00DD4223"/>
    <w:rsid w:val="00DD43EA"/>
    <w:rsid w:val="00DD4A08"/>
    <w:rsid w:val="00DD4E6B"/>
    <w:rsid w:val="00DD5518"/>
    <w:rsid w:val="00DD5F72"/>
    <w:rsid w:val="00DD7789"/>
    <w:rsid w:val="00DD7E90"/>
    <w:rsid w:val="00DE1068"/>
    <w:rsid w:val="00DE1674"/>
    <w:rsid w:val="00DE1A74"/>
    <w:rsid w:val="00DE1E6A"/>
    <w:rsid w:val="00DE2CEE"/>
    <w:rsid w:val="00DE2E9B"/>
    <w:rsid w:val="00DE3239"/>
    <w:rsid w:val="00DE33FD"/>
    <w:rsid w:val="00DE3695"/>
    <w:rsid w:val="00DE3999"/>
    <w:rsid w:val="00DE39F4"/>
    <w:rsid w:val="00DE45FA"/>
    <w:rsid w:val="00DE4845"/>
    <w:rsid w:val="00DE4B58"/>
    <w:rsid w:val="00DE4DAF"/>
    <w:rsid w:val="00DE54B9"/>
    <w:rsid w:val="00DE5734"/>
    <w:rsid w:val="00DE5E05"/>
    <w:rsid w:val="00DE668E"/>
    <w:rsid w:val="00DE7B64"/>
    <w:rsid w:val="00DF0235"/>
    <w:rsid w:val="00DF0836"/>
    <w:rsid w:val="00DF0B43"/>
    <w:rsid w:val="00DF117F"/>
    <w:rsid w:val="00DF1D73"/>
    <w:rsid w:val="00DF20B4"/>
    <w:rsid w:val="00DF2836"/>
    <w:rsid w:val="00DF28AD"/>
    <w:rsid w:val="00DF2DC3"/>
    <w:rsid w:val="00DF52E1"/>
    <w:rsid w:val="00DF5AA8"/>
    <w:rsid w:val="00DF63D7"/>
    <w:rsid w:val="00DF653D"/>
    <w:rsid w:val="00DF6B06"/>
    <w:rsid w:val="00DF6F33"/>
    <w:rsid w:val="00DF7705"/>
    <w:rsid w:val="00DF78E9"/>
    <w:rsid w:val="00DF7F67"/>
    <w:rsid w:val="00E00013"/>
    <w:rsid w:val="00E0051B"/>
    <w:rsid w:val="00E00D57"/>
    <w:rsid w:val="00E01034"/>
    <w:rsid w:val="00E01319"/>
    <w:rsid w:val="00E0191D"/>
    <w:rsid w:val="00E0262A"/>
    <w:rsid w:val="00E0264D"/>
    <w:rsid w:val="00E02D44"/>
    <w:rsid w:val="00E03765"/>
    <w:rsid w:val="00E038B5"/>
    <w:rsid w:val="00E03C2B"/>
    <w:rsid w:val="00E03DE8"/>
    <w:rsid w:val="00E03E03"/>
    <w:rsid w:val="00E03EB5"/>
    <w:rsid w:val="00E042EE"/>
    <w:rsid w:val="00E04660"/>
    <w:rsid w:val="00E04960"/>
    <w:rsid w:val="00E04CF2"/>
    <w:rsid w:val="00E0560D"/>
    <w:rsid w:val="00E05F06"/>
    <w:rsid w:val="00E0627E"/>
    <w:rsid w:val="00E06E53"/>
    <w:rsid w:val="00E120AE"/>
    <w:rsid w:val="00E13152"/>
    <w:rsid w:val="00E1350E"/>
    <w:rsid w:val="00E13547"/>
    <w:rsid w:val="00E137A5"/>
    <w:rsid w:val="00E13BA3"/>
    <w:rsid w:val="00E13E94"/>
    <w:rsid w:val="00E1452F"/>
    <w:rsid w:val="00E145D3"/>
    <w:rsid w:val="00E14CF6"/>
    <w:rsid w:val="00E15AB9"/>
    <w:rsid w:val="00E16784"/>
    <w:rsid w:val="00E16D51"/>
    <w:rsid w:val="00E17050"/>
    <w:rsid w:val="00E2097E"/>
    <w:rsid w:val="00E20D97"/>
    <w:rsid w:val="00E21508"/>
    <w:rsid w:val="00E21661"/>
    <w:rsid w:val="00E2166E"/>
    <w:rsid w:val="00E216FF"/>
    <w:rsid w:val="00E22C5F"/>
    <w:rsid w:val="00E23380"/>
    <w:rsid w:val="00E233A9"/>
    <w:rsid w:val="00E237C9"/>
    <w:rsid w:val="00E24816"/>
    <w:rsid w:val="00E25C1F"/>
    <w:rsid w:val="00E25C3F"/>
    <w:rsid w:val="00E265F8"/>
    <w:rsid w:val="00E268E8"/>
    <w:rsid w:val="00E26CF5"/>
    <w:rsid w:val="00E27427"/>
    <w:rsid w:val="00E278AE"/>
    <w:rsid w:val="00E27CE9"/>
    <w:rsid w:val="00E3001C"/>
    <w:rsid w:val="00E3049E"/>
    <w:rsid w:val="00E30867"/>
    <w:rsid w:val="00E30B01"/>
    <w:rsid w:val="00E31D8B"/>
    <w:rsid w:val="00E31FE4"/>
    <w:rsid w:val="00E324B3"/>
    <w:rsid w:val="00E32CAD"/>
    <w:rsid w:val="00E33A57"/>
    <w:rsid w:val="00E33B63"/>
    <w:rsid w:val="00E3572B"/>
    <w:rsid w:val="00E35C3D"/>
    <w:rsid w:val="00E35C7B"/>
    <w:rsid w:val="00E35E9A"/>
    <w:rsid w:val="00E3679E"/>
    <w:rsid w:val="00E37326"/>
    <w:rsid w:val="00E37390"/>
    <w:rsid w:val="00E375CD"/>
    <w:rsid w:val="00E37607"/>
    <w:rsid w:val="00E376E1"/>
    <w:rsid w:val="00E4058A"/>
    <w:rsid w:val="00E4062E"/>
    <w:rsid w:val="00E40897"/>
    <w:rsid w:val="00E40A89"/>
    <w:rsid w:val="00E40F15"/>
    <w:rsid w:val="00E41004"/>
    <w:rsid w:val="00E41025"/>
    <w:rsid w:val="00E412FE"/>
    <w:rsid w:val="00E414CA"/>
    <w:rsid w:val="00E415C8"/>
    <w:rsid w:val="00E41681"/>
    <w:rsid w:val="00E41E44"/>
    <w:rsid w:val="00E42428"/>
    <w:rsid w:val="00E42546"/>
    <w:rsid w:val="00E427D6"/>
    <w:rsid w:val="00E42B8A"/>
    <w:rsid w:val="00E42C67"/>
    <w:rsid w:val="00E43515"/>
    <w:rsid w:val="00E43F7E"/>
    <w:rsid w:val="00E4454D"/>
    <w:rsid w:val="00E447AA"/>
    <w:rsid w:val="00E448D8"/>
    <w:rsid w:val="00E45522"/>
    <w:rsid w:val="00E45F50"/>
    <w:rsid w:val="00E4645B"/>
    <w:rsid w:val="00E464F8"/>
    <w:rsid w:val="00E46A2E"/>
    <w:rsid w:val="00E46B21"/>
    <w:rsid w:val="00E46E07"/>
    <w:rsid w:val="00E470CD"/>
    <w:rsid w:val="00E4770B"/>
    <w:rsid w:val="00E51389"/>
    <w:rsid w:val="00E519B2"/>
    <w:rsid w:val="00E51D81"/>
    <w:rsid w:val="00E51E2E"/>
    <w:rsid w:val="00E532DA"/>
    <w:rsid w:val="00E54404"/>
    <w:rsid w:val="00E55B12"/>
    <w:rsid w:val="00E56094"/>
    <w:rsid w:val="00E5615A"/>
    <w:rsid w:val="00E564AC"/>
    <w:rsid w:val="00E5656E"/>
    <w:rsid w:val="00E56FC3"/>
    <w:rsid w:val="00E57AA1"/>
    <w:rsid w:val="00E57CE9"/>
    <w:rsid w:val="00E60475"/>
    <w:rsid w:val="00E61D9E"/>
    <w:rsid w:val="00E62200"/>
    <w:rsid w:val="00E622E8"/>
    <w:rsid w:val="00E628CB"/>
    <w:rsid w:val="00E629E0"/>
    <w:rsid w:val="00E62F3B"/>
    <w:rsid w:val="00E63996"/>
    <w:rsid w:val="00E65070"/>
    <w:rsid w:val="00E65085"/>
    <w:rsid w:val="00E6544D"/>
    <w:rsid w:val="00E65D7F"/>
    <w:rsid w:val="00E65F90"/>
    <w:rsid w:val="00E66DB7"/>
    <w:rsid w:val="00E67D90"/>
    <w:rsid w:val="00E70124"/>
    <w:rsid w:val="00E708D6"/>
    <w:rsid w:val="00E70FC5"/>
    <w:rsid w:val="00E71115"/>
    <w:rsid w:val="00E719CE"/>
    <w:rsid w:val="00E724CD"/>
    <w:rsid w:val="00E72855"/>
    <w:rsid w:val="00E72FF1"/>
    <w:rsid w:val="00E743C3"/>
    <w:rsid w:val="00E74475"/>
    <w:rsid w:val="00E74D06"/>
    <w:rsid w:val="00E74DD7"/>
    <w:rsid w:val="00E7557B"/>
    <w:rsid w:val="00E7559C"/>
    <w:rsid w:val="00E75CAF"/>
    <w:rsid w:val="00E7608C"/>
    <w:rsid w:val="00E764DD"/>
    <w:rsid w:val="00E76783"/>
    <w:rsid w:val="00E769DA"/>
    <w:rsid w:val="00E769F8"/>
    <w:rsid w:val="00E77945"/>
    <w:rsid w:val="00E8256D"/>
    <w:rsid w:val="00E8277B"/>
    <w:rsid w:val="00E83C89"/>
    <w:rsid w:val="00E83FA3"/>
    <w:rsid w:val="00E8446A"/>
    <w:rsid w:val="00E84989"/>
    <w:rsid w:val="00E84C4F"/>
    <w:rsid w:val="00E84CB1"/>
    <w:rsid w:val="00E84D20"/>
    <w:rsid w:val="00E84FBF"/>
    <w:rsid w:val="00E8504C"/>
    <w:rsid w:val="00E85092"/>
    <w:rsid w:val="00E85BE5"/>
    <w:rsid w:val="00E860BF"/>
    <w:rsid w:val="00E8629E"/>
    <w:rsid w:val="00E86D35"/>
    <w:rsid w:val="00E86F79"/>
    <w:rsid w:val="00E87095"/>
    <w:rsid w:val="00E901F7"/>
    <w:rsid w:val="00E905A0"/>
    <w:rsid w:val="00E91243"/>
    <w:rsid w:val="00E915D3"/>
    <w:rsid w:val="00E918AF"/>
    <w:rsid w:val="00E91D9F"/>
    <w:rsid w:val="00E91F01"/>
    <w:rsid w:val="00E920AE"/>
    <w:rsid w:val="00E927AE"/>
    <w:rsid w:val="00E92849"/>
    <w:rsid w:val="00E9292A"/>
    <w:rsid w:val="00E93282"/>
    <w:rsid w:val="00E93966"/>
    <w:rsid w:val="00E93CBB"/>
    <w:rsid w:val="00E93FF2"/>
    <w:rsid w:val="00E9549E"/>
    <w:rsid w:val="00E95592"/>
    <w:rsid w:val="00E95EFB"/>
    <w:rsid w:val="00E95EFF"/>
    <w:rsid w:val="00E96A89"/>
    <w:rsid w:val="00E97509"/>
    <w:rsid w:val="00E979B8"/>
    <w:rsid w:val="00E97A29"/>
    <w:rsid w:val="00E97AB4"/>
    <w:rsid w:val="00E97B43"/>
    <w:rsid w:val="00EA03F6"/>
    <w:rsid w:val="00EA07A7"/>
    <w:rsid w:val="00EA0CA8"/>
    <w:rsid w:val="00EA137E"/>
    <w:rsid w:val="00EA14AB"/>
    <w:rsid w:val="00EA1E9B"/>
    <w:rsid w:val="00EA1F0A"/>
    <w:rsid w:val="00EA3256"/>
    <w:rsid w:val="00EA4CA5"/>
    <w:rsid w:val="00EA54A4"/>
    <w:rsid w:val="00EA5943"/>
    <w:rsid w:val="00EA59B7"/>
    <w:rsid w:val="00EA5B69"/>
    <w:rsid w:val="00EA5EDD"/>
    <w:rsid w:val="00EA6036"/>
    <w:rsid w:val="00EA62FC"/>
    <w:rsid w:val="00EA672F"/>
    <w:rsid w:val="00EA6805"/>
    <w:rsid w:val="00EA75B0"/>
    <w:rsid w:val="00EA75D6"/>
    <w:rsid w:val="00EB0E76"/>
    <w:rsid w:val="00EB14D7"/>
    <w:rsid w:val="00EB1787"/>
    <w:rsid w:val="00EB20F4"/>
    <w:rsid w:val="00EB2611"/>
    <w:rsid w:val="00EB2682"/>
    <w:rsid w:val="00EB2B93"/>
    <w:rsid w:val="00EB2D11"/>
    <w:rsid w:val="00EB30E6"/>
    <w:rsid w:val="00EB3373"/>
    <w:rsid w:val="00EB3379"/>
    <w:rsid w:val="00EB3FF1"/>
    <w:rsid w:val="00EB4BCD"/>
    <w:rsid w:val="00EB5913"/>
    <w:rsid w:val="00EB5CAE"/>
    <w:rsid w:val="00EB64F2"/>
    <w:rsid w:val="00EB656A"/>
    <w:rsid w:val="00EB6D55"/>
    <w:rsid w:val="00EB6FE1"/>
    <w:rsid w:val="00EB7009"/>
    <w:rsid w:val="00EB79DB"/>
    <w:rsid w:val="00EB7D49"/>
    <w:rsid w:val="00EC07DB"/>
    <w:rsid w:val="00EC0E61"/>
    <w:rsid w:val="00EC163F"/>
    <w:rsid w:val="00EC29CC"/>
    <w:rsid w:val="00EC2BD3"/>
    <w:rsid w:val="00EC30A9"/>
    <w:rsid w:val="00EC40BB"/>
    <w:rsid w:val="00EC40E1"/>
    <w:rsid w:val="00EC61FF"/>
    <w:rsid w:val="00EC63BC"/>
    <w:rsid w:val="00EC6853"/>
    <w:rsid w:val="00EC6B46"/>
    <w:rsid w:val="00EC7331"/>
    <w:rsid w:val="00EC7BB7"/>
    <w:rsid w:val="00ED00F0"/>
    <w:rsid w:val="00ED0DD7"/>
    <w:rsid w:val="00ED1003"/>
    <w:rsid w:val="00ED1D76"/>
    <w:rsid w:val="00ED2F0C"/>
    <w:rsid w:val="00ED43CB"/>
    <w:rsid w:val="00ED4684"/>
    <w:rsid w:val="00ED562C"/>
    <w:rsid w:val="00ED565F"/>
    <w:rsid w:val="00ED5B62"/>
    <w:rsid w:val="00ED601E"/>
    <w:rsid w:val="00ED6A32"/>
    <w:rsid w:val="00ED6E78"/>
    <w:rsid w:val="00ED7C38"/>
    <w:rsid w:val="00EE0620"/>
    <w:rsid w:val="00EE0C3E"/>
    <w:rsid w:val="00EE10AD"/>
    <w:rsid w:val="00EE15C3"/>
    <w:rsid w:val="00EE1E68"/>
    <w:rsid w:val="00EE255E"/>
    <w:rsid w:val="00EE2781"/>
    <w:rsid w:val="00EE2969"/>
    <w:rsid w:val="00EE29D5"/>
    <w:rsid w:val="00EE3D41"/>
    <w:rsid w:val="00EE3E4D"/>
    <w:rsid w:val="00EE3E71"/>
    <w:rsid w:val="00EE3ED0"/>
    <w:rsid w:val="00EE3EF6"/>
    <w:rsid w:val="00EE47EA"/>
    <w:rsid w:val="00EE4DF7"/>
    <w:rsid w:val="00EE4EAE"/>
    <w:rsid w:val="00EE5130"/>
    <w:rsid w:val="00EE5254"/>
    <w:rsid w:val="00EE576B"/>
    <w:rsid w:val="00EE5E63"/>
    <w:rsid w:val="00EE6D04"/>
    <w:rsid w:val="00EE6D4E"/>
    <w:rsid w:val="00EE7029"/>
    <w:rsid w:val="00EE7078"/>
    <w:rsid w:val="00EE7531"/>
    <w:rsid w:val="00EE7EAB"/>
    <w:rsid w:val="00EF03F8"/>
    <w:rsid w:val="00EF0C4F"/>
    <w:rsid w:val="00EF13CE"/>
    <w:rsid w:val="00EF1B6E"/>
    <w:rsid w:val="00EF2328"/>
    <w:rsid w:val="00EF275A"/>
    <w:rsid w:val="00EF294B"/>
    <w:rsid w:val="00EF33E6"/>
    <w:rsid w:val="00EF3D3B"/>
    <w:rsid w:val="00EF3E08"/>
    <w:rsid w:val="00EF3FDD"/>
    <w:rsid w:val="00EF48D9"/>
    <w:rsid w:val="00EF4ADA"/>
    <w:rsid w:val="00EF4DF0"/>
    <w:rsid w:val="00EF51D7"/>
    <w:rsid w:val="00EF5BF7"/>
    <w:rsid w:val="00EF6193"/>
    <w:rsid w:val="00EF6A3B"/>
    <w:rsid w:val="00EF6C95"/>
    <w:rsid w:val="00EF7298"/>
    <w:rsid w:val="00F0162D"/>
    <w:rsid w:val="00F01FFF"/>
    <w:rsid w:val="00F02570"/>
    <w:rsid w:val="00F036B1"/>
    <w:rsid w:val="00F036B3"/>
    <w:rsid w:val="00F040B9"/>
    <w:rsid w:val="00F04286"/>
    <w:rsid w:val="00F04916"/>
    <w:rsid w:val="00F05216"/>
    <w:rsid w:val="00F053E1"/>
    <w:rsid w:val="00F058C3"/>
    <w:rsid w:val="00F05A42"/>
    <w:rsid w:val="00F05F85"/>
    <w:rsid w:val="00F061CE"/>
    <w:rsid w:val="00F06BBC"/>
    <w:rsid w:val="00F07671"/>
    <w:rsid w:val="00F0784F"/>
    <w:rsid w:val="00F07D10"/>
    <w:rsid w:val="00F07D8D"/>
    <w:rsid w:val="00F1038B"/>
    <w:rsid w:val="00F10E49"/>
    <w:rsid w:val="00F12440"/>
    <w:rsid w:val="00F12D69"/>
    <w:rsid w:val="00F1312E"/>
    <w:rsid w:val="00F1323F"/>
    <w:rsid w:val="00F1368B"/>
    <w:rsid w:val="00F1388C"/>
    <w:rsid w:val="00F141CA"/>
    <w:rsid w:val="00F14922"/>
    <w:rsid w:val="00F14A85"/>
    <w:rsid w:val="00F15672"/>
    <w:rsid w:val="00F15B2A"/>
    <w:rsid w:val="00F15ECD"/>
    <w:rsid w:val="00F16C67"/>
    <w:rsid w:val="00F176C8"/>
    <w:rsid w:val="00F20D0E"/>
    <w:rsid w:val="00F20F16"/>
    <w:rsid w:val="00F211D2"/>
    <w:rsid w:val="00F21AFF"/>
    <w:rsid w:val="00F22A09"/>
    <w:rsid w:val="00F23348"/>
    <w:rsid w:val="00F242A6"/>
    <w:rsid w:val="00F2489C"/>
    <w:rsid w:val="00F254D2"/>
    <w:rsid w:val="00F25514"/>
    <w:rsid w:val="00F25F59"/>
    <w:rsid w:val="00F2655A"/>
    <w:rsid w:val="00F26F6C"/>
    <w:rsid w:val="00F27D24"/>
    <w:rsid w:val="00F30372"/>
    <w:rsid w:val="00F3068A"/>
    <w:rsid w:val="00F3098E"/>
    <w:rsid w:val="00F309AE"/>
    <w:rsid w:val="00F30A96"/>
    <w:rsid w:val="00F3100C"/>
    <w:rsid w:val="00F31233"/>
    <w:rsid w:val="00F31A02"/>
    <w:rsid w:val="00F32BF6"/>
    <w:rsid w:val="00F33426"/>
    <w:rsid w:val="00F340F4"/>
    <w:rsid w:val="00F3505E"/>
    <w:rsid w:val="00F35210"/>
    <w:rsid w:val="00F352D5"/>
    <w:rsid w:val="00F35E98"/>
    <w:rsid w:val="00F35F50"/>
    <w:rsid w:val="00F36456"/>
    <w:rsid w:val="00F36B72"/>
    <w:rsid w:val="00F36EF5"/>
    <w:rsid w:val="00F36F04"/>
    <w:rsid w:val="00F371C4"/>
    <w:rsid w:val="00F3735F"/>
    <w:rsid w:val="00F379EC"/>
    <w:rsid w:val="00F37E8A"/>
    <w:rsid w:val="00F37EDC"/>
    <w:rsid w:val="00F40788"/>
    <w:rsid w:val="00F40E4F"/>
    <w:rsid w:val="00F4217B"/>
    <w:rsid w:val="00F42707"/>
    <w:rsid w:val="00F42EA1"/>
    <w:rsid w:val="00F43035"/>
    <w:rsid w:val="00F43B42"/>
    <w:rsid w:val="00F446B1"/>
    <w:rsid w:val="00F4482B"/>
    <w:rsid w:val="00F44F67"/>
    <w:rsid w:val="00F45A8E"/>
    <w:rsid w:val="00F45B6C"/>
    <w:rsid w:val="00F46AAE"/>
    <w:rsid w:val="00F47409"/>
    <w:rsid w:val="00F500D2"/>
    <w:rsid w:val="00F504BA"/>
    <w:rsid w:val="00F517D0"/>
    <w:rsid w:val="00F51D2D"/>
    <w:rsid w:val="00F51DD7"/>
    <w:rsid w:val="00F52095"/>
    <w:rsid w:val="00F523C7"/>
    <w:rsid w:val="00F52C21"/>
    <w:rsid w:val="00F5301E"/>
    <w:rsid w:val="00F5348E"/>
    <w:rsid w:val="00F53AF6"/>
    <w:rsid w:val="00F544DE"/>
    <w:rsid w:val="00F54DCF"/>
    <w:rsid w:val="00F554D9"/>
    <w:rsid w:val="00F55551"/>
    <w:rsid w:val="00F55696"/>
    <w:rsid w:val="00F561CC"/>
    <w:rsid w:val="00F569C8"/>
    <w:rsid w:val="00F569D1"/>
    <w:rsid w:val="00F576F9"/>
    <w:rsid w:val="00F61760"/>
    <w:rsid w:val="00F621CC"/>
    <w:rsid w:val="00F6271D"/>
    <w:rsid w:val="00F62DCC"/>
    <w:rsid w:val="00F636A9"/>
    <w:rsid w:val="00F6479D"/>
    <w:rsid w:val="00F64DCD"/>
    <w:rsid w:val="00F64E71"/>
    <w:rsid w:val="00F65336"/>
    <w:rsid w:val="00F66313"/>
    <w:rsid w:val="00F66401"/>
    <w:rsid w:val="00F6651A"/>
    <w:rsid w:val="00F66CF7"/>
    <w:rsid w:val="00F67227"/>
    <w:rsid w:val="00F67257"/>
    <w:rsid w:val="00F673F2"/>
    <w:rsid w:val="00F67AAD"/>
    <w:rsid w:val="00F67FDB"/>
    <w:rsid w:val="00F70A77"/>
    <w:rsid w:val="00F719E3"/>
    <w:rsid w:val="00F729A9"/>
    <w:rsid w:val="00F72AD5"/>
    <w:rsid w:val="00F730B3"/>
    <w:rsid w:val="00F730DA"/>
    <w:rsid w:val="00F7503F"/>
    <w:rsid w:val="00F751E1"/>
    <w:rsid w:val="00F75C69"/>
    <w:rsid w:val="00F766A5"/>
    <w:rsid w:val="00F76D64"/>
    <w:rsid w:val="00F7717D"/>
    <w:rsid w:val="00F7730B"/>
    <w:rsid w:val="00F77C08"/>
    <w:rsid w:val="00F77C3B"/>
    <w:rsid w:val="00F77F24"/>
    <w:rsid w:val="00F80C15"/>
    <w:rsid w:val="00F81052"/>
    <w:rsid w:val="00F8157A"/>
    <w:rsid w:val="00F81582"/>
    <w:rsid w:val="00F828E5"/>
    <w:rsid w:val="00F82BFF"/>
    <w:rsid w:val="00F832CB"/>
    <w:rsid w:val="00F8405E"/>
    <w:rsid w:val="00F8487C"/>
    <w:rsid w:val="00F85177"/>
    <w:rsid w:val="00F85710"/>
    <w:rsid w:val="00F86387"/>
    <w:rsid w:val="00F866A8"/>
    <w:rsid w:val="00F86757"/>
    <w:rsid w:val="00F86A8A"/>
    <w:rsid w:val="00F86B4F"/>
    <w:rsid w:val="00F86EE3"/>
    <w:rsid w:val="00F87974"/>
    <w:rsid w:val="00F90663"/>
    <w:rsid w:val="00F91B06"/>
    <w:rsid w:val="00F91E4F"/>
    <w:rsid w:val="00F92E8E"/>
    <w:rsid w:val="00F93C77"/>
    <w:rsid w:val="00F942C8"/>
    <w:rsid w:val="00F953A2"/>
    <w:rsid w:val="00F955F1"/>
    <w:rsid w:val="00F95AF1"/>
    <w:rsid w:val="00F95E6E"/>
    <w:rsid w:val="00F96815"/>
    <w:rsid w:val="00F96EE6"/>
    <w:rsid w:val="00F9763C"/>
    <w:rsid w:val="00F9793B"/>
    <w:rsid w:val="00F97BEA"/>
    <w:rsid w:val="00FA001E"/>
    <w:rsid w:val="00FA0803"/>
    <w:rsid w:val="00FA0D77"/>
    <w:rsid w:val="00FA1470"/>
    <w:rsid w:val="00FA2293"/>
    <w:rsid w:val="00FA24E1"/>
    <w:rsid w:val="00FA2701"/>
    <w:rsid w:val="00FA2C55"/>
    <w:rsid w:val="00FA2E7E"/>
    <w:rsid w:val="00FA3063"/>
    <w:rsid w:val="00FA3638"/>
    <w:rsid w:val="00FA38CE"/>
    <w:rsid w:val="00FA3E39"/>
    <w:rsid w:val="00FA4955"/>
    <w:rsid w:val="00FA4A7E"/>
    <w:rsid w:val="00FA4DB8"/>
    <w:rsid w:val="00FA6F4F"/>
    <w:rsid w:val="00FA7AA7"/>
    <w:rsid w:val="00FB06FD"/>
    <w:rsid w:val="00FB09C1"/>
    <w:rsid w:val="00FB120A"/>
    <w:rsid w:val="00FB1CA2"/>
    <w:rsid w:val="00FB2310"/>
    <w:rsid w:val="00FB2A62"/>
    <w:rsid w:val="00FB2AAB"/>
    <w:rsid w:val="00FB2CCD"/>
    <w:rsid w:val="00FB3ACD"/>
    <w:rsid w:val="00FB432E"/>
    <w:rsid w:val="00FB4752"/>
    <w:rsid w:val="00FB4F75"/>
    <w:rsid w:val="00FB54E9"/>
    <w:rsid w:val="00FB578E"/>
    <w:rsid w:val="00FB6D37"/>
    <w:rsid w:val="00FB77D7"/>
    <w:rsid w:val="00FB7A5A"/>
    <w:rsid w:val="00FB7FCC"/>
    <w:rsid w:val="00FC0014"/>
    <w:rsid w:val="00FC0486"/>
    <w:rsid w:val="00FC1308"/>
    <w:rsid w:val="00FC14A8"/>
    <w:rsid w:val="00FC2119"/>
    <w:rsid w:val="00FC2280"/>
    <w:rsid w:val="00FC35E9"/>
    <w:rsid w:val="00FC3D63"/>
    <w:rsid w:val="00FC3DE4"/>
    <w:rsid w:val="00FC4052"/>
    <w:rsid w:val="00FC4EA8"/>
    <w:rsid w:val="00FC54A3"/>
    <w:rsid w:val="00FC6175"/>
    <w:rsid w:val="00FC643E"/>
    <w:rsid w:val="00FC6C1D"/>
    <w:rsid w:val="00FC6D95"/>
    <w:rsid w:val="00FC7A20"/>
    <w:rsid w:val="00FC7DA3"/>
    <w:rsid w:val="00FD01F7"/>
    <w:rsid w:val="00FD07CB"/>
    <w:rsid w:val="00FD07D5"/>
    <w:rsid w:val="00FD0832"/>
    <w:rsid w:val="00FD13F4"/>
    <w:rsid w:val="00FD19F2"/>
    <w:rsid w:val="00FD20FF"/>
    <w:rsid w:val="00FD244B"/>
    <w:rsid w:val="00FD2767"/>
    <w:rsid w:val="00FD3594"/>
    <w:rsid w:val="00FD3EE6"/>
    <w:rsid w:val="00FD4451"/>
    <w:rsid w:val="00FD632B"/>
    <w:rsid w:val="00FD6508"/>
    <w:rsid w:val="00FD65FC"/>
    <w:rsid w:val="00FD67E9"/>
    <w:rsid w:val="00FD714D"/>
    <w:rsid w:val="00FD757E"/>
    <w:rsid w:val="00FD78BD"/>
    <w:rsid w:val="00FD7CD6"/>
    <w:rsid w:val="00FE0910"/>
    <w:rsid w:val="00FE1A30"/>
    <w:rsid w:val="00FE2418"/>
    <w:rsid w:val="00FE2B58"/>
    <w:rsid w:val="00FE2BBF"/>
    <w:rsid w:val="00FE2DF8"/>
    <w:rsid w:val="00FE2FB8"/>
    <w:rsid w:val="00FE32BB"/>
    <w:rsid w:val="00FE3880"/>
    <w:rsid w:val="00FE4136"/>
    <w:rsid w:val="00FE4983"/>
    <w:rsid w:val="00FE569A"/>
    <w:rsid w:val="00FE5B5F"/>
    <w:rsid w:val="00FE614E"/>
    <w:rsid w:val="00FE6482"/>
    <w:rsid w:val="00FE6732"/>
    <w:rsid w:val="00FE6D37"/>
    <w:rsid w:val="00FE73DC"/>
    <w:rsid w:val="00FE7650"/>
    <w:rsid w:val="00FE79DC"/>
    <w:rsid w:val="00FF0E61"/>
    <w:rsid w:val="00FF0ED4"/>
    <w:rsid w:val="00FF12C1"/>
    <w:rsid w:val="00FF1318"/>
    <w:rsid w:val="00FF1590"/>
    <w:rsid w:val="00FF18A2"/>
    <w:rsid w:val="00FF1DF1"/>
    <w:rsid w:val="00FF1FDC"/>
    <w:rsid w:val="00FF20FD"/>
    <w:rsid w:val="00FF233A"/>
    <w:rsid w:val="00FF27AD"/>
    <w:rsid w:val="00FF2F6C"/>
    <w:rsid w:val="00FF48EC"/>
    <w:rsid w:val="00FF4B25"/>
    <w:rsid w:val="00FF5096"/>
    <w:rsid w:val="00FF55C5"/>
    <w:rsid w:val="00FF5AD0"/>
    <w:rsid w:val="00FF607A"/>
    <w:rsid w:val="00FF63D0"/>
    <w:rsid w:val="01A505DF"/>
    <w:rsid w:val="01C14306"/>
    <w:rsid w:val="01D95F0B"/>
    <w:rsid w:val="020E629F"/>
    <w:rsid w:val="022A54A7"/>
    <w:rsid w:val="026743DB"/>
    <w:rsid w:val="027605D2"/>
    <w:rsid w:val="02B80C01"/>
    <w:rsid w:val="02E01C47"/>
    <w:rsid w:val="031F25F2"/>
    <w:rsid w:val="03600692"/>
    <w:rsid w:val="03992497"/>
    <w:rsid w:val="03AE725F"/>
    <w:rsid w:val="03D6031C"/>
    <w:rsid w:val="044C50BA"/>
    <w:rsid w:val="045C403D"/>
    <w:rsid w:val="04677ABA"/>
    <w:rsid w:val="047210F8"/>
    <w:rsid w:val="04A02C06"/>
    <w:rsid w:val="052B4465"/>
    <w:rsid w:val="05757F89"/>
    <w:rsid w:val="05B85338"/>
    <w:rsid w:val="05D215C4"/>
    <w:rsid w:val="06423C78"/>
    <w:rsid w:val="064A040C"/>
    <w:rsid w:val="06621B38"/>
    <w:rsid w:val="0701572A"/>
    <w:rsid w:val="074F6EC3"/>
    <w:rsid w:val="07524370"/>
    <w:rsid w:val="07774E7B"/>
    <w:rsid w:val="0790107F"/>
    <w:rsid w:val="07CB1720"/>
    <w:rsid w:val="08181FA3"/>
    <w:rsid w:val="08225533"/>
    <w:rsid w:val="083D602B"/>
    <w:rsid w:val="08534FC3"/>
    <w:rsid w:val="08BA0844"/>
    <w:rsid w:val="08C24B52"/>
    <w:rsid w:val="09433FFC"/>
    <w:rsid w:val="09661630"/>
    <w:rsid w:val="09714770"/>
    <w:rsid w:val="09783538"/>
    <w:rsid w:val="097924AD"/>
    <w:rsid w:val="098705F9"/>
    <w:rsid w:val="099F7A3A"/>
    <w:rsid w:val="0A312E6D"/>
    <w:rsid w:val="0A7B4277"/>
    <w:rsid w:val="0A8B6D9E"/>
    <w:rsid w:val="0A8F2C28"/>
    <w:rsid w:val="0AA7304A"/>
    <w:rsid w:val="0AA91055"/>
    <w:rsid w:val="0AB66BBC"/>
    <w:rsid w:val="0AE370AD"/>
    <w:rsid w:val="0AEA21F2"/>
    <w:rsid w:val="0B2850F4"/>
    <w:rsid w:val="0B34483E"/>
    <w:rsid w:val="0BB15CFC"/>
    <w:rsid w:val="0BB75AA4"/>
    <w:rsid w:val="0C5F738E"/>
    <w:rsid w:val="0C8F1775"/>
    <w:rsid w:val="0D1042C9"/>
    <w:rsid w:val="0D296BEF"/>
    <w:rsid w:val="0D5420C7"/>
    <w:rsid w:val="0D703BC7"/>
    <w:rsid w:val="0DB13CB1"/>
    <w:rsid w:val="0E1A6C88"/>
    <w:rsid w:val="0E6D03B6"/>
    <w:rsid w:val="0E80353E"/>
    <w:rsid w:val="0E846D78"/>
    <w:rsid w:val="0ECC12D1"/>
    <w:rsid w:val="0EE859A3"/>
    <w:rsid w:val="0EF84178"/>
    <w:rsid w:val="0EFA5AE5"/>
    <w:rsid w:val="0F086350"/>
    <w:rsid w:val="0F5466B3"/>
    <w:rsid w:val="0F816FE3"/>
    <w:rsid w:val="0F826704"/>
    <w:rsid w:val="0FB934DF"/>
    <w:rsid w:val="10024664"/>
    <w:rsid w:val="100D394F"/>
    <w:rsid w:val="10606175"/>
    <w:rsid w:val="10731A3E"/>
    <w:rsid w:val="1081433D"/>
    <w:rsid w:val="10CB0366"/>
    <w:rsid w:val="10CD1E06"/>
    <w:rsid w:val="11034E16"/>
    <w:rsid w:val="125B488D"/>
    <w:rsid w:val="128F3934"/>
    <w:rsid w:val="12C4776A"/>
    <w:rsid w:val="12D43ED8"/>
    <w:rsid w:val="12D7441C"/>
    <w:rsid w:val="12F2272F"/>
    <w:rsid w:val="13013A46"/>
    <w:rsid w:val="132B4159"/>
    <w:rsid w:val="133B512C"/>
    <w:rsid w:val="13403001"/>
    <w:rsid w:val="13544C20"/>
    <w:rsid w:val="13AC7923"/>
    <w:rsid w:val="13E9022F"/>
    <w:rsid w:val="13FF5CA5"/>
    <w:rsid w:val="141A6F7E"/>
    <w:rsid w:val="142B6D3D"/>
    <w:rsid w:val="14320898"/>
    <w:rsid w:val="14C75E7F"/>
    <w:rsid w:val="14D2208F"/>
    <w:rsid w:val="14DC196D"/>
    <w:rsid w:val="14EA24B1"/>
    <w:rsid w:val="1526255F"/>
    <w:rsid w:val="152C2AC9"/>
    <w:rsid w:val="155D7046"/>
    <w:rsid w:val="15FA26EF"/>
    <w:rsid w:val="16550E33"/>
    <w:rsid w:val="168E7405"/>
    <w:rsid w:val="16B10503"/>
    <w:rsid w:val="16C156E0"/>
    <w:rsid w:val="16C90EF1"/>
    <w:rsid w:val="16F21AF1"/>
    <w:rsid w:val="175B1444"/>
    <w:rsid w:val="17667DE9"/>
    <w:rsid w:val="17861FA7"/>
    <w:rsid w:val="17906635"/>
    <w:rsid w:val="179F458C"/>
    <w:rsid w:val="17C502A4"/>
    <w:rsid w:val="185B471C"/>
    <w:rsid w:val="185C6538"/>
    <w:rsid w:val="18780D82"/>
    <w:rsid w:val="195C3032"/>
    <w:rsid w:val="195F09D1"/>
    <w:rsid w:val="19DB5F62"/>
    <w:rsid w:val="1A991B97"/>
    <w:rsid w:val="1AE46951"/>
    <w:rsid w:val="1B302BE8"/>
    <w:rsid w:val="1B652085"/>
    <w:rsid w:val="1B9B142D"/>
    <w:rsid w:val="1BA44EF7"/>
    <w:rsid w:val="1BB65929"/>
    <w:rsid w:val="1BF77C5A"/>
    <w:rsid w:val="1C383E46"/>
    <w:rsid w:val="1D0F6A18"/>
    <w:rsid w:val="1E0B0BB8"/>
    <w:rsid w:val="1E181C45"/>
    <w:rsid w:val="1E54097D"/>
    <w:rsid w:val="1EED438F"/>
    <w:rsid w:val="1FAD440C"/>
    <w:rsid w:val="1FD12B82"/>
    <w:rsid w:val="1FED676C"/>
    <w:rsid w:val="204B3912"/>
    <w:rsid w:val="20A1469C"/>
    <w:rsid w:val="20D12777"/>
    <w:rsid w:val="21776CC6"/>
    <w:rsid w:val="21901A79"/>
    <w:rsid w:val="219C536B"/>
    <w:rsid w:val="21DF35AE"/>
    <w:rsid w:val="21F45BC7"/>
    <w:rsid w:val="21F7377A"/>
    <w:rsid w:val="22000ED9"/>
    <w:rsid w:val="222F39C7"/>
    <w:rsid w:val="223A3C75"/>
    <w:rsid w:val="22427B5A"/>
    <w:rsid w:val="22AC0B76"/>
    <w:rsid w:val="22B56268"/>
    <w:rsid w:val="22D13257"/>
    <w:rsid w:val="22F00ED6"/>
    <w:rsid w:val="23386CD4"/>
    <w:rsid w:val="23507FD7"/>
    <w:rsid w:val="23D84354"/>
    <w:rsid w:val="23DA7DCF"/>
    <w:rsid w:val="24637F30"/>
    <w:rsid w:val="249205BC"/>
    <w:rsid w:val="24A759DB"/>
    <w:rsid w:val="24F932A3"/>
    <w:rsid w:val="24FA2A38"/>
    <w:rsid w:val="25333240"/>
    <w:rsid w:val="25601F6B"/>
    <w:rsid w:val="25AE0C03"/>
    <w:rsid w:val="265536D1"/>
    <w:rsid w:val="268907C4"/>
    <w:rsid w:val="26A74CD3"/>
    <w:rsid w:val="26B77021"/>
    <w:rsid w:val="26BF6525"/>
    <w:rsid w:val="26D10191"/>
    <w:rsid w:val="270D0725"/>
    <w:rsid w:val="27E97E3B"/>
    <w:rsid w:val="284E2F52"/>
    <w:rsid w:val="284E3CE2"/>
    <w:rsid w:val="28952DAA"/>
    <w:rsid w:val="28A3018C"/>
    <w:rsid w:val="29035C00"/>
    <w:rsid w:val="2926632E"/>
    <w:rsid w:val="29DB7CAB"/>
    <w:rsid w:val="2A171AE2"/>
    <w:rsid w:val="2A3A3353"/>
    <w:rsid w:val="2AE62B49"/>
    <w:rsid w:val="2B1945CB"/>
    <w:rsid w:val="2B972393"/>
    <w:rsid w:val="2C376460"/>
    <w:rsid w:val="2CAB47C4"/>
    <w:rsid w:val="2CC87B0E"/>
    <w:rsid w:val="2DC97131"/>
    <w:rsid w:val="2DCE0E24"/>
    <w:rsid w:val="2DE0474B"/>
    <w:rsid w:val="2DE70501"/>
    <w:rsid w:val="2DF413C7"/>
    <w:rsid w:val="2E0917A2"/>
    <w:rsid w:val="2F4B0519"/>
    <w:rsid w:val="2F687E17"/>
    <w:rsid w:val="2F800E27"/>
    <w:rsid w:val="2F8F2E5E"/>
    <w:rsid w:val="2FF56D08"/>
    <w:rsid w:val="2FF5708A"/>
    <w:rsid w:val="30364654"/>
    <w:rsid w:val="31EA7296"/>
    <w:rsid w:val="31F91DE1"/>
    <w:rsid w:val="32280B5C"/>
    <w:rsid w:val="326F3B9E"/>
    <w:rsid w:val="3278093A"/>
    <w:rsid w:val="32FE2EEA"/>
    <w:rsid w:val="330662B0"/>
    <w:rsid w:val="331B65F8"/>
    <w:rsid w:val="33526AEF"/>
    <w:rsid w:val="339419FC"/>
    <w:rsid w:val="34353039"/>
    <w:rsid w:val="346A33A3"/>
    <w:rsid w:val="35AB5F0D"/>
    <w:rsid w:val="366D4898"/>
    <w:rsid w:val="37537E51"/>
    <w:rsid w:val="37AA3783"/>
    <w:rsid w:val="37CB072C"/>
    <w:rsid w:val="383B0102"/>
    <w:rsid w:val="383F4354"/>
    <w:rsid w:val="38723E23"/>
    <w:rsid w:val="38AB408D"/>
    <w:rsid w:val="38BE50C9"/>
    <w:rsid w:val="3925443F"/>
    <w:rsid w:val="393540C4"/>
    <w:rsid w:val="39C55247"/>
    <w:rsid w:val="3A10719C"/>
    <w:rsid w:val="3A693CF4"/>
    <w:rsid w:val="3AD112E2"/>
    <w:rsid w:val="3AF04901"/>
    <w:rsid w:val="3B2925F8"/>
    <w:rsid w:val="3B5C331C"/>
    <w:rsid w:val="3B845B5E"/>
    <w:rsid w:val="3BAEC528"/>
    <w:rsid w:val="3BB3067D"/>
    <w:rsid w:val="3BBE0977"/>
    <w:rsid w:val="3BCD39AE"/>
    <w:rsid w:val="3BD9018F"/>
    <w:rsid w:val="3BF27054"/>
    <w:rsid w:val="3C50509D"/>
    <w:rsid w:val="3C783349"/>
    <w:rsid w:val="3C7F33BB"/>
    <w:rsid w:val="3CB13731"/>
    <w:rsid w:val="3D0E3783"/>
    <w:rsid w:val="3D9B452B"/>
    <w:rsid w:val="3D9D3843"/>
    <w:rsid w:val="3DB50FFF"/>
    <w:rsid w:val="3DD376D7"/>
    <w:rsid w:val="3E366DDC"/>
    <w:rsid w:val="3E8E08F0"/>
    <w:rsid w:val="3EF8725E"/>
    <w:rsid w:val="3F1F701B"/>
    <w:rsid w:val="3F3148EC"/>
    <w:rsid w:val="3F8F58FF"/>
    <w:rsid w:val="3FB45618"/>
    <w:rsid w:val="40130737"/>
    <w:rsid w:val="403A2127"/>
    <w:rsid w:val="40CB0B39"/>
    <w:rsid w:val="40D65444"/>
    <w:rsid w:val="40D74405"/>
    <w:rsid w:val="40ED0EB3"/>
    <w:rsid w:val="415F7745"/>
    <w:rsid w:val="41A969BF"/>
    <w:rsid w:val="41B034D0"/>
    <w:rsid w:val="41D82964"/>
    <w:rsid w:val="42741FE7"/>
    <w:rsid w:val="428D52FB"/>
    <w:rsid w:val="43133978"/>
    <w:rsid w:val="43524217"/>
    <w:rsid w:val="43611999"/>
    <w:rsid w:val="43C268FF"/>
    <w:rsid w:val="43C31F3F"/>
    <w:rsid w:val="43F52CA9"/>
    <w:rsid w:val="440601E4"/>
    <w:rsid w:val="443D589F"/>
    <w:rsid w:val="44AE67A8"/>
    <w:rsid w:val="44FE7B79"/>
    <w:rsid w:val="45041127"/>
    <w:rsid w:val="4574519D"/>
    <w:rsid w:val="458D0AB3"/>
    <w:rsid w:val="45EE5DF8"/>
    <w:rsid w:val="45FD6761"/>
    <w:rsid w:val="47780492"/>
    <w:rsid w:val="47AB68AE"/>
    <w:rsid w:val="47B624B2"/>
    <w:rsid w:val="47D14C87"/>
    <w:rsid w:val="47DB0E8E"/>
    <w:rsid w:val="47F84572"/>
    <w:rsid w:val="48193282"/>
    <w:rsid w:val="48216DC4"/>
    <w:rsid w:val="48F124A8"/>
    <w:rsid w:val="4918380D"/>
    <w:rsid w:val="496F6480"/>
    <w:rsid w:val="498E1F9B"/>
    <w:rsid w:val="4A1D053D"/>
    <w:rsid w:val="4A282B58"/>
    <w:rsid w:val="4A394D65"/>
    <w:rsid w:val="4A581C9D"/>
    <w:rsid w:val="4AA51B91"/>
    <w:rsid w:val="4B3F245B"/>
    <w:rsid w:val="4B6B5155"/>
    <w:rsid w:val="4B7743D8"/>
    <w:rsid w:val="4BA90E5D"/>
    <w:rsid w:val="4BEE2A4F"/>
    <w:rsid w:val="4BF81DA9"/>
    <w:rsid w:val="4C075F96"/>
    <w:rsid w:val="4C304B4A"/>
    <w:rsid w:val="4C8E5B88"/>
    <w:rsid w:val="4C925E54"/>
    <w:rsid w:val="4C9A1B9B"/>
    <w:rsid w:val="4D2602CE"/>
    <w:rsid w:val="4D634380"/>
    <w:rsid w:val="4DC52A0F"/>
    <w:rsid w:val="4DF15EAB"/>
    <w:rsid w:val="4E1136FB"/>
    <w:rsid w:val="4E2B70BB"/>
    <w:rsid w:val="4E484B98"/>
    <w:rsid w:val="4EA04AAF"/>
    <w:rsid w:val="4EE126CE"/>
    <w:rsid w:val="4F0A7DFA"/>
    <w:rsid w:val="4F6A6A36"/>
    <w:rsid w:val="4FD75AC7"/>
    <w:rsid w:val="4FD92EF0"/>
    <w:rsid w:val="4FF06A7F"/>
    <w:rsid w:val="5029166D"/>
    <w:rsid w:val="502C64EB"/>
    <w:rsid w:val="507E530D"/>
    <w:rsid w:val="50A20D13"/>
    <w:rsid w:val="50A47D12"/>
    <w:rsid w:val="50A73529"/>
    <w:rsid w:val="50E347C2"/>
    <w:rsid w:val="50F1639A"/>
    <w:rsid w:val="51267FA3"/>
    <w:rsid w:val="518A27EE"/>
    <w:rsid w:val="51923F2E"/>
    <w:rsid w:val="51B15A23"/>
    <w:rsid w:val="51B46594"/>
    <w:rsid w:val="51E2353A"/>
    <w:rsid w:val="52CC4D3A"/>
    <w:rsid w:val="52E37D29"/>
    <w:rsid w:val="52EF47CC"/>
    <w:rsid w:val="53195734"/>
    <w:rsid w:val="532A0486"/>
    <w:rsid w:val="53834DF7"/>
    <w:rsid w:val="54077C82"/>
    <w:rsid w:val="542D3B9F"/>
    <w:rsid w:val="5437274A"/>
    <w:rsid w:val="54631418"/>
    <w:rsid w:val="54764246"/>
    <w:rsid w:val="54895C16"/>
    <w:rsid w:val="54F162DC"/>
    <w:rsid w:val="55371097"/>
    <w:rsid w:val="554726BA"/>
    <w:rsid w:val="554E7CEE"/>
    <w:rsid w:val="55A52A2C"/>
    <w:rsid w:val="55BA48FF"/>
    <w:rsid w:val="55E90AF5"/>
    <w:rsid w:val="560E1DF3"/>
    <w:rsid w:val="56112690"/>
    <w:rsid w:val="5628735F"/>
    <w:rsid w:val="563E2689"/>
    <w:rsid w:val="564B25D0"/>
    <w:rsid w:val="566B5684"/>
    <w:rsid w:val="56D05727"/>
    <w:rsid w:val="56E6159D"/>
    <w:rsid w:val="56F269C8"/>
    <w:rsid w:val="57315D8A"/>
    <w:rsid w:val="578E3618"/>
    <w:rsid w:val="5816406A"/>
    <w:rsid w:val="5847287D"/>
    <w:rsid w:val="5862214E"/>
    <w:rsid w:val="586A1576"/>
    <w:rsid w:val="58753AB4"/>
    <w:rsid w:val="58801DB1"/>
    <w:rsid w:val="5889275F"/>
    <w:rsid w:val="58B25E3C"/>
    <w:rsid w:val="58C83E5B"/>
    <w:rsid w:val="58CD4EB7"/>
    <w:rsid w:val="58F17143"/>
    <w:rsid w:val="5909588B"/>
    <w:rsid w:val="592163C9"/>
    <w:rsid w:val="59420F81"/>
    <w:rsid w:val="59551421"/>
    <w:rsid w:val="59711DDE"/>
    <w:rsid w:val="59E92304"/>
    <w:rsid w:val="59F178C0"/>
    <w:rsid w:val="5ACD5B81"/>
    <w:rsid w:val="5AE709EC"/>
    <w:rsid w:val="5B597AA0"/>
    <w:rsid w:val="5BBA6D8A"/>
    <w:rsid w:val="5CA0005D"/>
    <w:rsid w:val="5CEB0141"/>
    <w:rsid w:val="5D1B73EB"/>
    <w:rsid w:val="5D252794"/>
    <w:rsid w:val="5DDC51F4"/>
    <w:rsid w:val="5DF44220"/>
    <w:rsid w:val="5E7F1E4C"/>
    <w:rsid w:val="5E8048B9"/>
    <w:rsid w:val="5EA9645B"/>
    <w:rsid w:val="5ED25D9F"/>
    <w:rsid w:val="5F0951A0"/>
    <w:rsid w:val="5F4F721A"/>
    <w:rsid w:val="5F9F6501"/>
    <w:rsid w:val="5FD4480B"/>
    <w:rsid w:val="5FE8545C"/>
    <w:rsid w:val="606758A8"/>
    <w:rsid w:val="60BB4080"/>
    <w:rsid w:val="60D45C77"/>
    <w:rsid w:val="60D672E8"/>
    <w:rsid w:val="613F2BD2"/>
    <w:rsid w:val="61A60BF2"/>
    <w:rsid w:val="61AE0E1D"/>
    <w:rsid w:val="61F669CE"/>
    <w:rsid w:val="623A2D83"/>
    <w:rsid w:val="62D75548"/>
    <w:rsid w:val="62D8033C"/>
    <w:rsid w:val="63464A61"/>
    <w:rsid w:val="634D34C9"/>
    <w:rsid w:val="636C6347"/>
    <w:rsid w:val="63D2534D"/>
    <w:rsid w:val="63E96CC0"/>
    <w:rsid w:val="64495785"/>
    <w:rsid w:val="64DB3D9D"/>
    <w:rsid w:val="658B0713"/>
    <w:rsid w:val="65D3534E"/>
    <w:rsid w:val="65FE33B8"/>
    <w:rsid w:val="666D135A"/>
    <w:rsid w:val="669336F1"/>
    <w:rsid w:val="67261A6C"/>
    <w:rsid w:val="67B07AF8"/>
    <w:rsid w:val="67DA4098"/>
    <w:rsid w:val="67F517A1"/>
    <w:rsid w:val="680551E7"/>
    <w:rsid w:val="68495339"/>
    <w:rsid w:val="684A14EA"/>
    <w:rsid w:val="685C6397"/>
    <w:rsid w:val="689F0032"/>
    <w:rsid w:val="68A43301"/>
    <w:rsid w:val="68FD7FA6"/>
    <w:rsid w:val="68FF70FA"/>
    <w:rsid w:val="692830E7"/>
    <w:rsid w:val="692A1FF1"/>
    <w:rsid w:val="694C158E"/>
    <w:rsid w:val="69CB7308"/>
    <w:rsid w:val="69DA187A"/>
    <w:rsid w:val="69E84C61"/>
    <w:rsid w:val="6A3347C1"/>
    <w:rsid w:val="6A7B123F"/>
    <w:rsid w:val="6A7C3136"/>
    <w:rsid w:val="6AD0578E"/>
    <w:rsid w:val="6AD246EE"/>
    <w:rsid w:val="6AE1039D"/>
    <w:rsid w:val="6AF90A4F"/>
    <w:rsid w:val="6B002162"/>
    <w:rsid w:val="6B013226"/>
    <w:rsid w:val="6B2C2051"/>
    <w:rsid w:val="6B4730C0"/>
    <w:rsid w:val="6B60619E"/>
    <w:rsid w:val="6B80239C"/>
    <w:rsid w:val="6C34483D"/>
    <w:rsid w:val="6C696997"/>
    <w:rsid w:val="6C9530D5"/>
    <w:rsid w:val="6D006ACC"/>
    <w:rsid w:val="6D375E5C"/>
    <w:rsid w:val="6D53787B"/>
    <w:rsid w:val="6D5A3A30"/>
    <w:rsid w:val="6D5F1031"/>
    <w:rsid w:val="6D790179"/>
    <w:rsid w:val="6D8E46AD"/>
    <w:rsid w:val="6D9623F2"/>
    <w:rsid w:val="6DA12AB5"/>
    <w:rsid w:val="6DAE3AD5"/>
    <w:rsid w:val="6DDA29E1"/>
    <w:rsid w:val="6DE64287"/>
    <w:rsid w:val="6E3D0A27"/>
    <w:rsid w:val="6EA57C83"/>
    <w:rsid w:val="6EAA1E15"/>
    <w:rsid w:val="6EBF748C"/>
    <w:rsid w:val="6F35375F"/>
    <w:rsid w:val="6FBC7E39"/>
    <w:rsid w:val="6FD74A6A"/>
    <w:rsid w:val="70537581"/>
    <w:rsid w:val="70AA78F9"/>
    <w:rsid w:val="70C35CAC"/>
    <w:rsid w:val="70C857CB"/>
    <w:rsid w:val="71587675"/>
    <w:rsid w:val="71651CE8"/>
    <w:rsid w:val="71A33188"/>
    <w:rsid w:val="71DF133F"/>
    <w:rsid w:val="72056139"/>
    <w:rsid w:val="720A0D83"/>
    <w:rsid w:val="720A7322"/>
    <w:rsid w:val="72901CD2"/>
    <w:rsid w:val="73253A86"/>
    <w:rsid w:val="73290765"/>
    <w:rsid w:val="73414465"/>
    <w:rsid w:val="737C1500"/>
    <w:rsid w:val="74136226"/>
    <w:rsid w:val="74144174"/>
    <w:rsid w:val="741C1D44"/>
    <w:rsid w:val="74632BB7"/>
    <w:rsid w:val="74B65081"/>
    <w:rsid w:val="74C26582"/>
    <w:rsid w:val="74C7103C"/>
    <w:rsid w:val="752D7A57"/>
    <w:rsid w:val="75382BEB"/>
    <w:rsid w:val="755F069C"/>
    <w:rsid w:val="757752E4"/>
    <w:rsid w:val="75907D2D"/>
    <w:rsid w:val="75DB17E4"/>
    <w:rsid w:val="76235CEF"/>
    <w:rsid w:val="76661AE8"/>
    <w:rsid w:val="76843D75"/>
    <w:rsid w:val="76986038"/>
    <w:rsid w:val="76D355AA"/>
    <w:rsid w:val="76EF1037"/>
    <w:rsid w:val="777E5D18"/>
    <w:rsid w:val="77A77481"/>
    <w:rsid w:val="77C841B9"/>
    <w:rsid w:val="77CD427D"/>
    <w:rsid w:val="77EA05FE"/>
    <w:rsid w:val="77F06646"/>
    <w:rsid w:val="77F4117B"/>
    <w:rsid w:val="786869A5"/>
    <w:rsid w:val="787C3739"/>
    <w:rsid w:val="788748B0"/>
    <w:rsid w:val="78AA7998"/>
    <w:rsid w:val="78FC0A67"/>
    <w:rsid w:val="796E5F2A"/>
    <w:rsid w:val="79B27CEF"/>
    <w:rsid w:val="79C27501"/>
    <w:rsid w:val="7A2937CC"/>
    <w:rsid w:val="7A326720"/>
    <w:rsid w:val="7A5A4E76"/>
    <w:rsid w:val="7A7D759B"/>
    <w:rsid w:val="7A841815"/>
    <w:rsid w:val="7AD42FD8"/>
    <w:rsid w:val="7ADE726A"/>
    <w:rsid w:val="7AF30787"/>
    <w:rsid w:val="7B057D45"/>
    <w:rsid w:val="7B336451"/>
    <w:rsid w:val="7B371CEA"/>
    <w:rsid w:val="7B477DF0"/>
    <w:rsid w:val="7BDD448F"/>
    <w:rsid w:val="7BE13572"/>
    <w:rsid w:val="7C281EBC"/>
    <w:rsid w:val="7C614EAE"/>
    <w:rsid w:val="7C673FFA"/>
    <w:rsid w:val="7D10037D"/>
    <w:rsid w:val="7D4A0FB5"/>
    <w:rsid w:val="7D6B0BB3"/>
    <w:rsid w:val="7D8A5EEC"/>
    <w:rsid w:val="7DB119B7"/>
    <w:rsid w:val="7DF851BD"/>
    <w:rsid w:val="7E0925E5"/>
    <w:rsid w:val="7E9B6739"/>
    <w:rsid w:val="7EE74C6B"/>
    <w:rsid w:val="7F1E5CFC"/>
    <w:rsid w:val="7F1F59B0"/>
    <w:rsid w:val="7F4779CB"/>
    <w:rsid w:val="7F8C3C6F"/>
    <w:rsid w:val="7FE2792D"/>
    <w:rsid w:val="BF5DCF2E"/>
    <w:rsid w:val="FEFD5FF5"/>
    <w:rsid w:val="FFDFC377"/>
    <w:rsid w:val="FFFFFA9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42"/>
    <w:qFormat/>
    <w:uiPriority w:val="0"/>
    <w:pPr>
      <w:spacing w:before="120" w:after="120"/>
      <w:jc w:val="center"/>
      <w:outlineLvl w:val="0"/>
    </w:pPr>
    <w:rPr>
      <w:rFonts w:ascii="Times New Roman" w:hAnsi="Times New Roman"/>
      <w:color w:val="000000"/>
      <w:szCs w:val="28"/>
    </w:rPr>
  </w:style>
  <w:style w:type="paragraph" w:styleId="5">
    <w:name w:val="heading 2"/>
    <w:basedOn w:val="1"/>
    <w:next w:val="1"/>
    <w:link w:val="134"/>
    <w:qFormat/>
    <w:uiPriority w:val="0"/>
    <w:pPr>
      <w:adjustRightInd w:val="0"/>
      <w:jc w:val="center"/>
      <w:textAlignment w:val="baseline"/>
      <w:outlineLvl w:val="1"/>
    </w:pPr>
    <w:rPr>
      <w:kern w:val="0"/>
      <w:sz w:val="24"/>
      <w:szCs w:val="20"/>
    </w:rPr>
  </w:style>
  <w:style w:type="paragraph" w:styleId="6">
    <w:name w:val="heading 3"/>
    <w:basedOn w:val="7"/>
    <w:next w:val="1"/>
    <w:link w:val="149"/>
    <w:qFormat/>
    <w:uiPriority w:val="0"/>
    <w:pPr>
      <w:spacing w:before="260" w:after="260" w:line="240" w:lineRule="auto"/>
      <w:outlineLvl w:val="2"/>
    </w:pPr>
    <w:rPr>
      <w:rFonts w:ascii="宋体" w:hAnsi="宋体" w:eastAsia="宋体"/>
      <w:szCs w:val="32"/>
    </w:rPr>
  </w:style>
  <w:style w:type="paragraph" w:styleId="7">
    <w:name w:val="heading 4"/>
    <w:basedOn w:val="1"/>
    <w:next w:val="1"/>
    <w:link w:val="122"/>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qFormat/>
    <w:uiPriority w:val="0"/>
    <w:pPr>
      <w:keepNext/>
      <w:keepLines/>
      <w:numPr>
        <w:ilvl w:val="4"/>
        <w:numId w:val="1"/>
      </w:numPr>
      <w:spacing w:before="280" w:after="290" w:line="376" w:lineRule="auto"/>
      <w:outlineLvl w:val="4"/>
    </w:pPr>
    <w:rPr>
      <w:b/>
      <w:sz w:val="28"/>
      <w:szCs w:val="20"/>
    </w:rPr>
  </w:style>
  <w:style w:type="paragraph" w:styleId="10">
    <w:name w:val="heading 6"/>
    <w:basedOn w:val="1"/>
    <w:next w:val="9"/>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1">
    <w:name w:val="heading 7"/>
    <w:basedOn w:val="1"/>
    <w:next w:val="9"/>
    <w:qFormat/>
    <w:uiPriority w:val="0"/>
    <w:pPr>
      <w:keepNext/>
      <w:keepLines/>
      <w:numPr>
        <w:ilvl w:val="6"/>
        <w:numId w:val="1"/>
      </w:numPr>
      <w:spacing w:before="240" w:after="64" w:line="320" w:lineRule="auto"/>
      <w:outlineLvl w:val="6"/>
    </w:pPr>
    <w:rPr>
      <w:b/>
      <w:sz w:val="24"/>
      <w:szCs w:val="20"/>
    </w:rPr>
  </w:style>
  <w:style w:type="paragraph" w:styleId="12">
    <w:name w:val="heading 8"/>
    <w:basedOn w:val="1"/>
    <w:next w:val="9"/>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3">
    <w:name w:val="heading 9"/>
    <w:basedOn w:val="1"/>
    <w:next w:val="9"/>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52">
    <w:name w:val="Default Paragraph Font"/>
    <w:semiHidden/>
    <w:qFormat/>
    <w:uiPriority w:val="0"/>
  </w:style>
  <w:style w:type="table" w:default="1" w:styleId="50">
    <w:name w:val="Normal Table"/>
    <w:semiHidden/>
    <w:qFormat/>
    <w:uiPriority w:val="0"/>
    <w:tblPr>
      <w:tblCellMar>
        <w:top w:w="0" w:type="dxa"/>
        <w:left w:w="108" w:type="dxa"/>
        <w:bottom w:w="0" w:type="dxa"/>
        <w:right w:w="108" w:type="dxa"/>
      </w:tblCellMar>
    </w:tblPr>
  </w:style>
  <w:style w:type="paragraph" w:styleId="2">
    <w:name w:val="Body Text"/>
    <w:basedOn w:val="1"/>
    <w:next w:val="3"/>
    <w:link w:val="148"/>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9">
    <w:name w:val="Normal Indent"/>
    <w:basedOn w:val="1"/>
    <w:next w:val="2"/>
    <w:link w:val="154"/>
    <w:qFormat/>
    <w:uiPriority w:val="0"/>
    <w:pPr>
      <w:ind w:firstLine="420" w:firstLineChars="200"/>
    </w:pPr>
  </w:style>
  <w:style w:type="paragraph" w:styleId="14">
    <w:name w:val="toc 7"/>
    <w:basedOn w:val="1"/>
    <w:next w:val="1"/>
    <w:qFormat/>
    <w:uiPriority w:val="0"/>
    <w:pPr>
      <w:ind w:left="2520" w:leftChars="1200"/>
    </w:pPr>
  </w:style>
  <w:style w:type="paragraph" w:styleId="15">
    <w:name w:val="index 8"/>
    <w:basedOn w:val="1"/>
    <w:next w:val="1"/>
    <w:unhideWhenUsed/>
    <w:qFormat/>
    <w:uiPriority w:val="99"/>
    <w:pPr>
      <w:spacing w:line="240" w:lineRule="auto"/>
      <w:ind w:left="1400" w:leftChars="1400" w:firstLine="0" w:firstLineChars="0"/>
    </w:pPr>
    <w:rPr>
      <w:rFonts w:ascii="Times New Roman" w:hAnsi="Times New Roman" w:eastAsia="仿宋"/>
      <w:snapToGrid w:val="0"/>
      <w:sz w:val="28"/>
      <w:szCs w:val="28"/>
    </w:rPr>
  </w:style>
  <w:style w:type="paragraph" w:styleId="16">
    <w:name w:val="Document Map"/>
    <w:basedOn w:val="1"/>
    <w:semiHidden/>
    <w:qFormat/>
    <w:uiPriority w:val="0"/>
    <w:pPr>
      <w:shd w:val="clear" w:color="auto" w:fill="000080"/>
    </w:pPr>
  </w:style>
  <w:style w:type="paragraph" w:styleId="17">
    <w:name w:val="annotation text"/>
    <w:basedOn w:val="1"/>
    <w:qFormat/>
    <w:uiPriority w:val="0"/>
    <w:pPr>
      <w:jc w:val="left"/>
    </w:pPr>
  </w:style>
  <w:style w:type="paragraph" w:styleId="18">
    <w:name w:val="Body Text 3"/>
    <w:basedOn w:val="1"/>
    <w:qFormat/>
    <w:uiPriority w:val="0"/>
    <w:pPr>
      <w:spacing w:after="120"/>
    </w:pPr>
    <w:rPr>
      <w:sz w:val="16"/>
      <w:szCs w:val="16"/>
    </w:rPr>
  </w:style>
  <w:style w:type="paragraph" w:styleId="19">
    <w:name w:val="Body Text Indent"/>
    <w:basedOn w:val="1"/>
    <w:link w:val="130"/>
    <w:qFormat/>
    <w:uiPriority w:val="0"/>
    <w:pPr>
      <w:spacing w:line="360" w:lineRule="auto"/>
      <w:ind w:firstLine="420" w:firstLineChars="200"/>
    </w:pPr>
  </w:style>
  <w:style w:type="paragraph" w:styleId="20">
    <w:name w:val="index 4"/>
    <w:basedOn w:val="1"/>
    <w:next w:val="1"/>
    <w:qFormat/>
    <w:uiPriority w:val="0"/>
    <w:pPr>
      <w:suppressAutoHyphens/>
      <w:ind w:left="600" w:leftChars="600"/>
      <w:jc w:val="left"/>
    </w:pPr>
    <w:rPr>
      <w:kern w:val="1"/>
      <w:sz w:val="24"/>
      <w:lang w:eastAsia="ar-SA"/>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420"/>
      <w:jc w:val="left"/>
    </w:pPr>
    <w:rPr>
      <w:i/>
      <w:iCs/>
    </w:rPr>
  </w:style>
  <w:style w:type="paragraph" w:styleId="23">
    <w:name w:val="Plain Text"/>
    <w:basedOn w:val="1"/>
    <w:next w:val="24"/>
    <w:qFormat/>
    <w:uiPriority w:val="99"/>
    <w:rPr>
      <w:rFonts w:ascii="宋体" w:hAnsi="Courier New"/>
      <w:szCs w:val="20"/>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5">
    <w:name w:val="toc 8"/>
    <w:basedOn w:val="1"/>
    <w:next w:val="1"/>
    <w:qFormat/>
    <w:uiPriority w:val="0"/>
    <w:pPr>
      <w:ind w:left="2940" w:leftChars="1400"/>
    </w:pPr>
  </w:style>
  <w:style w:type="paragraph" w:styleId="26">
    <w:name w:val="index 3"/>
    <w:basedOn w:val="1"/>
    <w:next w:val="1"/>
    <w:qFormat/>
    <w:uiPriority w:val="0"/>
    <w:pPr>
      <w:suppressAutoHyphens/>
      <w:ind w:left="400" w:leftChars="400"/>
      <w:jc w:val="left"/>
    </w:pPr>
    <w:rPr>
      <w:kern w:val="1"/>
      <w:sz w:val="28"/>
      <w:lang w:eastAsia="ar-SA"/>
    </w:rPr>
  </w:style>
  <w:style w:type="paragraph" w:styleId="27">
    <w:name w:val="Date"/>
    <w:basedOn w:val="1"/>
    <w:next w:val="1"/>
    <w:qFormat/>
    <w:uiPriority w:val="0"/>
    <w:rPr>
      <w:rFonts w:ascii="宋体" w:hAnsi="Courier New"/>
      <w:sz w:val="32"/>
      <w:szCs w:val="20"/>
    </w:rPr>
  </w:style>
  <w:style w:type="paragraph" w:styleId="28">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9">
    <w:name w:val="Balloon Text"/>
    <w:basedOn w:val="1"/>
    <w:semiHidden/>
    <w:qFormat/>
    <w:uiPriority w:val="0"/>
    <w:rPr>
      <w:sz w:val="18"/>
      <w:szCs w:val="18"/>
    </w:rPr>
  </w:style>
  <w:style w:type="paragraph" w:styleId="30">
    <w:name w:val="footer"/>
    <w:basedOn w:val="1"/>
    <w:link w:val="156"/>
    <w:qFormat/>
    <w:uiPriority w:val="99"/>
    <w:pPr>
      <w:tabs>
        <w:tab w:val="center" w:pos="4153"/>
        <w:tab w:val="right" w:pos="8306"/>
      </w:tabs>
      <w:snapToGrid w:val="0"/>
      <w:jc w:val="left"/>
    </w:pPr>
    <w:rPr>
      <w:sz w:val="18"/>
      <w:szCs w:val="18"/>
    </w:rPr>
  </w:style>
  <w:style w:type="paragraph" w:styleId="31">
    <w:name w:val="envelope return"/>
    <w:basedOn w:val="1"/>
    <w:qFormat/>
    <w:uiPriority w:val="99"/>
    <w:rPr>
      <w:rFonts w:ascii="Arial" w:hAnsi="Arial"/>
    </w:rPr>
  </w:style>
  <w:style w:type="paragraph" w:styleId="3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b/>
      <w:bCs/>
      <w:caps/>
    </w:rPr>
  </w:style>
  <w:style w:type="paragraph" w:styleId="34">
    <w:name w:val="toc 4"/>
    <w:basedOn w:val="1"/>
    <w:next w:val="1"/>
    <w:qFormat/>
    <w:uiPriority w:val="39"/>
    <w:pPr>
      <w:ind w:left="1260" w:leftChars="600"/>
    </w:pPr>
  </w:style>
  <w:style w:type="paragraph" w:styleId="35">
    <w:name w:val="Subtitle"/>
    <w:basedOn w:val="1"/>
    <w:next w:val="1"/>
    <w:link w:val="138"/>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36">
    <w:name w:val="List"/>
    <w:basedOn w:val="2"/>
    <w:qFormat/>
    <w:uiPriority w:val="0"/>
    <w:pPr>
      <w:suppressAutoHyphens/>
      <w:spacing w:after="120" w:line="240" w:lineRule="auto"/>
      <w:jc w:val="left"/>
    </w:pPr>
    <w:rPr>
      <w:rFonts w:eastAsia="Andale Sans UI" w:cs="Tahoma"/>
      <w:b w:val="0"/>
      <w:bCs w:val="0"/>
      <w:kern w:val="1"/>
      <w:lang w:eastAsia="ar-SA"/>
    </w:rPr>
  </w:style>
  <w:style w:type="paragraph" w:styleId="37">
    <w:name w:val="toc 6"/>
    <w:basedOn w:val="1"/>
    <w:next w:val="1"/>
    <w:qFormat/>
    <w:uiPriority w:val="0"/>
    <w:pPr>
      <w:ind w:left="2100" w:leftChars="1000"/>
    </w:pPr>
  </w:style>
  <w:style w:type="paragraph" w:styleId="38">
    <w:name w:val="Body Text Indent 3"/>
    <w:basedOn w:val="1"/>
    <w:qFormat/>
    <w:uiPriority w:val="0"/>
    <w:pPr>
      <w:spacing w:line="360" w:lineRule="auto"/>
      <w:ind w:firstLine="482" w:firstLineChars="200"/>
    </w:pPr>
    <w:rPr>
      <w:rFonts w:ascii="宋体"/>
      <w:b/>
      <w:bCs/>
      <w:sz w:val="24"/>
    </w:rPr>
  </w:style>
  <w:style w:type="paragraph" w:styleId="39">
    <w:name w:val="toc 2"/>
    <w:basedOn w:val="1"/>
    <w:next w:val="1"/>
    <w:qFormat/>
    <w:uiPriority w:val="39"/>
    <w:pPr>
      <w:tabs>
        <w:tab w:val="right" w:leader="dot" w:pos="8296"/>
      </w:tabs>
      <w:ind w:left="210"/>
      <w:jc w:val="left"/>
    </w:pPr>
    <w:rPr>
      <w:smallCaps/>
    </w:rPr>
  </w:style>
  <w:style w:type="paragraph" w:styleId="40">
    <w:name w:val="toc 9"/>
    <w:basedOn w:val="1"/>
    <w:next w:val="1"/>
    <w:qFormat/>
    <w:uiPriority w:val="0"/>
    <w:pPr>
      <w:ind w:left="3360" w:leftChars="1600"/>
    </w:p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42">
    <w:name w:val="Normal (Web)"/>
    <w:basedOn w:val="1"/>
    <w:link w:val="152"/>
    <w:qFormat/>
    <w:uiPriority w:val="99"/>
    <w:rPr>
      <w:sz w:val="24"/>
    </w:rPr>
  </w:style>
  <w:style w:type="paragraph" w:styleId="43">
    <w:name w:val="index 1"/>
    <w:basedOn w:val="44"/>
    <w:next w:val="1"/>
    <w:qFormat/>
    <w:uiPriority w:val="0"/>
    <w:rPr>
      <w:rFonts w:eastAsia="宋体"/>
      <w:sz w:val="44"/>
    </w:rPr>
  </w:style>
  <w:style w:type="paragraph" w:customStyle="1" w:styleId="44">
    <w:name w:val="目录"/>
    <w:basedOn w:val="1"/>
    <w:qFormat/>
    <w:uiPriority w:val="0"/>
    <w:pPr>
      <w:suppressLineNumbers/>
      <w:suppressAutoHyphens/>
      <w:jc w:val="left"/>
    </w:pPr>
    <w:rPr>
      <w:rFonts w:eastAsia="Andale Sans UI" w:cs="Tahoma"/>
      <w:kern w:val="1"/>
      <w:sz w:val="24"/>
      <w:lang w:eastAsia="ar-SA"/>
    </w:rPr>
  </w:style>
  <w:style w:type="paragraph" w:styleId="45">
    <w:name w:val="index 2"/>
    <w:basedOn w:val="44"/>
    <w:next w:val="1"/>
    <w:qFormat/>
    <w:uiPriority w:val="0"/>
    <w:pPr>
      <w:ind w:left="283"/>
    </w:pPr>
    <w:rPr>
      <w:rFonts w:eastAsia="宋体"/>
      <w:sz w:val="32"/>
    </w:rPr>
  </w:style>
  <w:style w:type="paragraph" w:styleId="46">
    <w:name w:val="Title"/>
    <w:basedOn w:val="1"/>
    <w:next w:val="1"/>
    <w:qFormat/>
    <w:uiPriority w:val="0"/>
    <w:pPr>
      <w:spacing w:before="240" w:after="60"/>
      <w:jc w:val="center"/>
      <w:outlineLvl w:val="0"/>
    </w:pPr>
    <w:rPr>
      <w:rFonts w:ascii="Arial" w:hAnsi="Arial" w:eastAsia="隶书" w:cs="Arial"/>
      <w:b/>
      <w:bCs/>
      <w:sz w:val="32"/>
      <w:szCs w:val="32"/>
    </w:rPr>
  </w:style>
  <w:style w:type="paragraph" w:styleId="47">
    <w:name w:val="Body Text First Indent"/>
    <w:basedOn w:val="2"/>
    <w:next w:val="48"/>
    <w:qFormat/>
    <w:uiPriority w:val="0"/>
    <w:pPr>
      <w:adjustRightInd/>
      <w:spacing w:after="120"/>
      <w:ind w:firstLine="420" w:firstLineChars="100"/>
      <w:jc w:val="both"/>
    </w:pPr>
    <w:rPr>
      <w:rFonts w:ascii="Tahoma"/>
      <w:sz w:val="21"/>
      <w:szCs w:val="24"/>
    </w:rPr>
  </w:style>
  <w:style w:type="paragraph" w:customStyle="1" w:styleId="48">
    <w:name w:val="样式 正文首行缩进 + 首行缩进:  1 字符"/>
    <w:basedOn w:val="1"/>
    <w:next w:val="1"/>
    <w:qFormat/>
    <w:uiPriority w:val="0"/>
    <w:pPr>
      <w:adjustRightInd w:val="0"/>
      <w:snapToGrid w:val="0"/>
      <w:spacing w:line="360" w:lineRule="auto"/>
      <w:ind w:firstLine="200" w:firstLineChars="200"/>
    </w:pPr>
    <w:rPr>
      <w:rFonts w:cs="宋体"/>
      <w:sz w:val="24"/>
      <w:szCs w:val="20"/>
    </w:rPr>
  </w:style>
  <w:style w:type="paragraph" w:styleId="49">
    <w:name w:val="Body Text First Indent 2"/>
    <w:basedOn w:val="19"/>
    <w:link w:val="135"/>
    <w:qFormat/>
    <w:uiPriority w:val="0"/>
    <w:pPr>
      <w:spacing w:after="120" w:line="240" w:lineRule="auto"/>
      <w:ind w:left="420" w:leftChars="200"/>
    </w:p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page number"/>
    <w:qFormat/>
    <w:uiPriority w:val="0"/>
  </w:style>
  <w:style w:type="character" w:styleId="55">
    <w:name w:val="FollowedHyperlink"/>
    <w:qFormat/>
    <w:uiPriority w:val="0"/>
    <w:rPr>
      <w:color w:val="4A4A4A"/>
      <w:u w:val="none"/>
    </w:rPr>
  </w:style>
  <w:style w:type="character" w:styleId="56">
    <w:name w:val="Emphasis"/>
    <w:qFormat/>
    <w:uiPriority w:val="0"/>
  </w:style>
  <w:style w:type="character" w:styleId="57">
    <w:name w:val="HTML Definition"/>
    <w:qFormat/>
    <w:uiPriority w:val="0"/>
  </w:style>
  <w:style w:type="character" w:styleId="58">
    <w:name w:val="HTML Typewriter"/>
    <w:qFormat/>
    <w:uiPriority w:val="0"/>
    <w:rPr>
      <w:rFonts w:ascii="宋体" w:hAnsi="宋体" w:eastAsia="宋体" w:cs="宋体"/>
      <w:sz w:val="24"/>
      <w:szCs w:val="24"/>
    </w:rPr>
  </w:style>
  <w:style w:type="character" w:styleId="59">
    <w:name w:val="HTML Acronym"/>
    <w:qFormat/>
    <w:uiPriority w:val="0"/>
  </w:style>
  <w:style w:type="character" w:styleId="60">
    <w:name w:val="HTML Variable"/>
    <w:qFormat/>
    <w:uiPriority w:val="0"/>
  </w:style>
  <w:style w:type="character" w:styleId="61">
    <w:name w:val="Hyperlink"/>
    <w:qFormat/>
    <w:uiPriority w:val="99"/>
    <w:rPr>
      <w:color w:val="4A4A4A"/>
      <w:u w:val="none"/>
    </w:rPr>
  </w:style>
  <w:style w:type="character" w:styleId="62">
    <w:name w:val="HTML Code"/>
    <w:qFormat/>
    <w:uiPriority w:val="0"/>
    <w:rPr>
      <w:rFonts w:ascii="Courier New" w:hAnsi="Courier New"/>
      <w:sz w:val="20"/>
    </w:rPr>
  </w:style>
  <w:style w:type="character" w:styleId="63">
    <w:name w:val="HTML Cite"/>
    <w:qFormat/>
    <w:uiPriority w:val="0"/>
  </w:style>
  <w:style w:type="paragraph" w:customStyle="1" w:styleId="64">
    <w:name w:val="_Style 5"/>
    <w:basedOn w:val="1"/>
    <w:qFormat/>
    <w:uiPriority w:val="0"/>
    <w:pPr>
      <w:ind w:firstLine="200" w:firstLineChars="200"/>
    </w:pPr>
    <w:rPr>
      <w:sz w:val="24"/>
      <w:szCs w:val="22"/>
    </w:rPr>
  </w:style>
  <w:style w:type="paragraph" w:customStyle="1" w:styleId="65">
    <w:name w:val="项目符号 1"/>
    <w:basedOn w:val="36"/>
    <w:qFormat/>
    <w:uiPriority w:val="0"/>
    <w:pPr>
      <w:ind w:left="360" w:hanging="360"/>
    </w:pPr>
  </w:style>
  <w:style w:type="paragraph" w:customStyle="1" w:styleId="66">
    <w:name w:val="Normal_8e16b1ee-761a-43a8-88d0-0b70e4365a11"/>
    <w:next w:val="4"/>
    <w:qFormat/>
    <w:uiPriority w:val="0"/>
    <w:rPr>
      <w:rFonts w:ascii="Calibri" w:hAnsi="Calibri" w:eastAsia="宋体" w:cs="宋体"/>
      <w:sz w:val="21"/>
      <w:lang w:val="en-US" w:eastAsia="zh-CN" w:bidi="ar-SA"/>
    </w:rPr>
  </w:style>
  <w:style w:type="paragraph" w:styleId="67">
    <w:name w:val="No Spacing"/>
    <w:qFormat/>
    <w:uiPriority w:val="1"/>
    <w:rPr>
      <w:rFonts w:ascii="Calibri" w:hAnsi="Calibri" w:eastAsia="Times New Roman" w:cs="Times New Roman"/>
      <w:kern w:val="2"/>
      <w:sz w:val="22"/>
      <w:szCs w:val="22"/>
      <w:lang w:val="en-US" w:eastAsia="zh-CN" w:bidi="ar-SA"/>
    </w:rPr>
  </w:style>
  <w:style w:type="paragraph" w:customStyle="1" w:styleId="68">
    <w:name w:val="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样式2"/>
    <w:basedOn w:val="46"/>
    <w:next w:val="71"/>
    <w:qFormat/>
    <w:uiPriority w:val="0"/>
    <w:pPr>
      <w:spacing w:before="120" w:after="120"/>
    </w:pPr>
    <w:rPr>
      <w:rFonts w:eastAsia="黑体"/>
      <w:b w:val="0"/>
      <w:sz w:val="30"/>
      <w:szCs w:val="30"/>
    </w:rPr>
  </w:style>
  <w:style w:type="paragraph" w:customStyle="1" w:styleId="71">
    <w:name w:val="样式1"/>
    <w:basedOn w:val="46"/>
    <w:qFormat/>
    <w:uiPriority w:val="0"/>
    <w:pPr>
      <w:spacing w:before="120" w:after="120"/>
    </w:pPr>
    <w:rPr>
      <w:rFonts w:eastAsia="黑体"/>
      <w:b w:val="0"/>
      <w:sz w:val="30"/>
      <w:szCs w:val="21"/>
    </w:rPr>
  </w:style>
  <w:style w:type="paragraph" w:customStyle="1" w:styleId="72">
    <w:name w:val="contentlabel"/>
    <w:basedOn w:val="1"/>
    <w:qFormat/>
    <w:uiPriority w:val="0"/>
    <w:pPr>
      <w:widowControl/>
      <w:spacing w:before="32" w:after="100" w:afterAutospacing="1"/>
      <w:ind w:left="96"/>
      <w:jc w:val="left"/>
    </w:pPr>
    <w:rPr>
      <w:rFonts w:ascii="宋体" w:hAnsi="宋体" w:cs="宋体"/>
      <w:color w:val="336666"/>
      <w:kern w:val="0"/>
      <w:sz w:val="19"/>
      <w:szCs w:val="19"/>
    </w:rPr>
  </w:style>
  <w:style w:type="paragraph" w:customStyle="1" w:styleId="73">
    <w:name w:val="Body text|1"/>
    <w:basedOn w:val="1"/>
    <w:link w:val="145"/>
    <w:qFormat/>
    <w:uiPriority w:val="0"/>
    <w:pPr>
      <w:spacing w:line="451" w:lineRule="auto"/>
      <w:ind w:firstLine="400"/>
      <w:jc w:val="left"/>
    </w:pPr>
    <w:rPr>
      <w:rFonts w:ascii="宋体" w:hAnsi="宋体" w:cs="宋体"/>
      <w:color w:val="1B1415"/>
      <w:kern w:val="0"/>
      <w:sz w:val="20"/>
      <w:szCs w:val="20"/>
      <w:lang w:val="zh-TW" w:eastAsia="zh-TW" w:bidi="zh-TW"/>
    </w:rPr>
  </w:style>
  <w:style w:type="paragraph" w:customStyle="1" w:styleId="74">
    <w:name w:val="Normal_afae8a13-e36e-4bae-b75c-480a48c21245"/>
    <w:qFormat/>
    <w:uiPriority w:val="0"/>
    <w:rPr>
      <w:rFonts w:ascii="Times New Roman" w:hAnsi="Times New Roman" w:eastAsia="Times New Roman" w:cs="Times New Roman"/>
      <w:sz w:val="24"/>
      <w:szCs w:val="24"/>
      <w:lang w:val="en-US" w:eastAsia="uk-UA" w:bidi="ar-SA"/>
    </w:rPr>
  </w:style>
  <w:style w:type="paragraph" w:customStyle="1" w:styleId="75">
    <w:name w:val=" 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
    <w:name w:val="Normal_c32a2e0e-d469-4b52-a146-48a245057c82"/>
    <w:next w:val="1"/>
    <w:qFormat/>
    <w:uiPriority w:val="0"/>
    <w:rPr>
      <w:rFonts w:ascii="Times New Roman" w:hAnsi="Times New Roman" w:eastAsia="宋体" w:cs="Times New Roman"/>
      <w:sz w:val="21"/>
      <w:lang w:val="en-US" w:eastAsia="zh-CN" w:bidi="ar-SA"/>
    </w:rPr>
  </w:style>
  <w:style w:type="paragraph" w:customStyle="1" w:styleId="77">
    <w:name w:val="标书正文格式"/>
    <w:basedOn w:val="1"/>
    <w:link w:val="157"/>
    <w:qFormat/>
    <w:uiPriority w:val="0"/>
    <w:rPr>
      <w:kern w:val="0"/>
      <w:sz w:val="24"/>
    </w:rPr>
  </w:style>
  <w:style w:type="paragraph" w:customStyle="1" w:styleId="78">
    <w:name w:val="正文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9">
    <w:name w:val="Quote"/>
    <w:next w:val="1"/>
    <w:qFormat/>
    <w:uiPriority w:val="99"/>
    <w:pPr>
      <w:widowControl w:val="0"/>
      <w:jc w:val="both"/>
    </w:pPr>
    <w:rPr>
      <w:rFonts w:ascii="Calibri" w:hAnsi="Calibri" w:eastAsia="宋体" w:cs="Calibri"/>
      <w:i/>
      <w:iCs/>
      <w:color w:val="000000"/>
      <w:kern w:val="2"/>
      <w:sz w:val="22"/>
      <w:szCs w:val="22"/>
      <w:lang w:val="en-US" w:eastAsia="zh-CN" w:bidi="ar-SA"/>
    </w:rPr>
  </w:style>
  <w:style w:type="paragraph" w:customStyle="1" w:styleId="80">
    <w:name w:val="表1"/>
    <w:basedOn w:val="1"/>
    <w:qFormat/>
    <w:uiPriority w:val="0"/>
    <w:pPr>
      <w:tabs>
        <w:tab w:val="left" w:pos="1869"/>
      </w:tabs>
      <w:autoSpaceDE w:val="0"/>
      <w:autoSpaceDN w:val="0"/>
      <w:adjustRightInd w:val="0"/>
    </w:pPr>
    <w:rPr>
      <w:rFonts w:ascii="宋体"/>
      <w:sz w:val="24"/>
    </w:rPr>
  </w:style>
  <w:style w:type="paragraph" w:customStyle="1" w:styleId="81">
    <w:name w:val="列出段落2"/>
    <w:basedOn w:val="1"/>
    <w:qFormat/>
    <w:uiPriority w:val="34"/>
    <w:pPr>
      <w:spacing w:after="200"/>
      <w:ind w:firstLine="420" w:firstLineChars="200"/>
      <w:jc w:val="left"/>
    </w:pPr>
    <w:rPr>
      <w:rFonts w:eastAsia="微软雅黑"/>
      <w:sz w:val="24"/>
      <w:szCs w:val="22"/>
    </w:rPr>
  </w:style>
  <w:style w:type="paragraph" w:customStyle="1" w:styleId="8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styleId="83">
    <w:name w:val="List Paragraph"/>
    <w:basedOn w:val="1"/>
    <w:link w:val="124"/>
    <w:qFormat/>
    <w:uiPriority w:val="0"/>
    <w:pPr>
      <w:ind w:firstLine="420" w:firstLineChars="200"/>
    </w:pPr>
  </w:style>
  <w:style w:type="paragraph" w:customStyle="1" w:styleId="84">
    <w:name w:val=" Char2"/>
    <w:basedOn w:val="1"/>
    <w:qFormat/>
    <w:uiPriority w:val="0"/>
    <w:pPr>
      <w:widowControl/>
      <w:spacing w:after="160" w:line="360" w:lineRule="exact"/>
      <w:jc w:val="left"/>
    </w:pPr>
    <w:rPr>
      <w:rFonts w:ascii="宋体" w:hAnsi="宋体"/>
      <w:b/>
      <w:kern w:val="0"/>
      <w:sz w:val="24"/>
      <w:szCs w:val="20"/>
      <w:lang w:eastAsia="en-US"/>
    </w:rPr>
  </w:style>
  <w:style w:type="paragraph" w:customStyle="1" w:styleId="85">
    <w:name w:val="Other|1"/>
    <w:basedOn w:val="1"/>
    <w:link w:val="153"/>
    <w:qFormat/>
    <w:uiPriority w:val="0"/>
    <w:pPr>
      <w:spacing w:line="451" w:lineRule="auto"/>
      <w:ind w:firstLine="400"/>
      <w:jc w:val="left"/>
    </w:pPr>
    <w:rPr>
      <w:rFonts w:ascii="宋体" w:hAnsi="宋体"/>
      <w:color w:val="1B1415"/>
      <w:kern w:val="0"/>
      <w:sz w:val="20"/>
      <w:szCs w:val="20"/>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正文"/>
    <w:basedOn w:val="1"/>
    <w:link w:val="144"/>
    <w:qFormat/>
    <w:uiPriority w:val="0"/>
    <w:pPr>
      <w:widowControl/>
      <w:spacing w:line="360" w:lineRule="auto"/>
      <w:ind w:firstLine="200" w:firstLineChars="200"/>
      <w:jc w:val="left"/>
    </w:pPr>
    <w:rPr>
      <w:rFonts w:ascii="仿宋_GB2312"/>
      <w:kern w:val="0"/>
      <w:sz w:val="24"/>
      <w:szCs w:val="28"/>
    </w:rPr>
  </w:style>
  <w:style w:type="paragraph" w:customStyle="1" w:styleId="88">
    <w:name w:val="内容目录 10"/>
    <w:basedOn w:val="44"/>
    <w:qFormat/>
    <w:uiPriority w:val="0"/>
    <w:pPr>
      <w:tabs>
        <w:tab w:val="right" w:leader="dot" w:pos="-25335"/>
      </w:tabs>
      <w:ind w:left="2547"/>
    </w:pPr>
  </w:style>
  <w:style w:type="paragraph" w:customStyle="1" w:styleId="89">
    <w:name w:val="List Paragraph1_a64a0012-bd9b-4c4b-9159-6cef879f2673"/>
    <w:basedOn w:val="1"/>
    <w:qFormat/>
    <w:uiPriority w:val="0"/>
    <w:pPr>
      <w:ind w:firstLine="420" w:firstLineChars="200"/>
    </w:pPr>
    <w:rPr>
      <w:rFonts w:ascii="Calibri" w:hAnsi="Calibri"/>
    </w:rPr>
  </w:style>
  <w:style w:type="paragraph" w:customStyle="1" w:styleId="90">
    <w:name w:val="正文缩进1"/>
    <w:basedOn w:val="1"/>
    <w:qFormat/>
    <w:uiPriority w:val="0"/>
    <w:pPr>
      <w:ind w:firstLine="420" w:firstLineChars="200"/>
    </w:pPr>
    <w:rPr>
      <w:rFonts w:ascii="Calibri" w:hAnsi="Calibri"/>
    </w:rPr>
  </w:style>
  <w:style w:type="paragraph" w:customStyle="1" w:styleId="91">
    <w:name w:val="p1"/>
    <w:basedOn w:val="1"/>
    <w:qFormat/>
    <w:uiPriority w:val="99"/>
    <w:pPr>
      <w:widowControl/>
      <w:jc w:val="left"/>
    </w:pPr>
    <w:rPr>
      <w:rFonts w:ascii="Helvetica" w:hAnsi="Helvetica" w:cs="Helvetica"/>
      <w:kern w:val="0"/>
      <w:sz w:val="16"/>
      <w:szCs w:val="16"/>
    </w:rPr>
  </w:style>
  <w:style w:type="paragraph" w:customStyle="1" w:styleId="92">
    <w:name w:val="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3">
    <w:name w:val="样式3"/>
    <w:basedOn w:val="5"/>
    <w:qFormat/>
    <w:uiPriority w:val="0"/>
    <w:pPr>
      <w:keepLines w:val="0"/>
      <w:numPr>
        <w:ilvl w:val="1"/>
        <w:numId w:val="1"/>
      </w:numPr>
      <w:tabs>
        <w:tab w:val="left" w:pos="576"/>
      </w:tabs>
      <w:suppressAutoHyphens/>
      <w:adjustRightInd/>
      <w:spacing w:before="240" w:after="120"/>
      <w:jc w:val="left"/>
      <w:textAlignment w:val="auto"/>
    </w:pPr>
    <w:rPr>
      <w:rFonts w:cs="Tahoma"/>
      <w:iCs/>
      <w:kern w:val="1"/>
      <w:sz w:val="28"/>
      <w:szCs w:val="28"/>
      <w:lang w:eastAsia="ar-SA"/>
    </w:rPr>
  </w:style>
  <w:style w:type="paragraph" w:customStyle="1" w:styleId="94">
    <w:name w:val="对象目录标题"/>
    <w:basedOn w:val="95"/>
    <w:qFormat/>
    <w:uiPriority w:val="0"/>
    <w:pPr>
      <w:suppressLineNumbers/>
    </w:pPr>
    <w:rPr>
      <w:b/>
      <w:bCs/>
      <w:sz w:val="32"/>
      <w:szCs w:val="32"/>
    </w:rPr>
  </w:style>
  <w:style w:type="paragraph" w:customStyle="1" w:styleId="95">
    <w:name w:val="标题1"/>
    <w:basedOn w:val="1"/>
    <w:next w:val="2"/>
    <w:qFormat/>
    <w:uiPriority w:val="0"/>
    <w:pPr>
      <w:keepNext/>
      <w:suppressAutoHyphens/>
      <w:spacing w:before="240" w:after="120"/>
      <w:jc w:val="left"/>
    </w:pPr>
    <w:rPr>
      <w:rFonts w:ascii="Arial" w:hAnsi="Arial" w:eastAsia="Andale Sans UI" w:cs="Tahoma"/>
      <w:kern w:val="1"/>
      <w:sz w:val="28"/>
      <w:szCs w:val="28"/>
      <w:lang w:eastAsia="ar-SA"/>
    </w:rPr>
  </w:style>
  <w:style w:type="paragraph" w:customStyle="1" w:styleId="96">
    <w:name w:val="标签"/>
    <w:basedOn w:val="1"/>
    <w:qFormat/>
    <w:uiPriority w:val="0"/>
    <w:pPr>
      <w:suppressLineNumbers/>
      <w:suppressAutoHyphens/>
      <w:spacing w:before="120" w:after="120"/>
      <w:jc w:val="left"/>
    </w:pPr>
    <w:rPr>
      <w:rFonts w:eastAsia="Andale Sans UI" w:cs="Tahoma"/>
      <w:i/>
      <w:iCs/>
      <w:kern w:val="1"/>
      <w:sz w:val="24"/>
      <w:lang w:eastAsia="ar-SA"/>
    </w:rPr>
  </w:style>
  <w:style w:type="paragraph" w:customStyle="1" w:styleId="97">
    <w:name w:val="1册标题2"/>
    <w:basedOn w:val="1"/>
    <w:next w:val="1"/>
    <w:qFormat/>
    <w:uiPriority w:val="0"/>
    <w:pPr>
      <w:adjustRightInd w:val="0"/>
      <w:spacing w:before="50" w:beforeLines="50" w:after="50" w:afterLines="50" w:line="300" w:lineRule="auto"/>
      <w:jc w:val="center"/>
      <w:textAlignment w:val="baseline"/>
      <w:outlineLvl w:val="1"/>
    </w:pPr>
    <w:rPr>
      <w:rFonts w:ascii="Arial" w:hAnsi="Arial" w:eastAsia="黑体"/>
      <w:bCs/>
      <w:kern w:val="0"/>
      <w:sz w:val="32"/>
    </w:rPr>
  </w:style>
  <w:style w:type="paragraph" w:customStyle="1" w:styleId="98">
    <w:name w:val="Normal_117c53fd-ebf7-4c68-b3cf-449a66e01bf8"/>
    <w:qFormat/>
    <w:uiPriority w:val="0"/>
    <w:rPr>
      <w:rFonts w:ascii="Times New Roman" w:hAnsi="Times New Roman" w:eastAsia="宋体" w:cs="Times New Roman"/>
      <w:sz w:val="21"/>
      <w:lang w:val="en-US" w:eastAsia="zh-CN" w:bidi="ar-SA"/>
    </w:rPr>
  </w:style>
  <w:style w:type="paragraph" w:customStyle="1" w:styleId="99">
    <w:name w:val="内容目录标题"/>
    <w:basedOn w:val="95"/>
    <w:qFormat/>
    <w:uiPriority w:val="0"/>
    <w:pPr>
      <w:suppressLineNumbers/>
    </w:pPr>
    <w:rPr>
      <w:b/>
      <w:bCs/>
      <w:sz w:val="32"/>
      <w:szCs w:val="32"/>
    </w:rPr>
  </w:style>
  <w:style w:type="paragraph" w:customStyle="1" w:styleId="100">
    <w:name w:val="_标题1"/>
    <w:basedOn w:val="4"/>
    <w:next w:val="1"/>
    <w:qFormat/>
    <w:uiPriority w:val="0"/>
    <w:pPr>
      <w:pageBreakBefore/>
      <w:tabs>
        <w:tab w:val="left" w:pos="240"/>
      </w:tabs>
      <w:spacing w:before="340" w:after="330" w:line="578" w:lineRule="auto"/>
      <w:ind w:left="453" w:hanging="567"/>
    </w:pPr>
    <w:rPr>
      <w:rFonts w:ascii="Arial" w:hAnsi="Arial" w:eastAsia="黑体"/>
      <w:b/>
      <w:color w:val="auto"/>
      <w:kern w:val="44"/>
      <w:sz w:val="44"/>
      <w:szCs w:val="44"/>
    </w:rPr>
  </w:style>
  <w:style w:type="paragraph" w:customStyle="1" w:styleId="101">
    <w:name w:val="Char"/>
    <w:basedOn w:val="1"/>
    <w:qFormat/>
    <w:uiPriority w:val="0"/>
    <w:pPr>
      <w:spacing w:line="360" w:lineRule="auto"/>
    </w:pPr>
    <w:rPr>
      <w:rFonts w:ascii="Tahoma" w:hAnsi="Tahoma"/>
      <w:szCs w:val="20"/>
    </w:rPr>
  </w:style>
  <w:style w:type="paragraph" w:customStyle="1" w:styleId="102">
    <w:name w:val="样式4"/>
    <w:basedOn w:val="5"/>
    <w:qFormat/>
    <w:uiPriority w:val="0"/>
    <w:pPr>
      <w:keepLines w:val="0"/>
      <w:numPr>
        <w:ilvl w:val="1"/>
        <w:numId w:val="1"/>
      </w:numPr>
      <w:tabs>
        <w:tab w:val="left" w:pos="576"/>
      </w:tabs>
      <w:suppressAutoHyphens/>
      <w:adjustRightInd/>
      <w:spacing w:before="240" w:after="120"/>
      <w:jc w:val="left"/>
      <w:textAlignment w:val="auto"/>
    </w:pPr>
    <w:rPr>
      <w:rFonts w:cs="Tahoma"/>
      <w:i/>
      <w:iCs/>
      <w:kern w:val="1"/>
      <w:sz w:val="28"/>
      <w:szCs w:val="28"/>
      <w:lang w:eastAsia="ar-SA"/>
    </w:rPr>
  </w:style>
  <w:style w:type="paragraph" w:customStyle="1" w:styleId="103">
    <w:name w:val="标书正文1"/>
    <w:basedOn w:val="1"/>
    <w:qFormat/>
    <w:uiPriority w:val="0"/>
    <w:pPr>
      <w:spacing w:line="520" w:lineRule="exact"/>
      <w:ind w:firstLine="640" w:firstLineChars="200"/>
    </w:pPr>
  </w:style>
  <w:style w:type="paragraph" w:customStyle="1" w:styleId="104">
    <w:name w:val="用户目录 1"/>
    <w:basedOn w:val="44"/>
    <w:qFormat/>
    <w:uiPriority w:val="0"/>
    <w:pPr>
      <w:tabs>
        <w:tab w:val="right" w:leader="dot" w:pos="9637"/>
      </w:tabs>
    </w:pPr>
  </w:style>
  <w:style w:type="paragraph" w:customStyle="1" w:styleId="105">
    <w:name w:val="Table Paragraph"/>
    <w:basedOn w:val="1"/>
    <w:qFormat/>
    <w:uiPriority w:val="0"/>
    <w:pPr>
      <w:autoSpaceDE w:val="0"/>
      <w:autoSpaceDN w:val="0"/>
      <w:jc w:val="left"/>
    </w:pPr>
    <w:rPr>
      <w:rFonts w:ascii="宋体" w:hAnsi="宋体" w:cs="宋体"/>
      <w:kern w:val="0"/>
      <w:sz w:val="22"/>
      <w:szCs w:val="22"/>
    </w:rPr>
  </w:style>
  <w:style w:type="paragraph" w:customStyle="1" w:styleId="106">
    <w:name w:val="表格内容"/>
    <w:basedOn w:val="1"/>
    <w:qFormat/>
    <w:uiPriority w:val="0"/>
    <w:pPr>
      <w:suppressLineNumbers/>
      <w:suppressAutoHyphens/>
      <w:jc w:val="left"/>
    </w:pPr>
    <w:rPr>
      <w:rFonts w:eastAsia="Andale Sans UI"/>
      <w:kern w:val="1"/>
      <w:sz w:val="24"/>
      <w:lang w:eastAsia="ar-SA"/>
    </w:rPr>
  </w:style>
  <w:style w:type="paragraph" w:customStyle="1" w:styleId="107">
    <w:name w:val="表格标题"/>
    <w:basedOn w:val="106"/>
    <w:qFormat/>
    <w:uiPriority w:val="0"/>
    <w:pPr>
      <w:jc w:val="center"/>
    </w:pPr>
    <w:rPr>
      <w:b/>
      <w:bCs/>
    </w:rPr>
  </w:style>
  <w:style w:type="paragraph" w:customStyle="1" w:styleId="108">
    <w:name w:val="编号 2 继续"/>
    <w:basedOn w:val="36"/>
    <w:qFormat/>
    <w:uiPriority w:val="0"/>
    <w:pPr>
      <w:ind w:left="720"/>
    </w:pPr>
  </w:style>
  <w:style w:type="paragraph" w:customStyle="1" w:styleId="109">
    <w:name w:val="正文（缩进）"/>
    <w:basedOn w:val="1"/>
    <w:qFormat/>
    <w:uiPriority w:val="0"/>
    <w:pPr>
      <w:spacing w:before="156" w:beforeLines="50" w:after="156" w:afterLines="50"/>
      <w:ind w:left="525" w:leftChars="250"/>
    </w:pPr>
    <w:rPr>
      <w:rFonts w:ascii="Times New Roman" w:hAnsi="Times New Roman" w:eastAsia="仿宋"/>
    </w:rPr>
  </w:style>
  <w:style w:type="paragraph" w:customStyle="1" w:styleId="110">
    <w:name w:val="p0"/>
    <w:basedOn w:val="1"/>
    <w:qFormat/>
    <w:uiPriority w:val="0"/>
    <w:pPr>
      <w:widowControl/>
    </w:pPr>
    <w:rPr>
      <w:kern w:val="0"/>
      <w:szCs w:val="21"/>
    </w:rPr>
  </w:style>
  <w:style w:type="paragraph" w:customStyle="1" w:styleId="111">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12">
    <w:name w:val="框内容"/>
    <w:basedOn w:val="2"/>
    <w:qFormat/>
    <w:uiPriority w:val="0"/>
    <w:pPr>
      <w:suppressAutoHyphens/>
      <w:spacing w:after="120" w:line="240" w:lineRule="auto"/>
      <w:jc w:val="left"/>
    </w:pPr>
    <w:rPr>
      <w:rFonts w:eastAsia="Andale Sans UI"/>
      <w:b w:val="0"/>
      <w:bCs w:val="0"/>
      <w:kern w:val="1"/>
      <w:lang w:eastAsia="ar-SA"/>
    </w:rPr>
  </w:style>
  <w:style w:type="paragraph" w:customStyle="1" w:styleId="113">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用户目录 2"/>
    <w:basedOn w:val="44"/>
    <w:qFormat/>
    <w:uiPriority w:val="0"/>
    <w:pPr>
      <w:tabs>
        <w:tab w:val="right" w:leader="dot" w:pos="13316"/>
      </w:tabs>
      <w:ind w:left="283"/>
    </w:pPr>
  </w:style>
  <w:style w:type="paragraph" w:customStyle="1" w:styleId="115">
    <w:name w:val="列出段落1"/>
    <w:basedOn w:val="1"/>
    <w:qFormat/>
    <w:uiPriority w:val="34"/>
    <w:pPr>
      <w:ind w:firstLine="420" w:firstLineChars="200"/>
    </w:pPr>
    <w:rPr>
      <w:rFonts w:ascii="Times New Roman" w:hAnsi="Times New Roman" w:eastAsia="宋体" w:cs="Times New Roman"/>
      <w:szCs w:val="24"/>
    </w:rPr>
  </w:style>
  <w:style w:type="paragraph" w:customStyle="1" w:styleId="116">
    <w:name w:val="标题 10"/>
    <w:basedOn w:val="95"/>
    <w:next w:val="2"/>
    <w:qFormat/>
    <w:uiPriority w:val="0"/>
    <w:pPr>
      <w:numPr>
        <w:ilvl w:val="8"/>
        <w:numId w:val="1"/>
      </w:numPr>
      <w:tabs>
        <w:tab w:val="left" w:pos="1584"/>
      </w:tabs>
      <w:outlineLvl w:val="8"/>
    </w:pPr>
    <w:rPr>
      <w:b/>
      <w:bCs/>
      <w:sz w:val="21"/>
      <w:szCs w:val="21"/>
    </w:rPr>
  </w:style>
  <w:style w:type="paragraph" w:customStyle="1" w:styleId="117">
    <w:name w:val="Normal_de126e58-3647-47cf-9594-6b7ec33136ee"/>
    <w:next w:val="4"/>
    <w:qFormat/>
    <w:uiPriority w:val="0"/>
    <w:rPr>
      <w:rFonts w:ascii="Calibri" w:hAnsi="Calibri" w:eastAsia="宋体" w:cs="Times New Roman"/>
      <w:sz w:val="21"/>
      <w:lang w:val="en-US" w:eastAsia="zh-CN" w:bidi="ar-SA"/>
    </w:rPr>
  </w:style>
  <w:style w:type="character" w:customStyle="1" w:styleId="118">
    <w:name w:val="默认段落字体1"/>
    <w:qFormat/>
    <w:uiPriority w:val="0"/>
  </w:style>
  <w:style w:type="character" w:customStyle="1" w:styleId="119">
    <w:name w:val="WW-Absatz-Standardschriftart1111"/>
    <w:qFormat/>
    <w:uiPriority w:val="0"/>
  </w:style>
  <w:style w:type="character" w:customStyle="1" w:styleId="120">
    <w:name w:val=" Char Char"/>
    <w:qFormat/>
    <w:uiPriority w:val="0"/>
    <w:rPr>
      <w:rFonts w:eastAsia="Andale Sans UI"/>
      <w:kern w:val="1"/>
      <w:sz w:val="18"/>
      <w:szCs w:val="18"/>
    </w:rPr>
  </w:style>
  <w:style w:type="character" w:customStyle="1" w:styleId="121">
    <w:name w:val="WW-Absatz-Standardschriftart1111111"/>
    <w:qFormat/>
    <w:uiPriority w:val="0"/>
  </w:style>
  <w:style w:type="character" w:customStyle="1" w:styleId="122">
    <w:name w:val="标题 4 字符"/>
    <w:link w:val="7"/>
    <w:qFormat/>
    <w:uiPriority w:val="0"/>
    <w:rPr>
      <w:rFonts w:ascii="Arial" w:hAnsi="Arial" w:eastAsia="黑体"/>
      <w:b/>
      <w:bCs/>
      <w:kern w:val="2"/>
      <w:sz w:val="28"/>
      <w:szCs w:val="28"/>
      <w:lang w:val="en-US" w:eastAsia="zh-CN" w:bidi="ar-SA"/>
    </w:rPr>
  </w:style>
  <w:style w:type="character" w:customStyle="1" w:styleId="123">
    <w:name w:val="WW-Absatz-Standardschriftart"/>
    <w:qFormat/>
    <w:uiPriority w:val="0"/>
  </w:style>
  <w:style w:type="character" w:customStyle="1" w:styleId="124">
    <w:name w:val="列出段落 字符"/>
    <w:link w:val="83"/>
    <w:qFormat/>
    <w:locked/>
    <w:uiPriority w:val="0"/>
    <w:rPr>
      <w:kern w:val="2"/>
      <w:sz w:val="21"/>
      <w:szCs w:val="24"/>
    </w:rPr>
  </w:style>
  <w:style w:type="character" w:customStyle="1" w:styleId="125">
    <w:name w:val="font51"/>
    <w:qFormat/>
    <w:uiPriority w:val="0"/>
    <w:rPr>
      <w:rFonts w:hint="eastAsia" w:ascii="宋体" w:hAnsi="宋体" w:eastAsia="宋体" w:cs="宋体"/>
      <w:color w:val="000000"/>
      <w:sz w:val="24"/>
      <w:szCs w:val="24"/>
      <w:u w:val="none"/>
    </w:rPr>
  </w:style>
  <w:style w:type="character" w:customStyle="1" w:styleId="126">
    <w:name w:val="WW-Absatz-Standardschriftart1"/>
    <w:qFormat/>
    <w:uiPriority w:val="0"/>
  </w:style>
  <w:style w:type="character" w:customStyle="1" w:styleId="127">
    <w:name w:val="WW-Absatz-Standardschriftart111111111"/>
    <w:qFormat/>
    <w:uiPriority w:val="0"/>
  </w:style>
  <w:style w:type="character" w:customStyle="1" w:styleId="128">
    <w:name w:val="Absatz-Standardschriftart"/>
    <w:qFormat/>
    <w:uiPriority w:val="0"/>
  </w:style>
  <w:style w:type="character" w:customStyle="1" w:styleId="129">
    <w:name w:val="font01"/>
    <w:qFormat/>
    <w:uiPriority w:val="0"/>
    <w:rPr>
      <w:rFonts w:ascii="微软雅黑" w:hAnsi="微软雅黑" w:eastAsia="微软雅黑" w:cs="微软雅黑"/>
      <w:color w:val="000000"/>
      <w:sz w:val="22"/>
      <w:szCs w:val="22"/>
      <w:u w:val="none"/>
    </w:rPr>
  </w:style>
  <w:style w:type="character" w:customStyle="1" w:styleId="130">
    <w:name w:val="正文文本缩进 字符"/>
    <w:link w:val="19"/>
    <w:qFormat/>
    <w:uiPriority w:val="0"/>
    <w:rPr>
      <w:kern w:val="2"/>
      <w:sz w:val="21"/>
      <w:szCs w:val="24"/>
    </w:rPr>
  </w:style>
  <w:style w:type="character" w:customStyle="1" w:styleId="131">
    <w:name w:val="WW-Absatz-Standardschriftart11111"/>
    <w:qFormat/>
    <w:uiPriority w:val="0"/>
  </w:style>
  <w:style w:type="character" w:customStyle="1" w:styleId="132">
    <w:name w:val="标题 3 Char"/>
    <w:qFormat/>
    <w:uiPriority w:val="0"/>
    <w:rPr>
      <w:rFonts w:ascii="黑体" w:eastAsia="黑体"/>
      <w:bCs/>
      <w:sz w:val="30"/>
    </w:rPr>
  </w:style>
  <w:style w:type="character" w:customStyle="1" w:styleId="133">
    <w:name w:val="hover26"/>
    <w:qFormat/>
    <w:uiPriority w:val="0"/>
    <w:rPr>
      <w:color w:val="337AB7"/>
    </w:rPr>
  </w:style>
  <w:style w:type="character" w:customStyle="1" w:styleId="134">
    <w:name w:val="标题 2 字符1"/>
    <w:link w:val="5"/>
    <w:qFormat/>
    <w:uiPriority w:val="0"/>
    <w:rPr>
      <w:rFonts w:ascii="宋体" w:hAnsi="宋体"/>
      <w:b/>
      <w:sz w:val="24"/>
    </w:rPr>
  </w:style>
  <w:style w:type="character" w:customStyle="1" w:styleId="135">
    <w:name w:val="正文首行缩进 2 字符"/>
    <w:link w:val="49"/>
    <w:qFormat/>
    <w:uiPriority w:val="0"/>
  </w:style>
  <w:style w:type="character" w:customStyle="1" w:styleId="136">
    <w:name w:val="索引目录 主条目"/>
    <w:qFormat/>
    <w:uiPriority w:val="0"/>
    <w:rPr>
      <w:b/>
      <w:bCs/>
    </w:rPr>
  </w:style>
  <w:style w:type="character" w:customStyle="1" w:styleId="137">
    <w:name w:val="正文缩进 Char Char"/>
    <w:qFormat/>
    <w:uiPriority w:val="0"/>
    <w:rPr>
      <w:rFonts w:eastAsia="宋体"/>
      <w:kern w:val="2"/>
      <w:sz w:val="21"/>
      <w:lang w:val="en-US" w:eastAsia="zh-CN" w:bidi="ar-SA"/>
    </w:rPr>
  </w:style>
  <w:style w:type="character" w:customStyle="1" w:styleId="138">
    <w:name w:val="副标题 字符"/>
    <w:link w:val="35"/>
    <w:qFormat/>
    <w:uiPriority w:val="0"/>
    <w:rPr>
      <w:rFonts w:ascii="Cambria" w:hAnsi="Cambria"/>
      <w:b/>
      <w:bCs/>
      <w:kern w:val="28"/>
      <w:sz w:val="28"/>
      <w:szCs w:val="32"/>
    </w:rPr>
  </w:style>
  <w:style w:type="character" w:customStyle="1" w:styleId="139">
    <w:name w:val="正文缩进 字符"/>
    <w:qFormat/>
    <w:uiPriority w:val="0"/>
    <w:rPr>
      <w:rFonts w:eastAsia="宋体"/>
      <w:kern w:val="2"/>
      <w:sz w:val="21"/>
      <w:szCs w:val="24"/>
      <w:lang w:val="en-US" w:eastAsia="zh-CN" w:bidi="ar-SA"/>
    </w:rPr>
  </w:style>
  <w:style w:type="character" w:customStyle="1" w:styleId="140">
    <w:name w:val="WW-Absatz-Standardschriftart11111111"/>
    <w:qFormat/>
    <w:uiPriority w:val="0"/>
  </w:style>
  <w:style w:type="character" w:customStyle="1" w:styleId="141">
    <w:name w:val="first-child"/>
    <w:qFormat/>
    <w:uiPriority w:val="0"/>
  </w:style>
  <w:style w:type="character" w:customStyle="1" w:styleId="142">
    <w:name w:val="标题 1 字符"/>
    <w:link w:val="4"/>
    <w:qFormat/>
    <w:uiPriority w:val="0"/>
    <w:rPr>
      <w:b/>
      <w:bCs/>
      <w:color w:val="000000"/>
      <w:kern w:val="2"/>
      <w:sz w:val="28"/>
      <w:szCs w:val="28"/>
    </w:rPr>
  </w:style>
  <w:style w:type="character" w:customStyle="1" w:styleId="143">
    <w:name w:val="标题 2 字符"/>
    <w:qFormat/>
    <w:uiPriority w:val="0"/>
    <w:rPr>
      <w:rFonts w:ascii="宋体" w:hAnsi="宋体"/>
      <w:b/>
      <w:sz w:val="24"/>
    </w:rPr>
  </w:style>
  <w:style w:type="character" w:customStyle="1" w:styleId="144">
    <w:name w:val="*正文 Char"/>
    <w:link w:val="87"/>
    <w:qFormat/>
    <w:uiPriority w:val="0"/>
    <w:rPr>
      <w:rFonts w:ascii="仿宋_GB2312"/>
      <w:sz w:val="24"/>
      <w:szCs w:val="28"/>
    </w:rPr>
  </w:style>
  <w:style w:type="character" w:customStyle="1" w:styleId="145">
    <w:name w:val="Body text|1_"/>
    <w:link w:val="73"/>
    <w:qFormat/>
    <w:uiPriority w:val="0"/>
    <w:rPr>
      <w:rFonts w:ascii="宋体" w:hAnsi="宋体" w:eastAsia="宋体" w:cs="宋体"/>
      <w:color w:val="1B1415"/>
      <w:lang w:val="zh-TW" w:eastAsia="zh-TW" w:bidi="zh-TW"/>
    </w:rPr>
  </w:style>
  <w:style w:type="character" w:customStyle="1" w:styleId="146">
    <w:name w:val="纯文本 Char"/>
    <w:qFormat/>
    <w:uiPriority w:val="99"/>
    <w:rPr>
      <w:rFonts w:ascii="宋体" w:hAnsi="Courier New" w:eastAsia="宋体" w:cs="Courier New"/>
      <w:kern w:val="2"/>
      <w:sz w:val="21"/>
      <w:szCs w:val="21"/>
      <w:lang w:val="en-US" w:eastAsia="zh-CN" w:bidi="ar-SA"/>
    </w:rPr>
  </w:style>
  <w:style w:type="character" w:customStyle="1" w:styleId="147">
    <w:name w:val="hover25"/>
    <w:qFormat/>
    <w:uiPriority w:val="0"/>
    <w:rPr>
      <w:color w:val="446CB4"/>
      <w:u w:val="none"/>
      <w:bdr w:val="single" w:color="446CB4" w:sz="6" w:space="0"/>
    </w:rPr>
  </w:style>
  <w:style w:type="character" w:customStyle="1" w:styleId="148">
    <w:name w:val="正文文本 字符"/>
    <w:link w:val="2"/>
    <w:qFormat/>
    <w:uiPriority w:val="0"/>
    <w:rPr>
      <w:b/>
      <w:bCs/>
      <w:kern w:val="2"/>
      <w:sz w:val="24"/>
      <w:szCs w:val="24"/>
    </w:rPr>
  </w:style>
  <w:style w:type="character" w:customStyle="1" w:styleId="149">
    <w:name w:val="标题 3 字符"/>
    <w:link w:val="6"/>
    <w:qFormat/>
    <w:uiPriority w:val="0"/>
    <w:rPr>
      <w:rFonts w:ascii="宋体" w:hAnsi="宋体" w:eastAsia="宋体"/>
      <w:b/>
      <w:bCs/>
      <w:kern w:val="2"/>
      <w:sz w:val="28"/>
      <w:szCs w:val="32"/>
      <w:lang w:val="en-US" w:eastAsia="zh-CN" w:bidi="ar-SA"/>
    </w:rPr>
  </w:style>
  <w:style w:type="character" w:customStyle="1" w:styleId="150">
    <w:name w:val="WW-Absatz-Standardschriftart11"/>
    <w:qFormat/>
    <w:uiPriority w:val="0"/>
  </w:style>
  <w:style w:type="character" w:customStyle="1" w:styleId="151">
    <w:name w:val="font41"/>
    <w:qFormat/>
    <w:uiPriority w:val="0"/>
    <w:rPr>
      <w:rFonts w:hint="default" w:ascii="Times New Roman" w:hAnsi="Times New Roman" w:cs="Times New Roman"/>
      <w:color w:val="000000"/>
      <w:sz w:val="24"/>
      <w:szCs w:val="24"/>
      <w:u w:val="none"/>
    </w:rPr>
  </w:style>
  <w:style w:type="character" w:customStyle="1" w:styleId="152">
    <w:name w:val="普通(网站) 字符"/>
    <w:link w:val="42"/>
    <w:qFormat/>
    <w:uiPriority w:val="99"/>
    <w:rPr>
      <w:kern w:val="2"/>
      <w:sz w:val="24"/>
      <w:szCs w:val="24"/>
    </w:rPr>
  </w:style>
  <w:style w:type="character" w:customStyle="1" w:styleId="153">
    <w:name w:val="Other|1_"/>
    <w:link w:val="85"/>
    <w:qFormat/>
    <w:uiPriority w:val="0"/>
    <w:rPr>
      <w:rFonts w:ascii="宋体" w:hAnsi="宋体" w:eastAsia="宋体" w:cs="宋体"/>
      <w:color w:val="1B1415"/>
    </w:rPr>
  </w:style>
  <w:style w:type="character" w:customStyle="1" w:styleId="154">
    <w:name w:val="正文缩进 字符1"/>
    <w:link w:val="9"/>
    <w:qFormat/>
    <w:uiPriority w:val="0"/>
    <w:rPr>
      <w:rFonts w:eastAsia="宋体"/>
      <w:kern w:val="2"/>
      <w:sz w:val="21"/>
      <w:szCs w:val="24"/>
      <w:lang w:val="en-US" w:eastAsia="zh-CN" w:bidi="ar-SA"/>
    </w:rPr>
  </w:style>
  <w:style w:type="character" w:customStyle="1" w:styleId="155">
    <w:name w:val=" Char Char1"/>
    <w:qFormat/>
    <w:uiPriority w:val="0"/>
    <w:rPr>
      <w:rFonts w:eastAsia="Andale Sans UI"/>
      <w:kern w:val="1"/>
      <w:sz w:val="18"/>
      <w:szCs w:val="18"/>
    </w:rPr>
  </w:style>
  <w:style w:type="character" w:customStyle="1" w:styleId="156">
    <w:name w:val="页脚 字符"/>
    <w:link w:val="30"/>
    <w:qFormat/>
    <w:uiPriority w:val="99"/>
    <w:rPr>
      <w:kern w:val="2"/>
      <w:sz w:val="18"/>
      <w:szCs w:val="18"/>
    </w:rPr>
  </w:style>
  <w:style w:type="character" w:customStyle="1" w:styleId="157">
    <w:name w:val="标书正文格式 Char"/>
    <w:link w:val="77"/>
    <w:qFormat/>
    <w:uiPriority w:val="0"/>
    <w:rPr>
      <w:sz w:val="24"/>
      <w:szCs w:val="24"/>
    </w:rPr>
  </w:style>
  <w:style w:type="character" w:customStyle="1" w:styleId="158">
    <w:name w:val="WW-Absatz-Standardschriftart1111111111"/>
    <w:qFormat/>
    <w:uiPriority w:val="0"/>
  </w:style>
  <w:style w:type="character" w:customStyle="1" w:styleId="159">
    <w:name w:val="WW-Absatz-Standardschriftart111111"/>
    <w:qFormat/>
    <w:uiPriority w:val="0"/>
  </w:style>
  <w:style w:type="character" w:customStyle="1" w:styleId="160">
    <w:name w:val="WW-Absatz-Standardschriftart111"/>
    <w:qFormat/>
    <w:uiPriority w:val="0"/>
  </w:style>
  <w:style w:type="character" w:customStyle="1" w:styleId="161">
    <w:name w:val="WW-默认段落字体"/>
    <w:qFormat/>
    <w:uiPriority w:val="0"/>
  </w:style>
  <w:style w:type="character" w:customStyle="1" w:styleId="162">
    <w:name w:val="编号字符"/>
    <w:qFormat/>
    <w:uiPriority w:val="0"/>
  </w:style>
  <w:style w:type="character" w:customStyle="1" w:styleId="163">
    <w:name w:val="h9point1"/>
    <w:qFormat/>
    <w:uiPriority w:val="0"/>
    <w:rPr>
      <w:rFonts w:hint="eastAsia" w:ascii="宋体" w:hAnsi="宋体" w:eastAsia="宋体"/>
      <w:sz w:val="18"/>
      <w:szCs w:val="18"/>
    </w:rPr>
  </w:style>
  <w:style w:type="character" w:customStyle="1" w:styleId="164">
    <w:name w:val="副标题 Char1"/>
    <w:qFormat/>
    <w:uiPriority w:val="0"/>
    <w:rPr>
      <w:rFonts w:ascii="Cambria" w:hAnsi="Cambria" w:cs="Times New Roman"/>
      <w:b/>
      <w:bCs/>
      <w:kern w:val="28"/>
      <w:sz w:val="32"/>
      <w:szCs w:val="32"/>
    </w:rPr>
  </w:style>
  <w:style w:type="character" w:customStyle="1" w:styleId="165">
    <w:name w:val="font11"/>
    <w:qFormat/>
    <w:uiPriority w:val="0"/>
    <w:rPr>
      <w:rFonts w:hint="eastAsia" w:ascii="宋体" w:hAnsi="宋体" w:eastAsia="宋体" w:cs="宋体"/>
      <w:color w:val="000000"/>
      <w:sz w:val="22"/>
      <w:szCs w:val="22"/>
      <w:u w:val="none"/>
    </w:rPr>
  </w:style>
  <w:style w:type="character" w:customStyle="1" w:styleId="166">
    <w:name w:val="layui-this"/>
    <w:qFormat/>
    <w:uiPriority w:val="0"/>
    <w:rPr>
      <w:bdr w:val="single" w:color="EEEEEE" w:sz="6" w:space="0"/>
      <w:shd w:val="clear" w:color="auto" w:fill="FFFFFF"/>
    </w:rPr>
  </w:style>
  <w:style w:type="table" w:customStyle="1" w:styleId="167">
    <w:name w:val="网格型1"/>
    <w:basedOn w:val="50"/>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169">
    <w:name w:val="Table caption|1"/>
    <w:basedOn w:val="1"/>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 w:type="paragraph" w:customStyle="1" w:styleId="170">
    <w:name w:val="Header or footer|1"/>
    <w:basedOn w:val="1"/>
    <w:qFormat/>
    <w:uiPriority w:val="0"/>
    <w:pPr>
      <w:widowControl w:val="0"/>
      <w:shd w:val="clear" w:color="auto" w:fill="auto"/>
    </w:pPr>
    <w:rPr>
      <w:sz w:val="19"/>
      <w:szCs w:val="19"/>
      <w:u w:val="none"/>
      <w:shd w:val="clear" w:color="auto" w:fill="auto"/>
    </w:rPr>
  </w:style>
  <w:style w:type="paragraph" w:customStyle="1" w:styleId="171">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czj</Company>
  <Pages>50</Pages>
  <Words>5188</Words>
  <Characters>5436</Characters>
  <Lines>2326</Lines>
  <Paragraphs>3158</Paragraphs>
  <TotalTime>2</TotalTime>
  <ScaleCrop>false</ScaleCrop>
  <LinksUpToDate>false</LinksUpToDate>
  <CharactersWithSpaces>5472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2019-11-03T15:24:00Z</dcterms:created>
  <dc:creator>thsware</dc:creator>
  <cp:lastModifiedBy>LYF</cp:lastModifiedBy>
  <cp:lastPrinted>2024-07-12T22:03:00Z</cp:lastPrinted>
  <dcterms:modified xsi:type="dcterms:W3CDTF">2025-02-25T03:23:58Z</dcterms:modified>
  <dc:title>政府采购工程施工公开招标文件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FEC800F515AE4DADA283831981CF6E5C_13</vt:lpwstr>
  </property>
  <property fmtid="{D5CDD505-2E9C-101B-9397-08002B2CF9AE}" pid="4" name="KSOTemplateDocerSaveRecord">
    <vt:lpwstr>eyJoZGlkIjoiOTU1M2MxNTgwZWMxZTI0YzE0OTQzZGU2ZmU5MzY4NmQiLCJ1c2VySWQiOiIyNzk1Mzk5NTEifQ==</vt:lpwstr>
  </property>
</Properties>
</file>