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927A3">
      <w:pPr>
        <w:jc w:val="left"/>
        <w:rPr>
          <w:rFonts w:hint="eastAsia" w:ascii="黑体" w:eastAsia="黑体"/>
          <w:sz w:val="28"/>
          <w:szCs w:val="28"/>
          <w:highlight w:val="yellow"/>
          <w:lang w:eastAsia="zh-CN"/>
        </w:rPr>
      </w:pPr>
      <w:r>
        <w:rPr>
          <w:rFonts w:hint="eastAsia" w:ascii="黑体" w:eastAsia="黑体"/>
          <w:sz w:val="28"/>
          <w:szCs w:val="28"/>
          <w:highlight w:val="yellow"/>
          <w:lang w:eastAsia="zh-CN"/>
        </w:rPr>
        <w:t>拟签订的合同文本，采购人在签订合同前有权依据招标文件要求和项目实际情况对以下合同内容进行删改或补充。</w:t>
      </w:r>
    </w:p>
    <w:p w14:paraId="5294C9AE">
      <w:pPr>
        <w:jc w:val="right"/>
        <w:rPr>
          <w:rFonts w:ascii="黑体" w:eastAsia="黑体"/>
          <w:sz w:val="28"/>
          <w:szCs w:val="28"/>
        </w:rPr>
      </w:pPr>
      <w:r>
        <w:rPr>
          <w:rFonts w:hint="eastAsia" w:ascii="黑体" w:eastAsia="黑体"/>
          <w:sz w:val="28"/>
          <w:szCs w:val="28"/>
        </w:rPr>
        <w:t>工程编号：</w:t>
      </w:r>
    </w:p>
    <w:p w14:paraId="37D1E648">
      <w:pPr>
        <w:jc w:val="right"/>
        <w:rPr>
          <w:rFonts w:ascii="黑体" w:eastAsia="黑体"/>
          <w:sz w:val="28"/>
          <w:szCs w:val="28"/>
          <w:u w:val="single"/>
        </w:rPr>
      </w:pPr>
      <w:r>
        <w:rPr>
          <w:rFonts w:hint="eastAsia" w:ascii="黑体" w:eastAsia="黑体"/>
          <w:sz w:val="28"/>
          <w:szCs w:val="28"/>
        </w:rPr>
        <w:t>合同编号：</w:t>
      </w:r>
    </w:p>
    <w:p w14:paraId="301F8728">
      <w:pPr>
        <w:jc w:val="right"/>
        <w:rPr>
          <w:rFonts w:ascii="黑体" w:eastAsia="黑体"/>
          <w:sz w:val="32"/>
          <w:szCs w:val="32"/>
          <w:u w:val="single"/>
        </w:rPr>
      </w:pPr>
    </w:p>
    <w:p w14:paraId="6A13C597">
      <w:pPr>
        <w:jc w:val="right"/>
        <w:rPr>
          <w:rFonts w:ascii="黑体" w:eastAsia="黑体"/>
          <w:sz w:val="32"/>
          <w:szCs w:val="32"/>
          <w:u w:val="single"/>
        </w:rPr>
      </w:pPr>
    </w:p>
    <w:p w14:paraId="3DEEEB4A">
      <w:pPr>
        <w:jc w:val="center"/>
        <w:rPr>
          <w:rFonts w:ascii="黑体" w:eastAsia="黑体"/>
          <w:sz w:val="44"/>
          <w:szCs w:val="44"/>
        </w:rPr>
      </w:pPr>
      <w:r>
        <w:rPr>
          <w:rFonts w:hint="eastAsia" w:ascii="黑体" w:eastAsia="黑体"/>
          <w:sz w:val="44"/>
          <w:szCs w:val="44"/>
        </w:rPr>
        <w:t>深圳市建设工程</w:t>
      </w:r>
    </w:p>
    <w:p w14:paraId="7C0AB812">
      <w:pPr>
        <w:jc w:val="center"/>
        <w:rPr>
          <w:rFonts w:ascii="黑体" w:eastAsia="黑体"/>
          <w:szCs w:val="21"/>
        </w:rPr>
      </w:pPr>
    </w:p>
    <w:p w14:paraId="306F9440">
      <w:pPr>
        <w:jc w:val="center"/>
        <w:rPr>
          <w:rFonts w:ascii="黑体" w:eastAsia="黑体"/>
          <w:sz w:val="52"/>
          <w:szCs w:val="52"/>
        </w:rPr>
      </w:pPr>
      <w:r>
        <w:rPr>
          <w:rFonts w:hint="eastAsia" w:ascii="黑体" w:eastAsia="黑体"/>
          <w:sz w:val="52"/>
          <w:szCs w:val="52"/>
        </w:rPr>
        <w:t>施工(单价)合同</w:t>
      </w:r>
    </w:p>
    <w:p w14:paraId="7CCACE89">
      <w:pPr>
        <w:jc w:val="center"/>
        <w:rPr>
          <w:rFonts w:ascii="黑体" w:eastAsia="黑体"/>
          <w:sz w:val="32"/>
          <w:szCs w:val="32"/>
        </w:rPr>
      </w:pPr>
      <w:bookmarkStart w:id="0" w:name="_Toc67418462"/>
      <w:bookmarkStart w:id="1" w:name="_Toc67418029"/>
      <w:bookmarkStart w:id="2" w:name="_Toc25027"/>
      <w:bookmarkStart w:id="3" w:name="_Toc448840947"/>
      <w:bookmarkStart w:id="4" w:name="_Toc492904945"/>
      <w:bookmarkStart w:id="5" w:name="_Toc453616279"/>
      <w:bookmarkStart w:id="6" w:name="_Toc448493953"/>
      <w:bookmarkStart w:id="7" w:name="_Toc67326976"/>
      <w:r>
        <w:rPr>
          <w:rFonts w:hint="eastAsia" w:ascii="黑体" w:eastAsia="黑体"/>
          <w:sz w:val="32"/>
          <w:szCs w:val="32"/>
        </w:rPr>
        <w:t>(适用于招标工程固定单价施工合同)</w:t>
      </w:r>
      <w:bookmarkEnd w:id="0"/>
      <w:bookmarkEnd w:id="1"/>
      <w:bookmarkEnd w:id="2"/>
      <w:bookmarkEnd w:id="3"/>
      <w:bookmarkEnd w:id="4"/>
      <w:bookmarkEnd w:id="5"/>
      <w:bookmarkEnd w:id="6"/>
      <w:bookmarkEnd w:id="7"/>
    </w:p>
    <w:p w14:paraId="5DD22068">
      <w:pPr>
        <w:jc w:val="center"/>
        <w:rPr>
          <w:rFonts w:ascii="黑体" w:eastAsia="黑体"/>
          <w:sz w:val="32"/>
          <w:szCs w:val="32"/>
        </w:rPr>
      </w:pPr>
    </w:p>
    <w:p w14:paraId="07434617">
      <w:pPr>
        <w:jc w:val="center"/>
        <w:rPr>
          <w:rFonts w:ascii="黑体" w:eastAsia="黑体"/>
          <w:sz w:val="32"/>
          <w:szCs w:val="32"/>
        </w:rPr>
      </w:pPr>
    </w:p>
    <w:p w14:paraId="14A3EFAD">
      <w:pPr>
        <w:rPr>
          <w:rFonts w:ascii="黑体" w:eastAsia="黑体"/>
          <w:sz w:val="32"/>
          <w:szCs w:val="32"/>
        </w:rPr>
      </w:pPr>
    </w:p>
    <w:p w14:paraId="2FC5A131">
      <w:pPr>
        <w:spacing w:before="312" w:after="156" w:line="480" w:lineRule="auto"/>
        <w:ind w:firstLine="320"/>
        <w:rPr>
          <w:rFonts w:hint="eastAsia" w:ascii="黑体" w:eastAsia="黑体"/>
          <w:sz w:val="32"/>
          <w:szCs w:val="32"/>
          <w:lang w:eastAsia="zh-CN"/>
        </w:rPr>
      </w:pPr>
      <w:r>
        <w:rPr>
          <w:rFonts w:hint="eastAsia" w:ascii="黑体" w:eastAsia="黑体"/>
          <w:sz w:val="32"/>
          <w:szCs w:val="32"/>
        </w:rPr>
        <w:t>工程名称：</w:t>
      </w:r>
      <w:r>
        <w:rPr>
          <w:rFonts w:hint="eastAsia" w:ascii="黑体" w:eastAsia="黑体"/>
          <w:sz w:val="32"/>
          <w:szCs w:val="32"/>
          <w:u w:val="single"/>
          <w:lang w:eastAsia="zh-CN"/>
        </w:rPr>
        <w:t>深圳市东部工人文化宫（沙头角体育馆改造）项目建（构）筑物拆除工程</w:t>
      </w:r>
    </w:p>
    <w:p w14:paraId="14058874">
      <w:pPr>
        <w:spacing w:before="312" w:after="156" w:line="480" w:lineRule="auto"/>
        <w:ind w:firstLine="320"/>
        <w:rPr>
          <w:rFonts w:hint="eastAsia" w:ascii="黑体" w:eastAsia="黑体"/>
          <w:sz w:val="32"/>
          <w:szCs w:val="32"/>
          <w:lang w:eastAsia="zh-CN"/>
        </w:rPr>
      </w:pPr>
      <w:r>
        <w:rPr>
          <w:rFonts w:hint="eastAsia" w:ascii="黑体" w:eastAsia="黑体"/>
          <w:sz w:val="32"/>
          <w:szCs w:val="32"/>
        </w:rPr>
        <w:t>工程地点：</w:t>
      </w:r>
      <w:r>
        <w:rPr>
          <w:rFonts w:hint="eastAsia" w:ascii="黑体" w:eastAsia="黑体"/>
          <w:sz w:val="32"/>
          <w:szCs w:val="32"/>
          <w:u w:val="single"/>
        </w:rPr>
        <w:t>深圳市盐田区</w:t>
      </w:r>
      <w:r>
        <w:rPr>
          <w:rFonts w:hint="eastAsia" w:ascii="黑体" w:eastAsia="黑体"/>
          <w:sz w:val="32"/>
          <w:szCs w:val="32"/>
          <w:u w:val="single"/>
          <w:lang w:val="en-US" w:eastAsia="zh-CN"/>
        </w:rPr>
        <w:t xml:space="preserve"> </w:t>
      </w:r>
    </w:p>
    <w:p w14:paraId="64995EB9">
      <w:pPr>
        <w:spacing w:before="312" w:after="156" w:line="480" w:lineRule="auto"/>
        <w:ind w:firstLine="320"/>
        <w:rPr>
          <w:rFonts w:ascii="黑体" w:eastAsia="黑体"/>
          <w:sz w:val="32"/>
          <w:szCs w:val="32"/>
        </w:rPr>
      </w:pPr>
      <w:r>
        <w:rPr>
          <w:rFonts w:hint="eastAsia" w:ascii="黑体" w:eastAsia="黑体"/>
          <w:sz w:val="32"/>
          <w:szCs w:val="32"/>
        </w:rPr>
        <w:t>发 包 人：</w:t>
      </w:r>
      <w:r>
        <w:rPr>
          <w:rFonts w:hint="eastAsia" w:ascii="黑体" w:eastAsia="黑体"/>
          <w:sz w:val="32"/>
          <w:szCs w:val="32"/>
          <w:u w:val="single"/>
        </w:rPr>
        <w:t xml:space="preserve">深圳市盐田区土地整备事务中心     </w:t>
      </w:r>
    </w:p>
    <w:p w14:paraId="644C624A">
      <w:pPr>
        <w:spacing w:before="312" w:after="156" w:line="480" w:lineRule="auto"/>
        <w:ind w:firstLine="320"/>
        <w:rPr>
          <w:rFonts w:ascii="黑体" w:eastAsia="黑体"/>
          <w:sz w:val="32"/>
          <w:szCs w:val="32"/>
          <w:u w:val="single"/>
        </w:rPr>
      </w:pPr>
      <w:r>
        <w:rPr>
          <w:rFonts w:hint="eastAsia" w:ascii="黑体" w:eastAsia="黑体"/>
          <w:sz w:val="32"/>
          <w:szCs w:val="32"/>
        </w:rPr>
        <w:t>承 包 人：</w:t>
      </w:r>
      <w:r>
        <w:rPr>
          <w:rFonts w:hint="eastAsia" w:ascii="黑体" w:eastAsia="黑体"/>
          <w:sz w:val="32"/>
          <w:szCs w:val="32"/>
          <w:u w:val="single"/>
        </w:rPr>
        <w:t xml:space="preserve">                　　　           </w:t>
      </w:r>
    </w:p>
    <w:p w14:paraId="76026785">
      <w:pPr>
        <w:rPr>
          <w:rFonts w:ascii="黑体" w:eastAsia="黑体"/>
        </w:rPr>
      </w:pPr>
    </w:p>
    <w:p w14:paraId="708D878F">
      <w:pPr>
        <w:rPr>
          <w:rFonts w:ascii="黑体" w:eastAsia="黑体"/>
        </w:rPr>
      </w:pPr>
    </w:p>
    <w:p w14:paraId="1AB5A2A9">
      <w:pPr>
        <w:jc w:val="center"/>
        <w:rPr>
          <w:rFonts w:ascii="黑体" w:eastAsia="黑体"/>
          <w:b/>
          <w:bCs/>
          <w:sz w:val="44"/>
        </w:rPr>
      </w:pPr>
      <w:r>
        <w:rPr>
          <w:rFonts w:hint="eastAsia" w:ascii="黑体" w:eastAsia="黑体"/>
          <w:sz w:val="28"/>
          <w:szCs w:val="28"/>
        </w:rPr>
        <w:t>201</w:t>
      </w:r>
      <w:r>
        <w:rPr>
          <w:rFonts w:ascii="黑体" w:eastAsia="黑体"/>
          <w:sz w:val="28"/>
          <w:szCs w:val="28"/>
        </w:rPr>
        <w:t>5</w:t>
      </w:r>
      <w:r>
        <w:rPr>
          <w:rFonts w:hint="eastAsia" w:ascii="黑体" w:eastAsia="黑体"/>
          <w:sz w:val="28"/>
          <w:szCs w:val="28"/>
        </w:rPr>
        <w:t>年版</w:t>
      </w:r>
      <w:r>
        <w:rPr>
          <w:rFonts w:hint="eastAsia" w:ascii="黑体" w:eastAsia="黑体"/>
          <w:b/>
          <w:bCs/>
          <w:sz w:val="44"/>
        </w:rPr>
        <w:br w:type="page"/>
      </w:r>
    </w:p>
    <w:p w14:paraId="73891F4F">
      <w:pPr>
        <w:jc w:val="center"/>
        <w:rPr>
          <w:b/>
          <w:bCs/>
          <w:sz w:val="32"/>
          <w:szCs w:val="32"/>
        </w:rPr>
      </w:pPr>
      <w:r>
        <w:rPr>
          <w:rFonts w:hint="eastAsia"/>
          <w:b/>
          <w:bCs/>
          <w:sz w:val="32"/>
          <w:szCs w:val="32"/>
        </w:rPr>
        <w:t>说明</w:t>
      </w:r>
    </w:p>
    <w:p w14:paraId="63C997CA">
      <w:pPr>
        <w:ind w:firstLine="480"/>
      </w:pPr>
    </w:p>
    <w:p w14:paraId="601F8AB3">
      <w:pPr>
        <w:adjustRightInd w:val="0"/>
        <w:snapToGrid w:val="0"/>
        <w:spacing w:line="360" w:lineRule="auto"/>
        <w:ind w:firstLine="480" w:firstLineChars="200"/>
        <w:jc w:val="both"/>
      </w:pPr>
      <w:r>
        <w:rPr>
          <w:rFonts w:hint="eastAsia"/>
        </w:rPr>
        <w:t>本合同(示范文本)根据《中华人民共和国民法典》、《中华人民共和国建筑法》、《中华人民共和国招标投标法》等法律以及深圳市相关的法规</w:t>
      </w:r>
      <w:r>
        <w:t>，</w:t>
      </w:r>
      <w:r>
        <w:rPr>
          <w:rFonts w:hint="eastAsia"/>
        </w:rPr>
        <w:t>借鉴国际通用的工程施工合同和住房城乡建设部、国家工商行政管理总局制定的《建设工程施工合同示范文本》（GF－2017-0201）</w:t>
      </w:r>
      <w:r>
        <w:t>，</w:t>
      </w:r>
      <w:r>
        <w:rPr>
          <w:rFonts w:hint="eastAsia"/>
        </w:rPr>
        <w:t>结合深圳市现行施工合同(示范文本)近几年的实践情况</w:t>
      </w:r>
      <w:r>
        <w:t>，</w:t>
      </w:r>
      <w:r>
        <w:rPr>
          <w:rFonts w:hint="eastAsia"/>
        </w:rPr>
        <w:t>由深圳市建设工程造价管理站编制而成。</w:t>
      </w:r>
    </w:p>
    <w:p w14:paraId="193CE36D">
      <w:pPr>
        <w:adjustRightInd w:val="0"/>
        <w:snapToGrid w:val="0"/>
        <w:spacing w:line="360" w:lineRule="auto"/>
        <w:ind w:firstLine="480" w:firstLineChars="200"/>
        <w:jc w:val="both"/>
        <w:rPr>
          <w:bCs/>
        </w:rPr>
      </w:pPr>
      <w:r>
        <w:rPr>
          <w:rFonts w:hint="eastAsia"/>
          <w:bCs/>
        </w:rPr>
        <w:t>一、《示范文本》的组成</w:t>
      </w:r>
    </w:p>
    <w:p w14:paraId="6ACCD567">
      <w:pPr>
        <w:adjustRightInd w:val="0"/>
        <w:snapToGrid w:val="0"/>
        <w:spacing w:line="360" w:lineRule="auto"/>
        <w:ind w:firstLine="480" w:firstLineChars="200"/>
        <w:jc w:val="both"/>
      </w:pPr>
      <w:r>
        <w:rPr>
          <w:rFonts w:hint="eastAsia"/>
        </w:rPr>
        <w:t>本合同(示范文本)由“协议书”、“通用条款</w:t>
      </w:r>
      <w:r>
        <w:t>”</w:t>
      </w:r>
      <w:r>
        <w:rPr>
          <w:rFonts w:hint="eastAsia"/>
        </w:rPr>
        <w:t>、“专用条款</w:t>
      </w:r>
      <w:r>
        <w:t>”</w:t>
      </w:r>
      <w:r>
        <w:rPr>
          <w:rFonts w:hint="eastAsia"/>
        </w:rPr>
        <w:t>和“补充条款”四部分组成。其中：</w:t>
      </w:r>
    </w:p>
    <w:p w14:paraId="5E2B1F2D">
      <w:pPr>
        <w:adjustRightInd w:val="0"/>
        <w:snapToGrid w:val="0"/>
        <w:spacing w:line="360" w:lineRule="auto"/>
        <w:ind w:firstLine="480" w:firstLineChars="200"/>
        <w:jc w:val="both"/>
      </w:pPr>
      <w:r>
        <w:rPr>
          <w:rFonts w:hint="eastAsia"/>
        </w:rPr>
        <w:t>1.“协议书”作为合同文本的第一部分</w:t>
      </w:r>
      <w:r>
        <w:t>，</w:t>
      </w:r>
      <w:r>
        <w:rPr>
          <w:rFonts w:hint="eastAsia"/>
        </w:rPr>
        <w:t>是发包人与承包人就合同内容协商达成一致意见后</w:t>
      </w:r>
      <w:r>
        <w:t>，</w:t>
      </w:r>
      <w:r>
        <w:rPr>
          <w:rFonts w:hint="eastAsia"/>
        </w:rPr>
        <w:t>相互承诺履行合同而签署的协议。《协议书》包括工程概况、工程承包范围、合同工期、质量标准、合同价格等合同主要内容</w:t>
      </w:r>
      <w:r>
        <w:t>，</w:t>
      </w:r>
      <w:r>
        <w:rPr>
          <w:rFonts w:hint="eastAsia"/>
        </w:rPr>
        <w:t>明确了组成合同的所有文件，并约定了合同生效的方式及合同订立的时间、地点，集中约定了承发包双方基本的合同权利义务。</w:t>
      </w:r>
    </w:p>
    <w:p w14:paraId="459A2F70">
      <w:pPr>
        <w:adjustRightInd w:val="0"/>
        <w:snapToGrid w:val="0"/>
        <w:spacing w:line="360" w:lineRule="auto"/>
        <w:ind w:firstLine="480" w:firstLineChars="200"/>
        <w:jc w:val="both"/>
      </w:pPr>
      <w:r>
        <w:rPr>
          <w:rFonts w:hint="eastAsia"/>
        </w:rPr>
        <w:t>2.“通用条款</w:t>
      </w:r>
      <w:r>
        <w:t>”</w:t>
      </w:r>
      <w:r>
        <w:rPr>
          <w:rFonts w:hint="eastAsia"/>
        </w:rPr>
        <w:t>是根据现行法律、法规、规章等规定，就工程建设的实施及相关事项，对发包人与承包人的权利义务作出的原则性约定。既考虑了现行法律法规对工程建设的有关要求，也考虑了建设工程施工管理的实际需要，具有较强的普遍性和通用性，是通用于建设工程施工的基础性合同条款。</w:t>
      </w:r>
    </w:p>
    <w:p w14:paraId="1B82F48E">
      <w:pPr>
        <w:adjustRightInd w:val="0"/>
        <w:snapToGrid w:val="0"/>
        <w:spacing w:line="360" w:lineRule="auto"/>
        <w:ind w:firstLine="480" w:firstLineChars="200"/>
        <w:jc w:val="both"/>
      </w:pPr>
      <w:r>
        <w:rPr>
          <w:rFonts w:hint="eastAsia"/>
        </w:rPr>
        <w:t>3.“专用条款</w:t>
      </w:r>
      <w:r>
        <w:t>”</w:t>
      </w:r>
      <w:r>
        <w:rPr>
          <w:rFonts w:hint="eastAsia"/>
        </w:rPr>
        <w:t>是指对通用条款原则性约定的细化、完善、补充、修改或另行约定的条款。发包人与承包人可根据法律、法规和规章的规定，结合具体工程实际，经过双方的谈判、协商达成一致意见，对应通用条款的内容，对不明确的条款作出具体约定；对不适用的条款作出修改；对缺少的内容作出补充；使合同更具可操作性，便于理解和履行。</w:t>
      </w:r>
    </w:p>
    <w:p w14:paraId="4D98B648">
      <w:pPr>
        <w:adjustRightInd w:val="0"/>
        <w:snapToGrid w:val="0"/>
        <w:spacing w:line="360" w:lineRule="auto"/>
        <w:ind w:firstLine="480" w:firstLineChars="200"/>
        <w:jc w:val="both"/>
      </w:pPr>
      <w:r>
        <w:rPr>
          <w:rFonts w:hint="eastAsia"/>
        </w:rPr>
        <w:t>4.“补充条款”是对合同中通用条款和专用条款未约定或约定不明确的内容进行补充约定的条款。</w:t>
      </w:r>
    </w:p>
    <w:p w14:paraId="542C394C">
      <w:pPr>
        <w:adjustRightInd w:val="0"/>
        <w:snapToGrid w:val="0"/>
        <w:spacing w:line="360" w:lineRule="auto"/>
        <w:ind w:firstLine="480" w:firstLineChars="200"/>
        <w:jc w:val="both"/>
      </w:pPr>
      <w:r>
        <w:rPr>
          <w:rFonts w:hint="eastAsia"/>
        </w:rPr>
        <w:t>二、专用条款使用注意事项</w:t>
      </w:r>
    </w:p>
    <w:p w14:paraId="16B8A29A">
      <w:pPr>
        <w:adjustRightInd w:val="0"/>
        <w:snapToGrid w:val="0"/>
        <w:spacing w:line="360" w:lineRule="auto"/>
        <w:ind w:firstLine="480" w:firstLineChars="200"/>
        <w:jc w:val="both"/>
      </w:pPr>
      <w:r>
        <w:rPr>
          <w:rFonts w:hint="eastAsia"/>
        </w:rPr>
        <w:t>1.专用条款的编号应与</w:t>
      </w:r>
      <w:bookmarkStart w:id="444" w:name="_GoBack"/>
      <w:bookmarkEnd w:id="444"/>
      <w:r>
        <w:rPr>
          <w:rFonts w:hint="eastAsia"/>
        </w:rPr>
        <w:t>相应的通用条款的编号一致。</w:t>
      </w:r>
    </w:p>
    <w:p w14:paraId="3ADD5535">
      <w:pPr>
        <w:adjustRightInd w:val="0"/>
        <w:snapToGrid w:val="0"/>
        <w:spacing w:line="360" w:lineRule="auto"/>
        <w:ind w:firstLine="480" w:firstLineChars="200"/>
        <w:jc w:val="both"/>
      </w:pPr>
      <w:r>
        <w:rPr>
          <w:rFonts w:hint="eastAsia"/>
        </w:rPr>
        <w:t>2.在专用条款中有横道线的地方，承发包双方可针对相应的通用条款进行细化、完善、补充、修改或另行约定；如无细化、完善、补充、修改或另行约定，则填写“无”或划“/”。</w:t>
      </w:r>
    </w:p>
    <w:p w14:paraId="7FEFB9DF">
      <w:pPr>
        <w:adjustRightInd w:val="0"/>
        <w:snapToGrid w:val="0"/>
        <w:spacing w:line="360" w:lineRule="auto"/>
        <w:ind w:firstLine="480" w:firstLineChars="200"/>
        <w:jc w:val="both"/>
      </w:pPr>
      <w:r>
        <w:rPr>
          <w:rFonts w:hint="eastAsia"/>
        </w:rPr>
        <w:t>3.“通用条款”和“专用条款”一并作为完整的合同条款，当两者之间有不符之处，以“专用条款”为准。“通用条款”中出现斜体字加粗“</w:t>
      </w:r>
      <w:r>
        <w:rPr>
          <w:rFonts w:hint="eastAsia"/>
          <w:b/>
          <w:i/>
        </w:rPr>
        <w:t>专用条款</w:t>
      </w:r>
      <w:r>
        <w:rPr>
          <w:rFonts w:hint="eastAsia"/>
        </w:rPr>
        <w:t>”字样的条文在相应“专用条款”的条文中有明确的约定。应按照同一编号的条款一起阅读和理解。</w:t>
      </w:r>
    </w:p>
    <w:p w14:paraId="0DA8D144">
      <w:pPr>
        <w:adjustRightInd w:val="0"/>
        <w:snapToGrid w:val="0"/>
        <w:spacing w:line="360" w:lineRule="auto"/>
        <w:ind w:firstLine="480" w:firstLineChars="200"/>
        <w:jc w:val="both"/>
        <w:rPr>
          <w:b/>
        </w:rPr>
      </w:pPr>
      <w:r>
        <w:rPr>
          <w:rFonts w:hint="eastAsia"/>
          <w:bCs/>
        </w:rPr>
        <w:t>三、《示范文本》的性质和适用范围</w:t>
      </w:r>
    </w:p>
    <w:p w14:paraId="1F625389">
      <w:pPr>
        <w:adjustRightInd w:val="0"/>
        <w:snapToGrid w:val="0"/>
        <w:spacing w:line="360" w:lineRule="auto"/>
        <w:ind w:firstLine="480" w:firstLineChars="200"/>
        <w:jc w:val="both"/>
      </w:pPr>
      <w:r>
        <w:rPr>
          <w:rFonts w:hint="eastAsia"/>
        </w:rPr>
        <w:t>本合同(示范文本)适用于房屋建筑工程、土木工程、线路管道和设备安装工程、装修工程等建设招标工程</w:t>
      </w:r>
      <w:r>
        <w:rPr>
          <w:rFonts w:hint="eastAsia"/>
          <w:b/>
        </w:rPr>
        <w:t>固定单价施工合同</w:t>
      </w:r>
      <w:r>
        <w:t>，</w:t>
      </w:r>
      <w:r>
        <w:rPr>
          <w:rFonts w:hint="eastAsia"/>
        </w:rPr>
        <w:t>发包人与承包人可结合建设工程具体情况，参考本合同(示范文本)订立合同，并按照法律法规规定和合同约定承担相应的法律责任及合同权利义务。</w:t>
      </w:r>
    </w:p>
    <w:p w14:paraId="49F63553">
      <w:pPr>
        <w:spacing w:line="360" w:lineRule="auto"/>
        <w:ind w:firstLine="480"/>
      </w:pPr>
    </w:p>
    <w:p w14:paraId="02BE6A9C">
      <w:pPr>
        <w:spacing w:line="360" w:lineRule="auto"/>
        <w:ind w:firstLine="560"/>
        <w:rPr>
          <w:rFonts w:ascii="黑体" w:eastAsia="黑体"/>
          <w:sz w:val="28"/>
          <w:szCs w:val="28"/>
        </w:rPr>
      </w:pPr>
      <w:r>
        <w:rPr>
          <w:rFonts w:hint="eastAsia" w:ascii="黑体" w:eastAsia="黑体"/>
          <w:sz w:val="28"/>
          <w:szCs w:val="28"/>
        </w:rPr>
        <w:t>《示范文本》使用过程中，</w:t>
      </w:r>
      <w:r>
        <w:rPr>
          <w:rFonts w:ascii="黑体" w:eastAsia="黑体"/>
          <w:sz w:val="28"/>
          <w:szCs w:val="28"/>
        </w:rPr>
        <w:t>如有任何疑问或不明之处，请及时向专业人士咨询。</w:t>
      </w:r>
    </w:p>
    <w:p w14:paraId="1B26F134">
      <w:pPr>
        <w:spacing w:line="360" w:lineRule="auto"/>
        <w:ind w:firstLine="560"/>
        <w:rPr>
          <w:rFonts w:ascii="黑体" w:eastAsia="黑体"/>
          <w:sz w:val="28"/>
          <w:szCs w:val="28"/>
        </w:rPr>
      </w:pPr>
      <w:r>
        <w:rPr>
          <w:rFonts w:hint="eastAsia" w:ascii="黑体" w:eastAsia="黑体"/>
          <w:sz w:val="28"/>
          <w:szCs w:val="28"/>
        </w:rPr>
        <w:t>任何单位或个人未经深圳市建设工程造价管理站同意，不得以任何形式销售本合同(示范文本)及其中的任何部分。</w:t>
      </w:r>
    </w:p>
    <w:p w14:paraId="447B3342">
      <w:pPr>
        <w:spacing w:line="360" w:lineRule="auto"/>
        <w:ind w:firstLine="560"/>
        <w:rPr>
          <w:rFonts w:eastAsia="黑体"/>
          <w:sz w:val="28"/>
          <w:szCs w:val="28"/>
        </w:rPr>
      </w:pPr>
      <w:r>
        <w:rPr>
          <w:rFonts w:eastAsia="黑体"/>
          <w:sz w:val="28"/>
          <w:szCs w:val="28"/>
        </w:rPr>
        <w:t>本次印发版次为SFD-2015-0</w:t>
      </w:r>
      <w:r>
        <w:rPr>
          <w:rFonts w:hint="eastAsia" w:eastAsia="黑体"/>
          <w:sz w:val="28"/>
          <w:szCs w:val="28"/>
        </w:rPr>
        <w:t>7</w:t>
      </w:r>
      <w:r>
        <w:rPr>
          <w:rFonts w:eastAsia="黑体"/>
          <w:sz w:val="28"/>
          <w:szCs w:val="28"/>
        </w:rPr>
        <w:t>，即2015版第</w:t>
      </w:r>
      <w:r>
        <w:rPr>
          <w:rFonts w:hint="eastAsia" w:eastAsia="黑体"/>
          <w:sz w:val="28"/>
          <w:szCs w:val="28"/>
        </w:rPr>
        <w:t>七</w:t>
      </w:r>
      <w:r>
        <w:rPr>
          <w:rFonts w:eastAsia="黑体"/>
          <w:sz w:val="28"/>
          <w:szCs w:val="28"/>
        </w:rPr>
        <w:t>版。</w:t>
      </w:r>
    </w:p>
    <w:tbl>
      <w:tblPr>
        <w:tblStyle w:val="11"/>
        <w:tblW w:w="6584" w:type="dxa"/>
        <w:jc w:val="center"/>
        <w:tblLayout w:type="autofit"/>
        <w:tblCellMar>
          <w:top w:w="0" w:type="dxa"/>
          <w:left w:w="108" w:type="dxa"/>
          <w:bottom w:w="0" w:type="dxa"/>
          <w:right w:w="108" w:type="dxa"/>
        </w:tblCellMar>
      </w:tblPr>
      <w:tblGrid>
        <w:gridCol w:w="222"/>
        <w:gridCol w:w="222"/>
        <w:gridCol w:w="222"/>
        <w:gridCol w:w="236"/>
        <w:gridCol w:w="236"/>
        <w:gridCol w:w="222"/>
        <w:gridCol w:w="336"/>
        <w:gridCol w:w="348"/>
        <w:gridCol w:w="348"/>
        <w:gridCol w:w="336"/>
        <w:gridCol w:w="228"/>
        <w:gridCol w:w="228"/>
        <w:gridCol w:w="1080"/>
        <w:gridCol w:w="2320"/>
      </w:tblGrid>
      <w:tr w14:paraId="26CE49C0">
        <w:tblPrEx>
          <w:tblCellMar>
            <w:top w:w="0" w:type="dxa"/>
            <w:left w:w="108" w:type="dxa"/>
            <w:bottom w:w="0" w:type="dxa"/>
            <w:right w:w="108" w:type="dxa"/>
          </w:tblCellMar>
        </w:tblPrEx>
        <w:trPr>
          <w:trHeight w:val="270" w:hRule="atLeast"/>
          <w:jc w:val="center"/>
        </w:trPr>
        <w:tc>
          <w:tcPr>
            <w:tcW w:w="444" w:type="dxa"/>
            <w:gridSpan w:val="2"/>
            <w:tcBorders>
              <w:top w:val="nil"/>
              <w:left w:val="nil"/>
              <w:bottom w:val="nil"/>
              <w:right w:val="nil"/>
            </w:tcBorders>
            <w:shd w:val="clear" w:color="000000" w:fill="FFFFFF"/>
            <w:noWrap/>
            <w:vAlign w:val="bottom"/>
          </w:tcPr>
          <w:p w14:paraId="42DB59FF">
            <w:pPr>
              <w:jc w:val="center"/>
            </w:pPr>
            <w:r>
              <w:rPr>
                <w:rFonts w:hint="eastAsia"/>
              </w:rPr>
              <w:t>S</w:t>
            </w:r>
          </w:p>
        </w:tc>
        <w:tc>
          <w:tcPr>
            <w:tcW w:w="444" w:type="dxa"/>
            <w:gridSpan w:val="2"/>
            <w:tcBorders>
              <w:top w:val="nil"/>
              <w:left w:val="nil"/>
              <w:bottom w:val="nil"/>
              <w:right w:val="nil"/>
            </w:tcBorders>
            <w:shd w:val="clear" w:color="000000" w:fill="FFFFFF"/>
            <w:noWrap/>
            <w:vAlign w:val="bottom"/>
          </w:tcPr>
          <w:p w14:paraId="788DAB87">
            <w:pPr>
              <w:jc w:val="center"/>
            </w:pPr>
            <w:r>
              <w:rPr>
                <w:rFonts w:hint="eastAsia"/>
              </w:rPr>
              <w:t>F</w:t>
            </w:r>
          </w:p>
        </w:tc>
        <w:tc>
          <w:tcPr>
            <w:tcW w:w="444" w:type="dxa"/>
            <w:gridSpan w:val="2"/>
            <w:tcBorders>
              <w:top w:val="nil"/>
              <w:left w:val="nil"/>
              <w:bottom w:val="nil"/>
              <w:right w:val="nil"/>
            </w:tcBorders>
            <w:shd w:val="clear" w:color="000000" w:fill="FFFFFF"/>
            <w:noWrap/>
            <w:vAlign w:val="bottom"/>
          </w:tcPr>
          <w:p w14:paraId="00F90222">
            <w:pPr>
              <w:jc w:val="center"/>
            </w:pPr>
            <w:r>
              <w:rPr>
                <w:rFonts w:hint="eastAsia"/>
              </w:rPr>
              <w:t>D</w:t>
            </w:r>
          </w:p>
        </w:tc>
        <w:tc>
          <w:tcPr>
            <w:tcW w:w="336" w:type="dxa"/>
            <w:tcBorders>
              <w:top w:val="nil"/>
              <w:left w:val="nil"/>
              <w:bottom w:val="nil"/>
              <w:right w:val="nil"/>
            </w:tcBorders>
            <w:shd w:val="clear" w:color="000000" w:fill="FFFFFF"/>
            <w:noWrap/>
            <w:vAlign w:val="bottom"/>
          </w:tcPr>
          <w:p w14:paraId="4DFFE229"/>
        </w:tc>
        <w:tc>
          <w:tcPr>
            <w:tcW w:w="696" w:type="dxa"/>
            <w:gridSpan w:val="2"/>
            <w:tcBorders>
              <w:top w:val="nil"/>
              <w:left w:val="nil"/>
              <w:bottom w:val="nil"/>
              <w:right w:val="nil"/>
            </w:tcBorders>
            <w:shd w:val="clear" w:color="000000" w:fill="FFFFFF"/>
            <w:noWrap/>
            <w:vAlign w:val="bottom"/>
          </w:tcPr>
          <w:p w14:paraId="244FB1FF">
            <w:pPr>
              <w:jc w:val="center"/>
            </w:pPr>
            <w:r>
              <w:rPr>
                <w:rFonts w:hint="eastAsia"/>
              </w:rPr>
              <w:t>2015</w:t>
            </w:r>
          </w:p>
        </w:tc>
        <w:tc>
          <w:tcPr>
            <w:tcW w:w="336" w:type="dxa"/>
            <w:tcBorders>
              <w:top w:val="nil"/>
              <w:left w:val="nil"/>
              <w:bottom w:val="nil"/>
              <w:right w:val="nil"/>
            </w:tcBorders>
            <w:shd w:val="clear" w:color="000000" w:fill="FFFFFF"/>
            <w:noWrap/>
            <w:vAlign w:val="bottom"/>
          </w:tcPr>
          <w:p w14:paraId="10D9A02C"/>
        </w:tc>
        <w:tc>
          <w:tcPr>
            <w:tcW w:w="456" w:type="dxa"/>
            <w:gridSpan w:val="2"/>
            <w:tcBorders>
              <w:top w:val="nil"/>
              <w:left w:val="nil"/>
              <w:bottom w:val="nil"/>
              <w:right w:val="nil"/>
            </w:tcBorders>
            <w:shd w:val="clear" w:color="000000" w:fill="FFFFFF"/>
            <w:noWrap/>
            <w:vAlign w:val="bottom"/>
          </w:tcPr>
          <w:p w14:paraId="5700DAE7">
            <w:pPr>
              <w:jc w:val="center"/>
            </w:pPr>
            <w:r>
              <w:rPr>
                <w:rFonts w:hint="eastAsia"/>
              </w:rPr>
              <w:t>07</w:t>
            </w:r>
          </w:p>
        </w:tc>
        <w:tc>
          <w:tcPr>
            <w:tcW w:w="1080" w:type="dxa"/>
            <w:tcBorders>
              <w:top w:val="nil"/>
              <w:left w:val="nil"/>
              <w:bottom w:val="nil"/>
              <w:right w:val="nil"/>
            </w:tcBorders>
            <w:shd w:val="clear" w:color="000000" w:fill="FFFFFF"/>
            <w:noWrap/>
            <w:vAlign w:val="bottom"/>
          </w:tcPr>
          <w:p w14:paraId="0ADE4D56"/>
        </w:tc>
        <w:tc>
          <w:tcPr>
            <w:tcW w:w="2320" w:type="dxa"/>
            <w:tcBorders>
              <w:top w:val="nil"/>
              <w:left w:val="nil"/>
              <w:bottom w:val="nil"/>
              <w:right w:val="nil"/>
            </w:tcBorders>
            <w:shd w:val="clear" w:color="000000" w:fill="FFFFFF"/>
            <w:noWrap/>
            <w:vAlign w:val="bottom"/>
          </w:tcPr>
          <w:p w14:paraId="41546DD4">
            <w:r>
              <w:rPr>
                <w:rFonts w:hint="eastAsia"/>
              </w:rPr>
              <w:t>　</w:t>
            </w:r>
          </w:p>
        </w:tc>
      </w:tr>
      <w:tr w14:paraId="516B82A9">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14:paraId="1EABF65D">
            <w:r>
              <w:rPr>
                <w:rFonts w:hint="eastAsia"/>
              </w:rPr>
              <w:t>　</w:t>
            </w:r>
          </w:p>
        </w:tc>
        <w:tc>
          <w:tcPr>
            <w:tcW w:w="222" w:type="dxa"/>
            <w:tcBorders>
              <w:top w:val="nil"/>
              <w:left w:val="single" w:color="auto" w:sz="4" w:space="0"/>
              <w:bottom w:val="single" w:color="auto" w:sz="4" w:space="0"/>
              <w:right w:val="nil"/>
            </w:tcBorders>
            <w:shd w:val="clear" w:color="000000" w:fill="FFFFFF"/>
            <w:noWrap/>
            <w:vAlign w:val="bottom"/>
          </w:tcPr>
          <w:p w14:paraId="479357C6">
            <w:r>
              <w:rPr>
                <w:rFonts w:hint="eastAsia"/>
              </w:rPr>
              <w:t>　</w:t>
            </w:r>
          </w:p>
        </w:tc>
        <w:tc>
          <w:tcPr>
            <w:tcW w:w="222" w:type="dxa"/>
            <w:tcBorders>
              <w:top w:val="nil"/>
              <w:left w:val="nil"/>
              <w:bottom w:val="single" w:color="auto" w:sz="4" w:space="0"/>
              <w:right w:val="nil"/>
            </w:tcBorders>
            <w:shd w:val="clear" w:color="000000" w:fill="FFFFFF"/>
            <w:noWrap/>
            <w:vAlign w:val="bottom"/>
          </w:tcPr>
          <w:p w14:paraId="54ED03C5">
            <w:r>
              <w:rPr>
                <w:rFonts w:hint="eastAsia"/>
              </w:rPr>
              <w:t>　</w:t>
            </w:r>
          </w:p>
        </w:tc>
        <w:tc>
          <w:tcPr>
            <w:tcW w:w="236" w:type="dxa"/>
            <w:tcBorders>
              <w:top w:val="nil"/>
              <w:left w:val="single" w:color="auto" w:sz="4" w:space="0"/>
              <w:bottom w:val="single" w:color="auto" w:sz="4" w:space="0"/>
              <w:right w:val="nil"/>
            </w:tcBorders>
            <w:shd w:val="clear" w:color="000000" w:fill="FFFFFF"/>
            <w:noWrap/>
            <w:vAlign w:val="bottom"/>
          </w:tcPr>
          <w:p w14:paraId="53A954AE">
            <w:r>
              <w:rPr>
                <w:rFonts w:hint="eastAsia"/>
              </w:rPr>
              <w:t>　</w:t>
            </w:r>
          </w:p>
        </w:tc>
        <w:tc>
          <w:tcPr>
            <w:tcW w:w="236" w:type="dxa"/>
            <w:tcBorders>
              <w:top w:val="nil"/>
              <w:left w:val="nil"/>
              <w:bottom w:val="single" w:color="auto" w:sz="4" w:space="0"/>
              <w:right w:val="nil"/>
            </w:tcBorders>
            <w:shd w:val="clear" w:color="000000" w:fill="FFFFFF"/>
            <w:noWrap/>
            <w:vAlign w:val="bottom"/>
          </w:tcPr>
          <w:p w14:paraId="754D322F">
            <w:r>
              <w:rPr>
                <w:rFonts w:hint="eastAsia"/>
              </w:rPr>
              <w:t>　</w:t>
            </w:r>
          </w:p>
        </w:tc>
        <w:tc>
          <w:tcPr>
            <w:tcW w:w="222" w:type="dxa"/>
            <w:tcBorders>
              <w:top w:val="nil"/>
              <w:left w:val="single" w:color="auto" w:sz="4" w:space="0"/>
              <w:bottom w:val="single" w:color="auto" w:sz="4" w:space="0"/>
              <w:right w:val="nil"/>
            </w:tcBorders>
            <w:shd w:val="clear" w:color="000000" w:fill="FFFFFF"/>
            <w:noWrap/>
            <w:vAlign w:val="bottom"/>
          </w:tcPr>
          <w:p w14:paraId="35667907">
            <w:r>
              <w:rPr>
                <w:rFonts w:hint="eastAsia"/>
              </w:rPr>
              <w:t>　</w:t>
            </w:r>
          </w:p>
        </w:tc>
        <w:tc>
          <w:tcPr>
            <w:tcW w:w="336" w:type="dxa"/>
            <w:tcBorders>
              <w:top w:val="nil"/>
              <w:left w:val="nil"/>
              <w:bottom w:val="single" w:color="auto" w:sz="4" w:space="0"/>
              <w:right w:val="nil"/>
            </w:tcBorders>
            <w:shd w:val="clear" w:color="000000" w:fill="FFFFFF"/>
            <w:noWrap/>
            <w:vAlign w:val="bottom"/>
          </w:tcPr>
          <w:p w14:paraId="390B37EE">
            <w:r>
              <w:rPr>
                <w:rFonts w:hint="eastAsia"/>
              </w:rPr>
              <w:t>　</w:t>
            </w:r>
          </w:p>
        </w:tc>
        <w:tc>
          <w:tcPr>
            <w:tcW w:w="348" w:type="dxa"/>
            <w:tcBorders>
              <w:top w:val="nil"/>
              <w:left w:val="nil"/>
              <w:bottom w:val="single" w:color="auto" w:sz="4" w:space="0"/>
              <w:right w:val="nil"/>
            </w:tcBorders>
            <w:shd w:val="clear" w:color="000000" w:fill="FFFFFF"/>
            <w:noWrap/>
            <w:vAlign w:val="bottom"/>
          </w:tcPr>
          <w:p w14:paraId="473F672F">
            <w:r>
              <w:rPr>
                <w:rFonts w:hint="eastAsia"/>
              </w:rPr>
              <w:t>　</w:t>
            </w:r>
          </w:p>
        </w:tc>
        <w:tc>
          <w:tcPr>
            <w:tcW w:w="348" w:type="dxa"/>
            <w:tcBorders>
              <w:top w:val="nil"/>
              <w:left w:val="single" w:color="auto" w:sz="4" w:space="0"/>
              <w:bottom w:val="single" w:color="auto" w:sz="4" w:space="0"/>
              <w:right w:val="nil"/>
            </w:tcBorders>
            <w:shd w:val="clear" w:color="000000" w:fill="FFFFFF"/>
            <w:noWrap/>
            <w:vAlign w:val="bottom"/>
          </w:tcPr>
          <w:p w14:paraId="64762A3A">
            <w:r>
              <w:rPr>
                <w:rFonts w:hint="eastAsia"/>
              </w:rPr>
              <w:t>　</w:t>
            </w:r>
          </w:p>
        </w:tc>
        <w:tc>
          <w:tcPr>
            <w:tcW w:w="336" w:type="dxa"/>
            <w:tcBorders>
              <w:top w:val="nil"/>
              <w:left w:val="nil"/>
              <w:bottom w:val="single" w:color="auto" w:sz="4" w:space="0"/>
              <w:right w:val="nil"/>
            </w:tcBorders>
            <w:shd w:val="clear" w:color="000000" w:fill="FFFFFF"/>
            <w:noWrap/>
            <w:vAlign w:val="bottom"/>
          </w:tcPr>
          <w:p w14:paraId="3EFE1869">
            <w:r>
              <w:rPr>
                <w:rFonts w:hint="eastAsia"/>
              </w:rPr>
              <w:t>　</w:t>
            </w:r>
          </w:p>
        </w:tc>
        <w:tc>
          <w:tcPr>
            <w:tcW w:w="228" w:type="dxa"/>
            <w:tcBorders>
              <w:top w:val="nil"/>
              <w:left w:val="nil"/>
              <w:bottom w:val="single" w:color="auto" w:sz="4" w:space="0"/>
              <w:right w:val="nil"/>
            </w:tcBorders>
            <w:shd w:val="clear" w:color="000000" w:fill="FFFFFF"/>
            <w:noWrap/>
            <w:vAlign w:val="bottom"/>
          </w:tcPr>
          <w:p w14:paraId="00324E63">
            <w:r>
              <w:rPr>
                <w:rFonts w:hint="eastAsia"/>
              </w:rPr>
              <w:t>　</w:t>
            </w:r>
          </w:p>
        </w:tc>
        <w:tc>
          <w:tcPr>
            <w:tcW w:w="228" w:type="dxa"/>
            <w:tcBorders>
              <w:top w:val="nil"/>
              <w:left w:val="single" w:color="auto" w:sz="4" w:space="0"/>
              <w:bottom w:val="single" w:color="auto" w:sz="4" w:space="0"/>
              <w:right w:val="nil"/>
            </w:tcBorders>
            <w:shd w:val="clear" w:color="000000" w:fill="FFFFFF"/>
            <w:noWrap/>
            <w:vAlign w:val="bottom"/>
          </w:tcPr>
          <w:p w14:paraId="47E8DED9">
            <w:r>
              <w:rPr>
                <w:rFonts w:hint="eastAsia"/>
              </w:rPr>
              <w:t>　</w:t>
            </w:r>
          </w:p>
        </w:tc>
        <w:tc>
          <w:tcPr>
            <w:tcW w:w="1080" w:type="dxa"/>
            <w:tcBorders>
              <w:top w:val="nil"/>
              <w:left w:val="nil"/>
              <w:bottom w:val="single" w:color="auto" w:sz="4" w:space="0"/>
              <w:right w:val="nil"/>
            </w:tcBorders>
            <w:shd w:val="clear" w:color="000000" w:fill="FFFFFF"/>
            <w:noWrap/>
            <w:vAlign w:val="bottom"/>
          </w:tcPr>
          <w:p w14:paraId="0D5DE373">
            <w:r>
              <w:rPr>
                <w:rFonts w:hint="eastAsia"/>
              </w:rPr>
              <w:t>　</w:t>
            </w:r>
          </w:p>
        </w:tc>
        <w:tc>
          <w:tcPr>
            <w:tcW w:w="2320" w:type="dxa"/>
            <w:tcBorders>
              <w:top w:val="nil"/>
              <w:left w:val="nil"/>
              <w:bottom w:val="nil"/>
              <w:right w:val="nil"/>
            </w:tcBorders>
            <w:shd w:val="clear" w:color="000000" w:fill="FFFFFF"/>
            <w:noWrap/>
            <w:vAlign w:val="bottom"/>
          </w:tcPr>
          <w:p w14:paraId="4399BBF0">
            <w:r>
              <w:rPr>
                <w:rFonts w:hint="eastAsia"/>
              </w:rPr>
              <w:t>深圳</w:t>
            </w:r>
          </w:p>
        </w:tc>
      </w:tr>
      <w:tr w14:paraId="693BCED2">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14:paraId="31D354E1">
            <w:r>
              <w:rPr>
                <w:rFonts w:hint="eastAsia"/>
              </w:rPr>
              <w:t>　</w:t>
            </w:r>
          </w:p>
        </w:tc>
        <w:tc>
          <w:tcPr>
            <w:tcW w:w="222" w:type="dxa"/>
            <w:tcBorders>
              <w:top w:val="nil"/>
              <w:left w:val="nil"/>
              <w:bottom w:val="nil"/>
              <w:right w:val="nil"/>
            </w:tcBorders>
            <w:shd w:val="clear" w:color="000000" w:fill="FFFFFF"/>
            <w:noWrap/>
            <w:vAlign w:val="bottom"/>
          </w:tcPr>
          <w:p w14:paraId="367508F1">
            <w:r>
              <w:rPr>
                <w:rFonts w:hint="eastAsia"/>
              </w:rPr>
              <w:t>　</w:t>
            </w:r>
          </w:p>
        </w:tc>
        <w:tc>
          <w:tcPr>
            <w:tcW w:w="222" w:type="dxa"/>
            <w:tcBorders>
              <w:top w:val="nil"/>
              <w:left w:val="nil"/>
              <w:bottom w:val="nil"/>
              <w:right w:val="nil"/>
            </w:tcBorders>
            <w:shd w:val="clear" w:color="000000" w:fill="FFFFFF"/>
            <w:noWrap/>
            <w:vAlign w:val="bottom"/>
          </w:tcPr>
          <w:p w14:paraId="7CDC3A05">
            <w:r>
              <w:rPr>
                <w:rFonts w:hint="eastAsia"/>
              </w:rPr>
              <w:t>　</w:t>
            </w:r>
          </w:p>
        </w:tc>
        <w:tc>
          <w:tcPr>
            <w:tcW w:w="236" w:type="dxa"/>
            <w:tcBorders>
              <w:top w:val="nil"/>
              <w:left w:val="single" w:color="auto" w:sz="4" w:space="0"/>
              <w:bottom w:val="single" w:color="auto" w:sz="4" w:space="0"/>
              <w:right w:val="nil"/>
            </w:tcBorders>
            <w:shd w:val="clear" w:color="000000" w:fill="FFFFFF"/>
            <w:noWrap/>
            <w:vAlign w:val="bottom"/>
          </w:tcPr>
          <w:p w14:paraId="300375E1">
            <w:r>
              <w:rPr>
                <w:rFonts w:hint="eastAsia"/>
              </w:rPr>
              <w:t>　</w:t>
            </w:r>
          </w:p>
        </w:tc>
        <w:tc>
          <w:tcPr>
            <w:tcW w:w="236" w:type="dxa"/>
            <w:tcBorders>
              <w:top w:val="nil"/>
              <w:left w:val="nil"/>
              <w:bottom w:val="single" w:color="auto" w:sz="4" w:space="0"/>
              <w:right w:val="nil"/>
            </w:tcBorders>
            <w:shd w:val="clear" w:color="000000" w:fill="FFFFFF"/>
            <w:noWrap/>
            <w:vAlign w:val="bottom"/>
          </w:tcPr>
          <w:p w14:paraId="72FC3294">
            <w:r>
              <w:rPr>
                <w:rFonts w:hint="eastAsia"/>
              </w:rPr>
              <w:t>　</w:t>
            </w:r>
          </w:p>
        </w:tc>
        <w:tc>
          <w:tcPr>
            <w:tcW w:w="222" w:type="dxa"/>
            <w:tcBorders>
              <w:top w:val="nil"/>
              <w:left w:val="single" w:color="auto" w:sz="4" w:space="0"/>
              <w:bottom w:val="single" w:color="auto" w:sz="4" w:space="0"/>
              <w:right w:val="nil"/>
            </w:tcBorders>
            <w:shd w:val="clear" w:color="000000" w:fill="FFFFFF"/>
            <w:noWrap/>
            <w:vAlign w:val="bottom"/>
          </w:tcPr>
          <w:p w14:paraId="462A5F76">
            <w:r>
              <w:rPr>
                <w:rFonts w:hint="eastAsia"/>
              </w:rPr>
              <w:t>　</w:t>
            </w:r>
          </w:p>
        </w:tc>
        <w:tc>
          <w:tcPr>
            <w:tcW w:w="336" w:type="dxa"/>
            <w:tcBorders>
              <w:top w:val="nil"/>
              <w:left w:val="nil"/>
              <w:bottom w:val="single" w:color="auto" w:sz="4" w:space="0"/>
              <w:right w:val="nil"/>
            </w:tcBorders>
            <w:shd w:val="clear" w:color="000000" w:fill="FFFFFF"/>
            <w:noWrap/>
            <w:vAlign w:val="bottom"/>
          </w:tcPr>
          <w:p w14:paraId="35E208EF">
            <w:r>
              <w:rPr>
                <w:rFonts w:hint="eastAsia"/>
              </w:rPr>
              <w:t>　</w:t>
            </w:r>
          </w:p>
        </w:tc>
        <w:tc>
          <w:tcPr>
            <w:tcW w:w="348" w:type="dxa"/>
            <w:tcBorders>
              <w:top w:val="nil"/>
              <w:left w:val="nil"/>
              <w:bottom w:val="single" w:color="auto" w:sz="4" w:space="0"/>
              <w:right w:val="nil"/>
            </w:tcBorders>
            <w:shd w:val="clear" w:color="000000" w:fill="FFFFFF"/>
            <w:noWrap/>
            <w:vAlign w:val="bottom"/>
          </w:tcPr>
          <w:p w14:paraId="1DFC94FA">
            <w:r>
              <w:rPr>
                <w:rFonts w:hint="eastAsia"/>
              </w:rPr>
              <w:t>　</w:t>
            </w:r>
          </w:p>
        </w:tc>
        <w:tc>
          <w:tcPr>
            <w:tcW w:w="348" w:type="dxa"/>
            <w:tcBorders>
              <w:top w:val="nil"/>
              <w:left w:val="single" w:color="auto" w:sz="4" w:space="0"/>
              <w:bottom w:val="single" w:color="auto" w:sz="4" w:space="0"/>
              <w:right w:val="nil"/>
            </w:tcBorders>
            <w:shd w:val="clear" w:color="000000" w:fill="FFFFFF"/>
            <w:noWrap/>
            <w:vAlign w:val="bottom"/>
          </w:tcPr>
          <w:p w14:paraId="371E0827">
            <w:r>
              <w:rPr>
                <w:rFonts w:hint="eastAsia"/>
              </w:rPr>
              <w:t>　</w:t>
            </w:r>
          </w:p>
        </w:tc>
        <w:tc>
          <w:tcPr>
            <w:tcW w:w="336" w:type="dxa"/>
            <w:tcBorders>
              <w:top w:val="nil"/>
              <w:left w:val="nil"/>
              <w:bottom w:val="single" w:color="auto" w:sz="4" w:space="0"/>
              <w:right w:val="nil"/>
            </w:tcBorders>
            <w:shd w:val="clear" w:color="000000" w:fill="FFFFFF"/>
            <w:noWrap/>
            <w:vAlign w:val="bottom"/>
          </w:tcPr>
          <w:p w14:paraId="39753D9D">
            <w:r>
              <w:rPr>
                <w:rFonts w:hint="eastAsia"/>
              </w:rPr>
              <w:t>　</w:t>
            </w:r>
          </w:p>
        </w:tc>
        <w:tc>
          <w:tcPr>
            <w:tcW w:w="228" w:type="dxa"/>
            <w:tcBorders>
              <w:top w:val="nil"/>
              <w:left w:val="nil"/>
              <w:bottom w:val="single" w:color="auto" w:sz="4" w:space="0"/>
              <w:right w:val="nil"/>
            </w:tcBorders>
            <w:shd w:val="clear" w:color="000000" w:fill="FFFFFF"/>
            <w:noWrap/>
            <w:vAlign w:val="bottom"/>
          </w:tcPr>
          <w:p w14:paraId="2266743F">
            <w:r>
              <w:rPr>
                <w:rFonts w:hint="eastAsia"/>
              </w:rPr>
              <w:t>　</w:t>
            </w:r>
          </w:p>
        </w:tc>
        <w:tc>
          <w:tcPr>
            <w:tcW w:w="228" w:type="dxa"/>
            <w:tcBorders>
              <w:top w:val="nil"/>
              <w:left w:val="single" w:color="auto" w:sz="4" w:space="0"/>
              <w:bottom w:val="single" w:color="auto" w:sz="4" w:space="0"/>
              <w:right w:val="nil"/>
            </w:tcBorders>
            <w:shd w:val="clear" w:color="000000" w:fill="FFFFFF"/>
            <w:noWrap/>
            <w:vAlign w:val="bottom"/>
          </w:tcPr>
          <w:p w14:paraId="5AA79475">
            <w:r>
              <w:rPr>
                <w:rFonts w:hint="eastAsia"/>
              </w:rPr>
              <w:t>　</w:t>
            </w:r>
          </w:p>
        </w:tc>
        <w:tc>
          <w:tcPr>
            <w:tcW w:w="1080" w:type="dxa"/>
            <w:tcBorders>
              <w:top w:val="nil"/>
              <w:left w:val="nil"/>
              <w:bottom w:val="single" w:color="auto" w:sz="4" w:space="0"/>
              <w:right w:val="nil"/>
            </w:tcBorders>
            <w:shd w:val="clear" w:color="000000" w:fill="FFFFFF"/>
            <w:noWrap/>
            <w:vAlign w:val="bottom"/>
          </w:tcPr>
          <w:p w14:paraId="268EF590">
            <w:r>
              <w:rPr>
                <w:rFonts w:hint="eastAsia"/>
              </w:rPr>
              <w:t>　</w:t>
            </w:r>
          </w:p>
        </w:tc>
        <w:tc>
          <w:tcPr>
            <w:tcW w:w="2320" w:type="dxa"/>
            <w:tcBorders>
              <w:top w:val="nil"/>
              <w:left w:val="nil"/>
              <w:bottom w:val="nil"/>
              <w:right w:val="nil"/>
            </w:tcBorders>
            <w:shd w:val="clear" w:color="000000" w:fill="FFFFFF"/>
            <w:noWrap/>
            <w:vAlign w:val="bottom"/>
          </w:tcPr>
          <w:p w14:paraId="03E1864F">
            <w:r>
              <w:rPr>
                <w:rFonts w:hint="eastAsia"/>
              </w:rPr>
              <w:t>范本</w:t>
            </w:r>
          </w:p>
        </w:tc>
      </w:tr>
      <w:tr w14:paraId="719DEB47">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14:paraId="73592110">
            <w:r>
              <w:rPr>
                <w:rFonts w:hint="eastAsia"/>
              </w:rPr>
              <w:t>　</w:t>
            </w:r>
          </w:p>
        </w:tc>
        <w:tc>
          <w:tcPr>
            <w:tcW w:w="222" w:type="dxa"/>
            <w:tcBorders>
              <w:top w:val="nil"/>
              <w:left w:val="nil"/>
              <w:bottom w:val="nil"/>
              <w:right w:val="nil"/>
            </w:tcBorders>
            <w:shd w:val="clear" w:color="000000" w:fill="FFFFFF"/>
            <w:noWrap/>
            <w:vAlign w:val="bottom"/>
          </w:tcPr>
          <w:p w14:paraId="7D7B5DB6">
            <w:r>
              <w:rPr>
                <w:rFonts w:hint="eastAsia"/>
              </w:rPr>
              <w:t>　</w:t>
            </w:r>
          </w:p>
        </w:tc>
        <w:tc>
          <w:tcPr>
            <w:tcW w:w="222" w:type="dxa"/>
            <w:tcBorders>
              <w:top w:val="nil"/>
              <w:left w:val="nil"/>
              <w:bottom w:val="nil"/>
              <w:right w:val="nil"/>
            </w:tcBorders>
            <w:shd w:val="clear" w:color="000000" w:fill="FFFFFF"/>
            <w:noWrap/>
            <w:vAlign w:val="bottom"/>
          </w:tcPr>
          <w:p w14:paraId="6B1DD8F1">
            <w:r>
              <w:rPr>
                <w:rFonts w:hint="eastAsia"/>
              </w:rPr>
              <w:t>　</w:t>
            </w:r>
          </w:p>
        </w:tc>
        <w:tc>
          <w:tcPr>
            <w:tcW w:w="236" w:type="dxa"/>
            <w:tcBorders>
              <w:top w:val="nil"/>
              <w:left w:val="nil"/>
              <w:bottom w:val="nil"/>
              <w:right w:val="nil"/>
            </w:tcBorders>
            <w:shd w:val="clear" w:color="000000" w:fill="FFFFFF"/>
            <w:noWrap/>
            <w:vAlign w:val="bottom"/>
          </w:tcPr>
          <w:p w14:paraId="09ADDFA9">
            <w:r>
              <w:rPr>
                <w:rFonts w:hint="eastAsia"/>
              </w:rPr>
              <w:t>　</w:t>
            </w:r>
          </w:p>
        </w:tc>
        <w:tc>
          <w:tcPr>
            <w:tcW w:w="236" w:type="dxa"/>
            <w:tcBorders>
              <w:top w:val="nil"/>
              <w:left w:val="nil"/>
              <w:bottom w:val="nil"/>
              <w:right w:val="nil"/>
            </w:tcBorders>
            <w:shd w:val="clear" w:color="000000" w:fill="FFFFFF"/>
            <w:noWrap/>
            <w:vAlign w:val="bottom"/>
          </w:tcPr>
          <w:p w14:paraId="4B4BA9DB">
            <w:r>
              <w:rPr>
                <w:rFonts w:hint="eastAsia"/>
              </w:rPr>
              <w:t>　</w:t>
            </w:r>
          </w:p>
        </w:tc>
        <w:tc>
          <w:tcPr>
            <w:tcW w:w="222" w:type="dxa"/>
            <w:tcBorders>
              <w:top w:val="nil"/>
              <w:left w:val="single" w:color="auto" w:sz="4" w:space="0"/>
              <w:bottom w:val="single" w:color="auto" w:sz="4" w:space="0"/>
              <w:right w:val="nil"/>
            </w:tcBorders>
            <w:shd w:val="clear" w:color="000000" w:fill="FFFFFF"/>
            <w:noWrap/>
            <w:vAlign w:val="bottom"/>
          </w:tcPr>
          <w:p w14:paraId="3C47D8CD">
            <w:r>
              <w:rPr>
                <w:rFonts w:hint="eastAsia"/>
              </w:rPr>
              <w:t>　</w:t>
            </w:r>
          </w:p>
        </w:tc>
        <w:tc>
          <w:tcPr>
            <w:tcW w:w="336" w:type="dxa"/>
            <w:tcBorders>
              <w:top w:val="nil"/>
              <w:left w:val="nil"/>
              <w:bottom w:val="single" w:color="auto" w:sz="4" w:space="0"/>
              <w:right w:val="nil"/>
            </w:tcBorders>
            <w:shd w:val="clear" w:color="000000" w:fill="FFFFFF"/>
            <w:noWrap/>
            <w:vAlign w:val="bottom"/>
          </w:tcPr>
          <w:p w14:paraId="1DAD920C">
            <w:r>
              <w:rPr>
                <w:rFonts w:hint="eastAsia"/>
              </w:rPr>
              <w:t>　</w:t>
            </w:r>
          </w:p>
        </w:tc>
        <w:tc>
          <w:tcPr>
            <w:tcW w:w="348" w:type="dxa"/>
            <w:tcBorders>
              <w:top w:val="nil"/>
              <w:left w:val="nil"/>
              <w:bottom w:val="single" w:color="auto" w:sz="4" w:space="0"/>
              <w:right w:val="nil"/>
            </w:tcBorders>
            <w:shd w:val="clear" w:color="000000" w:fill="FFFFFF"/>
            <w:noWrap/>
            <w:vAlign w:val="bottom"/>
          </w:tcPr>
          <w:p w14:paraId="5B5839E4">
            <w:r>
              <w:rPr>
                <w:rFonts w:hint="eastAsia"/>
              </w:rPr>
              <w:t>　</w:t>
            </w:r>
          </w:p>
        </w:tc>
        <w:tc>
          <w:tcPr>
            <w:tcW w:w="348" w:type="dxa"/>
            <w:tcBorders>
              <w:top w:val="nil"/>
              <w:left w:val="single" w:color="auto" w:sz="4" w:space="0"/>
              <w:bottom w:val="single" w:color="auto" w:sz="4" w:space="0"/>
              <w:right w:val="nil"/>
            </w:tcBorders>
            <w:shd w:val="clear" w:color="000000" w:fill="FFFFFF"/>
            <w:noWrap/>
            <w:vAlign w:val="bottom"/>
          </w:tcPr>
          <w:p w14:paraId="69A94F5A">
            <w:r>
              <w:rPr>
                <w:rFonts w:hint="eastAsia"/>
              </w:rPr>
              <w:t>　</w:t>
            </w:r>
          </w:p>
        </w:tc>
        <w:tc>
          <w:tcPr>
            <w:tcW w:w="336" w:type="dxa"/>
            <w:tcBorders>
              <w:top w:val="nil"/>
              <w:left w:val="nil"/>
              <w:bottom w:val="single" w:color="auto" w:sz="4" w:space="0"/>
              <w:right w:val="nil"/>
            </w:tcBorders>
            <w:shd w:val="clear" w:color="000000" w:fill="FFFFFF"/>
            <w:noWrap/>
            <w:vAlign w:val="bottom"/>
          </w:tcPr>
          <w:p w14:paraId="633276F7">
            <w:r>
              <w:rPr>
                <w:rFonts w:hint="eastAsia"/>
              </w:rPr>
              <w:t>　</w:t>
            </w:r>
          </w:p>
        </w:tc>
        <w:tc>
          <w:tcPr>
            <w:tcW w:w="228" w:type="dxa"/>
            <w:tcBorders>
              <w:top w:val="nil"/>
              <w:left w:val="nil"/>
              <w:bottom w:val="single" w:color="auto" w:sz="4" w:space="0"/>
              <w:right w:val="nil"/>
            </w:tcBorders>
            <w:shd w:val="clear" w:color="000000" w:fill="FFFFFF"/>
            <w:noWrap/>
            <w:vAlign w:val="bottom"/>
          </w:tcPr>
          <w:p w14:paraId="08C4AC2D">
            <w:r>
              <w:rPr>
                <w:rFonts w:hint="eastAsia"/>
              </w:rPr>
              <w:t>　</w:t>
            </w:r>
          </w:p>
        </w:tc>
        <w:tc>
          <w:tcPr>
            <w:tcW w:w="228" w:type="dxa"/>
            <w:tcBorders>
              <w:top w:val="nil"/>
              <w:left w:val="single" w:color="auto" w:sz="4" w:space="0"/>
              <w:bottom w:val="single" w:color="auto" w:sz="4" w:space="0"/>
              <w:right w:val="nil"/>
            </w:tcBorders>
            <w:shd w:val="clear" w:color="000000" w:fill="FFFFFF"/>
            <w:noWrap/>
            <w:vAlign w:val="bottom"/>
          </w:tcPr>
          <w:p w14:paraId="652D0AD6">
            <w:r>
              <w:rPr>
                <w:rFonts w:hint="eastAsia"/>
              </w:rPr>
              <w:t>　</w:t>
            </w:r>
          </w:p>
        </w:tc>
        <w:tc>
          <w:tcPr>
            <w:tcW w:w="1080" w:type="dxa"/>
            <w:tcBorders>
              <w:top w:val="nil"/>
              <w:left w:val="nil"/>
              <w:bottom w:val="single" w:color="auto" w:sz="4" w:space="0"/>
              <w:right w:val="nil"/>
            </w:tcBorders>
            <w:shd w:val="clear" w:color="000000" w:fill="FFFFFF"/>
            <w:noWrap/>
            <w:vAlign w:val="bottom"/>
          </w:tcPr>
          <w:p w14:paraId="7513413E">
            <w:r>
              <w:rPr>
                <w:rFonts w:hint="eastAsia"/>
              </w:rPr>
              <w:t>　</w:t>
            </w:r>
          </w:p>
        </w:tc>
        <w:tc>
          <w:tcPr>
            <w:tcW w:w="2320" w:type="dxa"/>
            <w:tcBorders>
              <w:top w:val="nil"/>
              <w:left w:val="nil"/>
              <w:bottom w:val="nil"/>
              <w:right w:val="nil"/>
            </w:tcBorders>
            <w:shd w:val="clear" w:color="000000" w:fill="FFFFFF"/>
            <w:noWrap/>
            <w:vAlign w:val="bottom"/>
          </w:tcPr>
          <w:p w14:paraId="72F37D0B">
            <w:r>
              <w:rPr>
                <w:rFonts w:hint="eastAsia"/>
              </w:rPr>
              <w:t>招标工程单价合同</w:t>
            </w:r>
          </w:p>
        </w:tc>
      </w:tr>
      <w:tr w14:paraId="14A7192E">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14:paraId="7C0FD417">
            <w:r>
              <w:rPr>
                <w:rFonts w:hint="eastAsia"/>
              </w:rPr>
              <w:t>　</w:t>
            </w:r>
          </w:p>
        </w:tc>
        <w:tc>
          <w:tcPr>
            <w:tcW w:w="222" w:type="dxa"/>
            <w:tcBorders>
              <w:top w:val="nil"/>
              <w:left w:val="nil"/>
              <w:bottom w:val="nil"/>
              <w:right w:val="nil"/>
            </w:tcBorders>
            <w:shd w:val="clear" w:color="000000" w:fill="FFFFFF"/>
            <w:noWrap/>
            <w:vAlign w:val="bottom"/>
          </w:tcPr>
          <w:p w14:paraId="52244506">
            <w:r>
              <w:rPr>
                <w:rFonts w:hint="eastAsia"/>
              </w:rPr>
              <w:t>　</w:t>
            </w:r>
          </w:p>
        </w:tc>
        <w:tc>
          <w:tcPr>
            <w:tcW w:w="222" w:type="dxa"/>
            <w:tcBorders>
              <w:top w:val="nil"/>
              <w:left w:val="nil"/>
              <w:bottom w:val="nil"/>
              <w:right w:val="nil"/>
            </w:tcBorders>
            <w:shd w:val="clear" w:color="000000" w:fill="FFFFFF"/>
            <w:noWrap/>
            <w:vAlign w:val="bottom"/>
          </w:tcPr>
          <w:p w14:paraId="3E73E2A9">
            <w:r>
              <w:rPr>
                <w:rFonts w:hint="eastAsia"/>
              </w:rPr>
              <w:t>　</w:t>
            </w:r>
          </w:p>
        </w:tc>
        <w:tc>
          <w:tcPr>
            <w:tcW w:w="236" w:type="dxa"/>
            <w:tcBorders>
              <w:top w:val="nil"/>
              <w:left w:val="nil"/>
              <w:bottom w:val="nil"/>
              <w:right w:val="nil"/>
            </w:tcBorders>
            <w:shd w:val="clear" w:color="000000" w:fill="FFFFFF"/>
            <w:noWrap/>
            <w:vAlign w:val="bottom"/>
          </w:tcPr>
          <w:p w14:paraId="6CFCE155">
            <w:r>
              <w:rPr>
                <w:rFonts w:hint="eastAsia"/>
              </w:rPr>
              <w:t>　</w:t>
            </w:r>
          </w:p>
        </w:tc>
        <w:tc>
          <w:tcPr>
            <w:tcW w:w="236" w:type="dxa"/>
            <w:tcBorders>
              <w:top w:val="nil"/>
              <w:left w:val="nil"/>
              <w:bottom w:val="nil"/>
              <w:right w:val="nil"/>
            </w:tcBorders>
            <w:shd w:val="clear" w:color="000000" w:fill="FFFFFF"/>
            <w:noWrap/>
            <w:vAlign w:val="bottom"/>
          </w:tcPr>
          <w:p w14:paraId="4EC6879B">
            <w:r>
              <w:rPr>
                <w:rFonts w:hint="eastAsia"/>
              </w:rPr>
              <w:t>　</w:t>
            </w:r>
          </w:p>
        </w:tc>
        <w:tc>
          <w:tcPr>
            <w:tcW w:w="222" w:type="dxa"/>
            <w:tcBorders>
              <w:top w:val="nil"/>
              <w:left w:val="nil"/>
              <w:bottom w:val="nil"/>
              <w:right w:val="nil"/>
            </w:tcBorders>
            <w:shd w:val="clear" w:color="000000" w:fill="FFFFFF"/>
            <w:noWrap/>
            <w:vAlign w:val="bottom"/>
          </w:tcPr>
          <w:p w14:paraId="1C447C02">
            <w:r>
              <w:rPr>
                <w:rFonts w:hint="eastAsia"/>
              </w:rPr>
              <w:t>　</w:t>
            </w:r>
          </w:p>
        </w:tc>
        <w:tc>
          <w:tcPr>
            <w:tcW w:w="336" w:type="dxa"/>
            <w:tcBorders>
              <w:top w:val="nil"/>
              <w:left w:val="nil"/>
              <w:bottom w:val="nil"/>
              <w:right w:val="nil"/>
            </w:tcBorders>
            <w:shd w:val="clear" w:color="000000" w:fill="FFFFFF"/>
            <w:noWrap/>
            <w:vAlign w:val="bottom"/>
          </w:tcPr>
          <w:p w14:paraId="407D6508">
            <w:r>
              <w:rPr>
                <w:rFonts w:hint="eastAsia"/>
              </w:rPr>
              <w:t>　</w:t>
            </w:r>
          </w:p>
        </w:tc>
        <w:tc>
          <w:tcPr>
            <w:tcW w:w="348" w:type="dxa"/>
            <w:tcBorders>
              <w:top w:val="nil"/>
              <w:left w:val="nil"/>
              <w:bottom w:val="nil"/>
              <w:right w:val="nil"/>
            </w:tcBorders>
            <w:shd w:val="clear" w:color="000000" w:fill="FFFFFF"/>
            <w:noWrap/>
            <w:vAlign w:val="bottom"/>
          </w:tcPr>
          <w:p w14:paraId="6CA743F6">
            <w:r>
              <w:rPr>
                <w:rFonts w:hint="eastAsia"/>
              </w:rPr>
              <w:t>　</w:t>
            </w:r>
          </w:p>
        </w:tc>
        <w:tc>
          <w:tcPr>
            <w:tcW w:w="348" w:type="dxa"/>
            <w:tcBorders>
              <w:top w:val="nil"/>
              <w:left w:val="single" w:color="auto" w:sz="4" w:space="0"/>
              <w:bottom w:val="single" w:color="auto" w:sz="4" w:space="0"/>
              <w:right w:val="nil"/>
            </w:tcBorders>
            <w:shd w:val="clear" w:color="000000" w:fill="FFFFFF"/>
            <w:noWrap/>
            <w:vAlign w:val="bottom"/>
          </w:tcPr>
          <w:p w14:paraId="7EA3DCD3">
            <w:r>
              <w:rPr>
                <w:rFonts w:hint="eastAsia"/>
              </w:rPr>
              <w:t>　</w:t>
            </w:r>
          </w:p>
        </w:tc>
        <w:tc>
          <w:tcPr>
            <w:tcW w:w="336" w:type="dxa"/>
            <w:tcBorders>
              <w:top w:val="nil"/>
              <w:left w:val="nil"/>
              <w:bottom w:val="single" w:color="auto" w:sz="4" w:space="0"/>
              <w:right w:val="nil"/>
            </w:tcBorders>
            <w:shd w:val="clear" w:color="000000" w:fill="FFFFFF"/>
            <w:noWrap/>
            <w:vAlign w:val="bottom"/>
          </w:tcPr>
          <w:p w14:paraId="6A7F8752">
            <w:r>
              <w:rPr>
                <w:rFonts w:hint="eastAsia"/>
              </w:rPr>
              <w:t>　</w:t>
            </w:r>
          </w:p>
        </w:tc>
        <w:tc>
          <w:tcPr>
            <w:tcW w:w="228" w:type="dxa"/>
            <w:tcBorders>
              <w:top w:val="nil"/>
              <w:left w:val="nil"/>
              <w:bottom w:val="single" w:color="auto" w:sz="4" w:space="0"/>
              <w:right w:val="nil"/>
            </w:tcBorders>
            <w:shd w:val="clear" w:color="000000" w:fill="FFFFFF"/>
            <w:noWrap/>
            <w:vAlign w:val="bottom"/>
          </w:tcPr>
          <w:p w14:paraId="28A2BB0B">
            <w:r>
              <w:rPr>
                <w:rFonts w:hint="eastAsia"/>
              </w:rPr>
              <w:t>　</w:t>
            </w:r>
          </w:p>
        </w:tc>
        <w:tc>
          <w:tcPr>
            <w:tcW w:w="228" w:type="dxa"/>
            <w:tcBorders>
              <w:top w:val="nil"/>
              <w:left w:val="single" w:color="auto" w:sz="4" w:space="0"/>
              <w:bottom w:val="single" w:color="auto" w:sz="4" w:space="0"/>
              <w:right w:val="nil"/>
            </w:tcBorders>
            <w:shd w:val="clear" w:color="000000" w:fill="FFFFFF"/>
            <w:noWrap/>
            <w:vAlign w:val="bottom"/>
          </w:tcPr>
          <w:p w14:paraId="54BD6705">
            <w:r>
              <w:rPr>
                <w:rFonts w:hint="eastAsia"/>
              </w:rPr>
              <w:t>　</w:t>
            </w:r>
          </w:p>
        </w:tc>
        <w:tc>
          <w:tcPr>
            <w:tcW w:w="1080" w:type="dxa"/>
            <w:tcBorders>
              <w:top w:val="nil"/>
              <w:left w:val="nil"/>
              <w:bottom w:val="single" w:color="auto" w:sz="4" w:space="0"/>
              <w:right w:val="nil"/>
            </w:tcBorders>
            <w:shd w:val="clear" w:color="000000" w:fill="FFFFFF"/>
            <w:noWrap/>
            <w:vAlign w:val="bottom"/>
          </w:tcPr>
          <w:p w14:paraId="569A3D37">
            <w:r>
              <w:rPr>
                <w:rFonts w:hint="eastAsia"/>
              </w:rPr>
              <w:t>　</w:t>
            </w:r>
          </w:p>
        </w:tc>
        <w:tc>
          <w:tcPr>
            <w:tcW w:w="2320" w:type="dxa"/>
            <w:tcBorders>
              <w:top w:val="nil"/>
              <w:left w:val="nil"/>
              <w:bottom w:val="nil"/>
              <w:right w:val="nil"/>
            </w:tcBorders>
            <w:shd w:val="clear" w:color="000000" w:fill="FFFFFF"/>
            <w:noWrap/>
            <w:vAlign w:val="bottom"/>
          </w:tcPr>
          <w:p w14:paraId="6E311A5C">
            <w:r>
              <w:rPr>
                <w:rFonts w:hint="eastAsia"/>
              </w:rPr>
              <w:t>2015版</w:t>
            </w:r>
          </w:p>
        </w:tc>
      </w:tr>
      <w:tr w14:paraId="5758821A">
        <w:tblPrEx>
          <w:tblCellMar>
            <w:top w:w="0" w:type="dxa"/>
            <w:left w:w="108" w:type="dxa"/>
            <w:bottom w:w="0" w:type="dxa"/>
            <w:right w:w="108" w:type="dxa"/>
          </w:tblCellMar>
        </w:tblPrEx>
        <w:trPr>
          <w:trHeight w:val="270" w:hRule="atLeast"/>
          <w:jc w:val="center"/>
        </w:trPr>
        <w:tc>
          <w:tcPr>
            <w:tcW w:w="222" w:type="dxa"/>
            <w:tcBorders>
              <w:top w:val="nil"/>
              <w:left w:val="nil"/>
              <w:bottom w:val="nil"/>
              <w:right w:val="nil"/>
            </w:tcBorders>
            <w:shd w:val="clear" w:color="000000" w:fill="FFFFFF"/>
            <w:noWrap/>
            <w:vAlign w:val="bottom"/>
          </w:tcPr>
          <w:p w14:paraId="68B8E2CF">
            <w:r>
              <w:rPr>
                <w:rFonts w:hint="eastAsia"/>
              </w:rPr>
              <w:t>　</w:t>
            </w:r>
          </w:p>
        </w:tc>
        <w:tc>
          <w:tcPr>
            <w:tcW w:w="222" w:type="dxa"/>
            <w:tcBorders>
              <w:top w:val="nil"/>
              <w:left w:val="nil"/>
              <w:bottom w:val="nil"/>
              <w:right w:val="nil"/>
            </w:tcBorders>
            <w:shd w:val="clear" w:color="000000" w:fill="FFFFFF"/>
            <w:noWrap/>
            <w:vAlign w:val="bottom"/>
          </w:tcPr>
          <w:p w14:paraId="0E393039">
            <w:r>
              <w:rPr>
                <w:rFonts w:hint="eastAsia"/>
              </w:rPr>
              <w:t>　</w:t>
            </w:r>
          </w:p>
        </w:tc>
        <w:tc>
          <w:tcPr>
            <w:tcW w:w="222" w:type="dxa"/>
            <w:tcBorders>
              <w:top w:val="nil"/>
              <w:left w:val="nil"/>
              <w:bottom w:val="nil"/>
              <w:right w:val="nil"/>
            </w:tcBorders>
            <w:shd w:val="clear" w:color="000000" w:fill="FFFFFF"/>
            <w:noWrap/>
            <w:vAlign w:val="bottom"/>
          </w:tcPr>
          <w:p w14:paraId="077CCB1D">
            <w:r>
              <w:rPr>
                <w:rFonts w:hint="eastAsia"/>
              </w:rPr>
              <w:t>　</w:t>
            </w:r>
          </w:p>
        </w:tc>
        <w:tc>
          <w:tcPr>
            <w:tcW w:w="236" w:type="dxa"/>
            <w:tcBorders>
              <w:top w:val="nil"/>
              <w:left w:val="nil"/>
              <w:bottom w:val="nil"/>
              <w:right w:val="nil"/>
            </w:tcBorders>
            <w:shd w:val="clear" w:color="000000" w:fill="FFFFFF"/>
            <w:noWrap/>
            <w:vAlign w:val="bottom"/>
          </w:tcPr>
          <w:p w14:paraId="3FE6EEEA">
            <w:r>
              <w:rPr>
                <w:rFonts w:hint="eastAsia"/>
              </w:rPr>
              <w:t>　</w:t>
            </w:r>
          </w:p>
        </w:tc>
        <w:tc>
          <w:tcPr>
            <w:tcW w:w="236" w:type="dxa"/>
            <w:tcBorders>
              <w:top w:val="nil"/>
              <w:left w:val="nil"/>
              <w:bottom w:val="nil"/>
              <w:right w:val="nil"/>
            </w:tcBorders>
            <w:shd w:val="clear" w:color="000000" w:fill="FFFFFF"/>
            <w:noWrap/>
            <w:vAlign w:val="bottom"/>
          </w:tcPr>
          <w:p w14:paraId="7C0B7D20">
            <w:r>
              <w:rPr>
                <w:rFonts w:hint="eastAsia"/>
              </w:rPr>
              <w:t>　</w:t>
            </w:r>
          </w:p>
        </w:tc>
        <w:tc>
          <w:tcPr>
            <w:tcW w:w="222" w:type="dxa"/>
            <w:tcBorders>
              <w:top w:val="nil"/>
              <w:left w:val="nil"/>
              <w:bottom w:val="nil"/>
              <w:right w:val="nil"/>
            </w:tcBorders>
            <w:shd w:val="clear" w:color="000000" w:fill="FFFFFF"/>
            <w:noWrap/>
            <w:vAlign w:val="bottom"/>
          </w:tcPr>
          <w:p w14:paraId="45E34AAD">
            <w:r>
              <w:rPr>
                <w:rFonts w:hint="eastAsia"/>
              </w:rPr>
              <w:t>　</w:t>
            </w:r>
          </w:p>
        </w:tc>
        <w:tc>
          <w:tcPr>
            <w:tcW w:w="336" w:type="dxa"/>
            <w:tcBorders>
              <w:top w:val="nil"/>
              <w:left w:val="nil"/>
              <w:bottom w:val="nil"/>
              <w:right w:val="nil"/>
            </w:tcBorders>
            <w:shd w:val="clear" w:color="000000" w:fill="FFFFFF"/>
            <w:noWrap/>
            <w:vAlign w:val="bottom"/>
          </w:tcPr>
          <w:p w14:paraId="30DEE9C5">
            <w:r>
              <w:rPr>
                <w:rFonts w:hint="eastAsia"/>
              </w:rPr>
              <w:t>　</w:t>
            </w:r>
          </w:p>
        </w:tc>
        <w:tc>
          <w:tcPr>
            <w:tcW w:w="348" w:type="dxa"/>
            <w:tcBorders>
              <w:top w:val="nil"/>
              <w:left w:val="nil"/>
              <w:bottom w:val="nil"/>
              <w:right w:val="nil"/>
            </w:tcBorders>
            <w:shd w:val="clear" w:color="000000" w:fill="FFFFFF"/>
            <w:noWrap/>
            <w:vAlign w:val="bottom"/>
          </w:tcPr>
          <w:p w14:paraId="6396E286">
            <w:r>
              <w:rPr>
                <w:rFonts w:hint="eastAsia"/>
              </w:rPr>
              <w:t>　</w:t>
            </w:r>
          </w:p>
        </w:tc>
        <w:tc>
          <w:tcPr>
            <w:tcW w:w="348" w:type="dxa"/>
            <w:tcBorders>
              <w:top w:val="nil"/>
              <w:left w:val="nil"/>
              <w:bottom w:val="nil"/>
              <w:right w:val="nil"/>
            </w:tcBorders>
            <w:shd w:val="clear" w:color="000000" w:fill="FFFFFF"/>
            <w:noWrap/>
            <w:vAlign w:val="bottom"/>
          </w:tcPr>
          <w:p w14:paraId="48523C30">
            <w:r>
              <w:rPr>
                <w:rFonts w:hint="eastAsia"/>
              </w:rPr>
              <w:t>　</w:t>
            </w:r>
          </w:p>
        </w:tc>
        <w:tc>
          <w:tcPr>
            <w:tcW w:w="336" w:type="dxa"/>
            <w:tcBorders>
              <w:top w:val="nil"/>
              <w:left w:val="nil"/>
              <w:bottom w:val="nil"/>
              <w:right w:val="nil"/>
            </w:tcBorders>
            <w:shd w:val="clear" w:color="000000" w:fill="FFFFFF"/>
            <w:noWrap/>
            <w:vAlign w:val="bottom"/>
          </w:tcPr>
          <w:p w14:paraId="59E8F033">
            <w:r>
              <w:rPr>
                <w:rFonts w:hint="eastAsia"/>
              </w:rPr>
              <w:t>　</w:t>
            </w:r>
          </w:p>
        </w:tc>
        <w:tc>
          <w:tcPr>
            <w:tcW w:w="228" w:type="dxa"/>
            <w:tcBorders>
              <w:top w:val="nil"/>
              <w:left w:val="nil"/>
              <w:bottom w:val="nil"/>
              <w:right w:val="nil"/>
            </w:tcBorders>
            <w:shd w:val="clear" w:color="000000" w:fill="FFFFFF"/>
            <w:noWrap/>
            <w:vAlign w:val="bottom"/>
          </w:tcPr>
          <w:p w14:paraId="6E376C90">
            <w:r>
              <w:rPr>
                <w:rFonts w:hint="eastAsia"/>
              </w:rPr>
              <w:t>　</w:t>
            </w:r>
          </w:p>
        </w:tc>
        <w:tc>
          <w:tcPr>
            <w:tcW w:w="228" w:type="dxa"/>
            <w:tcBorders>
              <w:top w:val="nil"/>
              <w:left w:val="single" w:color="auto" w:sz="4" w:space="0"/>
              <w:bottom w:val="single" w:color="auto" w:sz="4" w:space="0"/>
              <w:right w:val="nil"/>
            </w:tcBorders>
            <w:shd w:val="clear" w:color="000000" w:fill="FFFFFF"/>
            <w:noWrap/>
            <w:vAlign w:val="bottom"/>
          </w:tcPr>
          <w:p w14:paraId="037E48CB">
            <w:r>
              <w:rPr>
                <w:rFonts w:hint="eastAsia"/>
              </w:rPr>
              <w:t>　</w:t>
            </w:r>
          </w:p>
        </w:tc>
        <w:tc>
          <w:tcPr>
            <w:tcW w:w="1080" w:type="dxa"/>
            <w:tcBorders>
              <w:top w:val="nil"/>
              <w:left w:val="nil"/>
              <w:bottom w:val="single" w:color="auto" w:sz="4" w:space="0"/>
              <w:right w:val="nil"/>
            </w:tcBorders>
            <w:shd w:val="clear" w:color="000000" w:fill="FFFFFF"/>
            <w:noWrap/>
            <w:vAlign w:val="bottom"/>
          </w:tcPr>
          <w:p w14:paraId="7A0ECF42">
            <w:r>
              <w:rPr>
                <w:rFonts w:hint="eastAsia"/>
              </w:rPr>
              <w:t>　</w:t>
            </w:r>
          </w:p>
        </w:tc>
        <w:tc>
          <w:tcPr>
            <w:tcW w:w="2320" w:type="dxa"/>
            <w:tcBorders>
              <w:top w:val="nil"/>
              <w:left w:val="nil"/>
              <w:bottom w:val="nil"/>
              <w:right w:val="nil"/>
            </w:tcBorders>
            <w:shd w:val="clear" w:color="000000" w:fill="FFFFFF"/>
            <w:noWrap/>
            <w:vAlign w:val="bottom"/>
          </w:tcPr>
          <w:p w14:paraId="7194CA66">
            <w:r>
              <w:rPr>
                <w:rFonts w:hint="eastAsia"/>
              </w:rPr>
              <w:t>第七次修订</w:t>
            </w:r>
          </w:p>
        </w:tc>
      </w:tr>
    </w:tbl>
    <w:p w14:paraId="2F824E58">
      <w:pPr>
        <w:spacing w:line="360" w:lineRule="auto"/>
        <w:ind w:firstLine="560"/>
        <w:rPr>
          <w:rFonts w:eastAsia="黑体"/>
          <w:sz w:val="28"/>
          <w:szCs w:val="28"/>
        </w:rPr>
      </w:pPr>
    </w:p>
    <w:p w14:paraId="27045D8C">
      <w:pPr>
        <w:snapToGrid w:val="0"/>
        <w:ind w:firstLine="3360" w:firstLineChars="1200"/>
        <w:rPr>
          <w:rFonts w:eastAsia="黑体"/>
          <w:sz w:val="28"/>
          <w:szCs w:val="28"/>
        </w:rPr>
      </w:pPr>
    </w:p>
    <w:p w14:paraId="795A06F9">
      <w:pPr>
        <w:spacing w:line="360" w:lineRule="auto"/>
        <w:ind w:firstLine="560"/>
        <w:rPr>
          <w:rFonts w:ascii="黑体" w:eastAsia="黑体"/>
          <w:sz w:val="28"/>
          <w:szCs w:val="28"/>
        </w:rPr>
      </w:pPr>
    </w:p>
    <w:p w14:paraId="20126E7D">
      <w:pPr>
        <w:spacing w:line="360" w:lineRule="auto"/>
        <w:ind w:firstLine="560"/>
        <w:rPr>
          <w:rFonts w:ascii="黑体" w:eastAsia="黑体"/>
          <w:sz w:val="28"/>
          <w:szCs w:val="28"/>
        </w:rPr>
      </w:pPr>
    </w:p>
    <w:p w14:paraId="13F739B8">
      <w:pPr>
        <w:spacing w:line="360" w:lineRule="auto"/>
        <w:ind w:firstLine="560"/>
        <w:rPr>
          <w:rFonts w:ascii="黑体" w:eastAsia="黑体"/>
          <w:sz w:val="28"/>
          <w:szCs w:val="28"/>
        </w:rPr>
      </w:pPr>
    </w:p>
    <w:p w14:paraId="5EE6B45C">
      <w:pPr>
        <w:spacing w:line="360" w:lineRule="auto"/>
        <w:ind w:firstLine="560"/>
        <w:rPr>
          <w:rFonts w:ascii="黑体" w:eastAsia="黑体"/>
          <w:sz w:val="28"/>
          <w:szCs w:val="28"/>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14:paraId="74C472E7">
      <w:pPr>
        <w:pStyle w:val="4"/>
        <w:keepNext w:val="0"/>
        <w:keepLines w:val="0"/>
        <w:spacing w:before="240" w:after="240"/>
        <w:jc w:val="center"/>
        <w:rPr>
          <w:rFonts w:ascii="宋体"/>
          <w:sz w:val="32"/>
        </w:rPr>
      </w:pPr>
      <w:bookmarkStart w:id="8" w:name="_Toc302635677"/>
      <w:bookmarkStart w:id="9" w:name="_Toc21582"/>
      <w:bookmarkStart w:id="10" w:name="_Toc9127"/>
      <w:bookmarkStart w:id="11" w:name="_Toc8567"/>
      <w:bookmarkStart w:id="12" w:name="_Toc11999"/>
      <w:r>
        <w:rPr>
          <w:rFonts w:hint="eastAsia" w:ascii="宋体"/>
          <w:sz w:val="32"/>
        </w:rPr>
        <w:t>第一部分 协议书</w:t>
      </w:r>
      <w:bookmarkEnd w:id="8"/>
      <w:bookmarkEnd w:id="9"/>
      <w:bookmarkEnd w:id="10"/>
      <w:bookmarkEnd w:id="11"/>
      <w:bookmarkEnd w:id="12"/>
    </w:p>
    <w:p w14:paraId="106E524E">
      <w:pPr>
        <w:spacing w:line="360" w:lineRule="auto"/>
        <w:ind w:firstLine="482" w:firstLineChars="200"/>
        <w:jc w:val="both"/>
        <w:rPr>
          <w:b/>
          <w:bCs/>
        </w:rPr>
      </w:pPr>
      <w:r>
        <w:rPr>
          <w:rFonts w:hint="eastAsia"/>
          <w:b/>
          <w:bCs/>
        </w:rPr>
        <w:t>发包人</w:t>
      </w:r>
      <w:r>
        <w:rPr>
          <w:rFonts w:hint="eastAsia"/>
          <w:bCs/>
        </w:rPr>
        <w:t>(全称)：</w:t>
      </w:r>
      <w:r>
        <w:rPr>
          <w:rFonts w:hint="eastAsia"/>
          <w:u w:val="single"/>
        </w:rPr>
        <w:t xml:space="preserve">深圳市盐田区土地整备事务中心            </w:t>
      </w:r>
    </w:p>
    <w:p w14:paraId="424F456E">
      <w:pPr>
        <w:spacing w:line="360" w:lineRule="auto"/>
        <w:ind w:firstLine="482" w:firstLineChars="200"/>
        <w:jc w:val="both"/>
        <w:rPr>
          <w:b/>
          <w:bCs/>
        </w:rPr>
      </w:pPr>
      <w:r>
        <w:rPr>
          <w:rFonts w:hint="eastAsia"/>
          <w:b/>
          <w:bCs/>
        </w:rPr>
        <w:t>承包人</w:t>
      </w:r>
      <w:r>
        <w:rPr>
          <w:rFonts w:hint="eastAsia"/>
          <w:bCs/>
        </w:rPr>
        <w:t>(全称)</w:t>
      </w:r>
      <w:r>
        <w:rPr>
          <w:rFonts w:hint="eastAsia"/>
          <w:b/>
          <w:bCs/>
        </w:rPr>
        <w:t>：</w:t>
      </w:r>
    </w:p>
    <w:p w14:paraId="39436158">
      <w:pPr>
        <w:spacing w:line="360" w:lineRule="auto"/>
        <w:ind w:firstLine="480" w:firstLineChars="200"/>
        <w:jc w:val="both"/>
      </w:pPr>
      <w:r>
        <w:rPr>
          <w:rFonts w:hint="eastAsia"/>
        </w:rPr>
        <w:t>根据《中华人民共和国民法典》、《中华人民共和国建筑法》、《</w:t>
      </w:r>
      <w:r>
        <w:t>深圳经济特区建设工程施工招标投标条例</w:t>
      </w:r>
      <w:r>
        <w:rPr>
          <w:rFonts w:hint="eastAsia"/>
        </w:rPr>
        <w:t>》及其他有关法律、法规，遵循平等、自愿、公平和诚实信用的原则，发包人和承包人就本工程施工事项协商一致，订立本合同，达成协议如下：</w:t>
      </w:r>
    </w:p>
    <w:p w14:paraId="6B8EA57D">
      <w:pPr>
        <w:pStyle w:val="4"/>
        <w:keepNext w:val="0"/>
        <w:keepLines w:val="0"/>
        <w:spacing w:before="80" w:after="0"/>
        <w:rPr>
          <w:rFonts w:ascii="宋体"/>
          <w:sz w:val="30"/>
        </w:rPr>
      </w:pPr>
      <w:bookmarkStart w:id="13" w:name="_Toc3339"/>
      <w:bookmarkStart w:id="14" w:name="_Toc27383"/>
      <w:bookmarkStart w:id="15" w:name="_Toc16659"/>
      <w:r>
        <w:rPr>
          <w:rFonts w:hint="eastAsia" w:ascii="宋体"/>
          <w:sz w:val="30"/>
        </w:rPr>
        <w:t>一、工程概况</w:t>
      </w:r>
      <w:bookmarkEnd w:id="13"/>
      <w:bookmarkEnd w:id="14"/>
      <w:bookmarkEnd w:id="15"/>
    </w:p>
    <w:p w14:paraId="65BFC578">
      <w:pPr>
        <w:adjustRightInd w:val="0"/>
        <w:snapToGrid w:val="0"/>
        <w:spacing w:line="360" w:lineRule="auto"/>
        <w:ind w:firstLine="482"/>
        <w:jc w:val="both"/>
        <w:rPr>
          <w:rFonts w:hint="eastAsia" w:eastAsia="宋体"/>
          <w:lang w:eastAsia="zh-CN"/>
        </w:rPr>
      </w:pPr>
      <w:r>
        <w:rPr>
          <w:rFonts w:hint="eastAsia"/>
        </w:rPr>
        <w:t>工程名称：</w:t>
      </w:r>
      <w:r>
        <w:rPr>
          <w:rFonts w:hint="eastAsia" w:cs="Times New Roman"/>
          <w:kern w:val="2"/>
          <w:u w:val="single"/>
          <w:lang w:eastAsia="zh-CN"/>
        </w:rPr>
        <w:t>深圳市东部工人文化宫（沙头角体育馆改造）项目建（构）筑物拆除工程</w:t>
      </w:r>
    </w:p>
    <w:p w14:paraId="1AD87975">
      <w:pPr>
        <w:adjustRightInd w:val="0"/>
        <w:snapToGrid w:val="0"/>
        <w:spacing w:line="360" w:lineRule="auto"/>
        <w:ind w:firstLine="482"/>
        <w:jc w:val="both"/>
        <w:rPr>
          <w:u w:val="single"/>
        </w:rPr>
      </w:pPr>
      <w:r>
        <w:rPr>
          <w:rFonts w:hint="eastAsia"/>
        </w:rPr>
        <w:t>工程地点：</w:t>
      </w:r>
      <w:r>
        <w:rPr>
          <w:rFonts w:hint="eastAsia" w:cs="Times New Roman"/>
          <w:kern w:val="2"/>
          <w:u w:val="single"/>
        </w:rPr>
        <w:t>盐田区</w:t>
      </w:r>
    </w:p>
    <w:p w14:paraId="42F4371D">
      <w:pPr>
        <w:adjustRightInd w:val="0"/>
        <w:snapToGrid w:val="0"/>
        <w:spacing w:line="360" w:lineRule="auto"/>
        <w:ind w:firstLine="482"/>
        <w:jc w:val="both"/>
        <w:rPr>
          <w:u w:val="single"/>
        </w:rPr>
      </w:pPr>
      <w:r>
        <w:t>核准（备案）证编号</w:t>
      </w:r>
      <w:r>
        <w:rPr>
          <w:rFonts w:hint="eastAsia"/>
        </w:rPr>
        <w:t>：</w:t>
      </w:r>
    </w:p>
    <w:p w14:paraId="43089FA6">
      <w:pPr>
        <w:adjustRightInd w:val="0"/>
        <w:snapToGrid w:val="0"/>
        <w:spacing w:line="360" w:lineRule="auto"/>
        <w:ind w:firstLine="482"/>
        <w:jc w:val="both"/>
        <w:rPr>
          <w:rFonts w:hint="eastAsia" w:ascii="宋体" w:hAnsi="宋体" w:eastAsia="宋体" w:cs="Times New Roman"/>
          <w:kern w:val="2"/>
          <w:u w:val="single"/>
          <w:lang w:eastAsia="zh-CN"/>
        </w:rPr>
      </w:pPr>
      <w:r>
        <w:rPr>
          <w:rFonts w:hint="eastAsia"/>
        </w:rPr>
        <w:t>工程规模及特征：</w:t>
      </w:r>
      <w:r>
        <w:rPr>
          <w:rFonts w:hint="eastAsia" w:ascii="宋体" w:hAnsi="宋体" w:eastAsia="宋体" w:cs="Times New Roman"/>
          <w:kern w:val="2"/>
          <w:u w:val="single"/>
          <w:lang w:eastAsia="zh-CN"/>
        </w:rPr>
        <w:t>本工程位于广东省深圳市盐田区沙头角街道海涛路33 号，需拆除现有沙头角体育馆。项目占地面积约4493.91平方米，拆迁建筑物面积约5864.76 平方米，涉及建筑物1栋，框架、钢结构，球场区地上层高(含夹层)21.5 米，非球场区地上层高 17.4 米。</w:t>
      </w:r>
    </w:p>
    <w:p w14:paraId="4CB0394F">
      <w:pPr>
        <w:adjustRightInd w:val="0"/>
        <w:snapToGrid w:val="0"/>
        <w:spacing w:line="360" w:lineRule="auto"/>
        <w:ind w:firstLine="482"/>
        <w:jc w:val="both"/>
      </w:pPr>
      <w:r>
        <w:rPr>
          <w:rFonts w:hint="eastAsia"/>
        </w:rPr>
        <w:t>资金来源：财政投入</w:t>
      </w:r>
      <w:r>
        <w:rPr>
          <w:rFonts w:hint="eastAsia"/>
          <w:u w:val="single"/>
        </w:rPr>
        <w:t>100</w:t>
      </w:r>
      <w:r>
        <w:rPr>
          <w:rFonts w:hint="eastAsia"/>
        </w:rPr>
        <w:t>%；国有资本%；集体资本%；民营资本%；外商投资%；混合经济%； 其他%。</w:t>
      </w:r>
    </w:p>
    <w:p w14:paraId="181450CE">
      <w:pPr>
        <w:pStyle w:val="4"/>
        <w:keepNext w:val="0"/>
        <w:keepLines w:val="0"/>
        <w:spacing w:before="80" w:after="0"/>
        <w:rPr>
          <w:rFonts w:ascii="宋体"/>
          <w:sz w:val="30"/>
        </w:rPr>
      </w:pPr>
      <w:bookmarkStart w:id="16" w:name="_Toc19789"/>
      <w:bookmarkStart w:id="17" w:name="_Toc8530"/>
      <w:bookmarkStart w:id="18" w:name="_Toc18525"/>
      <w:r>
        <w:rPr>
          <w:rFonts w:hint="eastAsia" w:ascii="宋体"/>
          <w:sz w:val="30"/>
        </w:rPr>
        <w:t>二、工程承包范围</w:t>
      </w:r>
      <w:bookmarkEnd w:id="16"/>
      <w:bookmarkEnd w:id="17"/>
      <w:bookmarkEnd w:id="18"/>
    </w:p>
    <w:p w14:paraId="36FC8389">
      <w:pPr>
        <w:spacing w:line="360" w:lineRule="auto"/>
        <w:ind w:firstLine="480" w:firstLineChars="200"/>
        <w:rPr>
          <w:b/>
        </w:rPr>
      </w:pPr>
      <w:r>
        <w:rPr>
          <w:rFonts w:hint="eastAsia"/>
          <w:u w:val="single"/>
        </w:rPr>
        <w:t>本工程位于广东省深圳市盐田区沙头角街道海涛路33 号，需拆除现有沙头角体育馆。项目占地面积约4493.91平方米，拆迁建筑物面积约5864.76 平方米，涉及建筑物1栋，框架、钢结构，球场区地上层高(含夹层)21.5 米，非球场区地上层高 17.4 米。</w:t>
      </w:r>
      <w:r>
        <w:rPr>
          <w:rFonts w:hint="eastAsia"/>
          <w:b/>
        </w:rPr>
        <w:t>1.市政公用及配套专业工程、其他工程：</w:t>
      </w:r>
      <w:r>
        <w:rPr>
          <w:rFonts w:hint="eastAsia"/>
          <w:szCs w:val="21"/>
        </w:rPr>
        <w:t>(在□内打√，并填写相应的工程量)</w:t>
      </w:r>
    </w:p>
    <w:tbl>
      <w:tblPr>
        <w:tblStyle w:val="1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111"/>
      </w:tblGrid>
      <w:tr w14:paraId="0EA4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28D5AF4A">
            <w:pPr>
              <w:spacing w:line="240" w:lineRule="atLeast"/>
              <w:rPr>
                <w:rFonts w:ascii="楷体_GB2312" w:eastAsia="楷体_GB2312"/>
                <w:bCs/>
                <w:sz w:val="22"/>
              </w:rPr>
            </w:pPr>
            <w:r>
              <w:rPr>
                <w:rFonts w:hint="eastAsia" w:ascii="楷体_GB2312" w:eastAsia="楷体_GB2312"/>
                <w:bCs/>
                <w:sz w:val="22"/>
              </w:rPr>
              <w:t>□ 七通一平工程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14:paraId="0F89F835">
            <w:pPr>
              <w:tabs>
                <w:tab w:val="left" w:pos="600"/>
              </w:tabs>
              <w:rPr>
                <w:rFonts w:ascii="楷体_GB2312" w:eastAsia="楷体_GB2312"/>
                <w:bCs/>
                <w:sz w:val="22"/>
              </w:rPr>
            </w:pPr>
            <w:r>
              <w:rPr>
                <w:rFonts w:hint="eastAsia" w:ascii="楷体_GB2312" w:eastAsia="楷体_GB2312"/>
                <w:bCs/>
                <w:sz w:val="22"/>
              </w:rPr>
              <w:t>□电信管道工程          米</w:t>
            </w:r>
          </w:p>
        </w:tc>
      </w:tr>
      <w:tr w14:paraId="32C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20009497">
            <w:pPr>
              <w:spacing w:line="240" w:lineRule="atLeast"/>
              <w:rPr>
                <w:sz w:val="22"/>
              </w:rPr>
            </w:pPr>
            <w:r>
              <w:rPr>
                <w:rFonts w:hint="eastAsia" w:ascii="楷体_GB2312" w:eastAsia="楷体_GB2312"/>
                <w:bCs/>
                <w:sz w:val="22"/>
              </w:rPr>
              <w:t>□挡墙护坡工程 长： 米； 宽： 米；高： 米</w:t>
            </w:r>
          </w:p>
        </w:tc>
        <w:tc>
          <w:tcPr>
            <w:tcW w:w="4111" w:type="dxa"/>
            <w:tcBorders>
              <w:top w:val="single" w:color="auto" w:sz="4" w:space="0"/>
              <w:left w:val="single" w:color="auto" w:sz="4" w:space="0"/>
              <w:bottom w:val="single" w:color="auto" w:sz="4" w:space="0"/>
              <w:right w:val="single" w:color="auto" w:sz="4" w:space="0"/>
            </w:tcBorders>
            <w:vAlign w:val="center"/>
          </w:tcPr>
          <w:p w14:paraId="1864EFB9">
            <w:pPr>
              <w:tabs>
                <w:tab w:val="left" w:pos="600"/>
              </w:tabs>
              <w:rPr>
                <w:rFonts w:ascii="楷体_GB2312" w:eastAsia="楷体_GB2312"/>
                <w:bCs/>
                <w:sz w:val="22"/>
              </w:rPr>
            </w:pPr>
            <w:r>
              <w:rPr>
                <w:rFonts w:hint="eastAsia" w:ascii="楷体_GB2312" w:eastAsia="楷体_GB2312"/>
                <w:bCs/>
                <w:sz w:val="22"/>
              </w:rPr>
              <w:t xml:space="preserve">□电力管道工程          米        </w:t>
            </w:r>
          </w:p>
        </w:tc>
      </w:tr>
      <w:tr w14:paraId="6A00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473946BE">
            <w:pPr>
              <w:spacing w:line="240" w:lineRule="atLeast"/>
              <w:rPr>
                <w:sz w:val="22"/>
              </w:rPr>
            </w:pPr>
            <w:r>
              <w:rPr>
                <w:rFonts w:hint="eastAsia" w:ascii="楷体_GB2312" w:eastAsia="楷体_GB2312"/>
                <w:bCs/>
                <w:sz w:val="22"/>
              </w:rPr>
              <w:t>□ 软基处理工程            万平方米</w:t>
            </w:r>
          </w:p>
        </w:tc>
        <w:tc>
          <w:tcPr>
            <w:tcW w:w="4111" w:type="dxa"/>
            <w:tcBorders>
              <w:top w:val="single" w:color="auto" w:sz="4" w:space="0"/>
              <w:left w:val="single" w:color="auto" w:sz="4" w:space="0"/>
              <w:bottom w:val="single" w:color="auto" w:sz="4" w:space="0"/>
              <w:right w:val="single" w:color="auto" w:sz="4" w:space="0"/>
            </w:tcBorders>
            <w:vAlign w:val="center"/>
          </w:tcPr>
          <w:p w14:paraId="608A7EB3">
            <w:pPr>
              <w:tabs>
                <w:tab w:val="left" w:pos="600"/>
              </w:tabs>
              <w:rPr>
                <w:rFonts w:ascii="楷体_GB2312" w:eastAsia="楷体_GB2312"/>
                <w:bCs/>
                <w:sz w:val="22"/>
              </w:rPr>
            </w:pPr>
            <w:r>
              <w:rPr>
                <w:rFonts w:hint="eastAsia" w:ascii="楷体_GB2312" w:eastAsia="楷体_GB2312"/>
                <w:bCs/>
                <w:sz w:val="22"/>
              </w:rPr>
              <w:t>□污水处理厂及配套工程     立方米/d</w:t>
            </w:r>
          </w:p>
        </w:tc>
      </w:tr>
      <w:tr w14:paraId="4FC0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5093C6BC">
            <w:pPr>
              <w:spacing w:line="240" w:lineRule="atLeast"/>
              <w:rPr>
                <w:rFonts w:ascii="楷体_GB2312" w:eastAsia="楷体_GB2312"/>
                <w:bCs/>
                <w:sz w:val="22"/>
              </w:rPr>
            </w:pPr>
            <w:r>
              <w:rPr>
                <w:rFonts w:hint="eastAsia" w:ascii="楷体_GB2312" w:eastAsia="楷体_GB2312"/>
                <w:bCs/>
                <w:sz w:val="22"/>
              </w:rPr>
              <w:t>□水厂及配套工程              立方米/d</w:t>
            </w:r>
          </w:p>
        </w:tc>
        <w:tc>
          <w:tcPr>
            <w:tcW w:w="4111" w:type="dxa"/>
            <w:tcBorders>
              <w:top w:val="single" w:color="auto" w:sz="4" w:space="0"/>
              <w:left w:val="single" w:color="auto" w:sz="4" w:space="0"/>
              <w:bottom w:val="single" w:color="auto" w:sz="4" w:space="0"/>
              <w:right w:val="single" w:color="auto" w:sz="4" w:space="0"/>
            </w:tcBorders>
            <w:vAlign w:val="center"/>
          </w:tcPr>
          <w:p w14:paraId="6345665B">
            <w:pPr>
              <w:tabs>
                <w:tab w:val="left" w:pos="600"/>
              </w:tabs>
              <w:rPr>
                <w:rFonts w:ascii="楷体_GB2312" w:eastAsia="楷体_GB2312"/>
                <w:bCs/>
                <w:sz w:val="22"/>
              </w:rPr>
            </w:pPr>
            <w:r>
              <w:rPr>
                <w:rFonts w:hint="eastAsia" w:ascii="楷体_GB2312" w:eastAsia="楷体_GB2312"/>
                <w:bCs/>
                <w:sz w:val="22"/>
              </w:rPr>
              <w:t>□污泥处理厂及配套工程     立方米/d</w:t>
            </w:r>
          </w:p>
        </w:tc>
      </w:tr>
      <w:tr w14:paraId="071D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2BBCC7D6">
            <w:pPr>
              <w:spacing w:line="240" w:lineRule="atLeast"/>
              <w:rPr>
                <w:rFonts w:ascii="楷体_GB2312" w:eastAsia="楷体_GB2312"/>
                <w:bCs/>
                <w:sz w:val="22"/>
              </w:rPr>
            </w:pPr>
            <w:r>
              <w:rPr>
                <w:rFonts w:hint="eastAsia" w:ascii="楷体_GB2312" w:eastAsia="楷体_GB2312"/>
                <w:bCs/>
                <w:sz w:val="22"/>
              </w:rPr>
              <w:t>□给水管道工程            米</w:t>
            </w:r>
          </w:p>
        </w:tc>
        <w:tc>
          <w:tcPr>
            <w:tcW w:w="4111" w:type="dxa"/>
            <w:tcBorders>
              <w:top w:val="single" w:color="auto" w:sz="4" w:space="0"/>
              <w:left w:val="single" w:color="auto" w:sz="4" w:space="0"/>
              <w:bottom w:val="single" w:color="auto" w:sz="4" w:space="0"/>
              <w:right w:val="single" w:color="auto" w:sz="4" w:space="0"/>
            </w:tcBorders>
            <w:vAlign w:val="center"/>
          </w:tcPr>
          <w:p w14:paraId="12072505">
            <w:pPr>
              <w:tabs>
                <w:tab w:val="left" w:pos="600"/>
              </w:tabs>
              <w:rPr>
                <w:rFonts w:ascii="楷体_GB2312" w:eastAsia="楷体_GB2312"/>
                <w:bCs/>
                <w:sz w:val="22"/>
              </w:rPr>
            </w:pPr>
            <w:r>
              <w:rPr>
                <w:rFonts w:hint="eastAsia" w:ascii="楷体_GB2312" w:eastAsia="楷体_GB2312"/>
                <w:bCs/>
                <w:sz w:val="22"/>
              </w:rPr>
              <w:t>□泵站工程                   平方米</w:t>
            </w:r>
          </w:p>
        </w:tc>
      </w:tr>
      <w:tr w14:paraId="0CC7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43575E05">
            <w:pPr>
              <w:spacing w:line="240" w:lineRule="atLeast"/>
              <w:rPr>
                <w:rFonts w:ascii="楷体_GB2312" w:eastAsia="楷体_GB2312"/>
                <w:bCs/>
                <w:sz w:val="22"/>
              </w:rPr>
            </w:pPr>
            <w:r>
              <w:rPr>
                <w:rFonts w:hint="eastAsia" w:ascii="楷体_GB2312" w:eastAsia="楷体_GB2312"/>
                <w:bCs/>
                <w:sz w:val="22"/>
              </w:rPr>
              <w:t>□道路工程   长：  米 宽：  米</w:t>
            </w:r>
          </w:p>
        </w:tc>
        <w:tc>
          <w:tcPr>
            <w:tcW w:w="4111" w:type="dxa"/>
            <w:tcBorders>
              <w:top w:val="single" w:color="auto" w:sz="4" w:space="0"/>
              <w:left w:val="single" w:color="auto" w:sz="4" w:space="0"/>
              <w:bottom w:val="single" w:color="auto" w:sz="4" w:space="0"/>
              <w:right w:val="single" w:color="auto" w:sz="4" w:space="0"/>
            </w:tcBorders>
            <w:vAlign w:val="center"/>
          </w:tcPr>
          <w:p w14:paraId="5E6D45E4">
            <w:pPr>
              <w:tabs>
                <w:tab w:val="left" w:pos="600"/>
              </w:tabs>
              <w:rPr>
                <w:rFonts w:ascii="楷体_GB2312" w:eastAsia="楷体_GB2312"/>
                <w:bCs/>
                <w:sz w:val="22"/>
              </w:rPr>
            </w:pPr>
            <w:r>
              <w:rPr>
                <w:rFonts w:hint="eastAsia" w:ascii="楷体_GB2312" w:eastAsia="楷体_GB2312"/>
                <w:bCs/>
                <w:sz w:val="22"/>
              </w:rPr>
              <w:t>□隧道工程  长：  米 宽：  米 高：  米</w:t>
            </w:r>
          </w:p>
        </w:tc>
      </w:tr>
      <w:tr w14:paraId="54D7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5A0D70C3">
            <w:pPr>
              <w:spacing w:line="240" w:lineRule="atLeast"/>
              <w:rPr>
                <w:rFonts w:ascii="楷体_GB2312" w:eastAsia="楷体_GB2312"/>
                <w:bCs/>
                <w:sz w:val="22"/>
              </w:rPr>
            </w:pPr>
            <w:r>
              <w:rPr>
                <w:rFonts w:hint="eastAsia" w:ascii="楷体_GB2312" w:eastAsia="楷体_GB2312"/>
                <w:bCs/>
                <w:sz w:val="22"/>
              </w:rPr>
              <w:t>□桥梁工程           座</w:t>
            </w:r>
          </w:p>
        </w:tc>
        <w:tc>
          <w:tcPr>
            <w:tcW w:w="4111" w:type="dxa"/>
            <w:tcBorders>
              <w:top w:val="single" w:color="auto" w:sz="4" w:space="0"/>
              <w:left w:val="single" w:color="auto" w:sz="4" w:space="0"/>
              <w:bottom w:val="single" w:color="auto" w:sz="4" w:space="0"/>
              <w:right w:val="single" w:color="auto" w:sz="4" w:space="0"/>
            </w:tcBorders>
            <w:vAlign w:val="center"/>
          </w:tcPr>
          <w:p w14:paraId="38A4CFB3">
            <w:pPr>
              <w:tabs>
                <w:tab w:val="left" w:pos="600"/>
              </w:tabs>
              <w:rPr>
                <w:rFonts w:ascii="楷体_GB2312" w:eastAsia="楷体_GB2312"/>
                <w:bCs/>
                <w:sz w:val="22"/>
              </w:rPr>
            </w:pPr>
            <w:r>
              <w:rPr>
                <w:rFonts w:hint="eastAsia" w:ascii="楷体_GB2312" w:eastAsia="楷体_GB2312"/>
                <w:bCs/>
                <w:sz w:val="22"/>
              </w:rPr>
              <w:t>□道路改造工程  长：  米   宽：  米</w:t>
            </w:r>
          </w:p>
        </w:tc>
      </w:tr>
      <w:tr w14:paraId="0FD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593A5261">
            <w:pPr>
              <w:spacing w:line="240" w:lineRule="atLeast"/>
              <w:rPr>
                <w:rFonts w:ascii="楷体_GB2312" w:eastAsia="楷体_GB2312"/>
                <w:bCs/>
                <w:sz w:val="22"/>
              </w:rPr>
            </w:pPr>
            <w:r>
              <w:rPr>
                <w:rFonts w:hint="eastAsia" w:ascii="楷体_GB2312" w:eastAsia="楷体_GB2312"/>
                <w:bCs/>
                <w:sz w:val="22"/>
              </w:rPr>
              <w:t>□排水箱涵工程  长：  米 宽：  米 高：  米</w:t>
            </w:r>
          </w:p>
        </w:tc>
        <w:tc>
          <w:tcPr>
            <w:tcW w:w="4111" w:type="dxa"/>
            <w:tcBorders>
              <w:top w:val="single" w:color="auto" w:sz="4" w:space="0"/>
              <w:left w:val="single" w:color="auto" w:sz="4" w:space="0"/>
              <w:bottom w:val="single" w:color="auto" w:sz="4" w:space="0"/>
              <w:right w:val="single" w:color="auto" w:sz="4" w:space="0"/>
            </w:tcBorders>
            <w:vAlign w:val="center"/>
          </w:tcPr>
          <w:p w14:paraId="540BB18D">
            <w:pPr>
              <w:tabs>
                <w:tab w:val="left" w:pos="600"/>
              </w:tabs>
              <w:rPr>
                <w:rFonts w:ascii="楷体_GB2312" w:eastAsia="楷体_GB2312"/>
                <w:bCs/>
                <w:sz w:val="22"/>
              </w:rPr>
            </w:pPr>
            <w:r>
              <w:rPr>
                <w:rFonts w:hint="eastAsia" w:ascii="楷体_GB2312" w:eastAsia="楷体_GB2312"/>
                <w:bCs/>
                <w:sz w:val="22"/>
              </w:rPr>
              <w:t xml:space="preserve">□路灯照明工程           座    </w:t>
            </w:r>
          </w:p>
        </w:tc>
      </w:tr>
      <w:tr w14:paraId="3612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2F896B8E">
            <w:pPr>
              <w:spacing w:line="240" w:lineRule="atLeast"/>
              <w:rPr>
                <w:rFonts w:ascii="楷体_GB2312" w:eastAsia="楷体_GB2312"/>
                <w:bCs/>
                <w:sz w:val="22"/>
              </w:rPr>
            </w:pPr>
            <w:r>
              <w:rPr>
                <w:rFonts w:hint="eastAsia" w:ascii="楷体_GB2312" w:eastAsia="楷体_GB2312"/>
                <w:bCs/>
                <w:sz w:val="22"/>
              </w:rPr>
              <w:t>□交通监控、收费综合系统工程</w:t>
            </w:r>
          </w:p>
        </w:tc>
        <w:tc>
          <w:tcPr>
            <w:tcW w:w="4111" w:type="dxa"/>
            <w:tcBorders>
              <w:top w:val="single" w:color="auto" w:sz="4" w:space="0"/>
              <w:left w:val="single" w:color="auto" w:sz="4" w:space="0"/>
              <w:bottom w:val="single" w:color="auto" w:sz="4" w:space="0"/>
              <w:right w:val="single" w:color="auto" w:sz="4" w:space="0"/>
            </w:tcBorders>
            <w:vAlign w:val="center"/>
          </w:tcPr>
          <w:p w14:paraId="02B34D65">
            <w:pPr>
              <w:tabs>
                <w:tab w:val="left" w:pos="600"/>
              </w:tabs>
              <w:rPr>
                <w:rFonts w:ascii="楷体_GB2312" w:eastAsia="楷体_GB2312"/>
                <w:bCs/>
                <w:sz w:val="22"/>
              </w:rPr>
            </w:pPr>
            <w:r>
              <w:rPr>
                <w:rFonts w:hint="eastAsia" w:ascii="楷体_GB2312" w:eastAsia="楷体_GB2312"/>
                <w:bCs/>
                <w:sz w:val="22"/>
              </w:rPr>
              <w:t>□绿化工程          米</w:t>
            </w:r>
          </w:p>
        </w:tc>
      </w:tr>
      <w:tr w14:paraId="3816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673" w:type="dxa"/>
            <w:tcBorders>
              <w:top w:val="single" w:color="auto" w:sz="4" w:space="0"/>
              <w:left w:val="single" w:color="auto" w:sz="4" w:space="0"/>
              <w:bottom w:val="single" w:color="auto" w:sz="4" w:space="0"/>
              <w:right w:val="single" w:color="auto" w:sz="4" w:space="0"/>
            </w:tcBorders>
            <w:vAlign w:val="center"/>
          </w:tcPr>
          <w:p w14:paraId="51F83507">
            <w:pPr>
              <w:spacing w:line="240" w:lineRule="atLeast"/>
              <w:rPr>
                <w:rFonts w:ascii="楷体_GB2312" w:eastAsia="楷体_GB2312"/>
                <w:bCs/>
                <w:sz w:val="22"/>
              </w:rPr>
            </w:pPr>
            <w:r>
              <w:rPr>
                <w:rFonts w:hint="eastAsia" w:ascii="楷体_GB2312" w:eastAsia="楷体_GB2312"/>
                <w:bCs/>
                <w:sz w:val="22"/>
              </w:rPr>
              <w:t>□交通安全设施工程          米</w:t>
            </w:r>
          </w:p>
        </w:tc>
        <w:tc>
          <w:tcPr>
            <w:tcW w:w="4111" w:type="dxa"/>
            <w:tcBorders>
              <w:top w:val="single" w:color="auto" w:sz="4" w:space="0"/>
              <w:left w:val="single" w:color="auto" w:sz="4" w:space="0"/>
              <w:bottom w:val="single" w:color="auto" w:sz="4" w:space="0"/>
              <w:right w:val="single" w:color="auto" w:sz="4" w:space="0"/>
            </w:tcBorders>
            <w:vAlign w:val="center"/>
          </w:tcPr>
          <w:p w14:paraId="3EA08429">
            <w:pPr>
              <w:tabs>
                <w:tab w:val="left" w:pos="600"/>
              </w:tabs>
              <w:rPr>
                <w:rFonts w:ascii="楷体_GB2312" w:eastAsia="楷体_GB2312"/>
                <w:bCs/>
                <w:sz w:val="22"/>
              </w:rPr>
            </w:pPr>
            <w:r>
              <w:rPr>
                <w:rFonts w:hint="eastAsia" w:ascii="楷体_GB2312" w:eastAsia="楷体_GB2312"/>
                <w:bCs/>
                <w:sz w:val="22"/>
              </w:rPr>
              <w:t>□燃气工程          米</w:t>
            </w:r>
          </w:p>
        </w:tc>
      </w:tr>
      <w:tr w14:paraId="3ED1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84" w:type="dxa"/>
            <w:gridSpan w:val="2"/>
            <w:tcBorders>
              <w:top w:val="single" w:color="auto" w:sz="4" w:space="0"/>
              <w:left w:val="single" w:color="auto" w:sz="4" w:space="0"/>
              <w:bottom w:val="single" w:color="auto" w:sz="4" w:space="0"/>
              <w:right w:val="single" w:color="auto" w:sz="4" w:space="0"/>
            </w:tcBorders>
            <w:vAlign w:val="center"/>
          </w:tcPr>
          <w:p w14:paraId="319A2D4F">
            <w:pPr>
              <w:rPr>
                <w:rFonts w:ascii="楷体_GB2312" w:eastAsia="楷体_GB2312"/>
                <w:bCs/>
                <w:sz w:val="22"/>
              </w:rPr>
            </w:pPr>
            <w:r>
              <w:rPr>
                <w:rFonts w:hint="eastAsia" w:ascii="楷体_GB2312" w:eastAsia="楷体_GB2312"/>
                <w:bCs/>
                <w:sz w:val="22"/>
              </w:rPr>
              <w:t>□其它:</w:t>
            </w:r>
          </w:p>
        </w:tc>
      </w:tr>
    </w:tbl>
    <w:p w14:paraId="4F134D06">
      <w:pPr>
        <w:spacing w:line="360" w:lineRule="auto"/>
        <w:rPr>
          <w:b/>
        </w:rPr>
      </w:pPr>
      <w:r>
        <w:rPr>
          <w:rFonts w:hint="eastAsia"/>
          <w:b/>
        </w:rPr>
        <w:t>2.房屋建筑及配套专业工程：</w:t>
      </w:r>
      <w:r>
        <w:rPr>
          <w:rFonts w:hint="eastAsia"/>
          <w:szCs w:val="21"/>
        </w:rPr>
        <w:t>(在□内打√，并填写相应的工程量)</w:t>
      </w:r>
    </w:p>
    <w:tbl>
      <w:tblPr>
        <w:tblStyle w:val="11"/>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2539"/>
        <w:gridCol w:w="3755"/>
      </w:tblGrid>
      <w:tr w14:paraId="2DA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7ABEF483">
            <w:pPr>
              <w:spacing w:line="240" w:lineRule="atLeast"/>
              <w:rPr>
                <w:rFonts w:ascii="楷体_GB2312" w:eastAsia="楷体_GB2312"/>
                <w:bCs/>
                <w:sz w:val="22"/>
              </w:rPr>
            </w:pPr>
            <w:r>
              <w:rPr>
                <w:rFonts w:hint="eastAsia" w:ascii="楷体_GB2312" w:eastAsia="楷体_GB2312"/>
                <w:bCs/>
                <w:sz w:val="22"/>
              </w:rPr>
              <w:t xml:space="preserve">□地基与基础工程  （□基础  □ 基坑支护  □边坡  □土石方  </w:t>
            </w:r>
            <w:r>
              <w:rPr>
                <w:rFonts w:ascii="Wingdings 2" w:hAnsi="Wingdings 2" w:eastAsia="楷体_GB2312"/>
                <w:bCs/>
                <w:sz w:val="22"/>
              </w:rPr>
              <w:sym w:font="Wingdings 2" w:char="F0A3"/>
            </w:r>
            <w:r>
              <w:rPr>
                <w:rFonts w:hint="eastAsia" w:ascii="楷体_GB2312" w:eastAsia="楷体_GB2312"/>
                <w:bCs/>
                <w:sz w:val="22"/>
              </w:rPr>
              <w:t xml:space="preserve">其它）;  </w:t>
            </w:r>
          </w:p>
        </w:tc>
      </w:tr>
      <w:tr w14:paraId="674F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3494F3D2">
            <w:pPr>
              <w:spacing w:line="240" w:lineRule="atLeast"/>
              <w:rPr>
                <w:rFonts w:ascii="楷体_GB2312" w:eastAsia="楷体_GB2312"/>
                <w:bCs/>
                <w:sz w:val="22"/>
              </w:rPr>
            </w:pPr>
            <w:r>
              <w:rPr>
                <w:rFonts w:hint="eastAsia" w:ascii="楷体_GB2312" w:eastAsia="楷体_GB2312"/>
                <w:bCs/>
                <w:sz w:val="22"/>
              </w:rPr>
              <w:t>□主体结构工程    （□钢筋混凝土 □钢结构 □</w:t>
            </w:r>
            <w:r>
              <w:rPr>
                <w:rFonts w:hint="eastAsia" w:ascii="楷体_GB2312" w:eastAsia="楷体_GB2312"/>
                <w:bCs/>
                <w:spacing w:val="-20"/>
                <w:sz w:val="22"/>
              </w:rPr>
              <w:t xml:space="preserve">网架  </w:t>
            </w:r>
            <w:r>
              <w:rPr>
                <w:rFonts w:hint="eastAsia" w:ascii="楷体_GB2312" w:eastAsia="楷体_GB2312"/>
                <w:bCs/>
                <w:sz w:val="22"/>
              </w:rPr>
              <w:t xml:space="preserve">□索膜结构 □其它 ）;  </w:t>
            </w:r>
          </w:p>
        </w:tc>
      </w:tr>
      <w:tr w14:paraId="0F99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722056DF">
            <w:pPr>
              <w:spacing w:line="240" w:lineRule="atLeast"/>
              <w:rPr>
                <w:rFonts w:ascii="楷体_GB2312" w:eastAsia="楷体_GB2312"/>
                <w:bCs/>
                <w:sz w:val="22"/>
              </w:rPr>
            </w:pPr>
            <w:r>
              <w:rPr>
                <w:rFonts w:hint="eastAsia" w:ascii="楷体_GB2312" w:eastAsia="楷体_GB2312"/>
                <w:bCs/>
                <w:sz w:val="22"/>
              </w:rPr>
              <w:t xml:space="preserve">□装饰装修工程     （□金属门窗  □幕墙：   平方米  □其它  ）;  </w:t>
            </w:r>
          </w:p>
        </w:tc>
      </w:tr>
      <w:tr w14:paraId="13D7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78D40EFA">
            <w:pPr>
              <w:spacing w:line="240" w:lineRule="atLeast"/>
              <w:rPr>
                <w:rFonts w:ascii="楷体_GB2312" w:eastAsia="楷体_GB2312"/>
                <w:bCs/>
                <w:sz w:val="22"/>
              </w:rPr>
            </w:pPr>
            <w:r>
              <w:rPr>
                <w:rFonts w:hint="eastAsia" w:ascii="楷体_GB2312" w:eastAsia="楷体_GB2312"/>
                <w:bCs/>
                <w:sz w:val="22"/>
              </w:rPr>
              <w:t>□通风与空调       (□通风  □空调       □其它  ）;</w:t>
            </w:r>
          </w:p>
        </w:tc>
      </w:tr>
      <w:tr w14:paraId="6600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2299F964">
            <w:pPr>
              <w:spacing w:line="240" w:lineRule="atLeast"/>
              <w:rPr>
                <w:rFonts w:ascii="楷体_GB2312" w:eastAsia="楷体_GB2312"/>
                <w:bCs/>
                <w:sz w:val="22"/>
              </w:rPr>
            </w:pPr>
            <w:r>
              <w:rPr>
                <w:rFonts w:hint="eastAsia" w:ascii="楷体_GB2312" w:eastAsia="楷体_GB2312"/>
                <w:bCs/>
                <w:sz w:val="22"/>
              </w:rPr>
              <w:t>□</w:t>
            </w:r>
            <w:r>
              <w:rPr>
                <w:rFonts w:hint="eastAsia" w:ascii="楷体_GB2312" w:eastAsia="楷体_GB2312"/>
                <w:bCs/>
                <w:spacing w:val="-20"/>
                <w:sz w:val="22"/>
              </w:rPr>
              <w:t xml:space="preserve">建筑给水排水及供暖    </w:t>
            </w:r>
            <w:r>
              <w:rPr>
                <w:rFonts w:hint="eastAsia" w:ascii="楷体_GB2312" w:eastAsia="楷体_GB2312"/>
                <w:bCs/>
                <w:sz w:val="22"/>
              </w:rPr>
              <w:t xml:space="preserve">（□室内给、排水系统 □ 室外给、排水系统   □其它）;  </w:t>
            </w:r>
          </w:p>
        </w:tc>
      </w:tr>
      <w:tr w14:paraId="7BC8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1AEC822C">
            <w:pPr>
              <w:rPr>
                <w:sz w:val="22"/>
              </w:rPr>
            </w:pPr>
            <w:r>
              <w:rPr>
                <w:rFonts w:hint="eastAsia" w:ascii="楷体_GB2312" w:eastAsia="楷体_GB2312"/>
                <w:bCs/>
                <w:sz w:val="22"/>
              </w:rPr>
              <w:t>□建筑电气工程     (□室外电气    □电气照明     □其它  ）;</w:t>
            </w:r>
          </w:p>
        </w:tc>
      </w:tr>
      <w:tr w14:paraId="2FE0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52" w:type="dxa"/>
            <w:tcBorders>
              <w:top w:val="single" w:color="auto" w:sz="4" w:space="0"/>
              <w:left w:val="single" w:color="auto" w:sz="4" w:space="0"/>
              <w:bottom w:val="single" w:color="auto" w:sz="4" w:space="0"/>
              <w:right w:val="single" w:color="auto" w:sz="4" w:space="0"/>
            </w:tcBorders>
            <w:vAlign w:val="center"/>
          </w:tcPr>
          <w:p w14:paraId="27C5F94E">
            <w:pPr>
              <w:spacing w:line="240" w:lineRule="atLeast"/>
              <w:rPr>
                <w:rFonts w:ascii="楷体_GB2312" w:eastAsia="楷体_GB2312"/>
                <w:bCs/>
                <w:sz w:val="22"/>
              </w:rPr>
            </w:pPr>
            <w:r>
              <w:rPr>
                <w:rFonts w:hint="eastAsia" w:ascii="楷体_GB2312" w:eastAsia="楷体_GB2312"/>
                <w:bCs/>
                <w:sz w:val="22"/>
              </w:rPr>
              <w:t>□智能建筑</w:t>
            </w:r>
          </w:p>
        </w:tc>
        <w:tc>
          <w:tcPr>
            <w:tcW w:w="6291" w:type="dxa"/>
            <w:gridSpan w:val="2"/>
            <w:tcBorders>
              <w:top w:val="single" w:color="auto" w:sz="4" w:space="0"/>
              <w:left w:val="single" w:color="auto" w:sz="4" w:space="0"/>
              <w:bottom w:val="single" w:color="auto" w:sz="4" w:space="0"/>
              <w:right w:val="single" w:color="auto" w:sz="4" w:space="0"/>
            </w:tcBorders>
            <w:vAlign w:val="center"/>
          </w:tcPr>
          <w:p w14:paraId="18C2C5F0">
            <w:pPr>
              <w:rPr>
                <w:rFonts w:ascii="楷体_GB2312" w:eastAsia="楷体_GB2312"/>
                <w:bCs/>
                <w:sz w:val="22"/>
              </w:rPr>
            </w:pPr>
            <w:r>
              <w:rPr>
                <w:rFonts w:hint="eastAsia" w:ascii="楷体_GB2312" w:eastAsia="楷体_GB2312"/>
                <w:bCs/>
                <w:sz w:val="22"/>
              </w:rPr>
              <w:t>(□综合布线系统  □信息网络系统     □其它）;</w:t>
            </w:r>
          </w:p>
        </w:tc>
      </w:tr>
      <w:tr w14:paraId="5390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2542" w:type="dxa"/>
            <w:tcBorders>
              <w:top w:val="single" w:color="auto" w:sz="4" w:space="0"/>
              <w:left w:val="single" w:color="auto" w:sz="4" w:space="0"/>
              <w:bottom w:val="single" w:color="auto" w:sz="4" w:space="0"/>
              <w:right w:val="single" w:color="auto" w:sz="4" w:space="0"/>
            </w:tcBorders>
            <w:vAlign w:val="center"/>
          </w:tcPr>
          <w:p w14:paraId="2EBF330C">
            <w:pPr>
              <w:rPr>
                <w:rFonts w:ascii="楷体_GB2312" w:eastAsia="楷体_GB2312"/>
                <w:bCs/>
                <w:sz w:val="22"/>
              </w:rPr>
            </w:pPr>
            <w:r>
              <w:rPr>
                <w:rFonts w:hint="eastAsia" w:ascii="楷体_GB2312" w:eastAsia="楷体_GB2312"/>
                <w:bCs/>
                <w:sz w:val="22"/>
              </w:rPr>
              <w:t>□屋面及防水工程</w:t>
            </w:r>
          </w:p>
        </w:tc>
        <w:tc>
          <w:tcPr>
            <w:tcW w:w="2542" w:type="dxa"/>
            <w:tcBorders>
              <w:top w:val="single" w:color="auto" w:sz="4" w:space="0"/>
              <w:left w:val="single" w:color="auto" w:sz="4" w:space="0"/>
              <w:bottom w:val="single" w:color="auto" w:sz="4" w:space="0"/>
              <w:right w:val="single" w:color="auto" w:sz="4" w:space="0"/>
            </w:tcBorders>
            <w:vAlign w:val="center"/>
          </w:tcPr>
          <w:p w14:paraId="1E4B2144">
            <w:pPr>
              <w:rPr>
                <w:sz w:val="22"/>
              </w:rPr>
            </w:pPr>
            <w:r>
              <w:rPr>
                <w:rFonts w:hint="eastAsia" w:ascii="楷体_GB2312" w:eastAsia="楷体_GB2312"/>
                <w:bCs/>
                <w:sz w:val="22"/>
              </w:rPr>
              <w:t xml:space="preserve">□建筑节能    </w:t>
            </w:r>
          </w:p>
        </w:tc>
        <w:tc>
          <w:tcPr>
            <w:tcW w:w="3759" w:type="dxa"/>
            <w:tcBorders>
              <w:top w:val="single" w:color="auto" w:sz="4" w:space="0"/>
              <w:left w:val="single" w:color="auto" w:sz="4" w:space="0"/>
              <w:bottom w:val="single" w:color="auto" w:sz="4" w:space="0"/>
              <w:right w:val="single" w:color="auto" w:sz="4" w:space="0"/>
            </w:tcBorders>
            <w:vAlign w:val="center"/>
          </w:tcPr>
          <w:p w14:paraId="65C7E889">
            <w:pPr>
              <w:rPr>
                <w:rFonts w:ascii="楷体_GB2312" w:eastAsia="楷体_GB2312"/>
                <w:bCs/>
                <w:sz w:val="22"/>
              </w:rPr>
            </w:pPr>
            <w:r>
              <w:rPr>
                <w:rFonts w:hint="eastAsia" w:ascii="楷体_GB2312" w:eastAsia="楷体_GB2312"/>
                <w:bCs/>
                <w:sz w:val="22"/>
              </w:rPr>
              <w:t>□消防工程</w:t>
            </w:r>
          </w:p>
        </w:tc>
      </w:tr>
      <w:tr w14:paraId="0AE3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15A446CD">
            <w:pPr>
              <w:rPr>
                <w:rFonts w:ascii="楷体_GB2312" w:eastAsia="楷体_GB2312"/>
                <w:bCs/>
                <w:sz w:val="22"/>
              </w:rPr>
            </w:pPr>
            <w:r>
              <w:rPr>
                <w:rFonts w:hint="eastAsia" w:ascii="楷体_GB2312" w:eastAsia="楷体_GB2312"/>
                <w:bCs/>
                <w:sz w:val="22"/>
              </w:rPr>
              <w:t>□ 室外工程   （ □室外设施  □附属建筑</w:t>
            </w:r>
          </w:p>
          <w:p w14:paraId="43F274A4">
            <w:pPr>
              <w:rPr>
                <w:rFonts w:ascii="楷体_GB2312" w:eastAsia="楷体_GB2312"/>
                <w:bCs/>
                <w:sz w:val="22"/>
              </w:rPr>
            </w:pPr>
            <w:r>
              <w:rPr>
                <w:rFonts w:hint="eastAsia" w:ascii="楷体_GB2312" w:eastAsia="楷体_GB2312"/>
                <w:bCs/>
                <w:sz w:val="22"/>
              </w:rPr>
              <w:t>□室外环境</w:t>
            </w:r>
            <w:r>
              <w:rPr>
                <w:rFonts w:hint="eastAsia" w:ascii="楷体_GB2312" w:eastAsia="楷体_GB2312"/>
                <w:sz w:val="22"/>
                <w:u w:val="single"/>
              </w:rPr>
              <w:t xml:space="preserve">                                       ）</w:t>
            </w:r>
            <w:r>
              <w:rPr>
                <w:rFonts w:hint="eastAsia" w:ascii="楷体_GB2312" w:eastAsia="楷体_GB2312"/>
                <w:bCs/>
                <w:sz w:val="22"/>
              </w:rPr>
              <w:t xml:space="preserve"> 。</w:t>
            </w:r>
          </w:p>
        </w:tc>
      </w:tr>
      <w:tr w14:paraId="1E81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8843" w:type="dxa"/>
            <w:gridSpan w:val="3"/>
            <w:tcBorders>
              <w:top w:val="single" w:color="auto" w:sz="4" w:space="0"/>
              <w:left w:val="single" w:color="auto" w:sz="4" w:space="0"/>
              <w:bottom w:val="single" w:color="auto" w:sz="4" w:space="0"/>
              <w:right w:val="single" w:color="auto" w:sz="4" w:space="0"/>
            </w:tcBorders>
            <w:vAlign w:val="center"/>
          </w:tcPr>
          <w:p w14:paraId="74354AA7">
            <w:pPr>
              <w:rPr>
                <w:rFonts w:ascii="楷体_GB2312" w:eastAsia="楷体_GB2312"/>
                <w:bCs/>
                <w:sz w:val="22"/>
              </w:rPr>
            </w:pPr>
            <w:r>
              <w:rPr>
                <w:rFonts w:hint="eastAsia" w:ascii="楷体_GB2312" w:eastAsia="楷体_GB2312"/>
                <w:bCs/>
                <w:sz w:val="22"/>
              </w:rPr>
              <w:t>□燃气工程     （户数：</w:t>
            </w:r>
            <w:r>
              <w:rPr>
                <w:rFonts w:hint="eastAsia" w:ascii="楷体_GB2312" w:eastAsia="楷体_GB2312"/>
                <w:sz w:val="22"/>
              </w:rPr>
              <w:t>户；</w:t>
            </w:r>
            <w:r>
              <w:rPr>
                <w:rFonts w:hint="eastAsia" w:ascii="楷体_GB2312" w:eastAsia="楷体_GB2312"/>
                <w:bCs/>
                <w:sz w:val="22"/>
              </w:rPr>
              <w:t xml:space="preserve"> 庭院管： 米）</w:t>
            </w:r>
          </w:p>
        </w:tc>
      </w:tr>
    </w:tbl>
    <w:p w14:paraId="32358850">
      <w:pPr>
        <w:spacing w:line="360" w:lineRule="auto"/>
        <w:rPr>
          <w:b/>
        </w:rPr>
      </w:pPr>
      <w:r>
        <w:rPr>
          <w:rFonts w:hint="eastAsia"/>
          <w:b/>
        </w:rPr>
        <w:t>3.二次装饰装修工程：</w:t>
      </w:r>
      <w:r>
        <w:rPr>
          <w:rFonts w:hint="eastAsia"/>
          <w:szCs w:val="21"/>
        </w:rPr>
        <w:t>(在□内打√，并填写相应的工程量)</w:t>
      </w:r>
    </w:p>
    <w:tbl>
      <w:tblPr>
        <w:tblStyle w:val="11"/>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843"/>
        <w:gridCol w:w="2126"/>
        <w:gridCol w:w="1701"/>
        <w:gridCol w:w="1559"/>
      </w:tblGrid>
      <w:tr w14:paraId="11A7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14:paraId="1F5AACBB">
            <w:pPr>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消防工程</w:t>
            </w:r>
          </w:p>
        </w:tc>
        <w:tc>
          <w:tcPr>
            <w:tcW w:w="1843" w:type="dxa"/>
            <w:tcBorders>
              <w:top w:val="single" w:color="auto" w:sz="4" w:space="0"/>
              <w:left w:val="single" w:color="auto" w:sz="4" w:space="0"/>
              <w:bottom w:val="single" w:color="auto" w:sz="4" w:space="0"/>
              <w:right w:val="single" w:color="auto" w:sz="4" w:space="0"/>
            </w:tcBorders>
            <w:vAlign w:val="center"/>
          </w:tcPr>
          <w:p w14:paraId="517464D3">
            <w:pPr>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门窗</w:t>
            </w:r>
          </w:p>
        </w:tc>
        <w:tc>
          <w:tcPr>
            <w:tcW w:w="2126" w:type="dxa"/>
            <w:tcBorders>
              <w:top w:val="single" w:color="auto" w:sz="4" w:space="0"/>
              <w:left w:val="single" w:color="auto" w:sz="4" w:space="0"/>
              <w:bottom w:val="single" w:color="auto" w:sz="4" w:space="0"/>
              <w:right w:val="single" w:color="auto" w:sz="4" w:space="0"/>
            </w:tcBorders>
            <w:vAlign w:val="center"/>
          </w:tcPr>
          <w:p w14:paraId="1A0597D6">
            <w:pPr>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防水工程</w:t>
            </w:r>
          </w:p>
        </w:tc>
        <w:tc>
          <w:tcPr>
            <w:tcW w:w="1701" w:type="dxa"/>
            <w:tcBorders>
              <w:top w:val="single" w:color="auto" w:sz="4" w:space="0"/>
              <w:left w:val="single" w:color="auto" w:sz="4" w:space="0"/>
              <w:bottom w:val="single" w:color="auto" w:sz="4" w:space="0"/>
              <w:right w:val="single" w:color="auto" w:sz="4" w:space="0"/>
            </w:tcBorders>
            <w:vAlign w:val="center"/>
          </w:tcPr>
          <w:p w14:paraId="372E5B99">
            <w:pPr>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 xml:space="preserve">电气照明 </w:t>
            </w:r>
          </w:p>
        </w:tc>
        <w:tc>
          <w:tcPr>
            <w:tcW w:w="1559" w:type="dxa"/>
            <w:tcBorders>
              <w:top w:val="single" w:color="auto" w:sz="4" w:space="0"/>
              <w:left w:val="single" w:color="auto" w:sz="4" w:space="0"/>
              <w:bottom w:val="single" w:color="auto" w:sz="4" w:space="0"/>
              <w:right w:val="single" w:color="auto" w:sz="4" w:space="0"/>
            </w:tcBorders>
            <w:vAlign w:val="center"/>
          </w:tcPr>
          <w:p w14:paraId="65B0EE16">
            <w:pPr>
              <w:rPr>
                <w:rFonts w:ascii="楷体_GB2312" w:eastAsia="楷体_GB2312"/>
                <w:bCs/>
                <w:sz w:val="22"/>
              </w:rPr>
            </w:pPr>
            <w:r>
              <w:rPr>
                <w:rFonts w:ascii="Wingdings 2" w:hAnsi="Wingdings 2" w:eastAsia="楷体_GB2312"/>
                <w:bCs/>
                <w:sz w:val="22"/>
              </w:rPr>
              <w:sym w:font="Wingdings 2" w:char="F0A3"/>
            </w:r>
            <w:r>
              <w:rPr>
                <w:rFonts w:hint="eastAsia" w:ascii="楷体_GB2312" w:hAnsi="楷体_GB2312" w:eastAsia="楷体_GB2312" w:cs="楷体_GB2312"/>
                <w:sz w:val="22"/>
              </w:rPr>
              <w:t>建筑节能</w:t>
            </w:r>
          </w:p>
        </w:tc>
      </w:tr>
      <w:tr w14:paraId="075F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16C45BE3">
            <w:pPr>
              <w:tabs>
                <w:tab w:val="left" w:pos="600"/>
              </w:tabs>
              <w:rPr>
                <w:sz w:val="22"/>
              </w:rPr>
            </w:pPr>
            <w:r>
              <w:rPr>
                <w:rFonts w:ascii="Wingdings 2" w:hAnsi="Wingdings 2" w:eastAsia="楷体_GB2312"/>
                <w:bCs/>
                <w:sz w:val="22"/>
              </w:rPr>
              <w:sym w:font="Wingdings 2" w:char="F0A3"/>
            </w:r>
            <w:r>
              <w:rPr>
                <w:rFonts w:hint="eastAsia" w:ascii="楷体_GB2312" w:eastAsia="楷体_GB2312"/>
                <w:bCs/>
                <w:sz w:val="22"/>
              </w:rPr>
              <w:t>通风与空调 (</w:t>
            </w:r>
            <w:r>
              <w:rPr>
                <w:rFonts w:ascii="Wingdings 2" w:hAnsi="Wingdings 2" w:eastAsia="楷体_GB2312"/>
                <w:bCs/>
                <w:sz w:val="22"/>
              </w:rPr>
              <w:sym w:font="Wingdings 2" w:char="F0A3"/>
            </w:r>
            <w:r>
              <w:rPr>
                <w:rFonts w:hint="eastAsia" w:ascii="楷体_GB2312" w:eastAsia="楷体_GB2312"/>
                <w:bCs/>
                <w:sz w:val="22"/>
              </w:rPr>
              <w:t xml:space="preserve">通风  </w:t>
            </w:r>
            <w:r>
              <w:rPr>
                <w:rFonts w:ascii="Wingdings 2" w:hAnsi="Wingdings 2" w:eastAsia="楷体_GB2312"/>
                <w:bCs/>
                <w:sz w:val="22"/>
              </w:rPr>
              <w:sym w:font="Wingdings 2" w:char="F0A3"/>
            </w:r>
            <w:r>
              <w:rPr>
                <w:rFonts w:hint="eastAsia" w:ascii="楷体_GB2312" w:eastAsia="楷体_GB2312"/>
                <w:bCs/>
                <w:sz w:val="22"/>
              </w:rPr>
              <w:t>空调       □其它  );</w:t>
            </w:r>
          </w:p>
        </w:tc>
      </w:tr>
      <w:tr w14:paraId="5E04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3B7283C8">
            <w:pPr>
              <w:rPr>
                <w:sz w:val="22"/>
              </w:rPr>
            </w:pPr>
            <w:r>
              <w:rPr>
                <w:rFonts w:ascii="Wingdings 2" w:hAnsi="Wingdings 2" w:eastAsia="楷体_GB2312"/>
                <w:bCs/>
                <w:sz w:val="22"/>
              </w:rPr>
              <w:sym w:font="Wingdings 2" w:char="F0A3"/>
            </w:r>
            <w:r>
              <w:rPr>
                <w:rFonts w:hint="eastAsia" w:ascii="楷体_GB2312" w:eastAsia="楷体_GB2312"/>
                <w:bCs/>
                <w:sz w:val="22"/>
              </w:rPr>
              <w:t>建筑给排水及供暖（</w:t>
            </w:r>
            <w:r>
              <w:rPr>
                <w:rFonts w:ascii="Wingdings 2" w:hAnsi="Wingdings 2" w:eastAsia="楷体_GB2312"/>
                <w:bCs/>
                <w:sz w:val="22"/>
              </w:rPr>
              <w:sym w:font="Wingdings 2" w:char="F0A3"/>
            </w:r>
            <w:r>
              <w:rPr>
                <w:rFonts w:hint="eastAsia" w:ascii="楷体_GB2312" w:eastAsia="楷体_GB2312"/>
                <w:bCs/>
                <w:sz w:val="22"/>
              </w:rPr>
              <w:t xml:space="preserve">室内给、排水系统   </w:t>
            </w:r>
            <w:r>
              <w:rPr>
                <w:rFonts w:ascii="Wingdings 2" w:hAnsi="Wingdings 2" w:eastAsia="楷体_GB2312"/>
                <w:bCs/>
                <w:sz w:val="22"/>
              </w:rPr>
              <w:sym w:font="Wingdings 2" w:char="F0A3"/>
            </w:r>
            <w:r>
              <w:rPr>
                <w:rFonts w:hint="eastAsia" w:ascii="楷体_GB2312" w:eastAsia="楷体_GB2312"/>
                <w:bCs/>
                <w:sz w:val="22"/>
              </w:rPr>
              <w:t>室外给、排水系统   □其它  ）;</w:t>
            </w:r>
          </w:p>
        </w:tc>
      </w:tr>
      <w:tr w14:paraId="6E1D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3951C32B">
            <w:pPr>
              <w:tabs>
                <w:tab w:val="left" w:pos="600"/>
              </w:tabs>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智能建筑  (</w:t>
            </w:r>
            <w:r>
              <w:rPr>
                <w:rFonts w:ascii="Wingdings 2" w:hAnsi="Wingdings 2" w:eastAsia="楷体_GB2312"/>
                <w:bCs/>
                <w:sz w:val="22"/>
              </w:rPr>
              <w:sym w:font="Wingdings 2" w:char="F0A3"/>
            </w:r>
            <w:r>
              <w:rPr>
                <w:rFonts w:hint="eastAsia" w:ascii="楷体_GB2312" w:eastAsia="楷体_GB2312"/>
                <w:bCs/>
                <w:sz w:val="22"/>
              </w:rPr>
              <w:t xml:space="preserve">综合布线系统    </w:t>
            </w:r>
            <w:r>
              <w:rPr>
                <w:rFonts w:ascii="Wingdings 2" w:hAnsi="Wingdings 2" w:eastAsia="楷体_GB2312"/>
                <w:bCs/>
                <w:sz w:val="22"/>
              </w:rPr>
              <w:sym w:font="Wingdings 2" w:char="F0A3"/>
            </w:r>
            <w:r>
              <w:rPr>
                <w:rFonts w:hint="eastAsia" w:ascii="楷体_GB2312" w:eastAsia="楷体_GB2312"/>
                <w:bCs/>
                <w:sz w:val="22"/>
              </w:rPr>
              <w:t>信息网络系统    □其它  ）;</w:t>
            </w:r>
          </w:p>
        </w:tc>
      </w:tr>
      <w:tr w14:paraId="5C7B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6B73F463">
            <w:pPr>
              <w:tabs>
                <w:tab w:val="left" w:pos="600"/>
              </w:tabs>
              <w:rPr>
                <w:rFonts w:ascii="楷体_GB2312" w:eastAsia="楷体_GB2312"/>
                <w:bCs/>
                <w:sz w:val="22"/>
              </w:rPr>
            </w:pPr>
            <w:r>
              <w:rPr>
                <w:rFonts w:ascii="Wingdings 2" w:hAnsi="Wingdings 2" w:eastAsia="楷体_GB2312"/>
                <w:bCs/>
                <w:sz w:val="22"/>
              </w:rPr>
              <w:sym w:font="Wingdings 2" w:char="F0A3"/>
            </w:r>
            <w:r>
              <w:rPr>
                <w:rFonts w:hint="eastAsia" w:ascii="楷体_GB2312" w:eastAsia="楷体_GB2312"/>
                <w:bCs/>
                <w:sz w:val="22"/>
              </w:rPr>
              <w:t>装饰装修  (</w:t>
            </w:r>
            <w:r>
              <w:rPr>
                <w:rFonts w:ascii="Wingdings 2" w:hAnsi="Wingdings 2" w:eastAsia="楷体_GB2312"/>
                <w:bCs/>
                <w:sz w:val="22"/>
              </w:rPr>
              <w:sym w:font="Wingdings 2" w:char="F0A3"/>
            </w:r>
            <w:r>
              <w:rPr>
                <w:rFonts w:hint="eastAsia" w:ascii="楷体_GB2312" w:eastAsia="楷体_GB2312"/>
                <w:bCs/>
                <w:sz w:val="22"/>
              </w:rPr>
              <w:t xml:space="preserve">抹灰   </w:t>
            </w:r>
            <w:r>
              <w:rPr>
                <w:rFonts w:ascii="Wingdings 2" w:hAnsi="Wingdings 2" w:eastAsia="楷体_GB2312"/>
                <w:bCs/>
                <w:sz w:val="22"/>
              </w:rPr>
              <w:sym w:font="Wingdings 2" w:char="F0A3"/>
            </w:r>
            <w:r>
              <w:rPr>
                <w:rFonts w:hint="eastAsia" w:ascii="楷体_GB2312" w:eastAsia="楷体_GB2312"/>
                <w:bCs/>
                <w:sz w:val="22"/>
              </w:rPr>
              <w:t xml:space="preserve">涂饰   </w:t>
            </w:r>
            <w:r>
              <w:rPr>
                <w:rFonts w:ascii="Wingdings 2" w:hAnsi="Wingdings 2" w:eastAsia="楷体_GB2312"/>
                <w:bCs/>
                <w:sz w:val="22"/>
              </w:rPr>
              <w:sym w:font="Wingdings 2" w:char="F0A3"/>
            </w:r>
            <w:r>
              <w:rPr>
                <w:rFonts w:hint="eastAsia" w:ascii="楷体_GB2312" w:eastAsia="楷体_GB2312"/>
                <w:bCs/>
                <w:sz w:val="22"/>
              </w:rPr>
              <w:t xml:space="preserve">饰面板（砖）   </w:t>
            </w:r>
            <w:r>
              <w:rPr>
                <w:rFonts w:ascii="Wingdings 2" w:hAnsi="Wingdings 2" w:eastAsia="楷体_GB2312"/>
                <w:bCs/>
                <w:sz w:val="22"/>
              </w:rPr>
              <w:sym w:font="Wingdings 2" w:char="F0A3"/>
            </w:r>
            <w:r>
              <w:rPr>
                <w:rFonts w:hint="eastAsia" w:ascii="楷体_GB2312" w:eastAsia="楷体_GB2312"/>
                <w:bCs/>
                <w:sz w:val="22"/>
              </w:rPr>
              <w:t>吊顶   □其它  ）;</w:t>
            </w:r>
          </w:p>
        </w:tc>
      </w:tr>
      <w:tr w14:paraId="31D6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4" w:type="dxa"/>
            <w:gridSpan w:val="5"/>
            <w:tcBorders>
              <w:top w:val="single" w:color="auto" w:sz="4" w:space="0"/>
              <w:left w:val="single" w:color="auto" w:sz="4" w:space="0"/>
              <w:bottom w:val="single" w:color="auto" w:sz="4" w:space="0"/>
              <w:right w:val="single" w:color="auto" w:sz="4" w:space="0"/>
            </w:tcBorders>
            <w:vAlign w:val="center"/>
          </w:tcPr>
          <w:p w14:paraId="55B09A72">
            <w:pPr>
              <w:tabs>
                <w:tab w:val="left" w:pos="600"/>
              </w:tabs>
              <w:rPr>
                <w:rFonts w:ascii="楷体_GB2312" w:eastAsia="楷体_GB2312"/>
                <w:bCs/>
                <w:sz w:val="22"/>
              </w:rPr>
            </w:pPr>
            <w:r>
              <w:rPr>
                <w:rFonts w:hint="eastAsia" w:ascii="楷体_GB2312" w:eastAsia="楷体_GB2312"/>
                <w:bCs/>
                <w:sz w:val="22"/>
              </w:rPr>
              <w:t>□其它：</w:t>
            </w:r>
          </w:p>
        </w:tc>
      </w:tr>
    </w:tbl>
    <w:p w14:paraId="227FC1F4">
      <w:pPr>
        <w:spacing w:line="360" w:lineRule="auto"/>
        <w:rPr>
          <w:b/>
        </w:rPr>
      </w:pPr>
      <w:r>
        <w:rPr>
          <w:rFonts w:hint="eastAsia"/>
          <w:b/>
        </w:rPr>
        <w:t>4.其他工程</w:t>
      </w:r>
    </w:p>
    <w:p w14:paraId="61A00283">
      <w:pPr>
        <w:adjustRightInd w:val="0"/>
        <w:snapToGrid w:val="0"/>
        <w:spacing w:line="360" w:lineRule="auto"/>
        <w:ind w:firstLine="480" w:firstLineChars="200"/>
        <w:jc w:val="both"/>
        <w:rPr>
          <w:u w:val="single"/>
        </w:rPr>
      </w:pPr>
      <w:r>
        <w:rPr>
          <w:rFonts w:hint="eastAsia"/>
          <w:u w:val="single"/>
        </w:rPr>
        <w:t>发包人要求与本工程有关的其他工作。</w:t>
      </w:r>
    </w:p>
    <w:p w14:paraId="0A4AD254">
      <w:pPr>
        <w:adjustRightInd w:val="0"/>
        <w:snapToGrid w:val="0"/>
        <w:spacing w:line="360" w:lineRule="auto"/>
        <w:ind w:firstLine="480" w:firstLineChars="200"/>
        <w:jc w:val="both"/>
        <w:rPr>
          <w:u w:val="single"/>
        </w:rPr>
      </w:pPr>
      <w:r>
        <w:rPr>
          <w:rFonts w:hint="eastAsia"/>
          <w:u w:val="single"/>
        </w:rPr>
        <w:t>1.特别说明：具体内容详见施工图纸、工程量清单及合同条款，承包人不能拒绝执行承包范围内全部任何工作，以及为完成全部工程而需执行的可能遗漏的工作。</w:t>
      </w:r>
    </w:p>
    <w:p w14:paraId="78927327">
      <w:pPr>
        <w:adjustRightInd w:val="0"/>
        <w:snapToGrid w:val="0"/>
        <w:spacing w:line="360" w:lineRule="auto"/>
        <w:ind w:firstLine="480" w:firstLineChars="200"/>
        <w:jc w:val="both"/>
        <w:rPr>
          <w:u w:val="single"/>
        </w:rPr>
      </w:pPr>
      <w:r>
        <w:rPr>
          <w:rFonts w:hint="eastAsia"/>
          <w:u w:val="single"/>
        </w:rPr>
        <w:t>2.承包人在上述承包范围内所提供的所有方案及后续实施工作，均须满足发包人的任何要求，且需通过政府规划主管部门的审批。</w:t>
      </w:r>
    </w:p>
    <w:p w14:paraId="2F1A9061">
      <w:pPr>
        <w:adjustRightInd w:val="0"/>
        <w:snapToGrid w:val="0"/>
        <w:spacing w:line="360" w:lineRule="auto"/>
        <w:ind w:firstLine="480" w:firstLineChars="200"/>
        <w:jc w:val="both"/>
        <w:rPr>
          <w:u w:val="single"/>
        </w:rPr>
      </w:pPr>
      <w:r>
        <w:rPr>
          <w:rFonts w:hint="eastAsia"/>
          <w:u w:val="single"/>
        </w:rPr>
        <w:t xml:space="preserve">3.除合同明确约定系发包人工作之外的其他一切与该项目建设有关工作，均由承包人负责及费用的承担，费用已含在签约合同价中，承包人不能拒绝执行为完成全部工程而需执行的可能遗漏的工作。  </w:t>
      </w:r>
    </w:p>
    <w:p w14:paraId="205C2737">
      <w:pPr>
        <w:adjustRightInd w:val="0"/>
        <w:snapToGrid w:val="0"/>
        <w:spacing w:line="360" w:lineRule="auto"/>
        <w:ind w:firstLine="480" w:firstLineChars="200"/>
        <w:jc w:val="both"/>
        <w:rPr>
          <w:u w:val="single"/>
        </w:rPr>
      </w:pPr>
      <w:r>
        <w:rPr>
          <w:rFonts w:hint="eastAsia"/>
          <w:u w:val="single"/>
        </w:rPr>
        <w:t>4.发包人有权根据项目实施情况</w:t>
      </w:r>
      <w:r>
        <w:rPr>
          <w:u w:val="single"/>
        </w:rPr>
        <w:t>，</w:t>
      </w:r>
      <w:r>
        <w:rPr>
          <w:rFonts w:hint="eastAsia"/>
          <w:u w:val="single"/>
        </w:rPr>
        <w:t>对承包人的承包范围进行适当调整，承包人不得有异议。</w:t>
      </w:r>
    </w:p>
    <w:p w14:paraId="36E7AB5D">
      <w:pPr>
        <w:pStyle w:val="4"/>
        <w:keepNext w:val="0"/>
        <w:keepLines w:val="0"/>
        <w:spacing w:before="80" w:after="0"/>
        <w:rPr>
          <w:rFonts w:ascii="宋体"/>
          <w:sz w:val="30"/>
        </w:rPr>
      </w:pPr>
      <w:bookmarkStart w:id="19" w:name="_Toc989"/>
      <w:bookmarkStart w:id="20" w:name="_Toc31005"/>
      <w:bookmarkStart w:id="21" w:name="_Toc25575"/>
      <w:r>
        <w:rPr>
          <w:rFonts w:hint="eastAsia" w:ascii="宋体"/>
          <w:sz w:val="30"/>
        </w:rPr>
        <w:t>三、合同工期</w:t>
      </w:r>
      <w:bookmarkEnd w:id="19"/>
      <w:bookmarkEnd w:id="20"/>
      <w:bookmarkEnd w:id="21"/>
    </w:p>
    <w:p w14:paraId="26A71935">
      <w:pPr>
        <w:spacing w:line="360" w:lineRule="auto"/>
        <w:ind w:firstLine="482"/>
        <w:jc w:val="both"/>
      </w:pPr>
      <w:r>
        <w:rPr>
          <w:rFonts w:hint="eastAsia"/>
        </w:rPr>
        <w:t>计划开工日期：年月日；</w:t>
      </w:r>
    </w:p>
    <w:p w14:paraId="7FE166FB">
      <w:pPr>
        <w:spacing w:line="360" w:lineRule="auto"/>
        <w:ind w:firstLine="482"/>
        <w:jc w:val="both"/>
        <w:rPr>
          <w:u w:val="single"/>
        </w:rPr>
      </w:pPr>
      <w:r>
        <w:rPr>
          <w:rFonts w:hint="eastAsia"/>
        </w:rPr>
        <w:t>计划竣工日期：年月日；</w:t>
      </w:r>
    </w:p>
    <w:p w14:paraId="179FE7D4">
      <w:pPr>
        <w:spacing w:line="360" w:lineRule="auto"/>
        <w:ind w:firstLine="482"/>
        <w:jc w:val="both"/>
      </w:pPr>
      <w:r>
        <w:rPr>
          <w:rFonts w:hint="eastAsia"/>
        </w:rPr>
        <w:t>合同工期总日历天数</w:t>
      </w:r>
      <w:r>
        <w:rPr>
          <w:rFonts w:hint="eastAsia"/>
          <w:u w:val="single"/>
          <w:lang w:val="en-US" w:eastAsia="zh-CN"/>
        </w:rPr>
        <w:t>45</w:t>
      </w:r>
      <w:r>
        <w:rPr>
          <w:rFonts w:hint="eastAsia"/>
        </w:rPr>
        <w:t>天。</w:t>
      </w:r>
    </w:p>
    <w:p w14:paraId="1693BE97">
      <w:pPr>
        <w:spacing w:line="360" w:lineRule="auto"/>
        <w:ind w:firstLine="482"/>
        <w:jc w:val="both"/>
      </w:pPr>
      <w:r>
        <w:rPr>
          <w:rFonts w:hint="eastAsia"/>
        </w:rPr>
        <w:t>招标工期总日历天数</w:t>
      </w:r>
      <w:r>
        <w:rPr>
          <w:rFonts w:hint="eastAsia"/>
          <w:u w:val="single"/>
        </w:rPr>
        <w:t xml:space="preserve">       /    </w:t>
      </w:r>
      <w:r>
        <w:rPr>
          <w:rFonts w:hint="eastAsia"/>
        </w:rPr>
        <w:t>天。</w:t>
      </w:r>
    </w:p>
    <w:p w14:paraId="55DF7185">
      <w:pPr>
        <w:spacing w:line="360" w:lineRule="auto"/>
        <w:ind w:firstLine="482"/>
        <w:jc w:val="both"/>
      </w:pPr>
      <w:r>
        <w:rPr>
          <w:rFonts w:hint="eastAsia"/>
        </w:rPr>
        <w:t>定额工期总日历天数</w:t>
      </w:r>
      <w:r>
        <w:rPr>
          <w:rFonts w:hint="eastAsia"/>
          <w:u w:val="single"/>
        </w:rPr>
        <w:t xml:space="preserve"> / </w:t>
      </w:r>
      <w:r>
        <w:rPr>
          <w:rFonts w:hint="eastAsia"/>
        </w:rPr>
        <w:t>天。</w:t>
      </w:r>
    </w:p>
    <w:p w14:paraId="0BE2DED4">
      <w:pPr>
        <w:spacing w:line="360" w:lineRule="auto"/>
        <w:ind w:firstLine="482"/>
        <w:jc w:val="both"/>
        <w:rPr>
          <w:u w:val="single"/>
        </w:rPr>
      </w:pPr>
      <w:r>
        <w:rPr>
          <w:rFonts w:hint="eastAsia"/>
        </w:rPr>
        <w:t>合同工期对比定额工期的压缩比例为</w:t>
      </w:r>
      <w:r>
        <w:rPr>
          <w:rFonts w:hint="eastAsia"/>
          <w:u w:val="single"/>
        </w:rPr>
        <w:t xml:space="preserve"> / </w:t>
      </w:r>
      <w:r>
        <w:rPr>
          <w:rFonts w:hint="eastAsia"/>
          <w:bCs/>
          <w:sz w:val="28"/>
          <w:szCs w:val="28"/>
          <w:u w:val="single"/>
        </w:rPr>
        <w:t>%</w:t>
      </w:r>
      <w:r>
        <w:rPr>
          <w:rFonts w:hint="eastAsia"/>
        </w:rPr>
        <w:t xml:space="preserve"> (压缩比例=1-合同工期/定额工期)。</w:t>
      </w:r>
    </w:p>
    <w:p w14:paraId="77B089C3">
      <w:pPr>
        <w:pStyle w:val="4"/>
        <w:keepNext w:val="0"/>
        <w:keepLines w:val="0"/>
        <w:widowControl w:val="0"/>
        <w:spacing w:before="80" w:after="0"/>
        <w:rPr>
          <w:rFonts w:ascii="宋体"/>
          <w:sz w:val="30"/>
        </w:rPr>
      </w:pPr>
      <w:bookmarkStart w:id="22" w:name="_Toc915"/>
      <w:bookmarkStart w:id="23" w:name="_Toc16810"/>
      <w:bookmarkStart w:id="24" w:name="_Toc29688"/>
      <w:r>
        <w:rPr>
          <w:rFonts w:hint="eastAsia" w:ascii="宋体"/>
          <w:sz w:val="30"/>
        </w:rPr>
        <w:t>四、质量标准</w:t>
      </w:r>
      <w:bookmarkEnd w:id="22"/>
      <w:bookmarkEnd w:id="23"/>
      <w:bookmarkEnd w:id="24"/>
    </w:p>
    <w:p w14:paraId="4751FD37">
      <w:pPr>
        <w:adjustRightInd w:val="0"/>
        <w:snapToGrid w:val="0"/>
        <w:spacing w:line="360" w:lineRule="auto"/>
        <w:ind w:firstLine="482"/>
        <w:jc w:val="both"/>
        <w:rPr>
          <w:rFonts w:cs="Times New Roman"/>
          <w:u w:val="single"/>
        </w:rPr>
      </w:pPr>
      <w:bookmarkStart w:id="25" w:name="_Toc31835"/>
      <w:bookmarkStart w:id="26" w:name="_Toc25115"/>
      <w:bookmarkStart w:id="27" w:name="_Toc19788"/>
      <w:r>
        <w:rPr>
          <w:rFonts w:hint="eastAsia" w:cs="Times New Roman"/>
        </w:rPr>
        <w:t>1.本工程质量标准：</w:t>
      </w:r>
      <w:r>
        <w:rPr>
          <w:rFonts w:hint="eastAsia" w:cs="Times New Roman"/>
          <w:u w:val="single"/>
        </w:rPr>
        <w:t xml:space="preserve">合格。 </w:t>
      </w:r>
    </w:p>
    <w:p w14:paraId="73C08F86">
      <w:pPr>
        <w:adjustRightInd w:val="0"/>
        <w:snapToGrid w:val="0"/>
        <w:spacing w:line="360" w:lineRule="auto"/>
        <w:ind w:firstLine="482"/>
        <w:jc w:val="both"/>
      </w:pPr>
      <w:r>
        <w:rPr>
          <w:rFonts w:hint="eastAsia" w:cs="Times New Roman"/>
        </w:rPr>
        <w:t>质量获奖要求：</w:t>
      </w:r>
      <w:r>
        <w:rPr>
          <w:rFonts w:hint="eastAsia" w:cs="Times New Roman"/>
          <w:u w:val="single"/>
        </w:rPr>
        <w:t xml:space="preserve"> /</w:t>
      </w:r>
    </w:p>
    <w:p w14:paraId="7E60F946">
      <w:pPr>
        <w:adjustRightInd w:val="0"/>
        <w:snapToGrid w:val="0"/>
        <w:spacing w:line="360" w:lineRule="auto"/>
        <w:ind w:firstLine="482"/>
        <w:jc w:val="both"/>
        <w:rPr>
          <w:rFonts w:cs="Times New Roman"/>
        </w:rPr>
      </w:pPr>
      <w:r>
        <w:rPr>
          <w:rFonts w:hint="eastAsia" w:cs="Times New Roman"/>
        </w:rPr>
        <w:t>2.安全标准和要求：符合国家、部委、行业及工程所在省、市颁布的现行的相关标准及发包人要求。3.质量或安全等项目现场观摩活动要求：</w:t>
      </w:r>
      <w:r>
        <w:rPr>
          <w:rFonts w:hint="eastAsia" w:cs="Times New Roman"/>
          <w:u w:val="single"/>
        </w:rPr>
        <w:t xml:space="preserve"> /。</w:t>
      </w:r>
    </w:p>
    <w:p w14:paraId="04C5BD3F">
      <w:pPr>
        <w:pStyle w:val="4"/>
        <w:keepNext w:val="0"/>
        <w:keepLines w:val="0"/>
        <w:spacing w:before="80" w:after="0"/>
        <w:rPr>
          <w:rFonts w:ascii="宋体"/>
          <w:sz w:val="30"/>
        </w:rPr>
      </w:pPr>
      <w:r>
        <w:rPr>
          <w:rFonts w:hint="eastAsia" w:ascii="宋体"/>
          <w:sz w:val="30"/>
        </w:rPr>
        <w:t>五、签约合同价</w:t>
      </w:r>
      <w:bookmarkEnd w:id="25"/>
      <w:bookmarkEnd w:id="26"/>
      <w:bookmarkEnd w:id="27"/>
    </w:p>
    <w:p w14:paraId="60161EFB">
      <w:pPr>
        <w:adjustRightInd w:val="0"/>
        <w:snapToGrid w:val="0"/>
        <w:spacing w:line="360" w:lineRule="auto"/>
        <w:ind w:firstLine="480" w:firstLineChars="200"/>
        <w:jc w:val="both"/>
      </w:pPr>
      <w:r>
        <w:rPr>
          <w:rFonts w:hint="eastAsia"/>
        </w:rPr>
        <w:t>含增值税合同价人民币（大写）  (¥</w:t>
      </w:r>
      <w:r>
        <w:rPr>
          <w:rFonts w:hint="eastAsia"/>
          <w:u w:val="single"/>
        </w:rPr>
        <w:t xml:space="preserve">        </w:t>
      </w:r>
      <w:r>
        <w:rPr>
          <w:rFonts w:hint="eastAsia"/>
        </w:rPr>
        <w:t>元)，其中不含增值税合同价</w:t>
      </w:r>
      <w:r>
        <w:rPr>
          <w:rFonts w:hint="eastAsia"/>
          <w:u w:val="single"/>
        </w:rPr>
        <w:t>         </w:t>
      </w:r>
      <w:r>
        <w:rPr>
          <w:rFonts w:hint="eastAsia"/>
        </w:rPr>
        <w:t>元，增值税税率</w:t>
      </w:r>
      <w:r>
        <w:rPr>
          <w:rFonts w:hint="eastAsia"/>
          <w:u w:val="single"/>
        </w:rPr>
        <w:t>   </w:t>
      </w:r>
      <w:r>
        <w:rPr>
          <w:rFonts w:hint="eastAsia"/>
        </w:rPr>
        <w:t>%。若深圳市建设工程造价管理站发布的规费和增值税综合应纳税费率发生了变化，从新的费率执行之日开始，</w:t>
      </w:r>
      <w:r>
        <w:rPr>
          <w:rFonts w:hint="eastAsia" w:cs="Times New Roman"/>
        </w:rPr>
        <w:t>对于已经发包人确认应支付且承包人已开具发票部分的款项，执行原规费及税率；对于未经发包人确认或未开具发票部分的款项，执行变化后的规费及税率。</w:t>
      </w:r>
    </w:p>
    <w:p w14:paraId="516C3A0B">
      <w:pPr>
        <w:adjustRightInd w:val="0"/>
        <w:snapToGrid w:val="0"/>
        <w:spacing w:line="360" w:lineRule="auto"/>
        <w:ind w:firstLine="480" w:firstLineChars="200"/>
        <w:jc w:val="both"/>
      </w:pPr>
      <w:r>
        <w:t>其中：</w:t>
      </w:r>
    </w:p>
    <w:p w14:paraId="5DE949B6">
      <w:pPr>
        <w:adjustRightInd w:val="0"/>
        <w:snapToGrid w:val="0"/>
        <w:spacing w:line="360" w:lineRule="auto"/>
        <w:ind w:firstLine="480" w:firstLineChars="200"/>
        <w:jc w:val="both"/>
      </w:pPr>
      <w:r>
        <w:rPr>
          <w:rFonts w:hint="eastAsia"/>
        </w:rPr>
        <w:t>⑴</w:t>
      </w:r>
      <w:r>
        <w:t>安全文明施工费：</w:t>
      </w:r>
    </w:p>
    <w:p w14:paraId="052C362B">
      <w:pPr>
        <w:adjustRightInd w:val="0"/>
        <w:snapToGrid w:val="0"/>
        <w:spacing w:line="360" w:lineRule="auto"/>
        <w:ind w:firstLine="480" w:firstLineChars="200"/>
        <w:jc w:val="both"/>
      </w:pPr>
      <w:r>
        <w:t>人民币（大写） (¥元)；</w:t>
      </w:r>
    </w:p>
    <w:p w14:paraId="33505177">
      <w:pPr>
        <w:adjustRightInd w:val="0"/>
        <w:snapToGrid w:val="0"/>
        <w:spacing w:line="360" w:lineRule="auto"/>
        <w:ind w:firstLine="480" w:firstLineChars="200"/>
        <w:jc w:val="both"/>
      </w:pPr>
      <w:r>
        <w:rPr>
          <w:rFonts w:hint="eastAsia"/>
        </w:rPr>
        <w:t>⑵</w:t>
      </w:r>
      <w:r>
        <w:t>材料和工程设备暂估价金额：</w:t>
      </w:r>
    </w:p>
    <w:p w14:paraId="17A9841F">
      <w:pPr>
        <w:adjustRightInd w:val="0"/>
        <w:snapToGrid w:val="0"/>
        <w:spacing w:line="360" w:lineRule="auto"/>
        <w:ind w:firstLine="480" w:firstLineChars="200"/>
        <w:jc w:val="both"/>
      </w:pPr>
      <w:r>
        <w:t>人民币（大写） (¥元)；</w:t>
      </w:r>
    </w:p>
    <w:p w14:paraId="59DE7BBF">
      <w:pPr>
        <w:adjustRightInd w:val="0"/>
        <w:snapToGrid w:val="0"/>
        <w:spacing w:line="360" w:lineRule="auto"/>
        <w:ind w:firstLine="480" w:firstLineChars="200"/>
        <w:jc w:val="both"/>
      </w:pPr>
      <w:r>
        <w:rPr>
          <w:rFonts w:hint="eastAsia"/>
        </w:rPr>
        <w:t>⑶</w:t>
      </w:r>
      <w:r>
        <w:t>专业工程暂估价金额：</w:t>
      </w:r>
    </w:p>
    <w:p w14:paraId="7684F2DC">
      <w:pPr>
        <w:adjustRightInd w:val="0"/>
        <w:snapToGrid w:val="0"/>
        <w:spacing w:line="360" w:lineRule="auto"/>
        <w:ind w:firstLine="480" w:firstLineChars="200"/>
        <w:jc w:val="both"/>
      </w:pPr>
      <w:r>
        <w:t>人民币（大写） (¥元)；</w:t>
      </w:r>
    </w:p>
    <w:p w14:paraId="74A08D9F">
      <w:pPr>
        <w:adjustRightInd w:val="0"/>
        <w:snapToGrid w:val="0"/>
        <w:spacing w:line="360" w:lineRule="auto"/>
        <w:ind w:firstLine="480" w:firstLineChars="200"/>
        <w:jc w:val="both"/>
      </w:pPr>
      <w:r>
        <w:rPr>
          <w:rFonts w:hint="eastAsia"/>
        </w:rPr>
        <w:t>⑷</w:t>
      </w:r>
      <w:r>
        <w:t>暂列金额：</w:t>
      </w:r>
    </w:p>
    <w:p w14:paraId="5D8C9FA2">
      <w:pPr>
        <w:adjustRightInd w:val="0"/>
        <w:snapToGrid w:val="0"/>
        <w:spacing w:line="360" w:lineRule="auto"/>
        <w:ind w:firstLine="480" w:firstLineChars="200"/>
        <w:jc w:val="both"/>
      </w:pPr>
      <w:r>
        <w:t>人民币（大写） (¥元)</w:t>
      </w:r>
      <w:r>
        <w:rPr>
          <w:rFonts w:hint="eastAsia"/>
        </w:rPr>
        <w:t>；</w:t>
      </w:r>
    </w:p>
    <w:p w14:paraId="4A1BE3AB">
      <w:pPr>
        <w:adjustRightInd w:val="0"/>
        <w:snapToGrid w:val="0"/>
        <w:spacing w:line="360" w:lineRule="auto"/>
        <w:ind w:firstLine="480" w:firstLineChars="200"/>
        <w:jc w:val="both"/>
      </w:pPr>
      <w:r>
        <w:rPr>
          <w:rFonts w:hint="eastAsia"/>
        </w:rPr>
        <w:t>⑸BIM技术应用费用：</w:t>
      </w:r>
    </w:p>
    <w:p w14:paraId="40BFFA6B">
      <w:pPr>
        <w:adjustRightInd w:val="0"/>
        <w:snapToGrid w:val="0"/>
        <w:spacing w:line="360" w:lineRule="auto"/>
        <w:ind w:firstLine="480" w:firstLineChars="200"/>
        <w:jc w:val="both"/>
      </w:pPr>
      <w:r>
        <w:t>人民币（大写） (¥元)。</w:t>
      </w:r>
    </w:p>
    <w:p w14:paraId="39C13066">
      <w:pPr>
        <w:pStyle w:val="4"/>
        <w:keepNext w:val="0"/>
        <w:keepLines w:val="0"/>
        <w:spacing w:before="80" w:after="0"/>
        <w:rPr>
          <w:rFonts w:ascii="宋体"/>
          <w:sz w:val="30"/>
        </w:rPr>
      </w:pPr>
      <w:bookmarkStart w:id="28" w:name="_Toc22904"/>
      <w:bookmarkStart w:id="29" w:name="_Toc8312"/>
      <w:bookmarkStart w:id="30" w:name="_Toc11997"/>
      <w:r>
        <w:rPr>
          <w:rFonts w:hint="eastAsia" w:ascii="宋体"/>
          <w:sz w:val="30"/>
        </w:rPr>
        <w:t>六、工人工资专用账户信息</w:t>
      </w:r>
      <w:bookmarkEnd w:id="28"/>
      <w:bookmarkEnd w:id="29"/>
      <w:bookmarkEnd w:id="30"/>
    </w:p>
    <w:p w14:paraId="52251D54">
      <w:pPr>
        <w:adjustRightInd w:val="0"/>
        <w:snapToGrid w:val="0"/>
        <w:spacing w:line="360" w:lineRule="auto"/>
        <w:ind w:firstLine="482"/>
        <w:jc w:val="both"/>
      </w:pPr>
      <w:r>
        <w:rPr>
          <w:rFonts w:hint="eastAsia"/>
        </w:rPr>
        <w:t>工人工资款支付专用账户名称：</w:t>
      </w:r>
    </w:p>
    <w:p w14:paraId="706FC8E9">
      <w:pPr>
        <w:adjustRightInd w:val="0"/>
        <w:snapToGrid w:val="0"/>
        <w:spacing w:line="360" w:lineRule="auto"/>
        <w:ind w:firstLine="482"/>
        <w:jc w:val="both"/>
      </w:pPr>
      <w:r>
        <w:rPr>
          <w:rFonts w:hint="eastAsia"/>
        </w:rPr>
        <w:t>工人工资款支付专用账户开户银行：</w:t>
      </w:r>
    </w:p>
    <w:p w14:paraId="3E2D4C9A">
      <w:pPr>
        <w:adjustRightInd w:val="0"/>
        <w:snapToGrid w:val="0"/>
        <w:spacing w:line="360" w:lineRule="auto"/>
        <w:ind w:firstLine="482"/>
        <w:jc w:val="both"/>
        <w:rPr>
          <w:u w:val="single"/>
        </w:rPr>
      </w:pPr>
      <w:r>
        <w:rPr>
          <w:rFonts w:hint="eastAsia"/>
        </w:rPr>
        <w:t>工人工资款支付专用账户号：</w:t>
      </w:r>
    </w:p>
    <w:p w14:paraId="52C926DE">
      <w:pPr>
        <w:pStyle w:val="4"/>
        <w:keepNext w:val="0"/>
        <w:keepLines w:val="0"/>
        <w:spacing w:before="80" w:after="0"/>
        <w:rPr>
          <w:rFonts w:ascii="宋体"/>
          <w:sz w:val="30"/>
        </w:rPr>
      </w:pPr>
      <w:bookmarkStart w:id="31" w:name="_Toc27947"/>
      <w:bookmarkStart w:id="32" w:name="_Toc27781"/>
      <w:bookmarkStart w:id="33" w:name="_Toc17395"/>
      <w:r>
        <w:rPr>
          <w:rFonts w:hint="eastAsia" w:ascii="宋体"/>
          <w:sz w:val="30"/>
        </w:rPr>
        <w:t>七、组成合同的文件</w:t>
      </w:r>
      <w:bookmarkEnd w:id="31"/>
      <w:bookmarkEnd w:id="32"/>
      <w:bookmarkEnd w:id="33"/>
    </w:p>
    <w:p w14:paraId="0DC9B2C1">
      <w:pPr>
        <w:adjustRightInd w:val="0"/>
        <w:snapToGrid w:val="0"/>
        <w:spacing w:line="360" w:lineRule="auto"/>
        <w:ind w:firstLine="480" w:firstLineChars="200"/>
        <w:jc w:val="both"/>
      </w:pPr>
      <w:r>
        <w:rPr>
          <w:rFonts w:hint="eastAsia"/>
        </w:rPr>
        <w:t>组成本合同的文件及优先解释顺序与本合同通用条款2.1款的规定一致：</w:t>
      </w:r>
    </w:p>
    <w:p w14:paraId="0833BC74">
      <w:pPr>
        <w:adjustRightInd w:val="0"/>
        <w:snapToGrid w:val="0"/>
        <w:spacing w:line="360" w:lineRule="auto"/>
        <w:ind w:firstLine="480" w:firstLineChars="200"/>
        <w:jc w:val="both"/>
      </w:pPr>
      <w:r>
        <w:rPr>
          <w:rFonts w:hint="eastAsia"/>
        </w:rPr>
        <w:t>⑴本合同签订后双方新签订的补充协议；</w:t>
      </w:r>
    </w:p>
    <w:p w14:paraId="331343DC">
      <w:pPr>
        <w:adjustRightInd w:val="0"/>
        <w:snapToGrid w:val="0"/>
        <w:spacing w:line="360" w:lineRule="auto"/>
        <w:ind w:firstLine="480" w:firstLineChars="200"/>
        <w:jc w:val="both"/>
      </w:pPr>
      <w:r>
        <w:rPr>
          <w:rFonts w:hint="eastAsia"/>
        </w:rPr>
        <w:t>⑵本合同第一部分的协议书；</w:t>
      </w:r>
    </w:p>
    <w:p w14:paraId="29EACC32">
      <w:pPr>
        <w:adjustRightInd w:val="0"/>
        <w:snapToGrid w:val="0"/>
        <w:spacing w:line="360" w:lineRule="auto"/>
        <w:ind w:firstLine="480" w:firstLineChars="200"/>
        <w:jc w:val="both"/>
      </w:pPr>
      <w:r>
        <w:rPr>
          <w:rFonts w:hint="eastAsia"/>
        </w:rPr>
        <w:t>⑶中标通知书及其附件；</w:t>
      </w:r>
    </w:p>
    <w:p w14:paraId="07064F73">
      <w:pPr>
        <w:adjustRightInd w:val="0"/>
        <w:snapToGrid w:val="0"/>
        <w:spacing w:line="360" w:lineRule="auto"/>
        <w:ind w:firstLine="480" w:firstLineChars="200"/>
        <w:jc w:val="both"/>
      </w:pPr>
      <w:r>
        <w:rPr>
          <w:rFonts w:hint="eastAsia"/>
        </w:rPr>
        <w:t>⑷本合同第四部分的补充条款；</w:t>
      </w:r>
    </w:p>
    <w:p w14:paraId="5393E28F">
      <w:pPr>
        <w:adjustRightInd w:val="0"/>
        <w:snapToGrid w:val="0"/>
        <w:spacing w:line="360" w:lineRule="auto"/>
        <w:ind w:firstLine="480" w:firstLineChars="200"/>
        <w:jc w:val="both"/>
      </w:pPr>
      <w:r>
        <w:rPr>
          <w:rFonts w:hint="eastAsia"/>
        </w:rPr>
        <w:t>⑸本合同第三部分的专用条款；</w:t>
      </w:r>
    </w:p>
    <w:p w14:paraId="639118FB">
      <w:pPr>
        <w:adjustRightInd w:val="0"/>
        <w:snapToGrid w:val="0"/>
        <w:spacing w:line="360" w:lineRule="auto"/>
        <w:ind w:firstLine="480" w:firstLineChars="200"/>
        <w:jc w:val="both"/>
      </w:pPr>
      <w:r>
        <w:rPr>
          <w:rFonts w:hint="eastAsia"/>
        </w:rPr>
        <w:t>⑹本合同第二部分的通用条款；</w:t>
      </w:r>
    </w:p>
    <w:p w14:paraId="3D07CA27">
      <w:pPr>
        <w:adjustRightInd w:val="0"/>
        <w:snapToGrid w:val="0"/>
        <w:spacing w:line="360" w:lineRule="auto"/>
        <w:ind w:firstLine="480" w:firstLineChars="200"/>
        <w:jc w:val="both"/>
      </w:pPr>
      <w:r>
        <w:rPr>
          <w:rFonts w:hint="eastAsia"/>
        </w:rPr>
        <w:t>⑺本工程招标文件中的技术要求和投标报价规定；</w:t>
      </w:r>
    </w:p>
    <w:p w14:paraId="16D10225">
      <w:pPr>
        <w:adjustRightInd w:val="0"/>
        <w:snapToGrid w:val="0"/>
        <w:spacing w:line="360" w:lineRule="auto"/>
        <w:ind w:firstLine="480" w:firstLineChars="200"/>
        <w:jc w:val="both"/>
      </w:pPr>
      <w:r>
        <w:rPr>
          <w:rFonts w:hint="eastAsia"/>
        </w:rPr>
        <w:t>⑻投标文件(包括承包人在评标期间和合同谈判过程中递交和确认并经发包人同意的对有关问题的补充资料和澄清文件等)；</w:t>
      </w:r>
    </w:p>
    <w:p w14:paraId="18B3A9C1">
      <w:pPr>
        <w:adjustRightInd w:val="0"/>
        <w:snapToGrid w:val="0"/>
        <w:spacing w:line="360" w:lineRule="auto"/>
        <w:ind w:firstLine="480" w:firstLineChars="200"/>
        <w:jc w:val="both"/>
      </w:pPr>
      <w:r>
        <w:rPr>
          <w:rFonts w:hint="eastAsia"/>
        </w:rPr>
        <w:t>⑼现行的标准、规范、规定及有关技术文件；</w:t>
      </w:r>
    </w:p>
    <w:p w14:paraId="125178AC">
      <w:pPr>
        <w:adjustRightInd w:val="0"/>
        <w:snapToGrid w:val="0"/>
        <w:spacing w:line="360" w:lineRule="auto"/>
        <w:ind w:firstLine="480" w:firstLineChars="200"/>
        <w:jc w:val="both"/>
      </w:pPr>
      <w:r>
        <w:rPr>
          <w:rFonts w:hint="eastAsia"/>
        </w:rPr>
        <w:t>⑽图纸和技术规格书；</w:t>
      </w:r>
    </w:p>
    <w:p w14:paraId="001B1D4E">
      <w:pPr>
        <w:adjustRightInd w:val="0"/>
        <w:snapToGrid w:val="0"/>
        <w:spacing w:line="360" w:lineRule="auto"/>
        <w:ind w:firstLine="480" w:firstLineChars="200"/>
        <w:jc w:val="both"/>
      </w:pPr>
      <w:r>
        <w:rPr>
          <w:rFonts w:hint="eastAsia"/>
        </w:rPr>
        <w:t>⑾已标价工程量清单；</w:t>
      </w:r>
    </w:p>
    <w:p w14:paraId="75D12353">
      <w:pPr>
        <w:adjustRightInd w:val="0"/>
        <w:snapToGrid w:val="0"/>
        <w:spacing w:line="360" w:lineRule="auto"/>
        <w:ind w:firstLine="480" w:firstLineChars="200"/>
        <w:jc w:val="both"/>
      </w:pPr>
      <w:r>
        <w:rPr>
          <w:rFonts w:hint="eastAsia"/>
        </w:rPr>
        <w:t>⑿发包人和承包人双方有关本工程的变更、签证、洽商、索赔、询价采购凭证等书面文件及组成合同的其他文件。</w:t>
      </w:r>
    </w:p>
    <w:p w14:paraId="43A75C8A">
      <w:pPr>
        <w:pStyle w:val="4"/>
        <w:keepNext w:val="0"/>
        <w:keepLines w:val="0"/>
        <w:spacing w:before="80" w:after="0"/>
        <w:rPr>
          <w:rFonts w:ascii="宋体"/>
          <w:sz w:val="30"/>
        </w:rPr>
      </w:pPr>
      <w:bookmarkStart w:id="34" w:name="_Toc14463"/>
      <w:bookmarkStart w:id="35" w:name="_Toc31002"/>
      <w:bookmarkStart w:id="36" w:name="_Toc7127"/>
      <w:r>
        <w:rPr>
          <w:rFonts w:hint="eastAsia" w:ascii="宋体"/>
          <w:sz w:val="30"/>
        </w:rPr>
        <w:t>八、词语含义</w:t>
      </w:r>
      <w:bookmarkEnd w:id="34"/>
      <w:bookmarkEnd w:id="35"/>
      <w:bookmarkEnd w:id="36"/>
    </w:p>
    <w:p w14:paraId="214B819D">
      <w:pPr>
        <w:adjustRightInd w:val="0"/>
        <w:snapToGrid w:val="0"/>
        <w:spacing w:line="360" w:lineRule="auto"/>
        <w:ind w:firstLine="482"/>
        <w:jc w:val="both"/>
      </w:pPr>
      <w:r>
        <w:rPr>
          <w:rFonts w:hint="eastAsia"/>
        </w:rPr>
        <w:t>本协议书中有关词语含义与本合同“通用条款”中赋予它们的定义相同。</w:t>
      </w:r>
    </w:p>
    <w:p w14:paraId="6AE5E7E4">
      <w:pPr>
        <w:pStyle w:val="4"/>
        <w:keepNext w:val="0"/>
        <w:keepLines w:val="0"/>
        <w:spacing w:before="80" w:after="0"/>
        <w:rPr>
          <w:rFonts w:ascii="宋体"/>
          <w:sz w:val="30"/>
        </w:rPr>
      </w:pPr>
      <w:bookmarkStart w:id="37" w:name="_Toc28966"/>
      <w:bookmarkStart w:id="38" w:name="_Toc21137"/>
      <w:bookmarkStart w:id="39" w:name="_Toc1089"/>
      <w:r>
        <w:rPr>
          <w:rFonts w:hint="eastAsia" w:ascii="宋体"/>
          <w:sz w:val="30"/>
        </w:rPr>
        <w:t>九、承诺</w:t>
      </w:r>
      <w:bookmarkEnd w:id="37"/>
      <w:bookmarkEnd w:id="38"/>
      <w:bookmarkEnd w:id="39"/>
    </w:p>
    <w:p w14:paraId="32BE8FDD">
      <w:pPr>
        <w:adjustRightInd w:val="0"/>
        <w:snapToGrid w:val="0"/>
        <w:spacing w:line="360" w:lineRule="auto"/>
        <w:ind w:firstLine="482"/>
        <w:jc w:val="both"/>
        <w:rPr>
          <w:bCs/>
        </w:rPr>
      </w:pPr>
      <w:r>
        <w:rPr>
          <w:bCs/>
        </w:rPr>
        <w:t>1.发包人承诺按照法律规定履行项目审批手续、筹集工程建设资金并按照合同约定的期限和方式支付合同价款</w:t>
      </w:r>
      <w:r>
        <w:rPr>
          <w:rFonts w:hint="eastAsia"/>
        </w:rPr>
        <w:t>及其它应当支付的款项</w:t>
      </w:r>
      <w:r>
        <w:t>，</w:t>
      </w:r>
      <w:r>
        <w:rPr>
          <w:rFonts w:hint="eastAsia"/>
        </w:rPr>
        <w:t>并履行本合同所约定的全部义务</w:t>
      </w:r>
      <w:r>
        <w:rPr>
          <w:bCs/>
        </w:rPr>
        <w:t>。</w:t>
      </w:r>
    </w:p>
    <w:p w14:paraId="4B864114">
      <w:pPr>
        <w:adjustRightInd w:val="0"/>
        <w:snapToGrid w:val="0"/>
        <w:spacing w:line="360" w:lineRule="auto"/>
        <w:ind w:firstLine="482"/>
        <w:jc w:val="both"/>
        <w:rPr>
          <w:bCs/>
        </w:rPr>
      </w:pPr>
      <w:r>
        <w:rPr>
          <w:bCs/>
        </w:rPr>
        <w:t>2.承包人承诺按照法律规定及合同约定组织完成工程施工，确保工程质量和安全，不进行转包及违法分包，并在</w:t>
      </w:r>
      <w:r>
        <w:rPr>
          <w:rFonts w:hint="eastAsia"/>
          <w:bCs/>
        </w:rPr>
        <w:t>质量</w:t>
      </w:r>
      <w:r>
        <w:rPr>
          <w:bCs/>
        </w:rPr>
        <w:t>缺陷责任期及保修期内承担相应的工程维修责任</w:t>
      </w:r>
      <w:r>
        <w:t>，</w:t>
      </w:r>
      <w:r>
        <w:rPr>
          <w:rFonts w:hint="eastAsia"/>
        </w:rPr>
        <w:t>并履行本合同所约定的全部义务</w:t>
      </w:r>
      <w:r>
        <w:rPr>
          <w:bCs/>
        </w:rPr>
        <w:t>。</w:t>
      </w:r>
    </w:p>
    <w:p w14:paraId="2FEB95A1">
      <w:pPr>
        <w:adjustRightInd w:val="0"/>
        <w:snapToGrid w:val="0"/>
        <w:spacing w:line="360" w:lineRule="auto"/>
        <w:ind w:firstLine="482"/>
        <w:jc w:val="both"/>
        <w:rPr>
          <w:bCs/>
        </w:rPr>
      </w:pPr>
      <w:r>
        <w:rPr>
          <w:bCs/>
        </w:rPr>
        <w:t>3.发包人和承包人双方理解并</w:t>
      </w:r>
      <w:r>
        <w:rPr>
          <w:rFonts w:hint="eastAsia"/>
          <w:bCs/>
        </w:rPr>
        <w:t>承诺</w:t>
      </w:r>
      <w:r>
        <w:rPr>
          <w:bCs/>
        </w:rPr>
        <w:t>不再就同一工程另行签订与合同实质性内容相背离的协议。</w:t>
      </w:r>
    </w:p>
    <w:p w14:paraId="717A1DEA">
      <w:pPr>
        <w:pStyle w:val="4"/>
        <w:keepNext w:val="0"/>
        <w:keepLines w:val="0"/>
        <w:spacing w:before="0" w:after="0" w:line="360" w:lineRule="auto"/>
        <w:rPr>
          <w:rFonts w:ascii="宋体"/>
          <w:sz w:val="30"/>
        </w:rPr>
      </w:pPr>
      <w:bookmarkStart w:id="40" w:name="_Toc7973"/>
      <w:bookmarkStart w:id="41" w:name="_Toc8870"/>
      <w:bookmarkStart w:id="42" w:name="_Toc6863"/>
      <w:r>
        <w:rPr>
          <w:rFonts w:hint="eastAsia" w:ascii="宋体"/>
          <w:sz w:val="30"/>
        </w:rPr>
        <w:t>十、合同订立与生效</w:t>
      </w:r>
      <w:bookmarkEnd w:id="40"/>
      <w:bookmarkEnd w:id="41"/>
      <w:bookmarkEnd w:id="42"/>
    </w:p>
    <w:p w14:paraId="3DE3BAFB">
      <w:pPr>
        <w:adjustRightInd w:val="0"/>
        <w:snapToGrid w:val="0"/>
        <w:spacing w:line="360" w:lineRule="auto"/>
        <w:ind w:firstLine="480" w:firstLineChars="200"/>
        <w:jc w:val="both"/>
      </w:pPr>
      <w:r>
        <w:rPr>
          <w:rFonts w:hint="eastAsia"/>
        </w:rPr>
        <w:t>本合同订立时间：年月日；</w:t>
      </w:r>
    </w:p>
    <w:p w14:paraId="0E4B6684">
      <w:pPr>
        <w:adjustRightInd w:val="0"/>
        <w:snapToGrid w:val="0"/>
        <w:spacing w:line="360" w:lineRule="auto"/>
        <w:ind w:firstLine="480" w:firstLineChars="200"/>
        <w:jc w:val="both"/>
      </w:pPr>
      <w:r>
        <w:rPr>
          <w:rFonts w:hint="eastAsia"/>
        </w:rPr>
        <w:t>订立地点：</w:t>
      </w:r>
    </w:p>
    <w:p w14:paraId="39B0CAC1">
      <w:pPr>
        <w:adjustRightInd w:val="0"/>
        <w:snapToGrid w:val="0"/>
        <w:spacing w:line="360" w:lineRule="auto"/>
        <w:ind w:firstLine="480" w:firstLineChars="200"/>
        <w:jc w:val="both"/>
      </w:pPr>
      <w:r>
        <w:rPr>
          <w:rFonts w:hint="eastAsia"/>
        </w:rPr>
        <w:t>发包人和承包人约定本合同自后成立。</w:t>
      </w:r>
    </w:p>
    <w:p w14:paraId="4A7FB684">
      <w:pPr>
        <w:spacing w:line="360" w:lineRule="auto"/>
        <w:ind w:firstLine="480" w:firstLineChars="200"/>
      </w:pPr>
      <w:r>
        <w:rPr>
          <w:bCs/>
        </w:rPr>
        <w:t>本合同一式</w:t>
      </w:r>
      <w:r>
        <w:rPr>
          <w:rFonts w:hint="eastAsia"/>
          <w:bCs/>
          <w:u w:val="single"/>
        </w:rPr>
        <w:t xml:space="preserve">贰拾贰 </w:t>
      </w:r>
      <w:r>
        <w:rPr>
          <w:bCs/>
        </w:rPr>
        <w:t>份，均具有同等法律效力，发包人执</w:t>
      </w:r>
      <w:r>
        <w:rPr>
          <w:rFonts w:hint="eastAsia"/>
          <w:bCs/>
          <w:u w:val="single"/>
        </w:rPr>
        <w:t xml:space="preserve">壹拾肆  </w:t>
      </w:r>
      <w:r>
        <w:rPr>
          <w:bCs/>
        </w:rPr>
        <w:t>份，承包人执</w:t>
      </w:r>
      <w:r>
        <w:rPr>
          <w:rFonts w:hint="eastAsia"/>
          <w:bCs/>
          <w:u w:val="single"/>
        </w:rPr>
        <w:t xml:space="preserve">捌 </w:t>
      </w:r>
      <w:r>
        <w:rPr>
          <w:bCs/>
        </w:rPr>
        <w:t>份。</w:t>
      </w:r>
    </w:p>
    <w:p w14:paraId="78A94CF3">
      <w:pPr>
        <w:adjustRightInd w:val="0"/>
        <w:snapToGrid w:val="0"/>
        <w:spacing w:line="360" w:lineRule="auto"/>
        <w:ind w:firstLine="480" w:firstLineChars="200"/>
        <w:jc w:val="both"/>
        <w:rPr>
          <w:bCs/>
        </w:rPr>
      </w:pPr>
      <w:r>
        <w:rPr>
          <w:bCs/>
        </w:rPr>
        <w:br w:type="page"/>
      </w:r>
    </w:p>
    <w:p w14:paraId="55C5C7F1">
      <w:pPr>
        <w:pStyle w:val="10"/>
      </w:pPr>
      <w:r>
        <w:rPr>
          <w:rFonts w:hint="eastAsia"/>
        </w:rPr>
        <w:t>(此页无正文)</w:t>
      </w:r>
    </w:p>
    <w:p w14:paraId="4FD91637">
      <w:pPr>
        <w:spacing w:line="360" w:lineRule="auto"/>
        <w:ind w:firstLine="480"/>
        <w:rPr>
          <w:bCs/>
        </w:rPr>
      </w:pPr>
    </w:p>
    <w:p w14:paraId="2FAB7D36">
      <w:pPr>
        <w:spacing w:line="360" w:lineRule="auto"/>
        <w:ind w:firstLine="480"/>
        <w:rPr>
          <w:bCs/>
        </w:rPr>
      </w:pPr>
    </w:p>
    <w:tbl>
      <w:tblPr>
        <w:tblStyle w:val="11"/>
        <w:tblW w:w="0" w:type="auto"/>
        <w:tblInd w:w="0" w:type="dxa"/>
        <w:tblLayout w:type="autofit"/>
        <w:tblCellMar>
          <w:top w:w="0" w:type="dxa"/>
          <w:left w:w="108" w:type="dxa"/>
          <w:bottom w:w="0" w:type="dxa"/>
          <w:right w:w="108" w:type="dxa"/>
        </w:tblCellMar>
      </w:tblPr>
      <w:tblGrid>
        <w:gridCol w:w="4360"/>
        <w:gridCol w:w="4360"/>
      </w:tblGrid>
      <w:tr w14:paraId="3DEA7078">
        <w:tblPrEx>
          <w:tblCellMar>
            <w:top w:w="0" w:type="dxa"/>
            <w:left w:w="108" w:type="dxa"/>
            <w:bottom w:w="0" w:type="dxa"/>
            <w:right w:w="108" w:type="dxa"/>
          </w:tblCellMar>
        </w:tblPrEx>
        <w:tc>
          <w:tcPr>
            <w:tcW w:w="4360" w:type="dxa"/>
          </w:tcPr>
          <w:p w14:paraId="232F9FAD">
            <w:pPr>
              <w:spacing w:line="360" w:lineRule="auto"/>
              <w:rPr>
                <w:bCs/>
              </w:rPr>
            </w:pPr>
            <w:r>
              <w:rPr>
                <w:b/>
              </w:rPr>
              <w:t>发包人</w:t>
            </w:r>
            <w:r>
              <w:rPr>
                <w:rFonts w:hint="eastAsia"/>
                <w:b/>
              </w:rPr>
              <w:t>：</w:t>
            </w:r>
            <w:r>
              <w:t>(公章)</w:t>
            </w:r>
          </w:p>
        </w:tc>
        <w:tc>
          <w:tcPr>
            <w:tcW w:w="4360" w:type="dxa"/>
          </w:tcPr>
          <w:p w14:paraId="22F82D58">
            <w:pPr>
              <w:spacing w:line="360" w:lineRule="auto"/>
              <w:rPr>
                <w:bCs/>
              </w:rPr>
            </w:pPr>
            <w:r>
              <w:rPr>
                <w:rFonts w:hint="eastAsia"/>
                <w:b/>
              </w:rPr>
              <w:t>承包</w:t>
            </w:r>
            <w:r>
              <w:rPr>
                <w:b/>
              </w:rPr>
              <w:t>人</w:t>
            </w:r>
            <w:r>
              <w:rPr>
                <w:rFonts w:hint="eastAsia"/>
                <w:b/>
              </w:rPr>
              <w:t>：</w:t>
            </w:r>
            <w:r>
              <w:t>(公章)</w:t>
            </w:r>
          </w:p>
        </w:tc>
      </w:tr>
      <w:tr w14:paraId="19A195F7">
        <w:tblPrEx>
          <w:tblCellMar>
            <w:top w:w="0" w:type="dxa"/>
            <w:left w:w="108" w:type="dxa"/>
            <w:bottom w:w="0" w:type="dxa"/>
            <w:right w:w="108" w:type="dxa"/>
          </w:tblCellMar>
        </w:tblPrEx>
        <w:trPr>
          <w:trHeight w:val="1267" w:hRule="atLeast"/>
        </w:trPr>
        <w:tc>
          <w:tcPr>
            <w:tcW w:w="4360" w:type="dxa"/>
          </w:tcPr>
          <w:p w14:paraId="15979908">
            <w:pPr>
              <w:spacing w:line="360" w:lineRule="auto"/>
              <w:rPr>
                <w:b/>
              </w:rPr>
            </w:pPr>
            <w:r>
              <w:rPr>
                <w:rFonts w:hint="eastAsia"/>
                <w:b/>
              </w:rPr>
              <w:t>法定代表人或其委托代理人：</w:t>
            </w:r>
          </w:p>
          <w:p w14:paraId="77F81170">
            <w:pPr>
              <w:spacing w:line="360" w:lineRule="auto"/>
              <w:rPr>
                <w:bCs/>
              </w:rPr>
            </w:pPr>
            <w:r>
              <w:rPr>
                <w:rFonts w:hint="eastAsia"/>
              </w:rPr>
              <w:t>（签字）</w:t>
            </w:r>
          </w:p>
        </w:tc>
        <w:tc>
          <w:tcPr>
            <w:tcW w:w="4360" w:type="dxa"/>
          </w:tcPr>
          <w:p w14:paraId="60C9D9DB">
            <w:pPr>
              <w:spacing w:line="360" w:lineRule="auto"/>
              <w:rPr>
                <w:b/>
              </w:rPr>
            </w:pPr>
            <w:r>
              <w:rPr>
                <w:rFonts w:hint="eastAsia"/>
                <w:b/>
              </w:rPr>
              <w:t>法定代表人或其委托代理人：</w:t>
            </w:r>
          </w:p>
          <w:p w14:paraId="62CC1E3B">
            <w:pPr>
              <w:spacing w:line="360" w:lineRule="auto"/>
              <w:rPr>
                <w:bCs/>
              </w:rPr>
            </w:pPr>
            <w:r>
              <w:rPr>
                <w:rFonts w:hint="eastAsia"/>
              </w:rPr>
              <w:t>（签字）</w:t>
            </w:r>
          </w:p>
        </w:tc>
      </w:tr>
      <w:tr w14:paraId="2152BFA4">
        <w:tblPrEx>
          <w:tblCellMar>
            <w:top w:w="0" w:type="dxa"/>
            <w:left w:w="108" w:type="dxa"/>
            <w:bottom w:w="0" w:type="dxa"/>
            <w:right w:w="108" w:type="dxa"/>
          </w:tblCellMar>
        </w:tblPrEx>
        <w:tc>
          <w:tcPr>
            <w:tcW w:w="4360" w:type="dxa"/>
          </w:tcPr>
          <w:p w14:paraId="11E427F9">
            <w:pPr>
              <w:spacing w:line="360" w:lineRule="auto"/>
              <w:rPr>
                <w:bCs/>
              </w:rPr>
            </w:pPr>
            <w:r>
              <w:rPr>
                <w:rFonts w:hint="eastAsia"/>
                <w:b/>
              </w:rPr>
              <w:t>统一社会信用代码：</w:t>
            </w:r>
          </w:p>
        </w:tc>
        <w:tc>
          <w:tcPr>
            <w:tcW w:w="4360" w:type="dxa"/>
          </w:tcPr>
          <w:p w14:paraId="73978097">
            <w:pPr>
              <w:spacing w:line="360" w:lineRule="auto"/>
              <w:rPr>
                <w:bCs/>
              </w:rPr>
            </w:pPr>
            <w:r>
              <w:rPr>
                <w:rFonts w:hint="eastAsia"/>
                <w:b/>
              </w:rPr>
              <w:t>统一社会信用代码：</w:t>
            </w:r>
          </w:p>
        </w:tc>
      </w:tr>
      <w:tr w14:paraId="057E7AD6">
        <w:tblPrEx>
          <w:tblCellMar>
            <w:top w:w="0" w:type="dxa"/>
            <w:left w:w="108" w:type="dxa"/>
            <w:bottom w:w="0" w:type="dxa"/>
            <w:right w:w="108" w:type="dxa"/>
          </w:tblCellMar>
        </w:tblPrEx>
        <w:tc>
          <w:tcPr>
            <w:tcW w:w="4360" w:type="dxa"/>
          </w:tcPr>
          <w:p w14:paraId="518E479E">
            <w:pPr>
              <w:spacing w:line="360" w:lineRule="auto"/>
              <w:rPr>
                <w:bCs/>
              </w:rPr>
            </w:pPr>
            <w:r>
              <w:rPr>
                <w:b/>
              </w:rPr>
              <w:t>地址：</w:t>
            </w:r>
          </w:p>
        </w:tc>
        <w:tc>
          <w:tcPr>
            <w:tcW w:w="4360" w:type="dxa"/>
          </w:tcPr>
          <w:p w14:paraId="4064C480">
            <w:pPr>
              <w:spacing w:line="360" w:lineRule="auto"/>
              <w:rPr>
                <w:bCs/>
              </w:rPr>
            </w:pPr>
            <w:r>
              <w:rPr>
                <w:b/>
              </w:rPr>
              <w:t>地址：</w:t>
            </w:r>
          </w:p>
        </w:tc>
      </w:tr>
      <w:tr w14:paraId="7A21B6EA">
        <w:tblPrEx>
          <w:tblCellMar>
            <w:top w:w="0" w:type="dxa"/>
            <w:left w:w="108" w:type="dxa"/>
            <w:bottom w:w="0" w:type="dxa"/>
            <w:right w:w="108" w:type="dxa"/>
          </w:tblCellMar>
        </w:tblPrEx>
        <w:tc>
          <w:tcPr>
            <w:tcW w:w="4360" w:type="dxa"/>
          </w:tcPr>
          <w:p w14:paraId="00C9ECFD">
            <w:pPr>
              <w:spacing w:line="360" w:lineRule="auto"/>
              <w:rPr>
                <w:bCs/>
              </w:rPr>
            </w:pPr>
            <w:r>
              <w:rPr>
                <w:b/>
              </w:rPr>
              <w:t>邮政编码：</w:t>
            </w:r>
          </w:p>
        </w:tc>
        <w:tc>
          <w:tcPr>
            <w:tcW w:w="4360" w:type="dxa"/>
          </w:tcPr>
          <w:p w14:paraId="326275E5">
            <w:pPr>
              <w:spacing w:line="360" w:lineRule="auto"/>
              <w:rPr>
                <w:bCs/>
              </w:rPr>
            </w:pPr>
            <w:r>
              <w:rPr>
                <w:b/>
              </w:rPr>
              <w:t>邮政编码：</w:t>
            </w:r>
          </w:p>
        </w:tc>
      </w:tr>
      <w:tr w14:paraId="350B5E90">
        <w:tblPrEx>
          <w:tblCellMar>
            <w:top w:w="0" w:type="dxa"/>
            <w:left w:w="108" w:type="dxa"/>
            <w:bottom w:w="0" w:type="dxa"/>
            <w:right w:w="108" w:type="dxa"/>
          </w:tblCellMar>
        </w:tblPrEx>
        <w:tc>
          <w:tcPr>
            <w:tcW w:w="4360" w:type="dxa"/>
          </w:tcPr>
          <w:p w14:paraId="5D649D2E">
            <w:pPr>
              <w:spacing w:line="360" w:lineRule="auto"/>
              <w:rPr>
                <w:bCs/>
              </w:rPr>
            </w:pPr>
            <w:r>
              <w:rPr>
                <w:b/>
              </w:rPr>
              <w:t>法定代表人：</w:t>
            </w:r>
          </w:p>
        </w:tc>
        <w:tc>
          <w:tcPr>
            <w:tcW w:w="4360" w:type="dxa"/>
          </w:tcPr>
          <w:p w14:paraId="4E4D6BC7">
            <w:pPr>
              <w:spacing w:line="360" w:lineRule="auto"/>
              <w:rPr>
                <w:bCs/>
              </w:rPr>
            </w:pPr>
            <w:r>
              <w:rPr>
                <w:b/>
              </w:rPr>
              <w:t>法定代表人：</w:t>
            </w:r>
          </w:p>
        </w:tc>
      </w:tr>
      <w:tr w14:paraId="3A60F13F">
        <w:tblPrEx>
          <w:tblCellMar>
            <w:top w:w="0" w:type="dxa"/>
            <w:left w:w="108" w:type="dxa"/>
            <w:bottom w:w="0" w:type="dxa"/>
            <w:right w:w="108" w:type="dxa"/>
          </w:tblCellMar>
        </w:tblPrEx>
        <w:tc>
          <w:tcPr>
            <w:tcW w:w="4360" w:type="dxa"/>
          </w:tcPr>
          <w:p w14:paraId="60408D13">
            <w:pPr>
              <w:spacing w:line="360" w:lineRule="auto"/>
              <w:rPr>
                <w:bCs/>
              </w:rPr>
            </w:pPr>
            <w:r>
              <w:rPr>
                <w:b/>
              </w:rPr>
              <w:t>委托代理人：</w:t>
            </w:r>
          </w:p>
        </w:tc>
        <w:tc>
          <w:tcPr>
            <w:tcW w:w="4360" w:type="dxa"/>
          </w:tcPr>
          <w:p w14:paraId="06D16035">
            <w:pPr>
              <w:spacing w:line="360" w:lineRule="auto"/>
              <w:rPr>
                <w:bCs/>
              </w:rPr>
            </w:pPr>
            <w:r>
              <w:rPr>
                <w:b/>
              </w:rPr>
              <w:t>委托代理人：</w:t>
            </w:r>
          </w:p>
        </w:tc>
      </w:tr>
      <w:tr w14:paraId="3A818B7B">
        <w:tblPrEx>
          <w:tblCellMar>
            <w:top w:w="0" w:type="dxa"/>
            <w:left w:w="108" w:type="dxa"/>
            <w:bottom w:w="0" w:type="dxa"/>
            <w:right w:w="108" w:type="dxa"/>
          </w:tblCellMar>
        </w:tblPrEx>
        <w:tc>
          <w:tcPr>
            <w:tcW w:w="4360" w:type="dxa"/>
          </w:tcPr>
          <w:p w14:paraId="089A63A5">
            <w:pPr>
              <w:spacing w:line="360" w:lineRule="auto"/>
              <w:rPr>
                <w:bCs/>
              </w:rPr>
            </w:pPr>
            <w:r>
              <w:rPr>
                <w:b/>
              </w:rPr>
              <w:t>电话：</w:t>
            </w:r>
          </w:p>
        </w:tc>
        <w:tc>
          <w:tcPr>
            <w:tcW w:w="4360" w:type="dxa"/>
          </w:tcPr>
          <w:p w14:paraId="1FE67E15">
            <w:pPr>
              <w:spacing w:line="360" w:lineRule="auto"/>
              <w:rPr>
                <w:bCs/>
              </w:rPr>
            </w:pPr>
            <w:r>
              <w:rPr>
                <w:b/>
              </w:rPr>
              <w:t>电话：</w:t>
            </w:r>
          </w:p>
        </w:tc>
      </w:tr>
      <w:tr w14:paraId="0C6B3A56">
        <w:tblPrEx>
          <w:tblCellMar>
            <w:top w:w="0" w:type="dxa"/>
            <w:left w:w="108" w:type="dxa"/>
            <w:bottom w:w="0" w:type="dxa"/>
            <w:right w:w="108" w:type="dxa"/>
          </w:tblCellMar>
        </w:tblPrEx>
        <w:tc>
          <w:tcPr>
            <w:tcW w:w="4360" w:type="dxa"/>
          </w:tcPr>
          <w:p w14:paraId="2DD6176E">
            <w:pPr>
              <w:spacing w:line="360" w:lineRule="auto"/>
              <w:rPr>
                <w:bCs/>
              </w:rPr>
            </w:pPr>
            <w:r>
              <w:rPr>
                <w:b/>
              </w:rPr>
              <w:t>传真：</w:t>
            </w:r>
          </w:p>
        </w:tc>
        <w:tc>
          <w:tcPr>
            <w:tcW w:w="4360" w:type="dxa"/>
          </w:tcPr>
          <w:p w14:paraId="4902B33E">
            <w:pPr>
              <w:spacing w:line="360" w:lineRule="auto"/>
              <w:rPr>
                <w:bCs/>
              </w:rPr>
            </w:pPr>
            <w:r>
              <w:rPr>
                <w:b/>
              </w:rPr>
              <w:t>传真：</w:t>
            </w:r>
          </w:p>
        </w:tc>
      </w:tr>
      <w:tr w14:paraId="03AE45A4">
        <w:tblPrEx>
          <w:tblCellMar>
            <w:top w:w="0" w:type="dxa"/>
            <w:left w:w="108" w:type="dxa"/>
            <w:bottom w:w="0" w:type="dxa"/>
            <w:right w:w="108" w:type="dxa"/>
          </w:tblCellMar>
        </w:tblPrEx>
        <w:tc>
          <w:tcPr>
            <w:tcW w:w="4360" w:type="dxa"/>
          </w:tcPr>
          <w:p w14:paraId="22829C11">
            <w:pPr>
              <w:spacing w:line="360" w:lineRule="auto"/>
              <w:rPr>
                <w:bCs/>
              </w:rPr>
            </w:pPr>
            <w:r>
              <w:rPr>
                <w:b/>
              </w:rPr>
              <w:t>电子信箱：</w:t>
            </w:r>
          </w:p>
        </w:tc>
        <w:tc>
          <w:tcPr>
            <w:tcW w:w="4360" w:type="dxa"/>
          </w:tcPr>
          <w:p w14:paraId="234344CD">
            <w:pPr>
              <w:spacing w:line="360" w:lineRule="auto"/>
              <w:rPr>
                <w:bCs/>
              </w:rPr>
            </w:pPr>
            <w:r>
              <w:rPr>
                <w:b/>
              </w:rPr>
              <w:t>电子信箱：</w:t>
            </w:r>
          </w:p>
        </w:tc>
      </w:tr>
      <w:tr w14:paraId="2EA9B5F5">
        <w:tblPrEx>
          <w:tblCellMar>
            <w:top w:w="0" w:type="dxa"/>
            <w:left w:w="108" w:type="dxa"/>
            <w:bottom w:w="0" w:type="dxa"/>
            <w:right w:w="108" w:type="dxa"/>
          </w:tblCellMar>
        </w:tblPrEx>
        <w:tc>
          <w:tcPr>
            <w:tcW w:w="4360" w:type="dxa"/>
          </w:tcPr>
          <w:p w14:paraId="1482E6B4">
            <w:pPr>
              <w:spacing w:line="360" w:lineRule="auto"/>
              <w:rPr>
                <w:bCs/>
              </w:rPr>
            </w:pPr>
            <w:r>
              <w:rPr>
                <w:b/>
              </w:rPr>
              <w:t>开户银行：</w:t>
            </w:r>
          </w:p>
        </w:tc>
        <w:tc>
          <w:tcPr>
            <w:tcW w:w="4360" w:type="dxa"/>
          </w:tcPr>
          <w:p w14:paraId="11B23A49">
            <w:pPr>
              <w:spacing w:line="360" w:lineRule="auto"/>
              <w:rPr>
                <w:bCs/>
              </w:rPr>
            </w:pPr>
            <w:r>
              <w:rPr>
                <w:b/>
              </w:rPr>
              <w:t>开户银行：</w:t>
            </w:r>
          </w:p>
        </w:tc>
      </w:tr>
      <w:tr w14:paraId="3E5AD6FA">
        <w:tblPrEx>
          <w:tblCellMar>
            <w:top w:w="0" w:type="dxa"/>
            <w:left w:w="108" w:type="dxa"/>
            <w:bottom w:w="0" w:type="dxa"/>
            <w:right w:w="108" w:type="dxa"/>
          </w:tblCellMar>
        </w:tblPrEx>
        <w:tc>
          <w:tcPr>
            <w:tcW w:w="4360" w:type="dxa"/>
          </w:tcPr>
          <w:p w14:paraId="70E05518">
            <w:pPr>
              <w:spacing w:line="360" w:lineRule="auto"/>
              <w:rPr>
                <w:bCs/>
              </w:rPr>
            </w:pPr>
            <w:r>
              <w:rPr>
                <w:b/>
              </w:rPr>
              <w:t>账号：</w:t>
            </w:r>
          </w:p>
        </w:tc>
        <w:tc>
          <w:tcPr>
            <w:tcW w:w="4360" w:type="dxa"/>
          </w:tcPr>
          <w:p w14:paraId="71C0306C">
            <w:pPr>
              <w:spacing w:line="360" w:lineRule="auto"/>
              <w:rPr>
                <w:bCs/>
              </w:rPr>
            </w:pPr>
            <w:r>
              <w:rPr>
                <w:b/>
              </w:rPr>
              <w:t>账号：</w:t>
            </w:r>
          </w:p>
        </w:tc>
      </w:tr>
    </w:tbl>
    <w:p w14:paraId="056019D4">
      <w:pPr>
        <w:widowControl w:val="0"/>
        <w:jc w:val="center"/>
        <w:rPr>
          <w:sz w:val="32"/>
        </w:rPr>
      </w:pPr>
      <w:bookmarkStart w:id="43" w:name="_Toc4725"/>
      <w:bookmarkStart w:id="44" w:name="_Toc34908886"/>
      <w:bookmarkStart w:id="45" w:name="_Toc47425624"/>
      <w:bookmarkStart w:id="46" w:name="_Toc305331221"/>
      <w:bookmarkStart w:id="47" w:name="_Toc17442"/>
      <w:bookmarkStart w:id="48" w:name="_Toc35656954"/>
      <w:bookmarkStart w:id="49" w:name="_Toc42392984"/>
      <w:bookmarkStart w:id="50" w:name="_Toc9023"/>
      <w:bookmarkStart w:id="51" w:name="_Toc302635687"/>
      <w:bookmarkStart w:id="52" w:name="_Toc14765"/>
      <w:bookmarkStart w:id="53" w:name="_Toc84303950"/>
      <w:bookmarkStart w:id="54" w:name="_Toc35656454"/>
      <w:r>
        <w:rPr>
          <w:rFonts w:hint="eastAsia"/>
          <w:sz w:val="32"/>
        </w:rPr>
        <w:br w:type="page"/>
      </w:r>
    </w:p>
    <w:p w14:paraId="6225A31B">
      <w:pPr>
        <w:widowControl w:val="0"/>
        <w:spacing w:before="340" w:after="330"/>
        <w:jc w:val="center"/>
        <w:outlineLvl w:val="0"/>
        <w:rPr>
          <w:rFonts w:cs="Times New Roman"/>
          <w:b/>
          <w:bCs/>
          <w:snapToGrid w:val="0"/>
          <w:sz w:val="32"/>
          <w:szCs w:val="44"/>
        </w:rPr>
      </w:pPr>
      <w:r>
        <w:rPr>
          <w:rFonts w:hint="eastAsia" w:cs="Times New Roman"/>
          <w:b/>
          <w:bCs/>
          <w:snapToGrid w:val="0"/>
          <w:sz w:val="32"/>
          <w:szCs w:val="44"/>
        </w:rPr>
        <w:t>第二部分  通用条款</w:t>
      </w:r>
    </w:p>
    <w:p w14:paraId="1CA538E6">
      <w:pPr>
        <w:widowControl w:val="0"/>
        <w:numPr>
          <w:ilvl w:val="0"/>
          <w:numId w:val="1"/>
        </w:numPr>
        <w:tabs>
          <w:tab w:val="left" w:pos="54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词语定义</w:t>
      </w:r>
    </w:p>
    <w:p w14:paraId="129A8B69">
      <w:pPr>
        <w:widowControl w:val="0"/>
        <w:tabs>
          <w:tab w:val="left" w:pos="1620"/>
          <w:tab w:val="left" w:pos="2340"/>
        </w:tabs>
        <w:ind w:firstLine="420"/>
        <w:rPr>
          <w:rFonts w:cs="Times New Roman"/>
          <w:sz w:val="21"/>
        </w:rPr>
      </w:pPr>
      <w:r>
        <w:rPr>
          <w:rFonts w:hint="eastAsia" w:cs="Times New Roman"/>
          <w:sz w:val="21"/>
        </w:rPr>
        <w:t>下列词语除</w:t>
      </w:r>
      <w:r>
        <w:rPr>
          <w:rFonts w:hint="eastAsia" w:cs="Times New Roman"/>
          <w:b/>
          <w:i/>
          <w:sz w:val="21"/>
        </w:rPr>
        <w:t>专用条款</w:t>
      </w:r>
      <w:r>
        <w:rPr>
          <w:rFonts w:hint="eastAsia" w:cs="Times New Roman"/>
          <w:sz w:val="21"/>
        </w:rPr>
        <w:t>另有约定外，应具有本条所赋予的定义：</w:t>
      </w:r>
    </w:p>
    <w:p w14:paraId="13E1A04A">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合同主体与参与各方</w:t>
      </w:r>
    </w:p>
    <w:p w14:paraId="79FC2753">
      <w:pPr>
        <w:widowControl w:val="0"/>
        <w:tabs>
          <w:tab w:val="left" w:pos="1620"/>
          <w:tab w:val="left" w:pos="2340"/>
        </w:tabs>
        <w:spacing w:after="156"/>
        <w:ind w:left="899"/>
        <w:rPr>
          <w:rFonts w:cs="Times New Roman"/>
          <w:sz w:val="21"/>
        </w:rPr>
      </w:pPr>
      <w:r>
        <w:rPr>
          <w:rFonts w:hint="eastAsia" w:cs="Times New Roman"/>
          <w:sz w:val="21"/>
        </w:rPr>
        <w:t xml:space="preserve">⑴发包人：指本合同指明执行本工程投资或负责管理本工程的、具有相应工程发包主体资格和支付工程价款能力的当事人，以及取得该资格和能力的合法继承人。 </w:t>
      </w:r>
    </w:p>
    <w:p w14:paraId="26F2EFE0">
      <w:pPr>
        <w:widowControl w:val="0"/>
        <w:tabs>
          <w:tab w:val="left" w:pos="1620"/>
          <w:tab w:val="left" w:pos="2340"/>
        </w:tabs>
        <w:spacing w:after="156"/>
        <w:ind w:left="899"/>
        <w:rPr>
          <w:rFonts w:cs="Times New Roman"/>
          <w:sz w:val="21"/>
        </w:rPr>
      </w:pPr>
      <w:r>
        <w:rPr>
          <w:rFonts w:hint="eastAsia" w:cs="Times New Roman"/>
          <w:sz w:val="21"/>
        </w:rPr>
        <w:t>⑵发包人代表：指由发包人任命的行使发包人在本合同约定的权利和义务的代表。</w:t>
      </w:r>
    </w:p>
    <w:p w14:paraId="68463A98">
      <w:pPr>
        <w:widowControl w:val="0"/>
        <w:tabs>
          <w:tab w:val="left" w:pos="1620"/>
          <w:tab w:val="left" w:pos="2340"/>
        </w:tabs>
        <w:spacing w:after="156"/>
        <w:ind w:left="899"/>
        <w:rPr>
          <w:rFonts w:cs="Times New Roman"/>
          <w:sz w:val="21"/>
        </w:rPr>
      </w:pPr>
      <w:r>
        <w:rPr>
          <w:rFonts w:hint="eastAsia" w:cs="Times New Roman"/>
          <w:sz w:val="21"/>
        </w:rPr>
        <w:t>⑶承包人：指其投标文件已为发包人所接受，并与发包人签订了合同协议书承建本工程、具有相应工程施工资质的当事人，以及取得该资格的合法继承人。</w:t>
      </w:r>
    </w:p>
    <w:p w14:paraId="4FEE486E">
      <w:pPr>
        <w:widowControl w:val="0"/>
        <w:tabs>
          <w:tab w:val="left" w:pos="1620"/>
          <w:tab w:val="left" w:pos="2340"/>
        </w:tabs>
        <w:spacing w:after="156"/>
        <w:ind w:left="899"/>
        <w:rPr>
          <w:rFonts w:cs="Times New Roman"/>
          <w:sz w:val="21"/>
        </w:rPr>
      </w:pPr>
      <w:r>
        <w:rPr>
          <w:rFonts w:hint="eastAsia" w:cs="Times New Roman"/>
          <w:sz w:val="21"/>
        </w:rPr>
        <w:t>⑷项目经理：指由承包人任命常驻现场、并取得相应资格的工程管理人员，代表承包人履行本合同约定的权利和义务。</w:t>
      </w:r>
    </w:p>
    <w:p w14:paraId="236EAFB2">
      <w:pPr>
        <w:widowControl w:val="0"/>
        <w:tabs>
          <w:tab w:val="left" w:pos="1620"/>
          <w:tab w:val="left" w:pos="2340"/>
        </w:tabs>
        <w:spacing w:after="156"/>
        <w:ind w:left="899"/>
        <w:rPr>
          <w:rFonts w:cs="Times New Roman"/>
          <w:sz w:val="21"/>
        </w:rPr>
      </w:pPr>
      <w:r>
        <w:rPr>
          <w:rFonts w:hint="eastAsia" w:cs="Times New Roman"/>
          <w:sz w:val="21"/>
        </w:rPr>
        <w:t>⑸专业工程承包人：指与发包人签订专业工程施工合同并承建该合同指定专业工程的、具有相应工程施工资质的当事人，以及取得该当事人资格的合法继承人。</w:t>
      </w:r>
    </w:p>
    <w:p w14:paraId="23661400">
      <w:pPr>
        <w:widowControl w:val="0"/>
        <w:tabs>
          <w:tab w:val="left" w:pos="1620"/>
          <w:tab w:val="left" w:pos="2340"/>
        </w:tabs>
        <w:spacing w:after="156"/>
        <w:ind w:left="899"/>
        <w:rPr>
          <w:rFonts w:cs="Times New Roman"/>
          <w:sz w:val="21"/>
        </w:rPr>
      </w:pPr>
      <w:r>
        <w:rPr>
          <w:rFonts w:hint="eastAsia" w:cs="Times New Roman"/>
          <w:sz w:val="21"/>
        </w:rPr>
        <w:t>⑹分包人：指经发包人认可并与承包人签订了分包合同承建本工程部分工程的、具有相应工程施工资质的当事人，以及取得该当事人资格的合法继承人。</w:t>
      </w:r>
    </w:p>
    <w:p w14:paraId="34BB9DDE">
      <w:pPr>
        <w:widowControl w:val="0"/>
        <w:tabs>
          <w:tab w:val="left" w:pos="1620"/>
          <w:tab w:val="left" w:pos="2340"/>
        </w:tabs>
        <w:spacing w:after="156"/>
        <w:ind w:left="899"/>
        <w:rPr>
          <w:rFonts w:cs="Times New Roman"/>
          <w:sz w:val="21"/>
        </w:rPr>
      </w:pPr>
      <w:r>
        <w:rPr>
          <w:rFonts w:hint="eastAsia" w:cs="Times New Roman"/>
          <w:sz w:val="21"/>
        </w:rPr>
        <w:t>⑺</w:t>
      </w:r>
      <w:r>
        <w:rPr>
          <w:rFonts w:cs="Times New Roman"/>
          <w:sz w:val="21"/>
        </w:rPr>
        <w:t>监理人</w:t>
      </w:r>
      <w:r>
        <w:rPr>
          <w:rFonts w:hint="eastAsia" w:cs="Times New Roman"/>
          <w:sz w:val="21"/>
        </w:rPr>
        <w:t>：指由发包人委托的负责本工程监理工作并取得相应工程监理资质的当事人，以及取得该当事人资格的合法继承人。</w:t>
      </w:r>
    </w:p>
    <w:p w14:paraId="52562D4B">
      <w:pPr>
        <w:widowControl w:val="0"/>
        <w:tabs>
          <w:tab w:val="left" w:pos="1620"/>
          <w:tab w:val="left" w:pos="2340"/>
        </w:tabs>
        <w:spacing w:after="156"/>
        <w:ind w:left="899"/>
        <w:rPr>
          <w:rFonts w:cs="Times New Roman"/>
          <w:sz w:val="21"/>
        </w:rPr>
      </w:pPr>
      <w:r>
        <w:rPr>
          <w:rFonts w:hint="eastAsia" w:cs="Times New Roman"/>
          <w:sz w:val="21"/>
        </w:rPr>
        <w:t>⑻总监理工程师：指</w:t>
      </w:r>
      <w:r>
        <w:rPr>
          <w:rFonts w:cs="Times New Roman"/>
          <w:sz w:val="21"/>
        </w:rPr>
        <w:t>监理人</w:t>
      </w:r>
      <w:r>
        <w:rPr>
          <w:rFonts w:hint="eastAsia" w:cs="Times New Roman"/>
          <w:sz w:val="21"/>
        </w:rPr>
        <w:t>指派常驻现场履行</w:t>
      </w:r>
      <w:r>
        <w:rPr>
          <w:rFonts w:cs="Times New Roman"/>
          <w:sz w:val="21"/>
        </w:rPr>
        <w:t>监理人</w:t>
      </w:r>
      <w:r>
        <w:rPr>
          <w:rFonts w:hint="eastAsia" w:cs="Times New Roman"/>
          <w:sz w:val="21"/>
        </w:rPr>
        <w:t>职责的代表。</w:t>
      </w:r>
    </w:p>
    <w:p w14:paraId="089E1AA4">
      <w:pPr>
        <w:widowControl w:val="0"/>
        <w:tabs>
          <w:tab w:val="left" w:pos="1620"/>
          <w:tab w:val="left" w:pos="2340"/>
        </w:tabs>
        <w:spacing w:after="156"/>
        <w:ind w:left="899"/>
        <w:rPr>
          <w:rFonts w:cs="Times New Roman"/>
          <w:sz w:val="21"/>
        </w:rPr>
      </w:pPr>
      <w:r>
        <w:rPr>
          <w:rFonts w:hint="eastAsia" w:cs="Times New Roman"/>
          <w:sz w:val="21"/>
        </w:rPr>
        <w:t>⑼</w:t>
      </w:r>
      <w:r>
        <w:rPr>
          <w:rFonts w:cs="Times New Roman"/>
          <w:sz w:val="21"/>
        </w:rPr>
        <w:t>设计人</w:t>
      </w:r>
      <w:r>
        <w:rPr>
          <w:rFonts w:hint="eastAsia" w:cs="Times New Roman"/>
          <w:sz w:val="21"/>
        </w:rPr>
        <w:t>：指发包人委托的负责本工程设计并取得相应工程设计资质的当事人，以及取得该当事人资格的合法继承人。</w:t>
      </w:r>
    </w:p>
    <w:p w14:paraId="5BB9ACFF">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合同文件</w:t>
      </w:r>
    </w:p>
    <w:p w14:paraId="5BCE2455">
      <w:pPr>
        <w:widowControl w:val="0"/>
        <w:tabs>
          <w:tab w:val="left" w:pos="1620"/>
          <w:tab w:val="left" w:pos="2340"/>
        </w:tabs>
        <w:spacing w:after="156"/>
        <w:ind w:left="899"/>
        <w:rPr>
          <w:rFonts w:cs="Times New Roman"/>
          <w:sz w:val="21"/>
        </w:rPr>
      </w:pPr>
      <w:r>
        <w:rPr>
          <w:rFonts w:hint="eastAsia" w:cs="Times New Roman"/>
          <w:sz w:val="21"/>
        </w:rPr>
        <w:t>⑴合同：是指由承包人进行本工程施工并提供工程保修服务，发包人支付价款，约定双方权利义务的协议。合同由通用条款第</w:t>
      </w:r>
      <w:r>
        <w:rPr>
          <w:rFonts w:cs="Times New Roman"/>
          <w:sz w:val="21"/>
        </w:rPr>
        <w:t>2.</w:t>
      </w:r>
      <w:r>
        <w:rPr>
          <w:rFonts w:hint="eastAsia" w:cs="Times New Roman"/>
          <w:sz w:val="21"/>
        </w:rPr>
        <w:t>1款所列的文件组成。</w:t>
      </w:r>
    </w:p>
    <w:p w14:paraId="01173B06">
      <w:pPr>
        <w:widowControl w:val="0"/>
        <w:tabs>
          <w:tab w:val="left" w:pos="1620"/>
          <w:tab w:val="left" w:pos="2340"/>
        </w:tabs>
        <w:spacing w:after="156"/>
        <w:ind w:left="899"/>
        <w:rPr>
          <w:rFonts w:cs="Times New Roman"/>
          <w:sz w:val="21"/>
        </w:rPr>
      </w:pPr>
      <w:r>
        <w:rPr>
          <w:rFonts w:hint="eastAsia" w:cs="Times New Roman"/>
          <w:sz w:val="21"/>
        </w:rPr>
        <w:t>⑵图纸：指由发包人按本合同约定向承包人提供的全部设计图纸、计算书和性质类似的技术资料，或由承包人提交并经</w:t>
      </w:r>
      <w:r>
        <w:rPr>
          <w:rFonts w:cs="Times New Roman"/>
          <w:sz w:val="21"/>
        </w:rPr>
        <w:t>监理人</w:t>
      </w:r>
      <w:r>
        <w:rPr>
          <w:rFonts w:hint="eastAsia" w:cs="Times New Roman"/>
          <w:sz w:val="21"/>
        </w:rPr>
        <w:t>批准的所有图纸、计算书和其他性质类似的技术资料。</w:t>
      </w:r>
    </w:p>
    <w:p w14:paraId="7B92B01A">
      <w:pPr>
        <w:widowControl w:val="0"/>
        <w:tabs>
          <w:tab w:val="left" w:pos="1620"/>
          <w:tab w:val="left" w:pos="2340"/>
        </w:tabs>
        <w:spacing w:after="156"/>
        <w:ind w:left="899"/>
        <w:rPr>
          <w:rFonts w:cs="Times New Roman"/>
          <w:sz w:val="21"/>
        </w:rPr>
      </w:pPr>
      <w:r>
        <w:rPr>
          <w:rFonts w:hint="eastAsia" w:cs="Times New Roman"/>
          <w:sz w:val="21"/>
        </w:rPr>
        <w:t>⑶标准、规范：指本合同中约定的适用于本工程的技术标准、规范及其修改或补充。</w:t>
      </w:r>
    </w:p>
    <w:p w14:paraId="5DCE5889">
      <w:pPr>
        <w:widowControl w:val="0"/>
        <w:tabs>
          <w:tab w:val="left" w:pos="1620"/>
          <w:tab w:val="left" w:pos="2340"/>
        </w:tabs>
        <w:spacing w:after="156"/>
        <w:ind w:left="899"/>
        <w:rPr>
          <w:rFonts w:cs="Times New Roman"/>
          <w:sz w:val="21"/>
        </w:rPr>
      </w:pPr>
      <w:r>
        <w:rPr>
          <w:rFonts w:hint="eastAsia" w:cs="Times New Roman"/>
          <w:sz w:val="21"/>
        </w:rPr>
        <w:t>⑷工程量清单：指根据图纸、技术规范，按照《建设工程工程量清单计价规范》有关格式、工程量计算规则等列出的项目名称和相应数量等的明细清单。载明分部分项工程项目、措施项目、其他项目的名称和相应数量以及规费、税金项目等内容。</w:t>
      </w:r>
    </w:p>
    <w:p w14:paraId="1B86EE3D">
      <w:pPr>
        <w:widowControl w:val="0"/>
        <w:tabs>
          <w:tab w:val="left" w:pos="1620"/>
          <w:tab w:val="left" w:pos="2340"/>
        </w:tabs>
        <w:spacing w:after="156"/>
        <w:ind w:left="899"/>
        <w:rPr>
          <w:rFonts w:cs="Times New Roman"/>
          <w:sz w:val="21"/>
        </w:rPr>
      </w:pPr>
      <w:r>
        <w:rPr>
          <w:rFonts w:hint="eastAsia" w:cs="Times New Roman"/>
          <w:sz w:val="21"/>
        </w:rPr>
        <w:t>⑸书面形式：指合同、协议、信件和数据电文(包括电报、电传、传真、电子数据交换和电子邮件)等可以有形地表现所载内容的形式。</w:t>
      </w:r>
    </w:p>
    <w:p w14:paraId="1F796EEE">
      <w:pPr>
        <w:widowControl w:val="0"/>
        <w:tabs>
          <w:tab w:val="left" w:pos="1620"/>
          <w:tab w:val="left" w:pos="2340"/>
        </w:tabs>
        <w:spacing w:after="156"/>
        <w:ind w:left="899"/>
        <w:rPr>
          <w:rFonts w:cs="Times New Roman"/>
          <w:sz w:val="21"/>
        </w:rPr>
      </w:pPr>
      <w:r>
        <w:rPr>
          <w:rFonts w:hint="eastAsia" w:cs="Times New Roman"/>
          <w:sz w:val="21"/>
        </w:rPr>
        <w:t>⑹其他合同文件：是指经承发包双方约定的与工程施工有关的具有合同约束力的文件或书面协议。承发包双方可以在</w:t>
      </w:r>
      <w:r>
        <w:rPr>
          <w:rFonts w:hint="eastAsia" w:cs="Times New Roman"/>
          <w:b/>
          <w:i/>
          <w:sz w:val="21"/>
        </w:rPr>
        <w:t>专用条款</w:t>
      </w:r>
      <w:r>
        <w:rPr>
          <w:rFonts w:hint="eastAsia" w:cs="Times New Roman"/>
          <w:sz w:val="21"/>
        </w:rPr>
        <w:t>中进行约定。</w:t>
      </w:r>
    </w:p>
    <w:p w14:paraId="327D46FD">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工程、现场与装备</w:t>
      </w:r>
    </w:p>
    <w:p w14:paraId="28FF0BC6">
      <w:pPr>
        <w:widowControl w:val="0"/>
        <w:tabs>
          <w:tab w:val="left" w:pos="1620"/>
          <w:tab w:val="left" w:pos="2340"/>
        </w:tabs>
        <w:spacing w:after="156"/>
        <w:ind w:left="899"/>
        <w:rPr>
          <w:rFonts w:cs="Times New Roman"/>
          <w:sz w:val="21"/>
        </w:rPr>
      </w:pPr>
      <w:r>
        <w:rPr>
          <w:rFonts w:hint="eastAsia" w:cs="Times New Roman"/>
          <w:sz w:val="21"/>
        </w:rPr>
        <w:t>⑴永久工程：指根据本合同约定应实施的永久性工程，包括1.3⑻款所指的设备。</w:t>
      </w:r>
    </w:p>
    <w:p w14:paraId="0168A9CB">
      <w:pPr>
        <w:widowControl w:val="0"/>
        <w:tabs>
          <w:tab w:val="left" w:pos="1620"/>
          <w:tab w:val="left" w:pos="2340"/>
        </w:tabs>
        <w:spacing w:after="156"/>
        <w:ind w:left="899"/>
        <w:rPr>
          <w:rFonts w:cs="Times New Roman"/>
          <w:sz w:val="21"/>
        </w:rPr>
      </w:pPr>
      <w:r>
        <w:rPr>
          <w:rFonts w:hint="eastAsia" w:cs="Times New Roman"/>
          <w:sz w:val="21"/>
        </w:rPr>
        <w:t>⑵临时工程：指实施和完成本工程及其缺陷的修复过程中所需的各种临时性工程，但不包括1.3⑼款所指的承包人装备。</w:t>
      </w:r>
    </w:p>
    <w:p w14:paraId="38E2ABC5">
      <w:pPr>
        <w:widowControl w:val="0"/>
        <w:tabs>
          <w:tab w:val="left" w:pos="1620"/>
          <w:tab w:val="left" w:pos="2340"/>
        </w:tabs>
        <w:spacing w:after="156"/>
        <w:ind w:left="899"/>
        <w:rPr>
          <w:rFonts w:cs="Times New Roman"/>
          <w:sz w:val="21"/>
        </w:rPr>
      </w:pPr>
      <w:r>
        <w:rPr>
          <w:rFonts w:hint="eastAsia" w:cs="Times New Roman"/>
          <w:sz w:val="21"/>
        </w:rPr>
        <w:t>⑶工程：指永久工程和临时工程，或视具体情况指两者中的任何一个。</w:t>
      </w:r>
    </w:p>
    <w:p w14:paraId="291391AF">
      <w:pPr>
        <w:widowControl w:val="0"/>
        <w:tabs>
          <w:tab w:val="left" w:pos="1620"/>
          <w:tab w:val="left" w:pos="2340"/>
        </w:tabs>
        <w:spacing w:after="156"/>
        <w:ind w:left="899"/>
        <w:rPr>
          <w:rFonts w:cs="Times New Roman"/>
          <w:sz w:val="21"/>
        </w:rPr>
      </w:pPr>
      <w:r>
        <w:rPr>
          <w:rFonts w:hint="eastAsia" w:cs="Times New Roman"/>
          <w:sz w:val="21"/>
        </w:rPr>
        <w:t>⑷单项工程：指本工程范围内、合同约定或能单独发挥效益的某一独立工程。</w:t>
      </w:r>
    </w:p>
    <w:p w14:paraId="1D8DCAF0">
      <w:pPr>
        <w:widowControl w:val="0"/>
        <w:tabs>
          <w:tab w:val="left" w:pos="1620"/>
          <w:tab w:val="left" w:pos="2340"/>
        </w:tabs>
        <w:spacing w:after="156"/>
        <w:ind w:left="899"/>
        <w:rPr>
          <w:rFonts w:cs="Times New Roman"/>
          <w:sz w:val="21"/>
        </w:rPr>
      </w:pPr>
      <w:r>
        <w:rPr>
          <w:rFonts w:hint="eastAsia" w:cs="Times New Roman"/>
          <w:sz w:val="21"/>
        </w:rPr>
        <w:t>⑸现场：指由发包人提供的用于本工程施工的场地以及发包人在本合同中具体指定构成现场一部分的其他场所。</w:t>
      </w:r>
    </w:p>
    <w:p w14:paraId="7E8CD61B">
      <w:pPr>
        <w:widowControl w:val="0"/>
        <w:tabs>
          <w:tab w:val="left" w:pos="1620"/>
          <w:tab w:val="left" w:pos="2340"/>
        </w:tabs>
        <w:spacing w:after="156"/>
        <w:ind w:left="899"/>
        <w:rPr>
          <w:rFonts w:cs="Times New Roman"/>
          <w:sz w:val="21"/>
        </w:rPr>
      </w:pPr>
      <w:r>
        <w:rPr>
          <w:rFonts w:hint="eastAsia" w:cs="Times New Roman"/>
          <w:sz w:val="21"/>
        </w:rPr>
        <w:t>⑹永久占地：指为实施本工程而需要的长期占用的土地，具体期限以政府批准的土地使用年限为准。</w:t>
      </w:r>
    </w:p>
    <w:p w14:paraId="0DB26EC8">
      <w:pPr>
        <w:widowControl w:val="0"/>
        <w:tabs>
          <w:tab w:val="left" w:pos="1620"/>
          <w:tab w:val="left" w:pos="2340"/>
        </w:tabs>
        <w:spacing w:after="156"/>
        <w:ind w:left="899"/>
        <w:rPr>
          <w:rFonts w:cs="Times New Roman"/>
          <w:sz w:val="21"/>
        </w:rPr>
      </w:pPr>
      <w:r>
        <w:rPr>
          <w:rFonts w:hint="eastAsia" w:cs="Times New Roman"/>
          <w:sz w:val="21"/>
        </w:rPr>
        <w:t>⑺临时占地：指为实施本工程而需要的一切临时占用土地，包括施工所用的临时支线、便道、便桥和现场的临时出入通道，以及生产、生活等临时设施用地等。</w:t>
      </w:r>
    </w:p>
    <w:p w14:paraId="429023A9">
      <w:pPr>
        <w:widowControl w:val="0"/>
        <w:tabs>
          <w:tab w:val="left" w:pos="1620"/>
          <w:tab w:val="left" w:pos="2340"/>
        </w:tabs>
        <w:spacing w:after="156"/>
        <w:ind w:left="899"/>
        <w:rPr>
          <w:rFonts w:cs="Times New Roman"/>
          <w:sz w:val="21"/>
        </w:rPr>
      </w:pPr>
      <w:r>
        <w:rPr>
          <w:rFonts w:hint="eastAsia" w:cs="Times New Roman"/>
          <w:sz w:val="21"/>
        </w:rPr>
        <w:t>⑻设备：指预定构成或构成永久工程一部分的机械、仪器、装置。</w:t>
      </w:r>
    </w:p>
    <w:p w14:paraId="28AAFE7A">
      <w:pPr>
        <w:widowControl w:val="0"/>
        <w:tabs>
          <w:tab w:val="left" w:pos="1620"/>
          <w:tab w:val="left" w:pos="2340"/>
        </w:tabs>
        <w:spacing w:after="156"/>
        <w:ind w:left="899"/>
        <w:rPr>
          <w:rFonts w:cs="Times New Roman"/>
          <w:sz w:val="21"/>
        </w:rPr>
      </w:pPr>
      <w:r>
        <w:rPr>
          <w:rFonts w:hint="eastAsia" w:cs="Times New Roman"/>
          <w:sz w:val="21"/>
        </w:rPr>
        <w:t>⑼承包人装备：指属承包人所有(或租赁)的，为实施和完成本工程及其缺陷修复所需的机械、器具或物品。</w:t>
      </w:r>
    </w:p>
    <w:p w14:paraId="7DC20C2D">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合同价格与费用</w:t>
      </w:r>
    </w:p>
    <w:p w14:paraId="099D396F">
      <w:pPr>
        <w:widowControl w:val="0"/>
        <w:tabs>
          <w:tab w:val="left" w:pos="1620"/>
          <w:tab w:val="left" w:pos="2340"/>
        </w:tabs>
        <w:spacing w:after="156"/>
        <w:ind w:left="899"/>
        <w:rPr>
          <w:rFonts w:cs="Times New Roman"/>
          <w:sz w:val="21"/>
        </w:rPr>
      </w:pPr>
      <w:r>
        <w:rPr>
          <w:rFonts w:hint="eastAsia" w:cs="Times New Roman"/>
          <w:sz w:val="21"/>
        </w:rPr>
        <w:t>⑴签约合同价：指在中标通知书和合同协议书中写明的，承包人按合同约定实施和完成本工程及其缺陷的修复应得到的价款。</w:t>
      </w:r>
    </w:p>
    <w:p w14:paraId="306767AA">
      <w:pPr>
        <w:widowControl w:val="0"/>
        <w:tabs>
          <w:tab w:val="left" w:pos="1620"/>
          <w:tab w:val="left" w:pos="2340"/>
        </w:tabs>
        <w:spacing w:after="156"/>
        <w:ind w:left="899"/>
        <w:rPr>
          <w:rFonts w:cs="Times New Roman"/>
          <w:sz w:val="21"/>
        </w:rPr>
      </w:pPr>
      <w:r>
        <w:rPr>
          <w:rFonts w:hint="eastAsia" w:cs="Times New Roman"/>
          <w:sz w:val="21"/>
        </w:rPr>
        <w:t>⑵合同价格：指发包人用于支付承包人按照合同约定完成承包范围内全部工作的金额，包括合同履行过程中按合同约定发生的价格变化。</w:t>
      </w:r>
    </w:p>
    <w:p w14:paraId="346FDC9C">
      <w:pPr>
        <w:widowControl w:val="0"/>
        <w:tabs>
          <w:tab w:val="left" w:pos="1620"/>
          <w:tab w:val="left" w:pos="2340"/>
        </w:tabs>
        <w:spacing w:after="156"/>
        <w:ind w:left="899"/>
        <w:rPr>
          <w:rFonts w:cs="Times New Roman"/>
          <w:sz w:val="21"/>
        </w:rPr>
      </w:pPr>
      <w:r>
        <w:rPr>
          <w:rFonts w:hint="eastAsia" w:cs="Times New Roman"/>
          <w:sz w:val="21"/>
        </w:rPr>
        <w:t>⑶费用：指为履行合同所发生的或将要发生的所有必需的开支，包括管理费和应分摊的其他费用，但不包括利润。</w:t>
      </w:r>
    </w:p>
    <w:p w14:paraId="627ED124">
      <w:pPr>
        <w:widowControl w:val="0"/>
        <w:tabs>
          <w:tab w:val="left" w:pos="1620"/>
          <w:tab w:val="left" w:pos="2340"/>
        </w:tabs>
        <w:spacing w:after="156"/>
        <w:ind w:left="899"/>
        <w:rPr>
          <w:rFonts w:cs="Times New Roman"/>
          <w:sz w:val="21"/>
        </w:rPr>
      </w:pPr>
      <w:r>
        <w:rPr>
          <w:rFonts w:hint="eastAsia" w:cs="Times New Roman"/>
          <w:sz w:val="21"/>
        </w:rPr>
        <w:t>⑷计日工：承包人在本合同履行过程中依发包人要求所完成的施工图纸以外的零星项目或工作。</w:t>
      </w:r>
    </w:p>
    <w:p w14:paraId="6CD54254">
      <w:pPr>
        <w:widowControl w:val="0"/>
        <w:tabs>
          <w:tab w:val="left" w:pos="1620"/>
          <w:tab w:val="left" w:pos="2340"/>
        </w:tabs>
        <w:spacing w:after="156"/>
        <w:ind w:left="899"/>
        <w:rPr>
          <w:rFonts w:cs="Times New Roman"/>
          <w:sz w:val="21"/>
        </w:rPr>
      </w:pPr>
      <w:r>
        <w:rPr>
          <w:rFonts w:hint="eastAsia" w:cs="Times New Roman"/>
          <w:sz w:val="21"/>
        </w:rPr>
        <w:t>⑸现场签证：发包人和承包人双方对其在本合同履行过程中涉及的相关责任事件所作的签认证明。</w:t>
      </w:r>
    </w:p>
    <w:p w14:paraId="3C4CEA79">
      <w:pPr>
        <w:widowControl w:val="0"/>
        <w:tabs>
          <w:tab w:val="left" w:pos="1620"/>
          <w:tab w:val="left" w:pos="2340"/>
        </w:tabs>
        <w:spacing w:after="156"/>
        <w:ind w:left="899"/>
        <w:rPr>
          <w:rFonts w:cs="Times New Roman"/>
          <w:sz w:val="21"/>
        </w:rPr>
      </w:pPr>
      <w:r>
        <w:rPr>
          <w:rFonts w:hint="eastAsia" w:cs="Times New Roman"/>
          <w:sz w:val="21"/>
        </w:rPr>
        <w:t>⑹质量保证金：指承包人用于保证其在缺陷责任期内履行缺陷修补义务的担保。</w:t>
      </w:r>
    </w:p>
    <w:p w14:paraId="26488129">
      <w:pPr>
        <w:widowControl w:val="0"/>
        <w:tabs>
          <w:tab w:val="left" w:pos="1620"/>
          <w:tab w:val="left" w:pos="2340"/>
        </w:tabs>
        <w:spacing w:after="156"/>
        <w:ind w:left="899"/>
        <w:rPr>
          <w:rFonts w:cs="Times New Roman"/>
          <w:sz w:val="21"/>
        </w:rPr>
      </w:pPr>
      <w:r>
        <w:rPr>
          <w:rFonts w:hint="eastAsia" w:cs="Times New Roman"/>
          <w:sz w:val="21"/>
        </w:rPr>
        <w:t>⑺过程结算：指项目实施过程中，发承包双方依据本合同，对结算周期内完成的工程内容开展工程价款计算、调整、确认及支付等的活动。</w:t>
      </w:r>
    </w:p>
    <w:p w14:paraId="2D36CAF1">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施工工期</w:t>
      </w:r>
    </w:p>
    <w:p w14:paraId="247152F9">
      <w:pPr>
        <w:widowControl w:val="0"/>
        <w:tabs>
          <w:tab w:val="left" w:pos="1620"/>
          <w:tab w:val="left" w:pos="2340"/>
        </w:tabs>
        <w:spacing w:after="156"/>
        <w:ind w:left="899"/>
        <w:rPr>
          <w:rFonts w:cs="Times New Roman"/>
          <w:sz w:val="21"/>
        </w:rPr>
      </w:pPr>
      <w:r>
        <w:rPr>
          <w:rFonts w:hint="eastAsia" w:cs="Times New Roman"/>
          <w:sz w:val="21"/>
        </w:rPr>
        <w:t>⑴计划开工日期：指发包人和承包人在本合同协议书中约定，承包人开始本工程施工的绝对或相对的日期。</w:t>
      </w:r>
    </w:p>
    <w:p w14:paraId="1613B3C4">
      <w:pPr>
        <w:widowControl w:val="0"/>
        <w:tabs>
          <w:tab w:val="left" w:pos="1620"/>
          <w:tab w:val="left" w:pos="2340"/>
        </w:tabs>
        <w:spacing w:after="156"/>
        <w:ind w:left="899"/>
        <w:rPr>
          <w:rFonts w:cs="Times New Roman"/>
          <w:sz w:val="21"/>
        </w:rPr>
      </w:pPr>
      <w:r>
        <w:rPr>
          <w:rFonts w:hint="eastAsia" w:cs="Times New Roman"/>
          <w:sz w:val="21"/>
        </w:rPr>
        <w:t>⑵计划竣工日期：指发包人和承包人在本合同协议书中约定，承包人完成本工程施工的绝对或相对的日期。</w:t>
      </w:r>
    </w:p>
    <w:p w14:paraId="2B740C24">
      <w:pPr>
        <w:widowControl w:val="0"/>
        <w:tabs>
          <w:tab w:val="left" w:pos="1620"/>
          <w:tab w:val="left" w:pos="2340"/>
        </w:tabs>
        <w:spacing w:after="156"/>
        <w:ind w:left="899"/>
        <w:rPr>
          <w:rFonts w:cs="Times New Roman"/>
          <w:sz w:val="21"/>
        </w:rPr>
      </w:pPr>
      <w:r>
        <w:rPr>
          <w:rFonts w:hint="eastAsia" w:cs="Times New Roman"/>
          <w:sz w:val="21"/>
        </w:rPr>
        <w:t>⑶合同工期：指发包人和承包人在本合同协议书中约定的，按总日历天数(包括法定节假日)计算的从开工日期至竣工日期的天数。</w:t>
      </w:r>
    </w:p>
    <w:p w14:paraId="1BF729FF">
      <w:pPr>
        <w:widowControl w:val="0"/>
        <w:tabs>
          <w:tab w:val="left" w:pos="1620"/>
          <w:tab w:val="left" w:pos="2340"/>
        </w:tabs>
        <w:spacing w:after="156"/>
        <w:ind w:left="899"/>
        <w:rPr>
          <w:rFonts w:cs="Times New Roman"/>
          <w:sz w:val="21"/>
        </w:rPr>
      </w:pPr>
      <w:r>
        <w:rPr>
          <w:rFonts w:hint="eastAsia" w:cs="Times New Roman"/>
          <w:sz w:val="21"/>
        </w:rPr>
        <w:t>⑷定额工期：指按《深圳市建设工程施工工期定额》计算的本工程工期。《深圳市建设工程施工工期定额》缺项的专业工程，其定额工期由发包人组织专家论证评审确定。</w:t>
      </w:r>
    </w:p>
    <w:p w14:paraId="7C7B0208">
      <w:pPr>
        <w:widowControl w:val="0"/>
        <w:tabs>
          <w:tab w:val="left" w:pos="1620"/>
          <w:tab w:val="left" w:pos="2340"/>
        </w:tabs>
        <w:spacing w:after="156"/>
        <w:ind w:left="899"/>
        <w:rPr>
          <w:rFonts w:cs="Times New Roman"/>
          <w:sz w:val="21"/>
        </w:rPr>
      </w:pPr>
      <w:r>
        <w:rPr>
          <w:rFonts w:hint="eastAsia" w:cs="Times New Roman"/>
          <w:sz w:val="21"/>
        </w:rPr>
        <w:t>⑸实际开工日期：指工程具备开工条件，</w:t>
      </w:r>
      <w:r>
        <w:rPr>
          <w:rFonts w:cs="Times New Roman"/>
          <w:sz w:val="21"/>
        </w:rPr>
        <w:t>监理人</w:t>
      </w:r>
      <w:r>
        <w:rPr>
          <w:rFonts w:hint="eastAsia" w:cs="Times New Roman"/>
          <w:sz w:val="21"/>
        </w:rPr>
        <w:t>向承包人发出开工通知书中指令的开始本工程施工的日期。</w:t>
      </w:r>
    </w:p>
    <w:p w14:paraId="011CF632">
      <w:pPr>
        <w:widowControl w:val="0"/>
        <w:tabs>
          <w:tab w:val="left" w:pos="1620"/>
          <w:tab w:val="left" w:pos="2340"/>
        </w:tabs>
        <w:spacing w:after="156"/>
        <w:ind w:left="899"/>
        <w:rPr>
          <w:rFonts w:cs="Times New Roman"/>
          <w:sz w:val="21"/>
        </w:rPr>
      </w:pPr>
      <w:r>
        <w:rPr>
          <w:rFonts w:hint="eastAsia" w:cs="Times New Roman"/>
          <w:sz w:val="21"/>
        </w:rPr>
        <w:t>⑹实际竣工日期：指承包人按本合同约定承包范围和质量要求完成本工程施工并通过竣工验收的日期。</w:t>
      </w:r>
    </w:p>
    <w:p w14:paraId="5363E22D">
      <w:pPr>
        <w:widowControl w:val="0"/>
        <w:tabs>
          <w:tab w:val="left" w:pos="1620"/>
          <w:tab w:val="left" w:pos="2340"/>
        </w:tabs>
        <w:spacing w:after="156"/>
        <w:ind w:left="899"/>
        <w:rPr>
          <w:rFonts w:cs="Times New Roman"/>
          <w:sz w:val="21"/>
        </w:rPr>
      </w:pPr>
      <w:r>
        <w:rPr>
          <w:rFonts w:hint="eastAsia" w:cs="Times New Roman"/>
          <w:sz w:val="21"/>
        </w:rPr>
        <w:t>⑺实际工期：指按总日历天数(包括法定节假日)计算的从实际开工日期至实际竣工日期的天数。</w:t>
      </w:r>
    </w:p>
    <w:p w14:paraId="2722CF9A">
      <w:pPr>
        <w:widowControl w:val="0"/>
        <w:tabs>
          <w:tab w:val="left" w:pos="1620"/>
          <w:tab w:val="left" w:pos="2340"/>
        </w:tabs>
        <w:spacing w:after="156"/>
        <w:ind w:left="899"/>
        <w:rPr>
          <w:rFonts w:cs="Times New Roman"/>
          <w:sz w:val="21"/>
        </w:rPr>
      </w:pPr>
      <w:r>
        <w:rPr>
          <w:rFonts w:hint="eastAsia" w:cs="Times New Roman"/>
          <w:sz w:val="21"/>
        </w:rPr>
        <w:t>⑻交接证书：指本工程或本合同中约定有单独工期的单项工程竣工后，发包人和承包人进行本工程移交所签发的证书。</w:t>
      </w:r>
    </w:p>
    <w:p w14:paraId="7C26CB61">
      <w:pPr>
        <w:widowControl w:val="0"/>
        <w:tabs>
          <w:tab w:val="left" w:pos="1620"/>
          <w:tab w:val="left" w:pos="2340"/>
        </w:tabs>
        <w:spacing w:after="156"/>
        <w:ind w:left="899"/>
        <w:rPr>
          <w:rFonts w:cs="Times New Roman"/>
          <w:sz w:val="21"/>
        </w:rPr>
      </w:pPr>
      <w:r>
        <w:rPr>
          <w:rFonts w:hint="eastAsia" w:cs="Times New Roman"/>
          <w:sz w:val="21"/>
        </w:rPr>
        <w:t>⑼缺陷责任期：是指承包人按照合同约定承担缺陷修复义务，且发包人预留质量保证金的期限，自工程实际竣工日期起计算。</w:t>
      </w:r>
    </w:p>
    <w:p w14:paraId="06EC6B01">
      <w:pPr>
        <w:widowControl w:val="0"/>
        <w:tabs>
          <w:tab w:val="left" w:pos="1620"/>
          <w:tab w:val="left" w:pos="2340"/>
        </w:tabs>
        <w:spacing w:after="156"/>
        <w:ind w:left="899"/>
        <w:rPr>
          <w:rFonts w:cs="Times New Roman"/>
          <w:sz w:val="21"/>
        </w:rPr>
      </w:pPr>
      <w:r>
        <w:rPr>
          <w:rFonts w:hint="eastAsia" w:cs="Times New Roman"/>
          <w:sz w:val="21"/>
        </w:rPr>
        <w:t>⑽保修期：是指承包人按照合同约定对工程承担保修责任的期限，从工程竣工验收合格之日起计算。</w:t>
      </w:r>
    </w:p>
    <w:p w14:paraId="6955C3A4">
      <w:pPr>
        <w:widowControl w:val="0"/>
        <w:tabs>
          <w:tab w:val="left" w:pos="1620"/>
          <w:tab w:val="left" w:pos="2340"/>
        </w:tabs>
        <w:spacing w:after="156"/>
        <w:ind w:left="899"/>
        <w:rPr>
          <w:rFonts w:cs="Times New Roman"/>
          <w:sz w:val="21"/>
        </w:rPr>
      </w:pPr>
      <w:r>
        <w:rPr>
          <w:rFonts w:hint="eastAsia" w:cs="Times New Roman"/>
          <w:sz w:val="21"/>
        </w:rPr>
        <w:t>⑾基准日期：</w:t>
      </w:r>
      <w:r>
        <w:rPr>
          <w:rFonts w:cs="Times New Roman"/>
          <w:sz w:val="21"/>
        </w:rPr>
        <w:t>以投标截止日前28天的日期为基准日</w:t>
      </w:r>
      <w:r>
        <w:rPr>
          <w:rFonts w:hint="eastAsia" w:cs="Times New Roman"/>
          <w:sz w:val="21"/>
        </w:rPr>
        <w:t>期</w:t>
      </w:r>
      <w:r>
        <w:rPr>
          <w:rFonts w:cs="Times New Roman"/>
          <w:sz w:val="21"/>
        </w:rPr>
        <w:t>。</w:t>
      </w:r>
    </w:p>
    <w:p w14:paraId="6F8EAEE0">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其它</w:t>
      </w:r>
    </w:p>
    <w:p w14:paraId="5B7E3251">
      <w:pPr>
        <w:widowControl w:val="0"/>
        <w:tabs>
          <w:tab w:val="left" w:pos="1620"/>
          <w:tab w:val="left" w:pos="2340"/>
        </w:tabs>
        <w:spacing w:after="156"/>
        <w:ind w:left="899"/>
        <w:rPr>
          <w:rFonts w:cs="Times New Roman"/>
          <w:sz w:val="21"/>
        </w:rPr>
      </w:pPr>
      <w:r>
        <w:rPr>
          <w:rFonts w:hint="eastAsia" w:cs="Times New Roman"/>
          <w:sz w:val="21"/>
        </w:rPr>
        <w:t>⑴违约责任：指合同一方不履行合同义务或履行合同义务不符合约定所应承担的责任。</w:t>
      </w:r>
    </w:p>
    <w:p w14:paraId="193DB10C">
      <w:pPr>
        <w:widowControl w:val="0"/>
        <w:tabs>
          <w:tab w:val="left" w:pos="1620"/>
          <w:tab w:val="left" w:pos="2340"/>
        </w:tabs>
        <w:spacing w:after="156"/>
        <w:ind w:left="899"/>
        <w:rPr>
          <w:rFonts w:cs="Times New Roman"/>
          <w:sz w:val="21"/>
        </w:rPr>
      </w:pPr>
      <w:r>
        <w:rPr>
          <w:rFonts w:hint="eastAsia" w:cs="Times New Roman"/>
          <w:sz w:val="21"/>
        </w:rPr>
        <w:t>⑵索赔：指在合同履行过程中，对于并非自己的过错、而应由对方承担责任的情况造成的损失，向对方提出经济补偿和</w:t>
      </w:r>
      <w:r>
        <w:rPr>
          <w:rFonts w:cs="Times New Roman"/>
          <w:sz w:val="21"/>
        </w:rPr>
        <w:t>(</w:t>
      </w:r>
      <w:r>
        <w:rPr>
          <w:rFonts w:hint="eastAsia" w:cs="Times New Roman"/>
          <w:sz w:val="21"/>
        </w:rPr>
        <w:t>或</w:t>
      </w:r>
      <w:r>
        <w:rPr>
          <w:rFonts w:cs="Times New Roman"/>
          <w:sz w:val="21"/>
        </w:rPr>
        <w:t>)</w:t>
      </w:r>
      <w:r>
        <w:rPr>
          <w:rFonts w:hint="eastAsia" w:cs="Times New Roman"/>
          <w:sz w:val="21"/>
        </w:rPr>
        <w:t>工期顺延的要求。</w:t>
      </w:r>
    </w:p>
    <w:p w14:paraId="42B49634">
      <w:pPr>
        <w:widowControl w:val="0"/>
        <w:tabs>
          <w:tab w:val="left" w:pos="1620"/>
          <w:tab w:val="left" w:pos="2340"/>
        </w:tabs>
        <w:spacing w:after="156"/>
        <w:ind w:left="899"/>
        <w:rPr>
          <w:rFonts w:cs="Times New Roman"/>
          <w:sz w:val="21"/>
        </w:rPr>
      </w:pPr>
      <w:r>
        <w:rPr>
          <w:rFonts w:hint="eastAsia" w:cs="Times New Roman"/>
          <w:sz w:val="21"/>
        </w:rPr>
        <w:t>⑶不可抗力：发包人和承包人在合同签订时不能预见、对其发生的后果不能避免，并且不能克服的自然灾害和社会性突发事件。</w:t>
      </w:r>
    </w:p>
    <w:p w14:paraId="5C9DE4FE">
      <w:pPr>
        <w:widowControl w:val="0"/>
        <w:tabs>
          <w:tab w:val="left" w:pos="1620"/>
          <w:tab w:val="left" w:pos="2340"/>
        </w:tabs>
        <w:spacing w:after="156"/>
        <w:ind w:left="899"/>
        <w:rPr>
          <w:rFonts w:cs="Times New Roman"/>
          <w:sz w:val="21"/>
        </w:rPr>
      </w:pPr>
      <w:r>
        <w:rPr>
          <w:rFonts w:hint="eastAsia" w:cs="Times New Roman"/>
          <w:sz w:val="21"/>
        </w:rPr>
        <w:t>⑷小时或天：合同中约定按小时计算时间的，从事件有效开始时计算(不扣除休息时间)；约定按天计算时间的，开始当天不计入，从次日开始计算。时限的最后一天是法定节假日的，以节假日次日为时限的最后一天，但竣工日期除外。时限的最后一天的截止时间为当日24时。</w:t>
      </w:r>
    </w:p>
    <w:p w14:paraId="01EB4052">
      <w:pPr>
        <w:widowControl w:val="0"/>
        <w:tabs>
          <w:tab w:val="left" w:pos="1620"/>
          <w:tab w:val="left" w:pos="2340"/>
        </w:tabs>
        <w:spacing w:after="156"/>
        <w:ind w:left="899"/>
        <w:rPr>
          <w:rFonts w:cs="Times New Roman"/>
          <w:sz w:val="21"/>
        </w:rPr>
      </w:pPr>
      <w:r>
        <w:rPr>
          <w:rFonts w:hint="eastAsia" w:cs="Times New Roman"/>
          <w:sz w:val="21"/>
        </w:rPr>
        <w:t>⑸法定节假日：指星期六、星期天及国家法定的其它节假日。</w:t>
      </w:r>
    </w:p>
    <w:p w14:paraId="0D7B0B86">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标题</w:t>
      </w:r>
    </w:p>
    <w:p w14:paraId="086A7EDD">
      <w:pPr>
        <w:widowControl w:val="0"/>
        <w:tabs>
          <w:tab w:val="left" w:pos="1620"/>
          <w:tab w:val="left" w:pos="2340"/>
        </w:tabs>
        <w:spacing w:after="156"/>
        <w:ind w:left="899"/>
        <w:rPr>
          <w:rFonts w:cs="Times New Roman"/>
          <w:sz w:val="21"/>
        </w:rPr>
      </w:pPr>
      <w:r>
        <w:rPr>
          <w:rFonts w:hint="eastAsia" w:cs="Times New Roman"/>
          <w:sz w:val="21"/>
        </w:rPr>
        <w:t>本合同条款的标题不视为合同条款或合同本身的一部分，在解释及推定合同条款时，不列入考虑。</w:t>
      </w:r>
    </w:p>
    <w:p w14:paraId="2E9B5876">
      <w:pPr>
        <w:widowControl w:val="0"/>
        <w:numPr>
          <w:ilvl w:val="1"/>
          <w:numId w:val="1"/>
        </w:numPr>
        <w:tabs>
          <w:tab w:val="left" w:pos="540"/>
          <w:tab w:val="left" w:pos="900"/>
          <w:tab w:val="left" w:pos="2340"/>
          <w:tab w:val="clear" w:pos="576"/>
        </w:tabs>
        <w:spacing w:before="120" w:after="156"/>
        <w:ind w:left="359" w:firstLine="0"/>
        <w:outlineLvl w:val="1"/>
        <w:rPr>
          <w:rFonts w:cs="Times New Roman"/>
          <w:b/>
          <w:bCs/>
        </w:rPr>
      </w:pPr>
      <w:r>
        <w:rPr>
          <w:rFonts w:hint="eastAsia" w:cs="Times New Roman"/>
          <w:b/>
          <w:bCs/>
        </w:rPr>
        <w:t>书面形式</w:t>
      </w:r>
    </w:p>
    <w:p w14:paraId="2D25A6EA">
      <w:pPr>
        <w:widowControl w:val="0"/>
        <w:tabs>
          <w:tab w:val="left" w:pos="1620"/>
          <w:tab w:val="left" w:pos="2340"/>
        </w:tabs>
        <w:spacing w:after="156"/>
        <w:ind w:left="899"/>
        <w:rPr>
          <w:rFonts w:cs="Times New Roman"/>
          <w:sz w:val="21"/>
        </w:rPr>
      </w:pPr>
      <w:r>
        <w:rPr>
          <w:rFonts w:hint="eastAsia" w:cs="Times New Roman"/>
          <w:sz w:val="21"/>
        </w:rPr>
        <w:t>⑴本合同另有约定外，在合同履行过程中承发包双方发出或发布的任何通知、指令，均应是书面的，收件方应在回执上签署姓名和收到时间，不应无理扣压或拖延。</w:t>
      </w:r>
    </w:p>
    <w:p w14:paraId="7A2AD929">
      <w:pPr>
        <w:widowControl w:val="0"/>
        <w:tabs>
          <w:tab w:val="left" w:pos="1620"/>
          <w:tab w:val="left" w:pos="2340"/>
        </w:tabs>
        <w:spacing w:after="156"/>
        <w:ind w:left="899"/>
        <w:rPr>
          <w:rFonts w:cs="Times New Roman"/>
          <w:sz w:val="21"/>
        </w:rPr>
      </w:pPr>
      <w:r>
        <w:rPr>
          <w:rFonts w:hint="eastAsia" w:cs="Times New Roman"/>
          <w:sz w:val="21"/>
        </w:rPr>
        <w:t>⑵本合同在签订过程中应由打印形成，除承发包双方的法定代表人或授权代表签名外，如需手写的，所有手写部分必须由同一人手写。发包人和承包人应共同指定填写人，并在</w:t>
      </w:r>
      <w:r>
        <w:rPr>
          <w:rFonts w:hint="eastAsia" w:cs="Times New Roman"/>
          <w:b/>
          <w:i/>
          <w:sz w:val="21"/>
        </w:rPr>
        <w:t>专用条款</w:t>
      </w:r>
      <w:r>
        <w:rPr>
          <w:rFonts w:hint="eastAsia" w:cs="Times New Roman"/>
          <w:sz w:val="21"/>
        </w:rPr>
        <w:t>中明确填写人的姓名和身份证号码。</w:t>
      </w:r>
    </w:p>
    <w:p w14:paraId="2AAA8ECC">
      <w:pPr>
        <w:widowControl w:val="0"/>
        <w:numPr>
          <w:ilvl w:val="0"/>
          <w:numId w:val="1"/>
        </w:numPr>
        <w:tabs>
          <w:tab w:val="left" w:pos="54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一般约定</w:t>
      </w:r>
    </w:p>
    <w:p w14:paraId="2DA537A7">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合同文件组成及解释顺序</w:t>
      </w:r>
    </w:p>
    <w:p w14:paraId="3C1EF91C">
      <w:pPr>
        <w:widowControl w:val="0"/>
        <w:tabs>
          <w:tab w:val="left" w:pos="1620"/>
          <w:tab w:val="left" w:pos="2340"/>
        </w:tabs>
        <w:ind w:left="899"/>
        <w:rPr>
          <w:rFonts w:cs="Times New Roman"/>
          <w:sz w:val="21"/>
        </w:rPr>
      </w:pPr>
      <w:r>
        <w:rPr>
          <w:rFonts w:cs="Times New Roman"/>
          <w:sz w:val="21"/>
        </w:rPr>
        <w:t>在合同订立及履行过程中形成的与合同有关的文件均构成合同文件组成部分。</w:t>
      </w:r>
      <w:r>
        <w:rPr>
          <w:rFonts w:hint="eastAsia" w:cs="Times New Roman"/>
          <w:sz w:val="21"/>
        </w:rPr>
        <w:t>组成合同的各个文件应该是一个整体，彼此相互解释，互为说明。本合同组成文件及优先解释顺序如下：</w:t>
      </w:r>
    </w:p>
    <w:p w14:paraId="62D37223">
      <w:pPr>
        <w:widowControl w:val="0"/>
        <w:tabs>
          <w:tab w:val="left" w:pos="1620"/>
          <w:tab w:val="left" w:pos="2340"/>
        </w:tabs>
        <w:ind w:left="899"/>
        <w:rPr>
          <w:rFonts w:cs="Times New Roman"/>
          <w:sz w:val="21"/>
        </w:rPr>
      </w:pPr>
      <w:r>
        <w:rPr>
          <w:rFonts w:hint="eastAsia" w:cs="Times New Roman"/>
          <w:sz w:val="21"/>
        </w:rPr>
        <w:t>⑴本合同签订后双方新签订的补充协议；</w:t>
      </w:r>
    </w:p>
    <w:p w14:paraId="49FD67E3">
      <w:pPr>
        <w:widowControl w:val="0"/>
        <w:tabs>
          <w:tab w:val="left" w:pos="1620"/>
          <w:tab w:val="left" w:pos="2340"/>
        </w:tabs>
        <w:ind w:left="899"/>
        <w:rPr>
          <w:rFonts w:cs="Times New Roman"/>
          <w:sz w:val="21"/>
        </w:rPr>
      </w:pPr>
      <w:r>
        <w:rPr>
          <w:rFonts w:hint="eastAsia" w:cs="Times New Roman"/>
          <w:sz w:val="21"/>
        </w:rPr>
        <w:t>⑵合同协议书；</w:t>
      </w:r>
    </w:p>
    <w:p w14:paraId="2261130F">
      <w:pPr>
        <w:widowControl w:val="0"/>
        <w:tabs>
          <w:tab w:val="left" w:pos="1620"/>
          <w:tab w:val="left" w:pos="2340"/>
        </w:tabs>
        <w:ind w:left="899"/>
        <w:rPr>
          <w:rFonts w:cs="Times New Roman"/>
          <w:sz w:val="21"/>
        </w:rPr>
      </w:pPr>
      <w:r>
        <w:rPr>
          <w:rFonts w:hint="eastAsia" w:cs="Times New Roman"/>
          <w:sz w:val="21"/>
        </w:rPr>
        <w:t>⑶中标通知书及其附件；</w:t>
      </w:r>
    </w:p>
    <w:p w14:paraId="74FA44EF">
      <w:pPr>
        <w:widowControl w:val="0"/>
        <w:tabs>
          <w:tab w:val="left" w:pos="1620"/>
          <w:tab w:val="left" w:pos="2340"/>
        </w:tabs>
        <w:ind w:left="899"/>
        <w:rPr>
          <w:rFonts w:cs="Times New Roman"/>
          <w:sz w:val="21"/>
        </w:rPr>
      </w:pPr>
      <w:r>
        <w:rPr>
          <w:rFonts w:hint="eastAsia" w:cs="Times New Roman"/>
          <w:sz w:val="21"/>
        </w:rPr>
        <w:t>⑷合同补充条款；</w:t>
      </w:r>
    </w:p>
    <w:p w14:paraId="40C4FC5B">
      <w:pPr>
        <w:widowControl w:val="0"/>
        <w:tabs>
          <w:tab w:val="left" w:pos="1620"/>
          <w:tab w:val="left" w:pos="2340"/>
        </w:tabs>
        <w:ind w:left="899"/>
        <w:rPr>
          <w:rFonts w:cs="Times New Roman"/>
          <w:sz w:val="21"/>
        </w:rPr>
      </w:pPr>
      <w:r>
        <w:rPr>
          <w:rFonts w:hint="eastAsia" w:cs="Times New Roman"/>
          <w:sz w:val="21"/>
        </w:rPr>
        <w:t>⑸合同专用条款；</w:t>
      </w:r>
    </w:p>
    <w:p w14:paraId="2291792F">
      <w:pPr>
        <w:widowControl w:val="0"/>
        <w:tabs>
          <w:tab w:val="left" w:pos="1620"/>
          <w:tab w:val="left" w:pos="2340"/>
        </w:tabs>
        <w:ind w:left="899"/>
        <w:rPr>
          <w:rFonts w:cs="Times New Roman"/>
          <w:sz w:val="21"/>
        </w:rPr>
      </w:pPr>
      <w:r>
        <w:rPr>
          <w:rFonts w:hint="eastAsia" w:cs="Times New Roman"/>
          <w:sz w:val="21"/>
        </w:rPr>
        <w:t>⑹合同通用条款；</w:t>
      </w:r>
    </w:p>
    <w:p w14:paraId="77305B7D">
      <w:pPr>
        <w:widowControl w:val="0"/>
        <w:tabs>
          <w:tab w:val="left" w:pos="1620"/>
          <w:tab w:val="left" w:pos="2340"/>
        </w:tabs>
        <w:ind w:left="899"/>
        <w:rPr>
          <w:rFonts w:cs="Times New Roman"/>
          <w:sz w:val="21"/>
        </w:rPr>
      </w:pPr>
      <w:r>
        <w:rPr>
          <w:rFonts w:hint="eastAsia" w:cs="Times New Roman"/>
          <w:sz w:val="21"/>
        </w:rPr>
        <w:t>⑺本工程招标文件中的技术要求和投标报价规定；</w:t>
      </w:r>
    </w:p>
    <w:p w14:paraId="5B39F7A8">
      <w:pPr>
        <w:widowControl w:val="0"/>
        <w:tabs>
          <w:tab w:val="left" w:pos="1620"/>
          <w:tab w:val="left" w:pos="2340"/>
        </w:tabs>
        <w:ind w:left="899"/>
        <w:rPr>
          <w:rFonts w:cs="Times New Roman"/>
          <w:sz w:val="21"/>
        </w:rPr>
      </w:pPr>
      <w:r>
        <w:rPr>
          <w:rFonts w:hint="eastAsia" w:cs="Times New Roman"/>
          <w:sz w:val="21"/>
        </w:rPr>
        <w:t>⑻投标文件(包括承包人在评标期间和合同谈判过程中递交和确认并经发包人同意的对有关问题的补充资料和澄清文件等)；</w:t>
      </w:r>
    </w:p>
    <w:p w14:paraId="5C60C411">
      <w:pPr>
        <w:widowControl w:val="0"/>
        <w:tabs>
          <w:tab w:val="left" w:pos="1620"/>
          <w:tab w:val="left" w:pos="2340"/>
        </w:tabs>
        <w:ind w:left="899"/>
        <w:rPr>
          <w:rFonts w:cs="Times New Roman"/>
          <w:sz w:val="21"/>
        </w:rPr>
      </w:pPr>
      <w:r>
        <w:rPr>
          <w:rFonts w:hint="eastAsia" w:cs="Times New Roman"/>
          <w:sz w:val="21"/>
        </w:rPr>
        <w:t>⑼现行的标准、规范、规定及有关技术文件；</w:t>
      </w:r>
    </w:p>
    <w:p w14:paraId="3ADCEB72">
      <w:pPr>
        <w:widowControl w:val="0"/>
        <w:tabs>
          <w:tab w:val="left" w:pos="1620"/>
          <w:tab w:val="left" w:pos="2340"/>
        </w:tabs>
        <w:ind w:left="899"/>
        <w:rPr>
          <w:rFonts w:cs="Times New Roman"/>
          <w:sz w:val="21"/>
        </w:rPr>
      </w:pPr>
      <w:r>
        <w:rPr>
          <w:rFonts w:hint="eastAsia" w:cs="Times New Roman"/>
          <w:sz w:val="21"/>
        </w:rPr>
        <w:t>⑽图纸和技术规格书；</w:t>
      </w:r>
    </w:p>
    <w:p w14:paraId="4E1E2958">
      <w:pPr>
        <w:widowControl w:val="0"/>
        <w:tabs>
          <w:tab w:val="left" w:pos="1620"/>
          <w:tab w:val="left" w:pos="2340"/>
        </w:tabs>
        <w:ind w:left="899"/>
        <w:rPr>
          <w:rFonts w:cs="Times New Roman"/>
          <w:sz w:val="21"/>
        </w:rPr>
      </w:pPr>
      <w:r>
        <w:rPr>
          <w:rFonts w:hint="eastAsia" w:cs="Times New Roman"/>
          <w:sz w:val="21"/>
        </w:rPr>
        <w:t>⑾已标价工程量清单；</w:t>
      </w:r>
    </w:p>
    <w:p w14:paraId="225C1F39">
      <w:pPr>
        <w:widowControl w:val="0"/>
        <w:tabs>
          <w:tab w:val="left" w:pos="1620"/>
          <w:tab w:val="left" w:pos="2340"/>
        </w:tabs>
        <w:ind w:left="899"/>
        <w:rPr>
          <w:rFonts w:cs="Times New Roman"/>
          <w:sz w:val="21"/>
        </w:rPr>
      </w:pPr>
      <w:r>
        <w:rPr>
          <w:rFonts w:hint="eastAsia" w:cs="Times New Roman"/>
          <w:sz w:val="21"/>
        </w:rPr>
        <w:t>⑿发包人和承包人双方有关本工程的变更、签证、洽商、索赔、询价采购凭证等书面文件及组成合同的其他文件。</w:t>
      </w:r>
    </w:p>
    <w:p w14:paraId="60B65B00">
      <w:pPr>
        <w:widowControl w:val="0"/>
        <w:tabs>
          <w:tab w:val="left" w:pos="1620"/>
          <w:tab w:val="left" w:pos="2340"/>
        </w:tabs>
        <w:ind w:left="899"/>
        <w:rPr>
          <w:rFonts w:cs="Times New Roman"/>
          <w:sz w:val="21"/>
        </w:rPr>
      </w:pPr>
      <w:r>
        <w:rPr>
          <w:rFonts w:cs="Times New Roman"/>
          <w:sz w:val="21"/>
        </w:rPr>
        <w:t>上述各项合同文件包括承发包双方就该项合同文件所作出的补充和修改，属于同一类内容的文件，应以最新签署的为准。</w:t>
      </w:r>
    </w:p>
    <w:p w14:paraId="5E763770">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合同文件内容争议</w:t>
      </w:r>
    </w:p>
    <w:p w14:paraId="1784811B">
      <w:pPr>
        <w:widowControl w:val="0"/>
        <w:tabs>
          <w:tab w:val="left" w:pos="1620"/>
          <w:tab w:val="left" w:pos="2340"/>
        </w:tabs>
        <w:spacing w:after="156"/>
        <w:ind w:left="899"/>
        <w:rPr>
          <w:rFonts w:cs="Times New Roman"/>
          <w:sz w:val="21"/>
        </w:rPr>
      </w:pPr>
      <w:r>
        <w:rPr>
          <w:rFonts w:hint="eastAsia" w:cs="Times New Roman"/>
          <w:sz w:val="21"/>
        </w:rPr>
        <w:t>当合同文件内容含糊不清或相互矛盾时，由发包人与承包人在不影响本工程正常实施的情况下协商解决，并达成补充协议予以明确约定。双方协商不成的，按通用条款第31条〔争议解决〕的约定处理。</w:t>
      </w:r>
    </w:p>
    <w:p w14:paraId="2084E193">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语言文字</w:t>
      </w:r>
    </w:p>
    <w:p w14:paraId="68229001">
      <w:pPr>
        <w:widowControl w:val="0"/>
        <w:tabs>
          <w:tab w:val="left" w:pos="1620"/>
          <w:tab w:val="left" w:pos="2340"/>
        </w:tabs>
        <w:spacing w:after="156"/>
        <w:ind w:left="899"/>
        <w:rPr>
          <w:rFonts w:cs="Times New Roman"/>
          <w:sz w:val="21"/>
        </w:rPr>
      </w:pPr>
      <w:r>
        <w:rPr>
          <w:rFonts w:hint="eastAsia" w:cs="Times New Roman"/>
          <w:sz w:val="21"/>
        </w:rPr>
        <w:t>本合同文件使用汉语语言文字书写、解释和说明。</w:t>
      </w:r>
    </w:p>
    <w:p w14:paraId="043AB6BC">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法律、法规和规章</w:t>
      </w:r>
    </w:p>
    <w:p w14:paraId="03734175">
      <w:pPr>
        <w:widowControl w:val="0"/>
        <w:tabs>
          <w:tab w:val="left" w:pos="1620"/>
          <w:tab w:val="left" w:pos="2340"/>
        </w:tabs>
        <w:spacing w:after="156"/>
        <w:ind w:left="899"/>
        <w:rPr>
          <w:rFonts w:cs="Times New Roman"/>
          <w:sz w:val="21"/>
        </w:rPr>
      </w:pPr>
      <w:r>
        <w:rPr>
          <w:rFonts w:hint="eastAsia" w:cs="Times New Roman"/>
          <w:sz w:val="21"/>
        </w:rPr>
        <w:t>本合同适用中华人民共和国法律、法规和规章，以及本</w:t>
      </w:r>
      <w:r>
        <w:rPr>
          <w:rFonts w:hint="eastAsia" w:ascii="Times New Roman" w:cs="Times New Roman"/>
          <w:kern w:val="2"/>
          <w:sz w:val="20"/>
        </w:rPr>
        <w:t>工程所在地的地方性法规和规章</w:t>
      </w:r>
      <w:r>
        <w:rPr>
          <w:rFonts w:hint="eastAsia" w:cs="Times New Roman"/>
          <w:sz w:val="21"/>
        </w:rPr>
        <w:t>。需要明示的法律、法规和规章，由发包人和承包人在</w:t>
      </w:r>
      <w:r>
        <w:rPr>
          <w:rFonts w:hint="eastAsia" w:cs="Times New Roman"/>
          <w:b/>
          <w:i/>
          <w:sz w:val="21"/>
        </w:rPr>
        <w:t>专用条款</w:t>
      </w:r>
      <w:r>
        <w:rPr>
          <w:rFonts w:hint="eastAsia" w:cs="Times New Roman"/>
          <w:sz w:val="21"/>
        </w:rPr>
        <w:t>中约定。</w:t>
      </w:r>
    </w:p>
    <w:p w14:paraId="40902EF2">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标准、规范</w:t>
      </w:r>
    </w:p>
    <w:p w14:paraId="3B70FA73">
      <w:pPr>
        <w:widowControl w:val="0"/>
        <w:tabs>
          <w:tab w:val="left" w:pos="1620"/>
          <w:tab w:val="left" w:pos="2340"/>
        </w:tabs>
        <w:spacing w:after="156"/>
        <w:ind w:left="899"/>
        <w:rPr>
          <w:rFonts w:cs="Times New Roman"/>
          <w:sz w:val="21"/>
        </w:rPr>
      </w:pPr>
      <w:r>
        <w:rPr>
          <w:rFonts w:hint="eastAsia" w:cs="Times New Roman"/>
          <w:sz w:val="21"/>
        </w:rPr>
        <w:t>⑴本工程的材料、设备、施工必须符合现行国家、行业及住房和城乡建设部、广东省、深圳市颁布的相关标准、规范、规程和验收标准的要求。当国家、行业及深圳市地方标准、规范存在不一致时，以要求更严格者为准，设计文件另有规定除外。</w:t>
      </w:r>
    </w:p>
    <w:p w14:paraId="2F42E057">
      <w:pPr>
        <w:widowControl w:val="0"/>
        <w:tabs>
          <w:tab w:val="left" w:pos="1620"/>
          <w:tab w:val="left" w:pos="2340"/>
        </w:tabs>
        <w:spacing w:after="156"/>
        <w:ind w:left="899"/>
        <w:rPr>
          <w:rFonts w:cs="Times New Roman"/>
          <w:sz w:val="21"/>
        </w:rPr>
      </w:pPr>
      <w:r>
        <w:rPr>
          <w:rFonts w:hint="eastAsia" w:cs="Times New Roman"/>
          <w:sz w:val="21"/>
        </w:rPr>
        <w:t>⑵发包人对工程的技术标准、功能要求高于或严于现行国家、行业或地方标准的，应当在</w:t>
      </w:r>
      <w:r>
        <w:rPr>
          <w:rFonts w:hint="eastAsia" w:cs="Times New Roman"/>
          <w:b/>
          <w:i/>
          <w:sz w:val="21"/>
        </w:rPr>
        <w:t>专用条款</w:t>
      </w:r>
      <w:r>
        <w:rPr>
          <w:rFonts w:hint="eastAsia" w:cs="Times New Roman"/>
          <w:sz w:val="21"/>
        </w:rPr>
        <w:t>中予以明确。除</w:t>
      </w:r>
      <w:r>
        <w:rPr>
          <w:rFonts w:cs="Times New Roman"/>
          <w:b/>
          <w:i/>
          <w:sz w:val="21"/>
        </w:rPr>
        <w:t>专用条款</w:t>
      </w:r>
      <w:r>
        <w:rPr>
          <w:rFonts w:hint="eastAsia" w:cs="Times New Roman"/>
          <w:sz w:val="21"/>
        </w:rPr>
        <w:t>中另有约定外，应视为承包人在签订合同前已充分预见前述技术标准和功能要求的复杂程度，签约合同价中已包含由此产生的费用。</w:t>
      </w:r>
    </w:p>
    <w:p w14:paraId="3DD1FB74">
      <w:pPr>
        <w:widowControl w:val="0"/>
        <w:tabs>
          <w:tab w:val="left" w:pos="1620"/>
          <w:tab w:val="left" w:pos="2340"/>
        </w:tabs>
        <w:spacing w:after="156"/>
        <w:ind w:left="899"/>
        <w:rPr>
          <w:rFonts w:cs="Times New Roman"/>
          <w:sz w:val="21"/>
        </w:rPr>
      </w:pPr>
      <w:r>
        <w:rPr>
          <w:rFonts w:hint="eastAsia" w:cs="Times New Roman"/>
          <w:sz w:val="21"/>
        </w:rPr>
        <w:t>⑶国内没有相应标准、规范的，以设计文件、产品说明书或承包人提交的且由发包人和</w:t>
      </w:r>
      <w:r>
        <w:rPr>
          <w:rFonts w:cs="Times New Roman"/>
          <w:sz w:val="21"/>
        </w:rPr>
        <w:t>监理人</w:t>
      </w:r>
      <w:r>
        <w:rPr>
          <w:rFonts w:hint="eastAsia" w:cs="Times New Roman"/>
          <w:sz w:val="21"/>
        </w:rPr>
        <w:t>批准的技术方案为准。发包人要求使用国外标准、规范的，发包人负责提供原文版本和中文译本。</w:t>
      </w:r>
    </w:p>
    <w:p w14:paraId="1F9A1AA5">
      <w:pPr>
        <w:widowControl w:val="0"/>
        <w:tabs>
          <w:tab w:val="left" w:pos="1620"/>
          <w:tab w:val="left" w:pos="2340"/>
        </w:tabs>
        <w:spacing w:after="156"/>
        <w:ind w:left="899"/>
        <w:rPr>
          <w:rFonts w:cs="Times New Roman"/>
          <w:sz w:val="21"/>
        </w:rPr>
      </w:pPr>
      <w:r>
        <w:rPr>
          <w:rFonts w:hint="eastAsia" w:cs="Times New Roman"/>
          <w:sz w:val="21"/>
        </w:rPr>
        <w:t>⑷用于本工程的标准、规范按</w:t>
      </w:r>
      <w:r>
        <w:rPr>
          <w:rFonts w:hint="eastAsia" w:cs="Times New Roman"/>
          <w:b/>
          <w:i/>
          <w:sz w:val="21"/>
        </w:rPr>
        <w:t>专用条款</w:t>
      </w:r>
      <w:r>
        <w:rPr>
          <w:rFonts w:hint="eastAsia" w:cs="Times New Roman"/>
          <w:sz w:val="21"/>
        </w:rPr>
        <w:t>中约定的方式提供。</w:t>
      </w:r>
    </w:p>
    <w:p w14:paraId="5E84F0EA">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图纸和技术资料的提供</w:t>
      </w:r>
    </w:p>
    <w:p w14:paraId="1435A1D2">
      <w:pPr>
        <w:widowControl w:val="0"/>
        <w:tabs>
          <w:tab w:val="left" w:pos="1620"/>
          <w:tab w:val="left" w:pos="2340"/>
        </w:tabs>
        <w:spacing w:after="156"/>
        <w:ind w:left="899"/>
        <w:rPr>
          <w:rFonts w:cs="Times New Roman"/>
          <w:sz w:val="21"/>
        </w:rPr>
      </w:pPr>
      <w:r>
        <w:rPr>
          <w:rFonts w:hint="eastAsia" w:cs="Times New Roman"/>
          <w:sz w:val="21"/>
        </w:rPr>
        <w:t>⑴发包人应按</w:t>
      </w:r>
      <w:r>
        <w:rPr>
          <w:rFonts w:hint="eastAsia" w:cs="Times New Roman"/>
          <w:b/>
          <w:i/>
          <w:sz w:val="21"/>
        </w:rPr>
        <w:t>专用条款</w:t>
      </w:r>
      <w:r>
        <w:rPr>
          <w:rFonts w:hint="eastAsia" w:cs="Times New Roman"/>
          <w:sz w:val="21"/>
        </w:rPr>
        <w:t>约定的时间和数量向承包人提供由发包人委托的</w:t>
      </w:r>
      <w:r>
        <w:rPr>
          <w:rFonts w:cs="Times New Roman"/>
          <w:sz w:val="21"/>
        </w:rPr>
        <w:t>设计人</w:t>
      </w:r>
      <w:r>
        <w:rPr>
          <w:rFonts w:hint="eastAsia" w:cs="Times New Roman"/>
          <w:sz w:val="21"/>
        </w:rPr>
        <w:t>设计的全部施工图纸和其他技术资料，并组织向承包人进行技术交底。承包人需要增加图纸和资料套数的，应自费复制。发包人至迟不得晚于第11.1款〔开工〕中开工通知书载明的开工日期前14天向承包人提供图纸。</w:t>
      </w:r>
    </w:p>
    <w:p w14:paraId="34880272">
      <w:pPr>
        <w:widowControl w:val="0"/>
        <w:tabs>
          <w:tab w:val="left" w:pos="1620"/>
          <w:tab w:val="left" w:pos="2340"/>
        </w:tabs>
        <w:spacing w:after="156"/>
        <w:ind w:left="899"/>
        <w:rPr>
          <w:rFonts w:cs="Times New Roman"/>
          <w:sz w:val="21"/>
        </w:rPr>
      </w:pPr>
      <w:r>
        <w:rPr>
          <w:rFonts w:hint="eastAsia" w:cs="Times New Roman"/>
          <w:sz w:val="21"/>
        </w:rPr>
        <w:t>⑵承包人应在施工现场保留一套完整的图纸，供</w:t>
      </w:r>
      <w:r>
        <w:rPr>
          <w:rFonts w:cs="Times New Roman"/>
          <w:sz w:val="21"/>
        </w:rPr>
        <w:t>监理人</w:t>
      </w:r>
      <w:r>
        <w:rPr>
          <w:rFonts w:hint="eastAsia" w:cs="Times New Roman"/>
          <w:sz w:val="21"/>
        </w:rPr>
        <w:t>及有关人员进行工程检查时使用。</w:t>
      </w:r>
    </w:p>
    <w:p w14:paraId="38DC34F5">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如发包人提供的图纸</w:t>
      </w:r>
      <w:r>
        <w:rPr>
          <w:rFonts w:hint="eastAsia" w:cs="Times New Roman"/>
          <w:sz w:val="21"/>
        </w:rPr>
        <w:t>和</w:t>
      </w:r>
      <w:r>
        <w:rPr>
          <w:rFonts w:cs="Times New Roman"/>
          <w:sz w:val="21"/>
        </w:rPr>
        <w:t>资料不完整，承包人应在</w:t>
      </w:r>
      <w:r>
        <w:rPr>
          <w:rFonts w:hint="eastAsia" w:cs="Times New Roman"/>
          <w:sz w:val="21"/>
        </w:rPr>
        <w:t>本</w:t>
      </w:r>
      <w:r>
        <w:rPr>
          <w:rFonts w:cs="Times New Roman"/>
          <w:sz w:val="21"/>
        </w:rPr>
        <w:t>工程开工</w:t>
      </w:r>
      <w:r>
        <w:rPr>
          <w:rFonts w:hint="eastAsia" w:cs="Times New Roman"/>
          <w:sz w:val="21"/>
        </w:rPr>
        <w:t>前</w:t>
      </w:r>
      <w:r>
        <w:rPr>
          <w:rFonts w:cs="Times New Roman"/>
          <w:sz w:val="21"/>
        </w:rPr>
        <w:t>7日向发包人提交</w:t>
      </w:r>
      <w:r>
        <w:rPr>
          <w:rFonts w:hint="eastAsia" w:cs="Times New Roman"/>
          <w:sz w:val="21"/>
        </w:rPr>
        <w:t>书面报告</w:t>
      </w:r>
      <w:r>
        <w:rPr>
          <w:rFonts w:cs="Times New Roman"/>
          <w:sz w:val="21"/>
        </w:rPr>
        <w:t>，列明在不影响进度的条件下，发包人在整个</w:t>
      </w:r>
      <w:r>
        <w:rPr>
          <w:rFonts w:hint="eastAsia" w:cs="Times New Roman"/>
          <w:sz w:val="21"/>
        </w:rPr>
        <w:t>施</w:t>
      </w:r>
      <w:r>
        <w:rPr>
          <w:rFonts w:cs="Times New Roman"/>
          <w:sz w:val="21"/>
        </w:rPr>
        <w:t>工期内应向承包人提供补充的图纸及资料的种类及最后期限。</w:t>
      </w:r>
      <w:r>
        <w:rPr>
          <w:rFonts w:hint="eastAsia" w:cs="Times New Roman"/>
          <w:sz w:val="21"/>
        </w:rPr>
        <w:t>发包人收到书面报告后应及时通知</w:t>
      </w:r>
      <w:r>
        <w:rPr>
          <w:rFonts w:cs="Times New Roman"/>
          <w:sz w:val="21"/>
        </w:rPr>
        <w:t>设计人</w:t>
      </w:r>
      <w:r>
        <w:rPr>
          <w:rFonts w:hint="eastAsia" w:cs="Times New Roman"/>
          <w:sz w:val="21"/>
        </w:rPr>
        <w:t>予以补充，并按照2.6(1)款约定的时间和数量提供给承包人。</w:t>
      </w:r>
    </w:p>
    <w:p w14:paraId="417A973D">
      <w:pPr>
        <w:widowControl w:val="0"/>
        <w:tabs>
          <w:tab w:val="left" w:pos="1620"/>
          <w:tab w:val="left" w:pos="2340"/>
        </w:tabs>
        <w:spacing w:after="156"/>
        <w:ind w:left="899"/>
        <w:rPr>
          <w:rFonts w:cs="Times New Roman"/>
          <w:sz w:val="21"/>
        </w:rPr>
      </w:pPr>
      <w:r>
        <w:rPr>
          <w:rFonts w:hint="eastAsia" w:cs="Times New Roman"/>
          <w:sz w:val="21"/>
        </w:rPr>
        <w:t>⑷承包人在收到发包人提供的图纸后，发现图纸存在差错、遗漏或缺陷的，应在</w:t>
      </w:r>
      <w:r>
        <w:rPr>
          <w:rFonts w:hint="eastAsia" w:cs="Times New Roman"/>
          <w:b/>
          <w:i/>
          <w:sz w:val="21"/>
        </w:rPr>
        <w:t>专用条款</w:t>
      </w:r>
      <w:r>
        <w:rPr>
          <w:rFonts w:hint="eastAsia" w:cs="Times New Roman"/>
          <w:sz w:val="21"/>
        </w:rPr>
        <w:t>约定的时限内通知</w:t>
      </w:r>
      <w:r>
        <w:rPr>
          <w:rFonts w:cs="Times New Roman"/>
          <w:sz w:val="21"/>
        </w:rPr>
        <w:t>监理人</w:t>
      </w:r>
      <w:r>
        <w:rPr>
          <w:rFonts w:hint="eastAsia" w:cs="Times New Roman"/>
          <w:sz w:val="21"/>
        </w:rPr>
        <w:t>。</w:t>
      </w:r>
      <w:r>
        <w:rPr>
          <w:rFonts w:cs="Times New Roman"/>
          <w:sz w:val="21"/>
        </w:rPr>
        <w:t>监理人</w:t>
      </w:r>
      <w:r>
        <w:rPr>
          <w:rFonts w:hint="eastAsia" w:cs="Times New Roman"/>
          <w:sz w:val="21"/>
        </w:rPr>
        <w:t>接到该通知后，应附具相关意见并在</w:t>
      </w:r>
      <w:r>
        <w:rPr>
          <w:rFonts w:hint="eastAsia" w:cs="Times New Roman"/>
          <w:b/>
          <w:i/>
          <w:sz w:val="21"/>
        </w:rPr>
        <w:t>专用条款</w:t>
      </w:r>
      <w:r>
        <w:rPr>
          <w:rFonts w:hint="eastAsia" w:cs="Times New Roman"/>
          <w:sz w:val="21"/>
        </w:rPr>
        <w:t>约定的时限内报送发包人，发包人应在收到</w:t>
      </w:r>
      <w:r>
        <w:rPr>
          <w:rFonts w:cs="Times New Roman"/>
          <w:sz w:val="21"/>
        </w:rPr>
        <w:t>监理人</w:t>
      </w:r>
      <w:r>
        <w:rPr>
          <w:rFonts w:hint="eastAsia" w:cs="Times New Roman"/>
          <w:sz w:val="21"/>
        </w:rPr>
        <w:t>报送的通知后在</w:t>
      </w:r>
      <w:r>
        <w:rPr>
          <w:rFonts w:hint="eastAsia" w:cs="Times New Roman"/>
          <w:b/>
          <w:i/>
          <w:sz w:val="21"/>
        </w:rPr>
        <w:t>专用条款</w:t>
      </w:r>
      <w:r>
        <w:rPr>
          <w:rFonts w:hint="eastAsia" w:cs="Times New Roman"/>
          <w:sz w:val="21"/>
        </w:rPr>
        <w:t>约定的时限内作出决定。</w:t>
      </w:r>
    </w:p>
    <w:p w14:paraId="09C8C5EC">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图纸和资料提供的延误</w:t>
      </w:r>
    </w:p>
    <w:p w14:paraId="79F91C81">
      <w:pPr>
        <w:widowControl w:val="0"/>
        <w:tabs>
          <w:tab w:val="left" w:pos="1620"/>
          <w:tab w:val="left" w:pos="2340"/>
        </w:tabs>
        <w:spacing w:after="156"/>
        <w:ind w:left="899"/>
        <w:rPr>
          <w:rFonts w:cs="Times New Roman"/>
          <w:sz w:val="21"/>
        </w:rPr>
      </w:pPr>
      <w:r>
        <w:rPr>
          <w:rFonts w:hint="eastAsia" w:cs="Times New Roman"/>
          <w:sz w:val="21"/>
        </w:rPr>
        <w:t>⑴因发包人未能按约定提供图纸和资料，打乱工程施工进度计划，给承包人造成损失和(或)导致工期延误的，发包人应赔偿承包人损失和(或)顺延延误的工期。</w:t>
      </w:r>
    </w:p>
    <w:p w14:paraId="56797019">
      <w:pPr>
        <w:widowControl w:val="0"/>
        <w:tabs>
          <w:tab w:val="left" w:pos="1620"/>
          <w:tab w:val="left" w:pos="2340"/>
        </w:tabs>
        <w:spacing w:after="156"/>
        <w:ind w:left="899"/>
        <w:rPr>
          <w:rFonts w:cs="Times New Roman"/>
          <w:sz w:val="21"/>
        </w:rPr>
      </w:pPr>
      <w:r>
        <w:rPr>
          <w:rFonts w:hint="eastAsia" w:cs="Times New Roman"/>
          <w:sz w:val="21"/>
        </w:rPr>
        <w:t>⑵发包人之所以不能按约定提供图纸和资料，是因为承包人未能提交本合同约定应由其提交的资料或提交的资料有误所致，则承包人无权要求发包人赔偿损失、顺延工期。</w:t>
      </w:r>
    </w:p>
    <w:p w14:paraId="6C08D239">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补充图纸和资料</w:t>
      </w:r>
    </w:p>
    <w:p w14:paraId="1B35A84E">
      <w:pPr>
        <w:widowControl w:val="0"/>
        <w:tabs>
          <w:tab w:val="left" w:pos="1620"/>
          <w:tab w:val="left" w:pos="2340"/>
        </w:tabs>
        <w:spacing w:after="156"/>
        <w:ind w:left="899"/>
        <w:rPr>
          <w:rFonts w:cs="Times New Roman"/>
          <w:sz w:val="21"/>
        </w:rPr>
      </w:pPr>
      <w:r>
        <w:rPr>
          <w:rFonts w:hint="eastAsia" w:cs="Times New Roman"/>
          <w:sz w:val="21"/>
        </w:rPr>
        <w:t>发包人为满足本工程的正确实施和完成及其缺陷修复所需，可委托</w:t>
      </w:r>
      <w:r>
        <w:rPr>
          <w:rFonts w:cs="Times New Roman"/>
          <w:sz w:val="21"/>
        </w:rPr>
        <w:t>设计人</w:t>
      </w:r>
      <w:r>
        <w:rPr>
          <w:rFonts w:hint="eastAsia" w:cs="Times New Roman"/>
          <w:sz w:val="21"/>
        </w:rPr>
        <w:t>设计补充图纸(含深化设计图纸)和技术资料，并按</w:t>
      </w:r>
      <w:r>
        <w:rPr>
          <w:rFonts w:hint="eastAsia" w:cs="Times New Roman"/>
          <w:b/>
          <w:i/>
          <w:sz w:val="21"/>
        </w:rPr>
        <w:t>专用条款</w:t>
      </w:r>
      <w:r>
        <w:rPr>
          <w:rFonts w:hint="eastAsia" w:cs="Times New Roman"/>
          <w:sz w:val="21"/>
        </w:rPr>
        <w:t>约定的时间和数量向承包人发出，承包人应予执行。</w:t>
      </w:r>
    </w:p>
    <w:p w14:paraId="7EC57B21">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临时工程图纸</w:t>
      </w:r>
    </w:p>
    <w:p w14:paraId="452A9B53">
      <w:pPr>
        <w:widowControl w:val="0"/>
        <w:tabs>
          <w:tab w:val="left" w:pos="1620"/>
          <w:tab w:val="left" w:pos="2340"/>
        </w:tabs>
        <w:spacing w:after="156"/>
        <w:ind w:left="899"/>
        <w:rPr>
          <w:rFonts w:cs="Times New Roman"/>
          <w:sz w:val="21"/>
        </w:rPr>
      </w:pPr>
      <w:r>
        <w:rPr>
          <w:rFonts w:hint="eastAsia" w:cs="Times New Roman"/>
          <w:sz w:val="21"/>
        </w:rPr>
        <w:t>当</w:t>
      </w:r>
      <w:r>
        <w:rPr>
          <w:rFonts w:cs="Times New Roman"/>
          <w:sz w:val="21"/>
        </w:rPr>
        <w:t>监理人</w:t>
      </w:r>
      <w:r>
        <w:rPr>
          <w:rFonts w:hint="eastAsia" w:cs="Times New Roman"/>
          <w:sz w:val="21"/>
        </w:rPr>
        <w:t>认为需要时，承包人应提交本工程临时工程的设计图纸一式3份，供</w:t>
      </w:r>
      <w:r>
        <w:rPr>
          <w:rFonts w:cs="Times New Roman"/>
          <w:sz w:val="21"/>
        </w:rPr>
        <w:t>监理人</w:t>
      </w:r>
      <w:r>
        <w:rPr>
          <w:rFonts w:hint="eastAsia" w:cs="Times New Roman"/>
          <w:sz w:val="21"/>
        </w:rPr>
        <w:t>批准或备查。</w:t>
      </w:r>
    </w:p>
    <w:p w14:paraId="6E9F3874">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竣工图</w:t>
      </w:r>
    </w:p>
    <w:p w14:paraId="4F935009">
      <w:pPr>
        <w:widowControl w:val="0"/>
        <w:tabs>
          <w:tab w:val="left" w:pos="1620"/>
          <w:tab w:val="left" w:pos="2340"/>
        </w:tabs>
        <w:spacing w:after="156"/>
        <w:ind w:left="899"/>
        <w:rPr>
          <w:rFonts w:cs="Times New Roman"/>
          <w:sz w:val="21"/>
        </w:rPr>
      </w:pPr>
      <w:r>
        <w:rPr>
          <w:rFonts w:hint="eastAsia" w:cs="Times New Roman"/>
          <w:sz w:val="21"/>
        </w:rPr>
        <w:t>⑴除</w:t>
      </w:r>
      <w:r>
        <w:rPr>
          <w:rFonts w:hint="eastAsia" w:cs="Times New Roman"/>
          <w:b/>
          <w:i/>
          <w:sz w:val="21"/>
        </w:rPr>
        <w:t>专用条款</w:t>
      </w:r>
      <w:r>
        <w:rPr>
          <w:rFonts w:hint="eastAsia" w:cs="Times New Roman"/>
          <w:sz w:val="21"/>
        </w:rPr>
        <w:t>另有约定外，</w:t>
      </w:r>
      <w:r>
        <w:rPr>
          <w:rFonts w:cs="Times New Roman"/>
          <w:sz w:val="21"/>
        </w:rPr>
        <w:t>在本工程</w:t>
      </w:r>
      <w:r>
        <w:rPr>
          <w:rFonts w:hint="eastAsia" w:cs="Times New Roman"/>
          <w:sz w:val="21"/>
        </w:rPr>
        <w:t>竣工</w:t>
      </w:r>
      <w:r>
        <w:rPr>
          <w:rFonts w:cs="Times New Roman"/>
          <w:sz w:val="21"/>
        </w:rPr>
        <w:t>验收之前，承包人须按</w:t>
      </w:r>
      <w:r>
        <w:rPr>
          <w:rFonts w:hint="eastAsia" w:cs="Times New Roman"/>
          <w:sz w:val="21"/>
        </w:rPr>
        <w:t>政府</w:t>
      </w:r>
      <w:r>
        <w:rPr>
          <w:rFonts w:cs="Times New Roman"/>
          <w:sz w:val="21"/>
        </w:rPr>
        <w:t>建设行政</w:t>
      </w:r>
      <w:r>
        <w:rPr>
          <w:rFonts w:hint="eastAsia" w:cs="Times New Roman"/>
          <w:sz w:val="21"/>
        </w:rPr>
        <w:t>主管</w:t>
      </w:r>
      <w:r>
        <w:rPr>
          <w:rFonts w:cs="Times New Roman"/>
          <w:sz w:val="21"/>
        </w:rPr>
        <w:t>部门</w:t>
      </w:r>
      <w:r>
        <w:rPr>
          <w:rFonts w:hint="eastAsia" w:cs="Times New Roman"/>
          <w:sz w:val="21"/>
        </w:rPr>
        <w:t>及政府</w:t>
      </w:r>
      <w:r>
        <w:rPr>
          <w:rFonts w:cs="Times New Roman"/>
          <w:sz w:val="21"/>
        </w:rPr>
        <w:t>档案</w:t>
      </w:r>
      <w:r>
        <w:rPr>
          <w:rFonts w:hint="eastAsia" w:cs="Times New Roman"/>
          <w:sz w:val="21"/>
        </w:rPr>
        <w:t>主管部门有关</w:t>
      </w:r>
      <w:r>
        <w:rPr>
          <w:rFonts w:cs="Times New Roman"/>
          <w:sz w:val="21"/>
        </w:rPr>
        <w:t>技术档案管理</w:t>
      </w:r>
      <w:r>
        <w:rPr>
          <w:rFonts w:hint="eastAsia" w:cs="Times New Roman"/>
          <w:sz w:val="21"/>
        </w:rPr>
        <w:t>要求</w:t>
      </w:r>
      <w:r>
        <w:rPr>
          <w:rFonts w:cs="Times New Roman"/>
          <w:sz w:val="21"/>
        </w:rPr>
        <w:t>编制整理竣工图</w:t>
      </w:r>
      <w:r>
        <w:rPr>
          <w:rFonts w:hint="eastAsia" w:cs="Times New Roman"/>
          <w:sz w:val="21"/>
        </w:rPr>
        <w:t>，报</w:t>
      </w:r>
      <w:r>
        <w:rPr>
          <w:rFonts w:cs="Times New Roman"/>
          <w:sz w:val="21"/>
        </w:rPr>
        <w:t>监理人</w:t>
      </w:r>
      <w:r>
        <w:rPr>
          <w:rFonts w:hint="eastAsia" w:cs="Times New Roman"/>
          <w:sz w:val="21"/>
        </w:rPr>
        <w:t>审核</w:t>
      </w:r>
      <w:r>
        <w:rPr>
          <w:rFonts w:cs="Times New Roman"/>
          <w:sz w:val="21"/>
        </w:rPr>
        <w:t>后移交给发包人</w:t>
      </w:r>
      <w:r>
        <w:rPr>
          <w:rFonts w:hint="eastAsia" w:cs="Times New Roman"/>
          <w:sz w:val="21"/>
        </w:rPr>
        <w:t>。</w:t>
      </w:r>
    </w:p>
    <w:p w14:paraId="4D500C51">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竣工图</w:t>
      </w:r>
      <w:r>
        <w:rPr>
          <w:rFonts w:hint="eastAsia" w:cs="Times New Roman"/>
          <w:sz w:val="21"/>
        </w:rPr>
        <w:t>内容应</w:t>
      </w:r>
      <w:r>
        <w:rPr>
          <w:rFonts w:cs="Times New Roman"/>
          <w:sz w:val="21"/>
        </w:rPr>
        <w:t>与工程实物相符，加盖竣工图章，</w:t>
      </w:r>
      <w:r>
        <w:rPr>
          <w:rFonts w:hint="eastAsia" w:cs="Times New Roman"/>
          <w:sz w:val="21"/>
        </w:rPr>
        <w:t>由承包人</w:t>
      </w:r>
      <w:r>
        <w:rPr>
          <w:rFonts w:cs="Times New Roman"/>
          <w:sz w:val="21"/>
        </w:rPr>
        <w:t>本工程技术负责人签名</w:t>
      </w:r>
      <w:r>
        <w:rPr>
          <w:rFonts w:hint="eastAsia" w:cs="Times New Roman"/>
          <w:sz w:val="21"/>
        </w:rPr>
        <w:t>，并</w:t>
      </w:r>
      <w:r>
        <w:rPr>
          <w:rFonts w:cs="Times New Roman"/>
          <w:sz w:val="21"/>
        </w:rPr>
        <w:t>按规定要求叠折、装订和组卷。承包人</w:t>
      </w:r>
      <w:r>
        <w:rPr>
          <w:rFonts w:hint="eastAsia" w:cs="Times New Roman"/>
          <w:sz w:val="21"/>
        </w:rPr>
        <w:t>应向政府</w:t>
      </w:r>
      <w:r>
        <w:rPr>
          <w:rFonts w:cs="Times New Roman"/>
          <w:sz w:val="21"/>
        </w:rPr>
        <w:t>档案</w:t>
      </w:r>
      <w:r>
        <w:rPr>
          <w:rFonts w:hint="eastAsia" w:cs="Times New Roman"/>
          <w:sz w:val="21"/>
        </w:rPr>
        <w:t>主管部门</w:t>
      </w:r>
      <w:r>
        <w:rPr>
          <w:rFonts w:cs="Times New Roman"/>
          <w:sz w:val="21"/>
        </w:rPr>
        <w:t>和发包人各</w:t>
      </w:r>
      <w:r>
        <w:rPr>
          <w:rFonts w:hint="eastAsia" w:cs="Times New Roman"/>
          <w:sz w:val="21"/>
        </w:rPr>
        <w:t>提交</w:t>
      </w:r>
      <w:r>
        <w:rPr>
          <w:rFonts w:cs="Times New Roman"/>
          <w:sz w:val="21"/>
        </w:rPr>
        <w:t>一份竣工图</w:t>
      </w:r>
      <w:r>
        <w:rPr>
          <w:rFonts w:hint="eastAsia" w:cs="Times New Roman"/>
          <w:sz w:val="21"/>
        </w:rPr>
        <w:t>及</w:t>
      </w:r>
      <w:r>
        <w:rPr>
          <w:rFonts w:cs="Times New Roman"/>
          <w:sz w:val="21"/>
        </w:rPr>
        <w:t>电子</w:t>
      </w:r>
      <w:r>
        <w:rPr>
          <w:rFonts w:hint="eastAsia" w:cs="Times New Roman"/>
          <w:sz w:val="21"/>
        </w:rPr>
        <w:t>文档，</w:t>
      </w:r>
      <w:r>
        <w:rPr>
          <w:rFonts w:cs="Times New Roman"/>
          <w:sz w:val="21"/>
        </w:rPr>
        <w:t>交</w:t>
      </w:r>
      <w:r>
        <w:rPr>
          <w:rFonts w:hint="eastAsia" w:cs="Times New Roman"/>
          <w:sz w:val="21"/>
        </w:rPr>
        <w:t>政府</w:t>
      </w:r>
      <w:r>
        <w:rPr>
          <w:rFonts w:cs="Times New Roman"/>
          <w:sz w:val="21"/>
        </w:rPr>
        <w:t>档案</w:t>
      </w:r>
      <w:r>
        <w:rPr>
          <w:rFonts w:hint="eastAsia" w:cs="Times New Roman"/>
          <w:sz w:val="21"/>
        </w:rPr>
        <w:t>主管部门</w:t>
      </w:r>
      <w:r>
        <w:rPr>
          <w:rFonts w:cs="Times New Roman"/>
          <w:sz w:val="21"/>
        </w:rPr>
        <w:t>的竣工图需要由设计人加盖设计人公章。</w:t>
      </w:r>
    </w:p>
    <w:p w14:paraId="54BBEE4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通知</w:t>
      </w:r>
    </w:p>
    <w:p w14:paraId="44407DBE">
      <w:pPr>
        <w:widowControl w:val="0"/>
        <w:tabs>
          <w:tab w:val="left" w:pos="1620"/>
          <w:tab w:val="left" w:pos="2340"/>
        </w:tabs>
        <w:spacing w:after="156"/>
        <w:ind w:left="899"/>
        <w:rPr>
          <w:rFonts w:cs="Times New Roman"/>
          <w:sz w:val="21"/>
        </w:rPr>
      </w:pPr>
      <w:r>
        <w:rPr>
          <w:rFonts w:hint="eastAsia" w:cs="Times New Roman"/>
          <w:sz w:val="21"/>
        </w:rPr>
        <w:t>⑴根据本合同条款由发包人或</w:t>
      </w:r>
      <w:r>
        <w:rPr>
          <w:rFonts w:cs="Times New Roman"/>
          <w:sz w:val="21"/>
        </w:rPr>
        <w:t>监理人</w:t>
      </w:r>
      <w:r>
        <w:rPr>
          <w:rFonts w:hint="eastAsia" w:cs="Times New Roman"/>
          <w:sz w:val="21"/>
        </w:rPr>
        <w:t>发给承包人的一切证书、通知或指令均应发送或派专人送达承包人在</w:t>
      </w:r>
      <w:r>
        <w:rPr>
          <w:rFonts w:hint="eastAsia" w:cs="Times New Roman"/>
          <w:b/>
          <w:i/>
          <w:sz w:val="21"/>
        </w:rPr>
        <w:t>专用条款</w:t>
      </w:r>
      <w:r>
        <w:rPr>
          <w:rFonts w:hint="eastAsia" w:cs="Times New Roman"/>
          <w:sz w:val="21"/>
        </w:rPr>
        <w:t>中指定的地址。</w:t>
      </w:r>
    </w:p>
    <w:p w14:paraId="3AEB213B">
      <w:pPr>
        <w:widowControl w:val="0"/>
        <w:tabs>
          <w:tab w:val="left" w:pos="1620"/>
          <w:tab w:val="left" w:pos="2340"/>
        </w:tabs>
        <w:spacing w:after="156"/>
        <w:ind w:left="899"/>
        <w:rPr>
          <w:rFonts w:cs="Times New Roman"/>
          <w:sz w:val="21"/>
        </w:rPr>
      </w:pPr>
      <w:r>
        <w:rPr>
          <w:rFonts w:hint="eastAsia" w:cs="Times New Roman"/>
          <w:sz w:val="21"/>
        </w:rPr>
        <w:t>⑵根据本合同条款由承包人发给发包人或</w:t>
      </w:r>
      <w:r>
        <w:rPr>
          <w:rFonts w:cs="Times New Roman"/>
          <w:sz w:val="21"/>
        </w:rPr>
        <w:t>监理人</w:t>
      </w:r>
      <w:r>
        <w:rPr>
          <w:rFonts w:hint="eastAsia" w:cs="Times New Roman"/>
          <w:sz w:val="21"/>
        </w:rPr>
        <w:t>的一切通知均应发送或派专人送达发包人或</w:t>
      </w:r>
      <w:r>
        <w:rPr>
          <w:rFonts w:cs="Times New Roman"/>
          <w:sz w:val="21"/>
        </w:rPr>
        <w:t>监理人</w:t>
      </w:r>
      <w:r>
        <w:rPr>
          <w:rFonts w:hint="eastAsia" w:cs="Times New Roman"/>
          <w:sz w:val="21"/>
        </w:rPr>
        <w:t>在</w:t>
      </w:r>
      <w:r>
        <w:rPr>
          <w:rFonts w:hint="eastAsia" w:cs="Times New Roman"/>
          <w:b/>
          <w:i/>
          <w:sz w:val="21"/>
        </w:rPr>
        <w:t>专用条款</w:t>
      </w:r>
      <w:r>
        <w:rPr>
          <w:rFonts w:hint="eastAsia" w:cs="Times New Roman"/>
          <w:sz w:val="21"/>
        </w:rPr>
        <w:t>中指定的地址。</w:t>
      </w:r>
    </w:p>
    <w:p w14:paraId="0B5A3DBA">
      <w:pPr>
        <w:widowControl w:val="0"/>
        <w:tabs>
          <w:tab w:val="left" w:pos="1620"/>
          <w:tab w:val="left" w:pos="2340"/>
        </w:tabs>
        <w:spacing w:after="156"/>
        <w:ind w:left="899"/>
        <w:rPr>
          <w:rFonts w:cs="Times New Roman"/>
          <w:sz w:val="21"/>
        </w:rPr>
      </w:pPr>
      <w:r>
        <w:rPr>
          <w:rFonts w:hint="eastAsia" w:cs="Times New Roman"/>
          <w:sz w:val="21"/>
        </w:rPr>
        <w:t>⑶若一方的通信地址发生改变，应提前3天书面通知另一方，</w:t>
      </w:r>
    </w:p>
    <w:p w14:paraId="269CF330">
      <w:pPr>
        <w:widowControl w:val="0"/>
        <w:tabs>
          <w:tab w:val="left" w:pos="1620"/>
          <w:tab w:val="left" w:pos="2340"/>
        </w:tabs>
        <w:spacing w:after="156"/>
        <w:ind w:left="899"/>
        <w:rPr>
          <w:rFonts w:cs="Times New Roman"/>
          <w:sz w:val="21"/>
        </w:rPr>
      </w:pPr>
      <w:r>
        <w:rPr>
          <w:rFonts w:hint="eastAsia" w:cs="Times New Roman"/>
          <w:sz w:val="21"/>
        </w:rPr>
        <w:t>⑷如一方拒绝签收另一方通知，另一方以特快专递方式将通知送至2.11⑴、⑵款指定的地址，视为送达。</w:t>
      </w:r>
    </w:p>
    <w:p w14:paraId="11378E0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严禁贿赂</w:t>
      </w:r>
    </w:p>
    <w:p w14:paraId="0904DC0F">
      <w:pPr>
        <w:widowControl w:val="0"/>
        <w:tabs>
          <w:tab w:val="left" w:pos="1620"/>
          <w:tab w:val="left" w:pos="2340"/>
        </w:tabs>
        <w:spacing w:after="156"/>
        <w:ind w:left="899"/>
        <w:rPr>
          <w:rFonts w:cs="Times New Roman"/>
          <w:sz w:val="21"/>
        </w:rPr>
      </w:pPr>
      <w:r>
        <w:rPr>
          <w:rFonts w:hint="eastAsia" w:cs="Times New Roman"/>
          <w:sz w:val="21"/>
        </w:rPr>
        <w:t>⑴承发包双方不得以贿赂或变相贿赂的方式，谋取非法利益或损害对方权益。因一方的贿赂造成对方损失的，应赔偿损失，并承担相应的法律责任。</w:t>
      </w:r>
    </w:p>
    <w:p w14:paraId="59DCCE30">
      <w:pPr>
        <w:widowControl w:val="0"/>
        <w:tabs>
          <w:tab w:val="left" w:pos="1620"/>
          <w:tab w:val="left" w:pos="2340"/>
        </w:tabs>
        <w:spacing w:after="156"/>
        <w:ind w:left="899"/>
        <w:rPr>
          <w:rFonts w:cs="Times New Roman"/>
          <w:sz w:val="21"/>
        </w:rPr>
      </w:pPr>
      <w:r>
        <w:rPr>
          <w:rFonts w:hint="eastAsia" w:cs="Times New Roman"/>
          <w:sz w:val="21"/>
        </w:rPr>
        <w:t>⑵承包人不得与</w:t>
      </w:r>
      <w:r>
        <w:rPr>
          <w:rFonts w:cs="Times New Roman"/>
          <w:sz w:val="21"/>
        </w:rPr>
        <w:t>监理人</w:t>
      </w:r>
      <w:r>
        <w:rPr>
          <w:rFonts w:hint="eastAsia" w:cs="Times New Roman"/>
          <w:sz w:val="21"/>
        </w:rPr>
        <w:t>或发包人聘请的第三方串通损害发包人利益。未经发包人书面同意，承包人不得为</w:t>
      </w:r>
      <w:r>
        <w:rPr>
          <w:rFonts w:cs="Times New Roman"/>
          <w:sz w:val="21"/>
        </w:rPr>
        <w:t>监理人</w:t>
      </w:r>
      <w:r>
        <w:rPr>
          <w:rFonts w:hint="eastAsia" w:cs="Times New Roman"/>
          <w:sz w:val="21"/>
        </w:rPr>
        <w:t>提供合同约定以外的通讯设备、交通工具及其他任何形式的利益，不得向</w:t>
      </w:r>
      <w:r>
        <w:rPr>
          <w:rFonts w:cs="Times New Roman"/>
          <w:sz w:val="21"/>
        </w:rPr>
        <w:t>监理人</w:t>
      </w:r>
      <w:r>
        <w:rPr>
          <w:rFonts w:hint="eastAsia" w:cs="Times New Roman"/>
          <w:sz w:val="21"/>
        </w:rPr>
        <w:t>支付报酬。</w:t>
      </w:r>
    </w:p>
    <w:p w14:paraId="34DA46B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交通运输</w:t>
      </w:r>
    </w:p>
    <w:p w14:paraId="49C48E6C">
      <w:pPr>
        <w:widowControl w:val="0"/>
        <w:tabs>
          <w:tab w:val="left" w:pos="1620"/>
          <w:tab w:val="left" w:pos="2340"/>
        </w:tabs>
        <w:spacing w:after="156"/>
        <w:ind w:left="899"/>
        <w:rPr>
          <w:rFonts w:cs="Times New Roman"/>
          <w:sz w:val="21"/>
        </w:rPr>
      </w:pPr>
      <w:r>
        <w:rPr>
          <w:rFonts w:hint="eastAsia" w:cs="Times New Roman"/>
          <w:sz w:val="21"/>
        </w:rPr>
        <w:t>⑴出入现场的权利</w:t>
      </w:r>
    </w:p>
    <w:p w14:paraId="73E792F5">
      <w:pPr>
        <w:widowControl w:val="0"/>
        <w:tabs>
          <w:tab w:val="left" w:pos="1620"/>
          <w:tab w:val="left" w:pos="2340"/>
        </w:tabs>
        <w:spacing w:after="156"/>
        <w:ind w:left="899"/>
        <w:rPr>
          <w:rFonts w:cs="Times New Roman"/>
          <w:sz w:val="21"/>
        </w:rPr>
      </w:pPr>
      <w:r>
        <w:rPr>
          <w:rFonts w:hint="eastAsia" w:cs="Times New Roman"/>
          <w:sz w:val="21"/>
        </w:rPr>
        <w:t>除</w:t>
      </w:r>
      <w:r>
        <w:rPr>
          <w:rFonts w:hint="eastAsia" w:cs="Times New Roman"/>
          <w:b/>
          <w:i/>
          <w:sz w:val="21"/>
        </w:rPr>
        <w:t>专用条款</w:t>
      </w:r>
      <w:r>
        <w:rPr>
          <w:rFonts w:hint="eastAsia" w:cs="Times New Roman"/>
          <w:sz w:val="21"/>
        </w:rPr>
        <w:t>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ECD8EBA">
      <w:pPr>
        <w:widowControl w:val="0"/>
        <w:tabs>
          <w:tab w:val="left" w:pos="1620"/>
          <w:tab w:val="left" w:pos="2340"/>
        </w:tabs>
        <w:spacing w:after="156"/>
        <w:ind w:left="899"/>
        <w:rPr>
          <w:rFonts w:cs="Times New Roman"/>
          <w:sz w:val="21"/>
        </w:rPr>
      </w:pPr>
      <w:r>
        <w:rPr>
          <w:rFonts w:hint="eastAsia" w:cs="Times New Roman"/>
          <w:sz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A7DACCD">
      <w:pPr>
        <w:widowControl w:val="0"/>
        <w:tabs>
          <w:tab w:val="left" w:pos="1620"/>
          <w:tab w:val="left" w:pos="2340"/>
        </w:tabs>
        <w:spacing w:after="156"/>
        <w:ind w:left="899"/>
        <w:rPr>
          <w:rFonts w:cs="Times New Roman"/>
          <w:sz w:val="21"/>
        </w:rPr>
      </w:pPr>
      <w:r>
        <w:rPr>
          <w:rFonts w:hint="eastAsia" w:cs="Times New Roman"/>
          <w:sz w:val="21"/>
        </w:rPr>
        <w:t>⑵场外交通</w:t>
      </w:r>
    </w:p>
    <w:p w14:paraId="6317CE1D">
      <w:pPr>
        <w:widowControl w:val="0"/>
        <w:tabs>
          <w:tab w:val="left" w:pos="1620"/>
          <w:tab w:val="left" w:pos="2340"/>
        </w:tabs>
        <w:spacing w:after="156"/>
        <w:ind w:left="899"/>
        <w:rPr>
          <w:rFonts w:cs="Times New Roman"/>
          <w:sz w:val="21"/>
        </w:rPr>
      </w:pPr>
      <w:r>
        <w:rPr>
          <w:rFonts w:hint="eastAsia" w:cs="Times New Roman"/>
          <w:sz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FE0E34">
      <w:pPr>
        <w:widowControl w:val="0"/>
        <w:tabs>
          <w:tab w:val="left" w:pos="1620"/>
          <w:tab w:val="left" w:pos="2340"/>
        </w:tabs>
        <w:spacing w:after="156"/>
        <w:ind w:left="899"/>
        <w:rPr>
          <w:rFonts w:cs="Times New Roman"/>
          <w:sz w:val="21"/>
        </w:rPr>
      </w:pPr>
      <w:r>
        <w:rPr>
          <w:rFonts w:hint="eastAsia" w:cs="Times New Roman"/>
          <w:sz w:val="21"/>
        </w:rPr>
        <w:t>余泥渣土运输车辆要求详见第18条〔余泥渣土运输车辆要求〕。</w:t>
      </w:r>
    </w:p>
    <w:p w14:paraId="78C261C5">
      <w:pPr>
        <w:widowControl w:val="0"/>
        <w:tabs>
          <w:tab w:val="left" w:pos="1620"/>
          <w:tab w:val="left" w:pos="2340"/>
        </w:tabs>
        <w:spacing w:after="156"/>
        <w:ind w:left="899"/>
        <w:rPr>
          <w:rFonts w:cs="Times New Roman"/>
          <w:sz w:val="21"/>
        </w:rPr>
      </w:pPr>
      <w:r>
        <w:rPr>
          <w:rFonts w:hint="eastAsia" w:cs="Times New Roman"/>
          <w:sz w:val="21"/>
        </w:rPr>
        <w:t>⑶场内交通</w:t>
      </w:r>
    </w:p>
    <w:p w14:paraId="5248E43F">
      <w:pPr>
        <w:widowControl w:val="0"/>
        <w:tabs>
          <w:tab w:val="left" w:pos="1620"/>
          <w:tab w:val="left" w:pos="2340"/>
        </w:tabs>
        <w:spacing w:after="156"/>
        <w:ind w:left="899"/>
        <w:rPr>
          <w:rFonts w:cs="Times New Roman"/>
          <w:sz w:val="21"/>
        </w:rPr>
      </w:pPr>
      <w:r>
        <w:rPr>
          <w:rFonts w:cs="Times New Roman"/>
          <w:sz w:val="21"/>
        </w:rPr>
        <w:t>发包人应提供场内交通设施的技术参数和具体条件，并应按照</w:t>
      </w:r>
      <w:r>
        <w:rPr>
          <w:rFonts w:cs="Times New Roman"/>
          <w:b/>
          <w:i/>
          <w:sz w:val="21"/>
        </w:rPr>
        <w:t>专用条款</w:t>
      </w:r>
      <w:r>
        <w:rPr>
          <w:rFonts w:cs="Times New Roman"/>
          <w:sz w:val="21"/>
        </w:rPr>
        <w:t>的约定向承包人免费提供满足工程施工所需的场内道路和交通设施。因承包人原因造成上述道路或交通设施损坏的，承包人负责修复并承担由此增加的费用。</w:t>
      </w:r>
    </w:p>
    <w:p w14:paraId="26FBCF65">
      <w:pPr>
        <w:widowControl w:val="0"/>
        <w:tabs>
          <w:tab w:val="left" w:pos="1620"/>
          <w:tab w:val="left" w:pos="2340"/>
        </w:tabs>
        <w:spacing w:after="156"/>
        <w:ind w:left="899"/>
        <w:rPr>
          <w:rFonts w:cs="Times New Roman"/>
          <w:sz w:val="21"/>
        </w:rPr>
      </w:pPr>
      <w:r>
        <w:rPr>
          <w:rFonts w:hint="eastAsia" w:cs="Times New Roman"/>
          <w:sz w:val="21"/>
        </w:rPr>
        <w:t>除</w:t>
      </w:r>
      <w:r>
        <w:rPr>
          <w:rFonts w:hint="eastAsia" w:cs="Times New Roman"/>
          <w:b/>
          <w:i/>
          <w:sz w:val="21"/>
        </w:rPr>
        <w:t>专用条款</w:t>
      </w:r>
      <w:r>
        <w:rPr>
          <w:rFonts w:hint="eastAsia" w:cs="Times New Roman"/>
          <w:sz w:val="21"/>
        </w:rPr>
        <w:t>另有约定外，为保证正常的公共交通秩序而修建的社会便道或便桥及交通疏解费用由发包人承担。</w:t>
      </w:r>
    </w:p>
    <w:p w14:paraId="6993678F">
      <w:pPr>
        <w:widowControl w:val="0"/>
        <w:tabs>
          <w:tab w:val="left" w:pos="1620"/>
          <w:tab w:val="left" w:pos="2340"/>
        </w:tabs>
        <w:spacing w:after="156"/>
        <w:ind w:left="899"/>
        <w:rPr>
          <w:rFonts w:cs="Times New Roman"/>
          <w:sz w:val="21"/>
        </w:rPr>
      </w:pPr>
      <w:r>
        <w:rPr>
          <w:rFonts w:cs="Times New Roman"/>
          <w:sz w:val="21"/>
        </w:rPr>
        <w:t>除发包人按照合同约定提供的场内道路和交通设施外，承包人负责修建、维修、养护和管理施工所需的其他场内临时道路和交通设施。</w:t>
      </w:r>
    </w:p>
    <w:p w14:paraId="1EB3B0EB">
      <w:pPr>
        <w:widowControl w:val="0"/>
        <w:tabs>
          <w:tab w:val="left" w:pos="1620"/>
          <w:tab w:val="left" w:pos="2340"/>
        </w:tabs>
        <w:spacing w:after="156"/>
        <w:ind w:left="899"/>
        <w:rPr>
          <w:rFonts w:cs="Times New Roman"/>
          <w:sz w:val="21"/>
        </w:rPr>
      </w:pPr>
      <w:r>
        <w:rPr>
          <w:rFonts w:hint="eastAsia" w:cs="Times New Roman"/>
          <w:sz w:val="21"/>
        </w:rPr>
        <w:t>⑷超大件和超重件的运输</w:t>
      </w:r>
    </w:p>
    <w:p w14:paraId="777787C9">
      <w:pPr>
        <w:widowControl w:val="0"/>
        <w:tabs>
          <w:tab w:val="left" w:pos="1620"/>
          <w:tab w:val="left" w:pos="2340"/>
        </w:tabs>
        <w:spacing w:after="156"/>
        <w:ind w:left="899"/>
        <w:rPr>
          <w:rFonts w:cs="Times New Roman"/>
          <w:sz w:val="21"/>
        </w:rPr>
      </w:pPr>
      <w:r>
        <w:rPr>
          <w:rFonts w:cs="Times New Roman"/>
          <w:sz w:val="21"/>
        </w:rPr>
        <w:t>由承包人负责运输的超大件或超重件，应由承包人负责向交通管理部门办理申请手续，发包人给予协助。运输超大件或超重件所需的道路和桥梁临时加固改造费用和其他有关费用，由承包人承担，但</w:t>
      </w:r>
      <w:r>
        <w:rPr>
          <w:rFonts w:cs="Times New Roman"/>
          <w:b/>
          <w:i/>
          <w:sz w:val="21"/>
        </w:rPr>
        <w:t>专用条款</w:t>
      </w:r>
      <w:r>
        <w:rPr>
          <w:rFonts w:cs="Times New Roman"/>
          <w:sz w:val="21"/>
        </w:rPr>
        <w:t>另有约定除外</w:t>
      </w:r>
      <w:r>
        <w:rPr>
          <w:rFonts w:hint="eastAsia" w:cs="Times New Roman"/>
          <w:sz w:val="21"/>
        </w:rPr>
        <w:t>。</w:t>
      </w:r>
    </w:p>
    <w:p w14:paraId="725AB34D">
      <w:pPr>
        <w:widowControl w:val="0"/>
        <w:tabs>
          <w:tab w:val="left" w:pos="1620"/>
          <w:tab w:val="left" w:pos="2340"/>
        </w:tabs>
        <w:spacing w:after="156"/>
        <w:ind w:left="899"/>
        <w:rPr>
          <w:rFonts w:cs="Times New Roman"/>
          <w:sz w:val="21"/>
        </w:rPr>
      </w:pPr>
      <w:r>
        <w:rPr>
          <w:rFonts w:hint="eastAsia" w:cs="Times New Roman"/>
          <w:sz w:val="21"/>
        </w:rPr>
        <w:t>⑸道路和桥梁的损坏责任</w:t>
      </w:r>
    </w:p>
    <w:p w14:paraId="27340B4D">
      <w:pPr>
        <w:widowControl w:val="0"/>
        <w:tabs>
          <w:tab w:val="left" w:pos="1620"/>
          <w:tab w:val="left" w:pos="2340"/>
        </w:tabs>
        <w:spacing w:after="156"/>
        <w:ind w:left="899"/>
        <w:rPr>
          <w:rFonts w:cs="Times New Roman"/>
          <w:sz w:val="21"/>
        </w:rPr>
      </w:pPr>
      <w:r>
        <w:rPr>
          <w:rFonts w:hint="eastAsia" w:cs="Times New Roman"/>
          <w:sz w:val="21"/>
        </w:rPr>
        <w:t>因承包人运输造成施工场地内外公共道路和桥梁损坏的，由承包人承担修复损坏的全部费用和可能引起的赔偿。</w:t>
      </w:r>
    </w:p>
    <w:p w14:paraId="57DEB4C3">
      <w:pPr>
        <w:widowControl w:val="0"/>
        <w:tabs>
          <w:tab w:val="left" w:pos="1620"/>
          <w:tab w:val="left" w:pos="2340"/>
        </w:tabs>
        <w:spacing w:after="156"/>
        <w:ind w:left="899"/>
        <w:rPr>
          <w:rFonts w:cs="Times New Roman"/>
          <w:sz w:val="21"/>
        </w:rPr>
      </w:pPr>
      <w:r>
        <w:rPr>
          <w:rFonts w:hint="eastAsia" w:cs="Times New Roman"/>
          <w:sz w:val="21"/>
        </w:rPr>
        <w:t>⑹水路和航空运输</w:t>
      </w:r>
    </w:p>
    <w:p w14:paraId="2E04D431">
      <w:pPr>
        <w:widowControl w:val="0"/>
        <w:tabs>
          <w:tab w:val="left" w:pos="1620"/>
          <w:tab w:val="left" w:pos="2340"/>
        </w:tabs>
        <w:spacing w:after="156"/>
        <w:ind w:left="899"/>
        <w:rPr>
          <w:rFonts w:cs="Times New Roman"/>
          <w:sz w:val="21"/>
        </w:rPr>
      </w:pPr>
      <w:r>
        <w:rPr>
          <w:rFonts w:cs="Times New Roman"/>
          <w:sz w:val="21"/>
        </w:rPr>
        <w:t>本款前述各项的内容适用于水路运输和航空运输，其中“道路”一词的涵义包括河道、航线、船闸、机场、码头、堤防以及水路或航空运输中其他相似结构物；“车辆”一词的涵义包括船舶和</w:t>
      </w:r>
      <w:r>
        <w:rPr>
          <w:rFonts w:hint="eastAsia" w:cs="Times New Roman"/>
          <w:sz w:val="21"/>
        </w:rPr>
        <w:t>飞机等。</w:t>
      </w:r>
    </w:p>
    <w:p w14:paraId="20BA64F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水土保持</w:t>
      </w:r>
    </w:p>
    <w:p w14:paraId="77DB1E78">
      <w:pPr>
        <w:widowControl w:val="0"/>
        <w:tabs>
          <w:tab w:val="left" w:pos="1620"/>
          <w:tab w:val="left" w:pos="2340"/>
        </w:tabs>
        <w:spacing w:after="156"/>
        <w:ind w:left="899"/>
        <w:rPr>
          <w:rFonts w:cs="Times New Roman"/>
          <w:sz w:val="21"/>
        </w:rPr>
      </w:pPr>
      <w:r>
        <w:rPr>
          <w:rFonts w:hint="eastAsia" w:cs="Times New Roman"/>
          <w:sz w:val="21"/>
        </w:rPr>
        <w:t>⑴发包人应及时向承包人提供本工程已通过市区水务行政主管部门审批（备案）的水土保持方案（报告书或报告表）及准予行政许可决定书。</w:t>
      </w:r>
    </w:p>
    <w:p w14:paraId="52CE07F1">
      <w:pPr>
        <w:widowControl w:val="0"/>
        <w:tabs>
          <w:tab w:val="left" w:pos="1620"/>
          <w:tab w:val="left" w:pos="2340"/>
        </w:tabs>
        <w:spacing w:after="156"/>
        <w:ind w:left="899"/>
        <w:rPr>
          <w:rFonts w:cs="Times New Roman"/>
          <w:sz w:val="21"/>
        </w:rPr>
      </w:pPr>
      <w:r>
        <w:rPr>
          <w:rFonts w:hint="eastAsia" w:cs="Times New Roman"/>
          <w:sz w:val="21"/>
        </w:rPr>
        <w:t>⑵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14:paraId="1053A8E7">
      <w:pPr>
        <w:widowControl w:val="0"/>
        <w:tabs>
          <w:tab w:val="left" w:pos="1620"/>
          <w:tab w:val="left" w:pos="2340"/>
        </w:tabs>
        <w:spacing w:after="156"/>
        <w:ind w:left="899"/>
        <w:rPr>
          <w:rFonts w:cs="Times New Roman"/>
          <w:sz w:val="21"/>
        </w:rPr>
      </w:pPr>
      <w:r>
        <w:rPr>
          <w:rFonts w:hint="eastAsia" w:cs="Times New Roman"/>
          <w:sz w:val="21"/>
        </w:rPr>
        <w:t>⑶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14:paraId="51EC8A40">
      <w:pPr>
        <w:widowControl w:val="0"/>
        <w:tabs>
          <w:tab w:val="left" w:pos="1620"/>
          <w:tab w:val="left" w:pos="2340"/>
        </w:tabs>
        <w:spacing w:after="156"/>
        <w:ind w:left="899"/>
        <w:rPr>
          <w:rFonts w:cs="Times New Roman"/>
          <w:kern w:val="2"/>
        </w:rPr>
      </w:pPr>
      <w:r>
        <w:rPr>
          <w:rFonts w:hint="eastAsia" w:cs="Times New Roman"/>
          <w:sz w:val="21"/>
        </w:rPr>
        <w:t>⑷承包人的施工组织设计应满足《生产建设项目水土保持技术标准》、《生产建设项目水土流失防治标准》、《深圳市生产建设项目水土保持技术规范》等技术标准和要求。</w:t>
      </w:r>
    </w:p>
    <w:p w14:paraId="22B78CE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BIM实施应用</w:t>
      </w:r>
    </w:p>
    <w:p w14:paraId="660FEE52">
      <w:pPr>
        <w:widowControl w:val="0"/>
        <w:tabs>
          <w:tab w:val="left" w:pos="1620"/>
          <w:tab w:val="left" w:pos="2340"/>
        </w:tabs>
        <w:spacing w:after="156"/>
        <w:ind w:left="899"/>
        <w:rPr>
          <w:rFonts w:cs="Times New Roman"/>
          <w:sz w:val="21"/>
        </w:rPr>
      </w:pPr>
      <w:r>
        <w:rPr>
          <w:rFonts w:hint="eastAsia" w:cs="Times New Roman"/>
          <w:sz w:val="21"/>
        </w:rPr>
        <w:t>⑴BIM实施范围</w:t>
      </w:r>
    </w:p>
    <w:p w14:paraId="46CFBA2A">
      <w:pPr>
        <w:widowControl w:val="0"/>
        <w:tabs>
          <w:tab w:val="left" w:pos="1620"/>
          <w:tab w:val="left" w:pos="2340"/>
        </w:tabs>
        <w:spacing w:after="156"/>
        <w:ind w:left="899"/>
        <w:rPr>
          <w:rFonts w:cs="Times New Roman"/>
          <w:sz w:val="21"/>
        </w:rPr>
      </w:pPr>
      <w:r>
        <w:rPr>
          <w:rFonts w:hint="eastAsia" w:cs="Times New Roman"/>
          <w:sz w:val="21"/>
        </w:rPr>
        <w:t>本工程需实施BIM技术应用的，BIM实施内容应包含“施工BIM实施准备”、“设计BIM成果接收”、“施工BIM应用内容和要求”、“施工BIM成果归档和移交”、“竣工数字化资产验收和运维移交”、“施工BIM考核评价”及</w:t>
      </w:r>
      <w:r>
        <w:rPr>
          <w:rFonts w:hint="eastAsia" w:cs="Times New Roman"/>
          <w:b/>
          <w:i/>
          <w:sz w:val="21"/>
        </w:rPr>
        <w:t>专用条款</w:t>
      </w:r>
      <w:r>
        <w:rPr>
          <w:rFonts w:hint="eastAsia" w:cs="Times New Roman"/>
          <w:sz w:val="21"/>
        </w:rPr>
        <w:t>约定的内容。</w:t>
      </w:r>
    </w:p>
    <w:p w14:paraId="5CB0E227">
      <w:pPr>
        <w:widowControl w:val="0"/>
        <w:tabs>
          <w:tab w:val="left" w:pos="1620"/>
          <w:tab w:val="left" w:pos="2340"/>
        </w:tabs>
        <w:spacing w:after="156"/>
        <w:ind w:left="899"/>
        <w:rPr>
          <w:rFonts w:cs="Times New Roman"/>
          <w:sz w:val="21"/>
        </w:rPr>
      </w:pPr>
      <w:r>
        <w:rPr>
          <w:rFonts w:hint="eastAsia" w:cs="Times New Roman"/>
          <w:sz w:val="21"/>
        </w:rPr>
        <w:t>BIM实施应继承和延用设计阶段BIM成果，并考虑运维阶段的BIM技术应用需求。</w:t>
      </w:r>
    </w:p>
    <w:p w14:paraId="54A8D102">
      <w:pPr>
        <w:widowControl w:val="0"/>
        <w:tabs>
          <w:tab w:val="left" w:pos="1620"/>
          <w:tab w:val="left" w:pos="2340"/>
        </w:tabs>
        <w:spacing w:after="156"/>
        <w:ind w:left="899"/>
        <w:rPr>
          <w:rFonts w:cs="Times New Roman"/>
          <w:sz w:val="21"/>
        </w:rPr>
      </w:pPr>
      <w:r>
        <w:rPr>
          <w:rFonts w:hint="eastAsia" w:cs="Times New Roman"/>
          <w:sz w:val="21"/>
        </w:rPr>
        <w:t>⑵BIM实施内容和要求</w:t>
      </w:r>
    </w:p>
    <w:p w14:paraId="251AEFFD">
      <w:pPr>
        <w:widowControl w:val="0"/>
        <w:tabs>
          <w:tab w:val="left" w:pos="1620"/>
          <w:tab w:val="left" w:pos="2340"/>
        </w:tabs>
        <w:spacing w:after="156"/>
        <w:ind w:left="899"/>
        <w:rPr>
          <w:rFonts w:cs="Times New Roman"/>
          <w:sz w:val="21"/>
        </w:rPr>
      </w:pPr>
      <w:r>
        <w:rPr>
          <w:rFonts w:hint="eastAsia" w:cs="Times New Roman"/>
          <w:sz w:val="21"/>
        </w:rPr>
        <w:t>承包人应在BIM实施前编制《施工BIM实施方案》，经发包人确认后，作为承包人BIM实施以及发包人BIM审查验收的依据。</w:t>
      </w:r>
    </w:p>
    <w:p w14:paraId="6FD16685">
      <w:pPr>
        <w:widowControl w:val="0"/>
        <w:tabs>
          <w:tab w:val="left" w:pos="1620"/>
          <w:tab w:val="left" w:pos="2340"/>
        </w:tabs>
        <w:spacing w:after="156"/>
        <w:ind w:left="899"/>
        <w:rPr>
          <w:rFonts w:cs="Times New Roman"/>
          <w:sz w:val="21"/>
        </w:rPr>
      </w:pPr>
      <w:r>
        <w:rPr>
          <w:rFonts w:hint="eastAsia" w:cs="Times New Roman"/>
          <w:sz w:val="21"/>
        </w:rPr>
        <w:t>本工程BIM模型的创建和管理应分为深化设计、施工过程和竣工验收3个阶段，承包人应用BIM技术进行深化设计、施工过程可视化模拟、施工方案优化、施工进度和成本的管控等。各阶段的BIM技术和管理应用应满足</w:t>
      </w:r>
      <w:r>
        <w:rPr>
          <w:rFonts w:hint="eastAsia" w:cs="Times New Roman"/>
          <w:b/>
          <w:i/>
          <w:sz w:val="21"/>
        </w:rPr>
        <w:t>专用条款</w:t>
      </w:r>
      <w:r>
        <w:rPr>
          <w:rFonts w:hint="eastAsia" w:cs="Times New Roman"/>
          <w:sz w:val="21"/>
        </w:rPr>
        <w:t>中约定的要求。</w:t>
      </w:r>
    </w:p>
    <w:p w14:paraId="57055E3D">
      <w:pPr>
        <w:widowControl w:val="0"/>
        <w:tabs>
          <w:tab w:val="left" w:pos="1620"/>
          <w:tab w:val="left" w:pos="2340"/>
        </w:tabs>
        <w:spacing w:after="156"/>
        <w:ind w:left="899"/>
        <w:rPr>
          <w:rFonts w:cs="Times New Roman"/>
          <w:sz w:val="21"/>
        </w:rPr>
      </w:pPr>
      <w:r>
        <w:rPr>
          <w:rFonts w:hint="eastAsia" w:cs="Times New Roman"/>
          <w:sz w:val="21"/>
        </w:rPr>
        <w:t>承包人创建的BIM模型应保证信息要素全面完备，模型精细度应符合</w:t>
      </w:r>
      <w:r>
        <w:rPr>
          <w:rFonts w:hint="eastAsia" w:cs="Times New Roman"/>
          <w:b/>
          <w:i/>
          <w:sz w:val="21"/>
        </w:rPr>
        <w:t>专用条款</w:t>
      </w:r>
      <w:r>
        <w:rPr>
          <w:rFonts w:hint="eastAsia" w:cs="Times New Roman"/>
          <w:sz w:val="21"/>
        </w:rPr>
        <w:t>中的标准要求。</w:t>
      </w:r>
    </w:p>
    <w:p w14:paraId="33CD8F5A">
      <w:pPr>
        <w:widowControl w:val="0"/>
        <w:tabs>
          <w:tab w:val="left" w:pos="1620"/>
          <w:tab w:val="left" w:pos="2340"/>
        </w:tabs>
        <w:spacing w:after="156"/>
        <w:ind w:left="899"/>
        <w:rPr>
          <w:rFonts w:cs="Times New Roman"/>
          <w:sz w:val="21"/>
        </w:rPr>
      </w:pPr>
      <w:r>
        <w:rPr>
          <w:rFonts w:hint="eastAsia" w:cs="Times New Roman"/>
          <w:sz w:val="21"/>
        </w:rPr>
        <w:t>发包人应在办理规划许可、施工许可、竣工验收审批报建环节提交BIM模型。</w:t>
      </w:r>
    </w:p>
    <w:p w14:paraId="3B232177">
      <w:pPr>
        <w:widowControl w:val="0"/>
        <w:tabs>
          <w:tab w:val="left" w:pos="1620"/>
          <w:tab w:val="left" w:pos="2340"/>
        </w:tabs>
        <w:spacing w:after="156"/>
        <w:ind w:left="899"/>
        <w:rPr>
          <w:rFonts w:cs="Times New Roman"/>
          <w:sz w:val="21"/>
        </w:rPr>
      </w:pPr>
      <w:r>
        <w:rPr>
          <w:rFonts w:hint="eastAsia" w:cs="Times New Roman"/>
          <w:sz w:val="21"/>
        </w:rPr>
        <w:t>⑶BIM成果的归档和移交</w:t>
      </w:r>
    </w:p>
    <w:p w14:paraId="36040B2C">
      <w:pPr>
        <w:widowControl w:val="0"/>
        <w:tabs>
          <w:tab w:val="left" w:pos="1620"/>
          <w:tab w:val="left" w:pos="2340"/>
        </w:tabs>
        <w:spacing w:after="156"/>
        <w:ind w:left="899"/>
        <w:rPr>
          <w:rFonts w:cs="Times New Roman"/>
          <w:sz w:val="21"/>
        </w:rPr>
      </w:pPr>
      <w:r>
        <w:rPr>
          <w:rFonts w:hint="eastAsia" w:cs="Times New Roman"/>
          <w:sz w:val="21"/>
        </w:rPr>
        <w:t>发包人应在工程竣工后，组织对本工程BIM实施成果进行归档和移交。</w:t>
      </w:r>
    </w:p>
    <w:p w14:paraId="5F601A81">
      <w:pPr>
        <w:widowControl w:val="0"/>
        <w:tabs>
          <w:tab w:val="left" w:pos="1620"/>
          <w:tab w:val="left" w:pos="2340"/>
        </w:tabs>
        <w:spacing w:after="156"/>
        <w:ind w:left="899"/>
        <w:rPr>
          <w:rFonts w:cs="Times New Roman"/>
          <w:sz w:val="21"/>
        </w:rPr>
      </w:pPr>
      <w:r>
        <w:rPr>
          <w:rFonts w:hint="eastAsia" w:cs="Times New Roman"/>
          <w:sz w:val="21"/>
        </w:rPr>
        <w:t>本工程BIM成果包括BIM模型和与之对应的图纸、文档、统计表格，以及综合协调、模拟分析、统计计算等形成的数字化成果文件。BIM模型必须与竣工图纸一致。</w:t>
      </w:r>
    </w:p>
    <w:p w14:paraId="5D91BB1E">
      <w:pPr>
        <w:widowControl w:val="0"/>
        <w:tabs>
          <w:tab w:val="left" w:pos="1620"/>
          <w:tab w:val="left" w:pos="2340"/>
        </w:tabs>
        <w:spacing w:after="156"/>
        <w:ind w:left="899"/>
        <w:rPr>
          <w:rFonts w:cs="Times New Roman"/>
          <w:sz w:val="21"/>
        </w:rPr>
      </w:pPr>
      <w:r>
        <w:rPr>
          <w:rFonts w:hint="eastAsia" w:cs="Times New Roman"/>
          <w:sz w:val="21"/>
        </w:rPr>
        <w:t>承包人应按</w:t>
      </w:r>
      <w:r>
        <w:rPr>
          <w:rFonts w:hint="eastAsia" w:cs="Times New Roman"/>
          <w:b/>
          <w:i/>
          <w:sz w:val="21"/>
        </w:rPr>
        <w:t>专用条款</w:t>
      </w:r>
      <w:r>
        <w:rPr>
          <w:rFonts w:hint="eastAsia" w:cs="Times New Roman"/>
          <w:sz w:val="21"/>
        </w:rPr>
        <w:t>约定的交付标准移交BIM成果。发包人审核后，按照政府有关部门的要求进行归档，并在工程交付使用时，应将BIM模型提交给运维单位。</w:t>
      </w:r>
    </w:p>
    <w:p w14:paraId="23EC19A3">
      <w:pPr>
        <w:widowControl w:val="0"/>
        <w:tabs>
          <w:tab w:val="left" w:pos="1620"/>
          <w:tab w:val="left" w:pos="2340"/>
        </w:tabs>
        <w:spacing w:after="156"/>
        <w:ind w:left="899"/>
        <w:rPr>
          <w:rFonts w:cs="Times New Roman"/>
          <w:sz w:val="21"/>
        </w:rPr>
      </w:pPr>
      <w:r>
        <w:rPr>
          <w:rFonts w:hint="eastAsia" w:cs="Times New Roman"/>
          <w:sz w:val="21"/>
        </w:rPr>
        <w:t>⑷BIM信息安全责任</w:t>
      </w:r>
    </w:p>
    <w:p w14:paraId="7D70F370">
      <w:pPr>
        <w:widowControl w:val="0"/>
        <w:tabs>
          <w:tab w:val="left" w:pos="1620"/>
          <w:tab w:val="left" w:pos="2340"/>
        </w:tabs>
        <w:spacing w:after="156"/>
        <w:ind w:left="899"/>
        <w:rPr>
          <w:rFonts w:cs="Times New Roman"/>
          <w:sz w:val="21"/>
        </w:rPr>
      </w:pPr>
      <w:r>
        <w:rPr>
          <w:rFonts w:hint="eastAsia" w:cs="Times New Roman"/>
          <w:sz w:val="21"/>
        </w:rPr>
        <w:t>发承包双方应按照《深圳经济特区数据条例》的有关规定，加强对BIM数据的安全管理，建立健全数据管理制度，及时排查BIM数据在存储、使用、加工、传递、交付过程中可能出现的信息安全隐患，做好安全防护和处理。</w:t>
      </w:r>
    </w:p>
    <w:p w14:paraId="15A06DF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知识产权</w:t>
      </w:r>
    </w:p>
    <w:p w14:paraId="4E50CDEF">
      <w:pPr>
        <w:widowControl w:val="0"/>
        <w:tabs>
          <w:tab w:val="left" w:pos="1620"/>
          <w:tab w:val="left" w:pos="2340"/>
        </w:tabs>
        <w:spacing w:after="156"/>
        <w:ind w:left="899"/>
        <w:rPr>
          <w:rFonts w:cs="Times New Roman"/>
          <w:sz w:val="21"/>
        </w:rPr>
      </w:pPr>
      <w:r>
        <w:rPr>
          <w:rFonts w:hint="eastAsia" w:cs="Times New Roman"/>
          <w:sz w:val="21"/>
        </w:rPr>
        <w:t>⑴除</w:t>
      </w:r>
      <w:r>
        <w:rPr>
          <w:rFonts w:cs="Times New Roman"/>
          <w:b/>
          <w:i/>
          <w:sz w:val="21"/>
        </w:rPr>
        <w:t>专用条款</w:t>
      </w:r>
      <w:r>
        <w:rPr>
          <w:rFonts w:hint="eastAsia" w:cs="Times New Roman"/>
          <w:sz w:val="21"/>
        </w:rPr>
        <w:t>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2F988F8">
      <w:pPr>
        <w:widowControl w:val="0"/>
        <w:tabs>
          <w:tab w:val="left" w:pos="1620"/>
          <w:tab w:val="left" w:pos="2340"/>
        </w:tabs>
        <w:spacing w:after="156"/>
        <w:ind w:left="899"/>
        <w:rPr>
          <w:rFonts w:cs="Times New Roman"/>
          <w:sz w:val="21"/>
        </w:rPr>
      </w:pPr>
      <w:r>
        <w:rPr>
          <w:rFonts w:hint="eastAsia" w:cs="Times New Roman"/>
          <w:sz w:val="21"/>
        </w:rPr>
        <w:t>⑵除</w:t>
      </w:r>
      <w:r>
        <w:rPr>
          <w:rFonts w:cs="Times New Roman"/>
          <w:b/>
          <w:i/>
          <w:sz w:val="21"/>
        </w:rPr>
        <w:t>专用条款</w:t>
      </w:r>
      <w:r>
        <w:rPr>
          <w:rFonts w:hint="eastAsia" w:cs="Times New Roman"/>
          <w:sz w:val="21"/>
        </w:rPr>
        <w:t>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D71655B">
      <w:pPr>
        <w:widowControl w:val="0"/>
        <w:tabs>
          <w:tab w:val="left" w:pos="1620"/>
          <w:tab w:val="left" w:pos="2340"/>
        </w:tabs>
        <w:spacing w:after="156"/>
        <w:ind w:left="899"/>
        <w:rPr>
          <w:rFonts w:cs="Times New Roman"/>
          <w:sz w:val="21"/>
        </w:rPr>
      </w:pPr>
      <w:r>
        <w:rPr>
          <w:rFonts w:hint="eastAsia" w:cs="Times New Roman"/>
          <w:sz w:val="21"/>
        </w:rPr>
        <w:t>⑶承发包双方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56E3660">
      <w:pPr>
        <w:widowControl w:val="0"/>
        <w:tabs>
          <w:tab w:val="left" w:pos="1620"/>
          <w:tab w:val="left" w:pos="2340"/>
        </w:tabs>
        <w:spacing w:after="156"/>
        <w:ind w:left="899"/>
        <w:rPr>
          <w:rFonts w:cs="Times New Roman"/>
          <w:sz w:val="21"/>
        </w:rPr>
      </w:pPr>
      <w:r>
        <w:rPr>
          <w:rFonts w:hint="eastAsia" w:cs="Times New Roman"/>
          <w:sz w:val="21"/>
        </w:rPr>
        <w:t>⑷除</w:t>
      </w:r>
      <w:r>
        <w:rPr>
          <w:rFonts w:cs="Times New Roman"/>
          <w:b/>
          <w:i/>
          <w:sz w:val="21"/>
        </w:rPr>
        <w:t>专用条款</w:t>
      </w:r>
      <w:r>
        <w:rPr>
          <w:rFonts w:hint="eastAsia" w:cs="Times New Roman"/>
          <w:sz w:val="21"/>
        </w:rPr>
        <w:t>另有约定外，承包人在合同签订前和签订时已确定采用的专利、专有技术、技术秘密的使用费已包含在签约合同价中。</w:t>
      </w:r>
    </w:p>
    <w:p w14:paraId="78FD021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保密</w:t>
      </w:r>
    </w:p>
    <w:p w14:paraId="59324647">
      <w:pPr>
        <w:widowControl w:val="0"/>
        <w:tabs>
          <w:tab w:val="left" w:pos="1620"/>
          <w:tab w:val="left" w:pos="2340"/>
        </w:tabs>
        <w:spacing w:after="156"/>
        <w:ind w:left="899"/>
        <w:rPr>
          <w:rFonts w:cs="Times New Roman"/>
          <w:sz w:val="21"/>
        </w:rPr>
      </w:pPr>
      <w:r>
        <w:rPr>
          <w:rFonts w:cs="Times New Roman"/>
          <w:sz w:val="21"/>
        </w:rPr>
        <w:t>除法律规定或合同另有约定外，未经发包人同意，承包人不得将发包人提供的图纸、文件以及声明需要保密的资料信息等商业秘密泄露给第三方。</w:t>
      </w:r>
    </w:p>
    <w:p w14:paraId="40A5B138">
      <w:pPr>
        <w:widowControl w:val="0"/>
        <w:tabs>
          <w:tab w:val="left" w:pos="1620"/>
          <w:tab w:val="left" w:pos="2340"/>
        </w:tabs>
        <w:spacing w:after="156"/>
        <w:ind w:left="899"/>
        <w:rPr>
          <w:rFonts w:cs="Times New Roman"/>
          <w:sz w:val="21"/>
        </w:rPr>
      </w:pPr>
      <w:r>
        <w:rPr>
          <w:rFonts w:cs="Times New Roman"/>
          <w:sz w:val="21"/>
        </w:rPr>
        <w:t>除法律规定或合同另有约定外，未经承包人同意，发包人不得将承包人提供的技术秘密及声明需要保密的资料信息等商业秘密泄露给第三方。</w:t>
      </w:r>
    </w:p>
    <w:p w14:paraId="4F6277B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化石、文物的保护</w:t>
      </w:r>
    </w:p>
    <w:p w14:paraId="6E467D15">
      <w:pPr>
        <w:widowControl w:val="0"/>
        <w:tabs>
          <w:tab w:val="left" w:pos="1620"/>
          <w:tab w:val="left" w:pos="2340"/>
        </w:tabs>
        <w:spacing w:after="156"/>
        <w:ind w:left="899"/>
        <w:rPr>
          <w:rFonts w:cs="Times New Roman"/>
          <w:sz w:val="21"/>
        </w:rPr>
      </w:pPr>
      <w:r>
        <w:rPr>
          <w:rFonts w:hint="eastAsia" w:cs="Times New Roman"/>
          <w:sz w:val="21"/>
        </w:rPr>
        <w:t>在现场发现的所有化石、文物，以及有地质或考古意义的结构物和其他遗迹或物品时，承包人应立即保护好现场并于4小时内通知</w:t>
      </w:r>
      <w:r>
        <w:rPr>
          <w:rFonts w:cs="Times New Roman"/>
          <w:sz w:val="21"/>
        </w:rPr>
        <w:t>监理人</w:t>
      </w:r>
      <w:r>
        <w:rPr>
          <w:rFonts w:hint="eastAsia" w:cs="Times New Roman"/>
          <w:sz w:val="21"/>
        </w:rPr>
        <w:t>，</w:t>
      </w:r>
      <w:r>
        <w:rPr>
          <w:rFonts w:cs="Times New Roman"/>
          <w:sz w:val="21"/>
        </w:rPr>
        <w:t>监理人</w:t>
      </w:r>
      <w:r>
        <w:rPr>
          <w:rFonts w:hint="eastAsia" w:cs="Times New Roman"/>
          <w:sz w:val="21"/>
        </w:rPr>
        <w:t>应于收到通知后24小时内报告当地文物管理部门，发包人和承包人应按文物管理部门的要求采取妥善保护措施。发包人承担由此发生的费用，顺延延误的工期。如发现后隐瞒不报或报告不及时，致使上述化石、文物遭受破坏，责任人依法承担相应责任。</w:t>
      </w:r>
    </w:p>
    <w:p w14:paraId="05360022">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发包人</w:t>
      </w:r>
    </w:p>
    <w:p w14:paraId="4308ECFB">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发包人代表</w:t>
      </w:r>
    </w:p>
    <w:p w14:paraId="0BC5EC57">
      <w:pPr>
        <w:widowControl w:val="0"/>
        <w:tabs>
          <w:tab w:val="left" w:pos="1620"/>
          <w:tab w:val="left" w:pos="2340"/>
        </w:tabs>
        <w:spacing w:after="156"/>
        <w:ind w:left="899"/>
        <w:rPr>
          <w:rFonts w:cs="Times New Roman"/>
          <w:sz w:val="21"/>
        </w:rPr>
      </w:pPr>
      <w:r>
        <w:rPr>
          <w:rFonts w:hint="eastAsia" w:cs="Times New Roman"/>
          <w:sz w:val="21"/>
        </w:rPr>
        <w:t>发包人应任命发包人代表，发包人代表的姓名在</w:t>
      </w:r>
      <w:r>
        <w:rPr>
          <w:rFonts w:hint="eastAsia" w:cs="Times New Roman"/>
          <w:b/>
          <w:i/>
          <w:sz w:val="21"/>
        </w:rPr>
        <w:t>专用条款</w:t>
      </w:r>
      <w:r>
        <w:rPr>
          <w:rFonts w:hint="eastAsia" w:cs="Times New Roman"/>
          <w:sz w:val="21"/>
        </w:rPr>
        <w:t>中明确。本合同中约定由发包人确认、批准、同意、审批等事项均应以发包人盖章或发包人代表签字为准。发包人如需更换发包人代表，应至少提前7天以书面形式通知</w:t>
      </w:r>
      <w:r>
        <w:rPr>
          <w:rFonts w:cs="Times New Roman"/>
          <w:sz w:val="21"/>
        </w:rPr>
        <w:t>监理人</w:t>
      </w:r>
      <w:r>
        <w:rPr>
          <w:rFonts w:hint="eastAsia" w:cs="Times New Roman"/>
          <w:sz w:val="21"/>
        </w:rPr>
        <w:t>和承包人。</w:t>
      </w:r>
    </w:p>
    <w:p w14:paraId="2ECD5688">
      <w:pPr>
        <w:widowControl w:val="0"/>
        <w:tabs>
          <w:tab w:val="left" w:pos="1620"/>
          <w:tab w:val="left" w:pos="2340"/>
        </w:tabs>
        <w:spacing w:after="156"/>
        <w:ind w:left="899"/>
        <w:rPr>
          <w:rFonts w:cs="Times New Roman"/>
          <w:sz w:val="21"/>
        </w:rPr>
      </w:pPr>
      <w:r>
        <w:rPr>
          <w:rFonts w:hint="eastAsia" w:cs="Times New Roman"/>
          <w:sz w:val="21"/>
        </w:rPr>
        <w:t>发包人代表不能按照合同约定履行其职责及义务，并导致合同无法继续正常履行的，承包人可以要求发包人撤换发包人代表。</w:t>
      </w:r>
    </w:p>
    <w:p w14:paraId="32F10BC1">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发包人的义务</w:t>
      </w:r>
    </w:p>
    <w:p w14:paraId="07C97830">
      <w:pPr>
        <w:widowControl w:val="0"/>
        <w:tabs>
          <w:tab w:val="left" w:pos="1620"/>
          <w:tab w:val="left" w:pos="2340"/>
        </w:tabs>
        <w:spacing w:after="156"/>
        <w:ind w:left="899"/>
        <w:rPr>
          <w:rFonts w:cs="Times New Roman"/>
          <w:sz w:val="21"/>
        </w:rPr>
      </w:pPr>
      <w:r>
        <w:rPr>
          <w:rFonts w:hint="eastAsia" w:cs="Times New Roman"/>
          <w:sz w:val="21"/>
        </w:rPr>
        <w:t>发包人应履行本合同所约定的全部义务。发包人应按本合同约定的期限和方式向承包人支付合同价款及其它应支付的款项，办理法律规定由其办理的许可、批准或备案，按合同约定向承包人提供基础资料和施工条件，并按合同约定及时组织竣工验收。</w:t>
      </w:r>
    </w:p>
    <w:p w14:paraId="648E24FD">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发包人人员</w:t>
      </w:r>
    </w:p>
    <w:p w14:paraId="32820122">
      <w:pPr>
        <w:widowControl w:val="0"/>
        <w:tabs>
          <w:tab w:val="left" w:pos="1620"/>
          <w:tab w:val="left" w:pos="2340"/>
        </w:tabs>
        <w:spacing w:after="156"/>
        <w:ind w:left="899"/>
        <w:rPr>
          <w:rFonts w:cs="Times New Roman"/>
          <w:sz w:val="21"/>
        </w:rPr>
      </w:pPr>
      <w:r>
        <w:rPr>
          <w:rFonts w:cs="Times New Roman"/>
          <w:sz w:val="21"/>
        </w:rPr>
        <w:t>发包人人员包括发包人代表及其他由发包人派驻施工现场的人员。</w:t>
      </w:r>
      <w:r>
        <w:rPr>
          <w:rFonts w:hint="eastAsia" w:cs="Times New Roman"/>
          <w:sz w:val="21"/>
        </w:rPr>
        <w:t>发包人应要求在施工现场的发包人人员配合承包人的工作并遵守关于工程安全、质量、环境保护与文明施工的规定，并保障承包人免于承受因发包人人员未遵守上述要求给承包人造成的损失和责任。</w:t>
      </w:r>
    </w:p>
    <w:p w14:paraId="0BE3B3F9">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发包人的工作</w:t>
      </w:r>
    </w:p>
    <w:p w14:paraId="7AA3C173">
      <w:pPr>
        <w:widowControl w:val="0"/>
        <w:tabs>
          <w:tab w:val="left" w:pos="1620"/>
          <w:tab w:val="left" w:pos="2340"/>
        </w:tabs>
        <w:ind w:left="899"/>
        <w:rPr>
          <w:rFonts w:cs="Times New Roman"/>
          <w:sz w:val="21"/>
        </w:rPr>
      </w:pPr>
      <w:r>
        <w:rPr>
          <w:rFonts w:hint="eastAsia" w:cs="Times New Roman"/>
          <w:sz w:val="21"/>
        </w:rPr>
        <w:t>⑴发包人应按照</w:t>
      </w:r>
      <w:r>
        <w:rPr>
          <w:rFonts w:hint="eastAsia" w:cs="Times New Roman"/>
          <w:b/>
          <w:i/>
          <w:sz w:val="21"/>
        </w:rPr>
        <w:t>专用条款</w:t>
      </w:r>
      <w:r>
        <w:rPr>
          <w:rFonts w:hint="eastAsia" w:cs="Times New Roman"/>
          <w:sz w:val="21"/>
        </w:rPr>
        <w:t>的约定在本工程开工前完成以下工作，并承担相关费用：</w:t>
      </w:r>
    </w:p>
    <w:p w14:paraId="2CAE7459">
      <w:pPr>
        <w:widowControl w:val="0"/>
        <w:tabs>
          <w:tab w:val="left" w:pos="1620"/>
          <w:tab w:val="left" w:pos="2340"/>
        </w:tabs>
        <w:ind w:left="1079"/>
        <w:rPr>
          <w:rFonts w:cs="Times New Roman"/>
          <w:sz w:val="21"/>
        </w:rPr>
      </w:pPr>
      <w:r>
        <w:rPr>
          <w:rFonts w:hint="eastAsia" w:cs="Times New Roman"/>
          <w:sz w:val="21"/>
        </w:rPr>
        <w:t>①办理土地征用、搬迁补偿、平整施工场地等工作，使施工场地具备施工条件，并在开工后继续负责解决上述工作遗留的问题；</w:t>
      </w:r>
    </w:p>
    <w:p w14:paraId="2E720209">
      <w:pPr>
        <w:widowControl w:val="0"/>
        <w:tabs>
          <w:tab w:val="left" w:pos="1620"/>
          <w:tab w:val="left" w:pos="2340"/>
        </w:tabs>
        <w:ind w:left="1079"/>
        <w:rPr>
          <w:rFonts w:cs="Times New Roman"/>
          <w:sz w:val="21"/>
        </w:rPr>
      </w:pPr>
      <w:r>
        <w:rPr>
          <w:rFonts w:hint="eastAsia" w:cs="Times New Roman"/>
          <w:sz w:val="21"/>
        </w:rPr>
        <w:t>②根据</w:t>
      </w:r>
      <w:r>
        <w:rPr>
          <w:rFonts w:hint="eastAsia" w:cs="Times New Roman"/>
          <w:b/>
          <w:i/>
          <w:sz w:val="21"/>
        </w:rPr>
        <w:t>专用条款</w:t>
      </w:r>
      <w:r>
        <w:rPr>
          <w:rFonts w:hint="eastAsia" w:cs="Times New Roman"/>
          <w:sz w:val="21"/>
        </w:rPr>
        <w:t>约定的接驳地点，将施工所需水、电、通讯线路从施工场地外部接驳到施工场地内，保证施工期间的需要；</w:t>
      </w:r>
    </w:p>
    <w:p w14:paraId="6625B8CC">
      <w:pPr>
        <w:widowControl w:val="0"/>
        <w:tabs>
          <w:tab w:val="left" w:pos="1620"/>
          <w:tab w:val="left" w:pos="2340"/>
        </w:tabs>
        <w:ind w:left="1079"/>
        <w:rPr>
          <w:rFonts w:cs="Times New Roman"/>
          <w:sz w:val="21"/>
        </w:rPr>
      </w:pPr>
      <w:r>
        <w:rPr>
          <w:rFonts w:hint="eastAsia" w:cs="Times New Roman"/>
          <w:sz w:val="21"/>
        </w:rPr>
        <w:t>③开通施工场地与城乡公共道路间的通道，满足施工运输的需要；</w:t>
      </w:r>
    </w:p>
    <w:p w14:paraId="7146B06B">
      <w:pPr>
        <w:widowControl w:val="0"/>
        <w:tabs>
          <w:tab w:val="left" w:pos="1620"/>
          <w:tab w:val="left" w:pos="2340"/>
        </w:tabs>
        <w:ind w:left="1079"/>
        <w:rPr>
          <w:rFonts w:cs="Times New Roman"/>
          <w:sz w:val="21"/>
        </w:rPr>
      </w:pPr>
      <w:r>
        <w:rPr>
          <w:rFonts w:hint="eastAsia" w:cs="Times New Roman"/>
          <w:sz w:val="21"/>
        </w:rPr>
        <w:t>④向承包人提供施工场地的工程地质和地下管线资料，对资料的真实性、准确性负责；</w:t>
      </w:r>
    </w:p>
    <w:p w14:paraId="251FFD01">
      <w:pPr>
        <w:widowControl w:val="0"/>
        <w:tabs>
          <w:tab w:val="left" w:pos="1620"/>
          <w:tab w:val="left" w:pos="2340"/>
        </w:tabs>
        <w:ind w:left="1079"/>
        <w:rPr>
          <w:rFonts w:cs="Times New Roman"/>
          <w:sz w:val="21"/>
        </w:rPr>
      </w:pPr>
      <w:r>
        <w:rPr>
          <w:rFonts w:hint="eastAsia" w:cs="Times New Roman"/>
          <w:sz w:val="21"/>
        </w:rPr>
        <w:t>⑤办理规划、施工许可证以及停水、停电、中断道路交通、爆破作业等的批件；</w:t>
      </w:r>
    </w:p>
    <w:p w14:paraId="40C565F7">
      <w:pPr>
        <w:widowControl w:val="0"/>
        <w:tabs>
          <w:tab w:val="left" w:pos="1620"/>
          <w:tab w:val="left" w:pos="2340"/>
        </w:tabs>
        <w:ind w:left="1079"/>
        <w:rPr>
          <w:rFonts w:cs="Times New Roman"/>
          <w:sz w:val="21"/>
        </w:rPr>
      </w:pPr>
      <w:r>
        <w:rPr>
          <w:rFonts w:hint="eastAsia" w:cs="Times New Roman"/>
          <w:sz w:val="21"/>
        </w:rPr>
        <w:t>⑥确定水准点与坐标控制点，组织现场交验并移交给承包人；</w:t>
      </w:r>
    </w:p>
    <w:p w14:paraId="42FB4663">
      <w:pPr>
        <w:widowControl w:val="0"/>
        <w:tabs>
          <w:tab w:val="left" w:pos="1620"/>
          <w:tab w:val="left" w:pos="2340"/>
        </w:tabs>
        <w:ind w:left="1079"/>
        <w:rPr>
          <w:rFonts w:cs="Times New Roman"/>
          <w:sz w:val="21"/>
        </w:rPr>
      </w:pPr>
      <w:r>
        <w:rPr>
          <w:rFonts w:hint="eastAsia" w:cs="Times New Roman"/>
          <w:sz w:val="21"/>
        </w:rPr>
        <w:t>⑦根据</w:t>
      </w:r>
      <w:r>
        <w:rPr>
          <w:rFonts w:hint="eastAsia" w:cs="Times New Roman"/>
          <w:b/>
          <w:i/>
          <w:sz w:val="21"/>
        </w:rPr>
        <w:t>专用条款</w:t>
      </w:r>
      <w:r>
        <w:rPr>
          <w:rFonts w:hint="eastAsia" w:cs="Times New Roman"/>
          <w:sz w:val="21"/>
        </w:rPr>
        <w:t>约定的时间，组织承包人和</w:t>
      </w:r>
      <w:r>
        <w:rPr>
          <w:rFonts w:cs="Times New Roman"/>
          <w:sz w:val="21"/>
        </w:rPr>
        <w:t>设计人</w:t>
      </w:r>
      <w:r>
        <w:rPr>
          <w:rFonts w:hint="eastAsia" w:cs="Times New Roman"/>
          <w:sz w:val="21"/>
        </w:rPr>
        <w:t>进行图纸会审和设计交底；</w:t>
      </w:r>
    </w:p>
    <w:p w14:paraId="66710B9C">
      <w:pPr>
        <w:widowControl w:val="0"/>
        <w:tabs>
          <w:tab w:val="left" w:pos="1620"/>
          <w:tab w:val="left" w:pos="2340"/>
        </w:tabs>
        <w:ind w:left="1079"/>
        <w:rPr>
          <w:rFonts w:cs="Times New Roman"/>
          <w:sz w:val="21"/>
        </w:rPr>
      </w:pPr>
      <w:r>
        <w:rPr>
          <w:rFonts w:hint="eastAsia" w:cs="Times New Roman"/>
          <w:sz w:val="21"/>
        </w:rPr>
        <w:t>⑧协调处理施工场地周围地下管线和邻近建筑物、构筑物(包括文物保护建筑)、古树名木等的保护工作；</w:t>
      </w:r>
    </w:p>
    <w:p w14:paraId="5897EADF">
      <w:pPr>
        <w:widowControl w:val="0"/>
        <w:tabs>
          <w:tab w:val="left" w:pos="1620"/>
          <w:tab w:val="left" w:pos="2340"/>
        </w:tabs>
        <w:ind w:left="1079"/>
        <w:rPr>
          <w:rFonts w:cs="Times New Roman"/>
          <w:sz w:val="21"/>
        </w:rPr>
      </w:pPr>
      <w:r>
        <w:rPr>
          <w:rFonts w:hint="eastAsia" w:cs="Times New Roman"/>
          <w:sz w:val="21"/>
        </w:rPr>
        <w:t>⑨在</w:t>
      </w:r>
      <w:r>
        <w:rPr>
          <w:rFonts w:hint="eastAsia" w:cs="Times New Roman"/>
          <w:b/>
          <w:i/>
          <w:sz w:val="21"/>
        </w:rPr>
        <w:t>专用条款</w:t>
      </w:r>
      <w:r>
        <w:rPr>
          <w:rFonts w:hint="eastAsia" w:cs="Times New Roman"/>
          <w:sz w:val="21"/>
        </w:rPr>
        <w:t>内约定发包人应做的其他工作。</w:t>
      </w:r>
    </w:p>
    <w:p w14:paraId="6C99C6E4">
      <w:pPr>
        <w:widowControl w:val="0"/>
        <w:tabs>
          <w:tab w:val="left" w:pos="1620"/>
          <w:tab w:val="left" w:pos="2340"/>
        </w:tabs>
        <w:spacing w:before="156"/>
        <w:ind w:left="899"/>
        <w:rPr>
          <w:rFonts w:cs="Times New Roman"/>
          <w:sz w:val="21"/>
        </w:rPr>
      </w:pPr>
      <w:r>
        <w:rPr>
          <w:rFonts w:hint="eastAsia" w:cs="Times New Roman"/>
          <w:sz w:val="21"/>
        </w:rPr>
        <w:t>⑵发包人未完成前款约定的各项工作，且未委托承包人办理，给承包人造成损失和(或)导致工期延误的，发包人应赔偿承包人损失和(或)顺延延误的工期。</w:t>
      </w:r>
    </w:p>
    <w:p w14:paraId="016229EC">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发包人委托</w:t>
      </w:r>
    </w:p>
    <w:p w14:paraId="5226C8D8">
      <w:pPr>
        <w:widowControl w:val="0"/>
        <w:tabs>
          <w:tab w:val="left" w:pos="1620"/>
          <w:tab w:val="left" w:pos="2340"/>
        </w:tabs>
        <w:spacing w:after="156"/>
        <w:ind w:left="899"/>
        <w:rPr>
          <w:rFonts w:cs="Times New Roman"/>
          <w:sz w:val="21"/>
        </w:rPr>
      </w:pPr>
      <w:r>
        <w:rPr>
          <w:rFonts w:hint="eastAsia" w:cs="Times New Roman"/>
          <w:sz w:val="21"/>
        </w:rPr>
        <w:t>发包人可将3.4款部分工作委托承包人办理，具体委托内容由双方在</w:t>
      </w:r>
      <w:r>
        <w:rPr>
          <w:rFonts w:hint="eastAsia" w:cs="Times New Roman"/>
          <w:b/>
          <w:i/>
          <w:sz w:val="21"/>
        </w:rPr>
        <w:t>专用条款</w:t>
      </w:r>
      <w:r>
        <w:rPr>
          <w:rFonts w:hint="eastAsia" w:cs="Times New Roman"/>
          <w:sz w:val="21"/>
        </w:rPr>
        <w:t>中约定，费用由发包人承担。</w:t>
      </w:r>
    </w:p>
    <w:p w14:paraId="7011C018">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承包人</w:t>
      </w:r>
    </w:p>
    <w:p w14:paraId="5FF5A73F">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承包人的义务</w:t>
      </w:r>
    </w:p>
    <w:p w14:paraId="45542992">
      <w:pPr>
        <w:widowControl w:val="0"/>
        <w:tabs>
          <w:tab w:val="left" w:pos="1620"/>
          <w:tab w:val="left" w:pos="2340"/>
        </w:tabs>
        <w:spacing w:after="156"/>
        <w:ind w:left="899"/>
        <w:rPr>
          <w:rFonts w:cs="Times New Roman"/>
          <w:sz w:val="21"/>
        </w:rPr>
      </w:pPr>
      <w:r>
        <w:rPr>
          <w:rFonts w:hint="eastAsia" w:cs="Times New Roman"/>
          <w:sz w:val="21"/>
        </w:rPr>
        <w:t>承包人应履行本合同所约定的全部义务。承包人应精心组织施工，按时完成本工程及其在缺陷保修期内对缺陷的修复。为此，承包人应提供所需的全部监督管理、人工、材料、设备、施工装备、往返工地的交通以及合同约定或合理地推断为进行本工程而需要的各种资源。</w:t>
      </w:r>
    </w:p>
    <w:p w14:paraId="041E62CC">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承包人的工作</w:t>
      </w:r>
    </w:p>
    <w:p w14:paraId="0A0B55C3">
      <w:pPr>
        <w:widowControl w:val="0"/>
        <w:tabs>
          <w:tab w:val="left" w:pos="1620"/>
          <w:tab w:val="left" w:pos="2340"/>
        </w:tabs>
        <w:ind w:left="899"/>
        <w:rPr>
          <w:rFonts w:cs="Times New Roman"/>
          <w:sz w:val="21"/>
        </w:rPr>
      </w:pPr>
      <w:r>
        <w:rPr>
          <w:rFonts w:hint="eastAsia" w:cs="Times New Roman"/>
          <w:sz w:val="21"/>
        </w:rPr>
        <w:t>⑴承包人应按照</w:t>
      </w:r>
      <w:r>
        <w:rPr>
          <w:rFonts w:hint="eastAsia" w:cs="Times New Roman"/>
          <w:b/>
          <w:i/>
          <w:sz w:val="21"/>
        </w:rPr>
        <w:t>专用条款</w:t>
      </w:r>
      <w:r>
        <w:rPr>
          <w:rFonts w:hint="eastAsia" w:cs="Times New Roman"/>
          <w:sz w:val="21"/>
        </w:rPr>
        <w:t>约定完成以下工作：</w:t>
      </w:r>
    </w:p>
    <w:p w14:paraId="14654346">
      <w:pPr>
        <w:widowControl w:val="0"/>
        <w:tabs>
          <w:tab w:val="left" w:pos="1620"/>
          <w:tab w:val="left" w:pos="2340"/>
        </w:tabs>
        <w:ind w:left="1079"/>
        <w:rPr>
          <w:rFonts w:cs="Times New Roman"/>
          <w:sz w:val="21"/>
        </w:rPr>
      </w:pPr>
      <w:r>
        <w:rPr>
          <w:rFonts w:hint="eastAsia" w:cs="Times New Roman"/>
          <w:sz w:val="21"/>
        </w:rPr>
        <w:t>①办理法律规定应由承包人办理的许可和批准，并将办理结果书面报送发包人留存；</w:t>
      </w:r>
    </w:p>
    <w:p w14:paraId="2FDC1860">
      <w:pPr>
        <w:widowControl w:val="0"/>
        <w:tabs>
          <w:tab w:val="left" w:pos="1620"/>
          <w:tab w:val="left" w:pos="2340"/>
        </w:tabs>
        <w:ind w:left="1079"/>
        <w:rPr>
          <w:rFonts w:cs="Times New Roman"/>
          <w:sz w:val="21"/>
        </w:rPr>
      </w:pPr>
      <w:r>
        <w:rPr>
          <w:rFonts w:hint="eastAsia" w:cs="Times New Roman"/>
          <w:sz w:val="21"/>
        </w:rPr>
        <w:t>②按法律规定和合同约定完成工程，并在保修期内承担保修义务；在本工程或本工程中某单项工程已竣工但未交付发包人以前，负责已完工程的保护工作，保护期间发生损坏，应予以修复并承担费用。如发包人要求承包人采取特殊保护措施，发包人应承担相应费用；</w:t>
      </w:r>
    </w:p>
    <w:p w14:paraId="7BFD6D7A">
      <w:pPr>
        <w:widowControl w:val="0"/>
        <w:tabs>
          <w:tab w:val="left" w:pos="1620"/>
          <w:tab w:val="left" w:pos="2340"/>
        </w:tabs>
        <w:ind w:left="1079"/>
        <w:rPr>
          <w:rFonts w:cs="Times New Roman"/>
          <w:sz w:val="21"/>
        </w:rPr>
      </w:pPr>
      <w:r>
        <w:rPr>
          <w:rFonts w:hint="eastAsia" w:cs="Times New Roman"/>
          <w:sz w:val="21"/>
        </w:rPr>
        <w:t>③除</w:t>
      </w:r>
      <w:r>
        <w:rPr>
          <w:rFonts w:hint="eastAsia" w:cs="Times New Roman"/>
          <w:b/>
          <w:i/>
          <w:sz w:val="21"/>
        </w:rPr>
        <w:t>专用条款</w:t>
      </w:r>
      <w:r>
        <w:rPr>
          <w:rFonts w:hint="eastAsia" w:cs="Times New Roman"/>
          <w:sz w:val="21"/>
        </w:rPr>
        <w:t xml:space="preserve">另有约定外，向发包人提供施工场地办公和生活的房屋及设施，发包人承担由此发生的费用； </w:t>
      </w:r>
    </w:p>
    <w:p w14:paraId="0538417F">
      <w:pPr>
        <w:widowControl w:val="0"/>
        <w:tabs>
          <w:tab w:val="left" w:pos="1620"/>
          <w:tab w:val="left" w:pos="2340"/>
        </w:tabs>
        <w:ind w:left="1079"/>
        <w:rPr>
          <w:rFonts w:cs="Times New Roman"/>
          <w:sz w:val="21"/>
        </w:rPr>
      </w:pPr>
      <w:r>
        <w:rPr>
          <w:rFonts w:hint="eastAsia" w:cs="Times New Roman"/>
          <w:sz w:val="21"/>
        </w:rPr>
        <w:t>④</w:t>
      </w:r>
      <w:r>
        <w:rPr>
          <w:rFonts w:cs="Times New Roman"/>
          <w:sz w:val="21"/>
        </w:rPr>
        <w:t>按法律规定和合同约定采取施工安全措施，确保工程及其人员、材料、设备和设施的安全，防止因工程施工造成的人身伤害和财产损失；采取环境保护措施，负责施工场地及其周边环境与生态的保护工作；</w:t>
      </w:r>
    </w:p>
    <w:p w14:paraId="1BB895BC">
      <w:pPr>
        <w:widowControl w:val="0"/>
        <w:tabs>
          <w:tab w:val="left" w:pos="1620"/>
          <w:tab w:val="left" w:pos="2340"/>
        </w:tabs>
        <w:ind w:left="1079"/>
        <w:rPr>
          <w:rFonts w:cs="Times New Roman"/>
          <w:sz w:val="21"/>
        </w:rPr>
      </w:pPr>
      <w:r>
        <w:rPr>
          <w:rFonts w:hint="eastAsia" w:cs="Times New Roman"/>
          <w:sz w:val="21"/>
        </w:rPr>
        <w:t>⑤</w:t>
      </w:r>
      <w:r>
        <w:rPr>
          <w:rFonts w:cs="Times New Roman"/>
          <w:sz w:val="21"/>
        </w:rPr>
        <w:t>按合同约定的工作内容和施工进度要求，编制施工组织设计和施工措施计划，并对所有施工作业和施工方法的完备性和安全可靠性负责；</w:t>
      </w:r>
    </w:p>
    <w:p w14:paraId="4698AC75">
      <w:pPr>
        <w:widowControl w:val="0"/>
        <w:tabs>
          <w:tab w:val="left" w:pos="1620"/>
          <w:tab w:val="left" w:pos="2340"/>
        </w:tabs>
        <w:ind w:left="1079"/>
        <w:rPr>
          <w:rFonts w:cs="Times New Roman"/>
          <w:sz w:val="21"/>
        </w:rPr>
      </w:pPr>
      <w:r>
        <w:rPr>
          <w:rFonts w:hint="eastAsia" w:cs="Times New Roman"/>
          <w:sz w:val="21"/>
        </w:rPr>
        <w:t>⑥</w:t>
      </w:r>
      <w:r>
        <w:rPr>
          <w:rFonts w:cs="Times New Roman"/>
          <w:sz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386BFE2">
      <w:pPr>
        <w:widowControl w:val="0"/>
        <w:tabs>
          <w:tab w:val="left" w:pos="1620"/>
          <w:tab w:val="left" w:pos="2340"/>
        </w:tabs>
        <w:ind w:left="1079"/>
        <w:rPr>
          <w:rFonts w:cs="Times New Roman"/>
          <w:sz w:val="21"/>
        </w:rPr>
      </w:pPr>
      <w:r>
        <w:rPr>
          <w:rFonts w:hint="eastAsia" w:cs="Times New Roman"/>
          <w:sz w:val="21"/>
        </w:rPr>
        <w:t>⑦将</w:t>
      </w:r>
      <w:r>
        <w:rPr>
          <w:rFonts w:cs="Times New Roman"/>
          <w:sz w:val="21"/>
        </w:rPr>
        <w:t>发包人按合同约定支付的各项价款专用于合同工程，且应及时支付其雇用人员工资，并及时向分包人支付合同价款；</w:t>
      </w:r>
    </w:p>
    <w:p w14:paraId="0E7DA006">
      <w:pPr>
        <w:widowControl w:val="0"/>
        <w:tabs>
          <w:tab w:val="left" w:pos="1620"/>
          <w:tab w:val="left" w:pos="2340"/>
        </w:tabs>
        <w:ind w:left="1079"/>
        <w:rPr>
          <w:rFonts w:cs="Times New Roman"/>
          <w:sz w:val="21"/>
        </w:rPr>
      </w:pPr>
      <w:r>
        <w:rPr>
          <w:rFonts w:hint="eastAsia" w:cs="Times New Roman"/>
          <w:sz w:val="21"/>
        </w:rPr>
        <w:t>⑧</w:t>
      </w:r>
      <w:r>
        <w:rPr>
          <w:rFonts w:cs="Times New Roman"/>
          <w:sz w:val="21"/>
        </w:rPr>
        <w:t>按照法律规定和合同约定编制竣工资料，完成竣工资料立卷及归档，并按</w:t>
      </w:r>
      <w:r>
        <w:rPr>
          <w:rFonts w:cs="Times New Roman"/>
          <w:b/>
          <w:i/>
          <w:sz w:val="21"/>
        </w:rPr>
        <w:t>专用条款</w:t>
      </w:r>
      <w:r>
        <w:rPr>
          <w:rFonts w:cs="Times New Roman"/>
          <w:sz w:val="21"/>
        </w:rPr>
        <w:t>约定的竣工资料的套数、时间等要求移交发包人；</w:t>
      </w:r>
    </w:p>
    <w:p w14:paraId="7AFA3DEE">
      <w:pPr>
        <w:widowControl w:val="0"/>
        <w:tabs>
          <w:tab w:val="left" w:pos="1620"/>
          <w:tab w:val="left" w:pos="2340"/>
        </w:tabs>
        <w:ind w:left="1079"/>
        <w:rPr>
          <w:rFonts w:cs="Times New Roman"/>
          <w:sz w:val="21"/>
        </w:rPr>
      </w:pPr>
      <w:r>
        <w:rPr>
          <w:rFonts w:hint="eastAsia" w:cs="Times New Roman"/>
          <w:sz w:val="21"/>
        </w:rPr>
        <w:t>⑨在</w:t>
      </w:r>
      <w:r>
        <w:rPr>
          <w:rFonts w:hint="eastAsia" w:cs="Times New Roman"/>
          <w:b/>
          <w:i/>
          <w:sz w:val="21"/>
        </w:rPr>
        <w:t>专用条款</w:t>
      </w:r>
      <w:r>
        <w:rPr>
          <w:rFonts w:hint="eastAsia" w:cs="Times New Roman"/>
          <w:sz w:val="21"/>
        </w:rPr>
        <w:t>内约定承包人应做的其他工作。</w:t>
      </w:r>
    </w:p>
    <w:p w14:paraId="1A92480A">
      <w:pPr>
        <w:widowControl w:val="0"/>
        <w:tabs>
          <w:tab w:val="left" w:pos="1620"/>
          <w:tab w:val="left" w:pos="2340"/>
        </w:tabs>
        <w:spacing w:before="156"/>
        <w:ind w:left="899"/>
        <w:rPr>
          <w:rFonts w:cs="Times New Roman"/>
          <w:sz w:val="21"/>
        </w:rPr>
      </w:pPr>
      <w:r>
        <w:rPr>
          <w:rFonts w:hint="eastAsia" w:cs="Times New Roman"/>
          <w:sz w:val="21"/>
        </w:rPr>
        <w:t>⑵承包人未完成3.5款及4.2款约定的各项工作，应视为承包人违约，承包人按29.2款的约定承担违约责任，给发包人造成损失和(或)导致工期延误的，承包人应赔偿发包人的损失和(或)工期不予顺延。</w:t>
      </w:r>
    </w:p>
    <w:p w14:paraId="7B31AF4A">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项目经理的任命和职责</w:t>
      </w:r>
    </w:p>
    <w:p w14:paraId="0D6A7FB9">
      <w:pPr>
        <w:widowControl w:val="0"/>
        <w:tabs>
          <w:tab w:val="left" w:pos="1620"/>
          <w:tab w:val="left" w:pos="2340"/>
        </w:tabs>
        <w:spacing w:after="156"/>
        <w:ind w:left="899"/>
        <w:rPr>
          <w:rFonts w:cs="Times New Roman"/>
          <w:sz w:val="21"/>
        </w:rPr>
      </w:pPr>
      <w:r>
        <w:rPr>
          <w:rFonts w:hint="eastAsia" w:cs="Times New Roman"/>
          <w:sz w:val="21"/>
        </w:rPr>
        <w:t>⑴承包人应任命项目经理，授权其代表承包人履行本合同约定的权利和义务，承包人根据合同发出的一切文件(包括致发包人或</w:t>
      </w:r>
      <w:r>
        <w:rPr>
          <w:rFonts w:cs="Times New Roman"/>
          <w:sz w:val="21"/>
        </w:rPr>
        <w:t>监理人</w:t>
      </w:r>
      <w:r>
        <w:rPr>
          <w:rFonts w:hint="eastAsia" w:cs="Times New Roman"/>
          <w:sz w:val="21"/>
        </w:rPr>
        <w:t>的通知)，均应以书面形式由项目经理签字后发出。</w:t>
      </w:r>
    </w:p>
    <w:p w14:paraId="24802341">
      <w:pPr>
        <w:widowControl w:val="0"/>
        <w:tabs>
          <w:tab w:val="left" w:pos="1620"/>
          <w:tab w:val="left" w:pos="2340"/>
        </w:tabs>
        <w:spacing w:after="156"/>
        <w:ind w:left="899"/>
        <w:rPr>
          <w:rFonts w:cs="Times New Roman"/>
          <w:sz w:val="21"/>
        </w:rPr>
      </w:pPr>
      <w:r>
        <w:rPr>
          <w:rFonts w:hint="eastAsia" w:cs="Times New Roman"/>
          <w:sz w:val="21"/>
        </w:rPr>
        <w:t>⑵承包人任命的项目经理，应取得符合本工程要求的建造师资格，应在承包人单位注册，应与投标文件所载明的人选一致，并经发包人确认后在</w:t>
      </w:r>
      <w:r>
        <w:rPr>
          <w:rFonts w:hint="eastAsia" w:cs="Times New Roman"/>
          <w:b/>
          <w:i/>
          <w:sz w:val="21"/>
        </w:rPr>
        <w:t>专用条款</w:t>
      </w:r>
      <w:r>
        <w:rPr>
          <w:rFonts w:hint="eastAsia" w:cs="Times New Roman"/>
          <w:sz w:val="21"/>
        </w:rPr>
        <w:t>中明确。</w:t>
      </w:r>
    </w:p>
    <w:p w14:paraId="4AE3D0E8">
      <w:pPr>
        <w:widowControl w:val="0"/>
        <w:tabs>
          <w:tab w:val="left" w:pos="1620"/>
          <w:tab w:val="left" w:pos="2340"/>
        </w:tabs>
        <w:spacing w:after="156"/>
        <w:ind w:left="899"/>
        <w:rPr>
          <w:rFonts w:cs="Times New Roman"/>
          <w:sz w:val="21"/>
        </w:rPr>
      </w:pPr>
      <w:r>
        <w:rPr>
          <w:rFonts w:hint="eastAsia" w:cs="Times New Roman"/>
          <w:sz w:val="21"/>
        </w:rPr>
        <w:t>⑶若承包人派驻现场的项目经理与投标文件的承诺不一致，或项目经理未及时到位或未常驻现场，或同时兼任承包人</w:t>
      </w:r>
      <w:r>
        <w:rPr>
          <w:rFonts w:cs="Times New Roman"/>
          <w:sz w:val="21"/>
        </w:rPr>
        <w:t>其它</w:t>
      </w:r>
      <w:r>
        <w:rPr>
          <w:rFonts w:hint="eastAsia" w:cs="Times New Roman"/>
          <w:sz w:val="21"/>
        </w:rPr>
        <w:t>工程</w:t>
      </w:r>
      <w:r>
        <w:rPr>
          <w:rFonts w:cs="Times New Roman"/>
          <w:sz w:val="21"/>
        </w:rPr>
        <w:t>项目的</w:t>
      </w:r>
      <w:r>
        <w:rPr>
          <w:rFonts w:hint="eastAsia" w:cs="Times New Roman"/>
          <w:sz w:val="21"/>
        </w:rPr>
        <w:t>项目经理，发包人可按照</w:t>
      </w:r>
      <w:r>
        <w:rPr>
          <w:rFonts w:hint="eastAsia" w:cs="Times New Roman"/>
          <w:b/>
          <w:i/>
          <w:sz w:val="21"/>
        </w:rPr>
        <w:t>专用条款</w:t>
      </w:r>
      <w:r>
        <w:rPr>
          <w:rFonts w:hint="eastAsia" w:cs="Times New Roman"/>
          <w:sz w:val="21"/>
        </w:rPr>
        <w:t>中的约定对承包人进行相应处罚。</w:t>
      </w:r>
    </w:p>
    <w:p w14:paraId="136A0F3C">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项目经理按合同约定组织工程实施。在紧急情况下</w:t>
      </w:r>
      <w:r>
        <w:rPr>
          <w:rFonts w:hint="eastAsia" w:cs="Times New Roman"/>
          <w:sz w:val="21"/>
        </w:rPr>
        <w:t>为确保施工安全和人员安全</w:t>
      </w:r>
      <w:r>
        <w:rPr>
          <w:rFonts w:cs="Times New Roman"/>
          <w:sz w:val="21"/>
        </w:rPr>
        <w:t>，</w:t>
      </w:r>
      <w:r>
        <w:rPr>
          <w:rFonts w:hint="eastAsia" w:cs="Times New Roman"/>
          <w:sz w:val="21"/>
        </w:rPr>
        <w:t>在</w:t>
      </w:r>
      <w:r>
        <w:rPr>
          <w:rFonts w:cs="Times New Roman"/>
          <w:sz w:val="21"/>
        </w:rPr>
        <w:t>无法与发包人代表和总监理工程师</w:t>
      </w:r>
      <w:r>
        <w:rPr>
          <w:rFonts w:hint="eastAsia" w:cs="Times New Roman"/>
          <w:sz w:val="21"/>
        </w:rPr>
        <w:t>及时</w:t>
      </w:r>
      <w:r>
        <w:rPr>
          <w:rFonts w:cs="Times New Roman"/>
          <w:sz w:val="21"/>
        </w:rPr>
        <w:t>取得联系时，项目经理有权采取必要的措施保证与工程有关的人身、财产和工程的安全，但应在48小时内向发包人代表和总监理工程师提交书面报告。</w:t>
      </w:r>
    </w:p>
    <w:p w14:paraId="099AA37B">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项目经理的更换</w:t>
      </w:r>
    </w:p>
    <w:p w14:paraId="31050C32">
      <w:pPr>
        <w:widowControl w:val="0"/>
        <w:tabs>
          <w:tab w:val="left" w:pos="1620"/>
          <w:tab w:val="left" w:pos="2340"/>
        </w:tabs>
        <w:ind w:left="899"/>
        <w:rPr>
          <w:rFonts w:cs="Times New Roman"/>
          <w:sz w:val="21"/>
        </w:rPr>
      </w:pPr>
      <w:r>
        <w:rPr>
          <w:rFonts w:hint="eastAsia" w:cs="Times New Roman"/>
          <w:sz w:val="21"/>
        </w:rPr>
        <w:t>⑴承包人的项目经理除以下情形之一外，不得更换：</w:t>
      </w:r>
    </w:p>
    <w:p w14:paraId="5D0CC9E4">
      <w:pPr>
        <w:widowControl w:val="0"/>
        <w:tabs>
          <w:tab w:val="left" w:pos="1620"/>
          <w:tab w:val="left" w:pos="2340"/>
        </w:tabs>
        <w:ind w:left="1079"/>
        <w:rPr>
          <w:rFonts w:cs="Times New Roman"/>
          <w:sz w:val="21"/>
        </w:rPr>
      </w:pPr>
      <w:r>
        <w:rPr>
          <w:rFonts w:hint="eastAsia" w:cs="Times New Roman"/>
          <w:sz w:val="21"/>
        </w:rPr>
        <w:t>①因重病或重伤(持有县、区以上医院证明)两个月以上不能履行职责的；</w:t>
      </w:r>
    </w:p>
    <w:p w14:paraId="41CB7214">
      <w:pPr>
        <w:widowControl w:val="0"/>
        <w:tabs>
          <w:tab w:val="left" w:pos="1620"/>
          <w:tab w:val="left" w:pos="2340"/>
        </w:tabs>
        <w:ind w:left="1079"/>
        <w:rPr>
          <w:rFonts w:cs="Times New Roman"/>
          <w:sz w:val="21"/>
        </w:rPr>
      </w:pPr>
      <w:r>
        <w:rPr>
          <w:rFonts w:hint="eastAsia" w:cs="Times New Roman"/>
          <w:sz w:val="21"/>
        </w:rPr>
        <w:t>②主动辞职或调离原工作单位的；</w:t>
      </w:r>
    </w:p>
    <w:p w14:paraId="7D763ACB">
      <w:pPr>
        <w:widowControl w:val="0"/>
        <w:tabs>
          <w:tab w:val="left" w:pos="1620"/>
          <w:tab w:val="left" w:pos="2340"/>
        </w:tabs>
        <w:ind w:left="1079"/>
        <w:rPr>
          <w:rFonts w:cs="Times New Roman"/>
          <w:sz w:val="21"/>
        </w:rPr>
      </w:pPr>
      <w:r>
        <w:rPr>
          <w:rFonts w:hint="eastAsia" w:cs="Times New Roman"/>
          <w:sz w:val="21"/>
        </w:rPr>
        <w:t>③因管理原因发生重大工程质量、安全事故，承包人认为该项目经理不称职需要更换的；</w:t>
      </w:r>
    </w:p>
    <w:p w14:paraId="334A6FE2">
      <w:pPr>
        <w:widowControl w:val="0"/>
        <w:tabs>
          <w:tab w:val="left" w:pos="1620"/>
          <w:tab w:val="left" w:pos="2340"/>
        </w:tabs>
        <w:ind w:left="1079"/>
        <w:rPr>
          <w:rFonts w:cs="Times New Roman"/>
          <w:sz w:val="21"/>
        </w:rPr>
      </w:pPr>
      <w:r>
        <w:rPr>
          <w:rFonts w:hint="eastAsia" w:cs="Times New Roman"/>
          <w:sz w:val="21"/>
        </w:rPr>
        <w:t>④无能力履行合同的责任和义务，造成严重后果，发包人要求更换的；</w:t>
      </w:r>
    </w:p>
    <w:p w14:paraId="69F0CBBD">
      <w:pPr>
        <w:widowControl w:val="0"/>
        <w:tabs>
          <w:tab w:val="left" w:pos="1620"/>
          <w:tab w:val="left" w:pos="2340"/>
        </w:tabs>
        <w:ind w:left="1079"/>
        <w:rPr>
          <w:rFonts w:cs="Times New Roman"/>
          <w:sz w:val="21"/>
        </w:rPr>
      </w:pPr>
      <w:r>
        <w:rPr>
          <w:rFonts w:hint="eastAsia" w:cs="Times New Roman"/>
          <w:sz w:val="21"/>
        </w:rPr>
        <w:t>⑤因违法被责令停止执业的；</w:t>
      </w:r>
    </w:p>
    <w:p w14:paraId="1E93DB44">
      <w:pPr>
        <w:widowControl w:val="0"/>
        <w:tabs>
          <w:tab w:val="left" w:pos="1620"/>
          <w:tab w:val="left" w:pos="2340"/>
        </w:tabs>
        <w:ind w:left="1079"/>
        <w:rPr>
          <w:rFonts w:cs="Times New Roman"/>
          <w:sz w:val="21"/>
        </w:rPr>
      </w:pPr>
      <w:r>
        <w:rPr>
          <w:rFonts w:hint="eastAsia" w:cs="Times New Roman"/>
          <w:sz w:val="21"/>
        </w:rPr>
        <w:t>⑥因</w:t>
      </w:r>
      <w:r>
        <w:rPr>
          <w:rFonts w:cs="Times New Roman"/>
          <w:sz w:val="21"/>
        </w:rPr>
        <w:t>涉嫌</w:t>
      </w:r>
      <w:r>
        <w:rPr>
          <w:rFonts w:hint="eastAsia" w:cs="Times New Roman"/>
          <w:sz w:val="21"/>
        </w:rPr>
        <w:t>犯罪被羁押或判刑的；</w:t>
      </w:r>
    </w:p>
    <w:p w14:paraId="61D0B9EB">
      <w:pPr>
        <w:widowControl w:val="0"/>
        <w:tabs>
          <w:tab w:val="left" w:pos="1620"/>
          <w:tab w:val="left" w:pos="2340"/>
        </w:tabs>
        <w:spacing w:after="156"/>
        <w:ind w:left="1079"/>
        <w:rPr>
          <w:rFonts w:cs="Times New Roman"/>
          <w:sz w:val="21"/>
        </w:rPr>
      </w:pPr>
      <w:r>
        <w:rPr>
          <w:rFonts w:hint="eastAsia" w:cs="Times New Roman"/>
          <w:sz w:val="21"/>
        </w:rPr>
        <w:t>⑦死亡。</w:t>
      </w:r>
    </w:p>
    <w:p w14:paraId="4F44920A">
      <w:pPr>
        <w:widowControl w:val="0"/>
        <w:tabs>
          <w:tab w:val="left" w:pos="1620"/>
          <w:tab w:val="left" w:pos="2340"/>
        </w:tabs>
        <w:spacing w:after="156"/>
        <w:ind w:left="899"/>
        <w:rPr>
          <w:rFonts w:cs="Times New Roman"/>
          <w:sz w:val="21"/>
        </w:rPr>
      </w:pPr>
      <w:r>
        <w:rPr>
          <w:rFonts w:hint="eastAsia" w:cs="Times New Roman"/>
          <w:sz w:val="21"/>
        </w:rPr>
        <w:t>⑵承包人如确需更换项目经理，应至少提前7天以书面形式通知</w:t>
      </w:r>
      <w:r>
        <w:rPr>
          <w:rFonts w:cs="Times New Roman"/>
          <w:sz w:val="21"/>
        </w:rPr>
        <w:t>监理人</w:t>
      </w:r>
      <w:r>
        <w:rPr>
          <w:rFonts w:hint="eastAsia" w:cs="Times New Roman"/>
          <w:sz w:val="21"/>
        </w:rPr>
        <w:t>，并报发包人同意，并按市</w:t>
      </w:r>
      <w:r>
        <w:rPr>
          <w:rFonts w:hint="eastAsia" w:ascii="Times New Roman" w:hAnsi="Times New Roman" w:cs="Times New Roman"/>
          <w:kern w:val="2"/>
          <w:sz w:val="21"/>
        </w:rPr>
        <w:t>建设行政主管部门的规定办理变更手续，否则更换无效</w:t>
      </w:r>
      <w:r>
        <w:rPr>
          <w:rFonts w:hint="eastAsia" w:cs="Times New Roman"/>
          <w:sz w:val="21"/>
        </w:rPr>
        <w:t>。</w:t>
      </w:r>
      <w:r>
        <w:rPr>
          <w:rFonts w:hint="eastAsia" w:ascii="Times New Roman" w:hAnsi="Times New Roman" w:cs="Times New Roman"/>
          <w:kern w:val="2"/>
          <w:sz w:val="21"/>
        </w:rPr>
        <w:t>发包人应在收到通知后7天内予以答复，否则视为同意。续任项目经理应继续行使合同约定的项目经理的职权和履行相应的义务。承包人</w:t>
      </w:r>
      <w:r>
        <w:rPr>
          <w:rFonts w:hint="eastAsia" w:cs="Times New Roman"/>
          <w:sz w:val="21"/>
        </w:rPr>
        <w:t>未经</w:t>
      </w:r>
      <w:r>
        <w:rPr>
          <w:rFonts w:cs="Times New Roman"/>
          <w:sz w:val="21"/>
        </w:rPr>
        <w:t>监理人</w:t>
      </w:r>
      <w:r>
        <w:rPr>
          <w:rFonts w:hint="eastAsia" w:cs="Times New Roman"/>
          <w:sz w:val="21"/>
        </w:rPr>
        <w:t>及发包人同意更换项目经理的，发包人可按照</w:t>
      </w:r>
      <w:r>
        <w:rPr>
          <w:rFonts w:hint="eastAsia" w:cs="Times New Roman"/>
          <w:b/>
          <w:i/>
          <w:sz w:val="21"/>
        </w:rPr>
        <w:t>专用条款</w:t>
      </w:r>
      <w:r>
        <w:rPr>
          <w:rFonts w:hint="eastAsia" w:cs="Times New Roman"/>
          <w:sz w:val="21"/>
        </w:rPr>
        <w:t>中的约定对承包人进行相应处罚。</w:t>
      </w:r>
    </w:p>
    <w:p w14:paraId="75CE4AE7">
      <w:pPr>
        <w:widowControl w:val="0"/>
        <w:tabs>
          <w:tab w:val="left" w:pos="1620"/>
          <w:tab w:val="left" w:pos="2340"/>
        </w:tabs>
        <w:spacing w:after="156"/>
        <w:ind w:left="899"/>
        <w:rPr>
          <w:rFonts w:ascii="Times New Roman" w:hAnsi="Times New Roman" w:cs="Times New Roman"/>
          <w:kern w:val="2"/>
          <w:sz w:val="21"/>
        </w:rPr>
      </w:pPr>
      <w:r>
        <w:rPr>
          <w:rFonts w:hint="eastAsia" w:cs="Times New Roman"/>
          <w:sz w:val="21"/>
        </w:rPr>
        <w:t>⑶</w:t>
      </w:r>
      <w:r>
        <w:rPr>
          <w:rFonts w:ascii="Times New Roman" w:hAnsi="Times New Roman" w:cs="Times New Roman"/>
          <w:kern w:val="2"/>
          <w:sz w:val="21"/>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承包人无正当理由拒绝更换项目经理的，应按照</w:t>
      </w:r>
      <w:r>
        <w:rPr>
          <w:rFonts w:ascii="Times New Roman" w:hAnsi="Times New Roman" w:cs="Times New Roman"/>
          <w:b/>
          <w:i/>
          <w:kern w:val="2"/>
          <w:sz w:val="21"/>
        </w:rPr>
        <w:t>专用条款</w:t>
      </w:r>
      <w:r>
        <w:rPr>
          <w:rFonts w:ascii="Times New Roman" w:hAnsi="Times New Roman" w:cs="Times New Roman"/>
          <w:kern w:val="2"/>
          <w:sz w:val="21"/>
        </w:rPr>
        <w:t>的约定承担违约责任。</w:t>
      </w:r>
    </w:p>
    <w:p w14:paraId="12292A43">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项目经理的临时授权</w:t>
      </w:r>
    </w:p>
    <w:p w14:paraId="13688808">
      <w:pPr>
        <w:widowControl w:val="0"/>
        <w:tabs>
          <w:tab w:val="left" w:pos="1620"/>
          <w:tab w:val="left" w:pos="2340"/>
        </w:tabs>
        <w:spacing w:after="156"/>
        <w:ind w:left="899"/>
        <w:rPr>
          <w:rFonts w:ascii="Times New Roman" w:hAnsi="Times New Roman" w:cs="Times New Roman"/>
          <w:kern w:val="2"/>
          <w:sz w:val="21"/>
        </w:rPr>
      </w:pPr>
      <w:r>
        <w:rPr>
          <w:rFonts w:hint="eastAsia" w:ascii="Times New Roman" w:hAnsi="Times New Roman" w:cs="Times New Roman"/>
          <w:kern w:val="2"/>
          <w:sz w:val="21"/>
        </w:rPr>
        <w:t>⑴</w:t>
      </w:r>
      <w:r>
        <w:rPr>
          <w:rFonts w:ascii="Times New Roman" w:hAnsi="Times New Roman" w:cs="Times New Roman"/>
          <w:kern w:val="2"/>
          <w:sz w:val="21"/>
        </w:rPr>
        <w:t>项目经理因特殊情况授权其下属人员履行其某项工作职责的，该下属人员应具备履行相应职责的能力，并应提前7天将上述人员的姓名和授权范围书面通知监理人，并征得发包人书面同意。</w:t>
      </w:r>
      <w:r>
        <w:rPr>
          <w:rFonts w:hint="eastAsia" w:ascii="Times New Roman" w:hAnsi="Times New Roman" w:cs="Times New Roman"/>
          <w:kern w:val="2"/>
          <w:sz w:val="21"/>
        </w:rPr>
        <w:t>未经发包人批准，任何此类任命和撤回均为无效。</w:t>
      </w:r>
    </w:p>
    <w:p w14:paraId="2F62F38D">
      <w:pPr>
        <w:widowControl w:val="0"/>
        <w:tabs>
          <w:tab w:val="left" w:pos="1620"/>
          <w:tab w:val="left" w:pos="2340"/>
        </w:tabs>
        <w:spacing w:after="156"/>
        <w:ind w:left="899"/>
        <w:rPr>
          <w:rFonts w:cs="Times New Roman"/>
          <w:sz w:val="21"/>
        </w:rPr>
      </w:pPr>
      <w:r>
        <w:rPr>
          <w:rFonts w:hint="eastAsia" w:cs="Times New Roman"/>
          <w:sz w:val="21"/>
        </w:rPr>
        <w:t>⑵项目经理临时任命人在项目经理暂离现场期间行使项目经理授予的职权，对承包人负责。临时任命人在项目经理授予职权范围和期限内的工作，项目经理应予认可。</w:t>
      </w:r>
    </w:p>
    <w:p w14:paraId="488EB4DA">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施工管理人员</w:t>
      </w:r>
    </w:p>
    <w:p w14:paraId="588E5C8D">
      <w:pPr>
        <w:widowControl w:val="0"/>
        <w:tabs>
          <w:tab w:val="left" w:pos="1620"/>
          <w:tab w:val="left" w:pos="2340"/>
        </w:tabs>
        <w:spacing w:after="156"/>
        <w:ind w:left="899"/>
        <w:rPr>
          <w:rFonts w:cs="Times New Roman"/>
          <w:sz w:val="21"/>
        </w:rPr>
      </w:pPr>
      <w:r>
        <w:rPr>
          <w:rFonts w:hint="eastAsia" w:cs="Times New Roman"/>
          <w:sz w:val="21"/>
        </w:rPr>
        <w:t>⑴承包人应按照投标文件的承诺，为本工程配备施工、技术、合同、材料、质量、安全、财务和</w:t>
      </w:r>
      <w:r>
        <w:rPr>
          <w:rFonts w:hint="eastAsia" w:ascii="Times New Roman" w:hAnsi="Times New Roman" w:cs="Times New Roman"/>
          <w:kern w:val="2"/>
          <w:sz w:val="21"/>
        </w:rPr>
        <w:t>劳资</w:t>
      </w:r>
      <w:r>
        <w:rPr>
          <w:rFonts w:hint="eastAsia" w:cs="Times New Roman"/>
          <w:sz w:val="21"/>
        </w:rPr>
        <w:t>等施工管理人员。</w:t>
      </w:r>
      <w:r>
        <w:rPr>
          <w:rFonts w:ascii="Times New Roman" w:cs="Times New Roman"/>
          <w:kern w:val="2"/>
          <w:sz w:val="21"/>
        </w:rPr>
        <w:t>承包人应在</w:t>
      </w:r>
      <w:r>
        <w:rPr>
          <w:rFonts w:hint="eastAsia" w:ascii="Times New Roman" w:cs="Times New Roman"/>
          <w:kern w:val="2"/>
          <w:sz w:val="21"/>
        </w:rPr>
        <w:t>合同签订</w:t>
      </w:r>
      <w:r>
        <w:rPr>
          <w:rFonts w:ascii="Times New Roman" w:cs="Times New Roman"/>
          <w:kern w:val="2"/>
          <w:sz w:val="21"/>
        </w:rPr>
        <w:t>后7天内提交</w:t>
      </w:r>
      <w:r>
        <w:rPr>
          <w:rFonts w:hint="eastAsia" w:ascii="Times New Roman" w:cs="Times New Roman"/>
          <w:kern w:val="2"/>
          <w:sz w:val="21"/>
        </w:rPr>
        <w:t>施工</w:t>
      </w:r>
      <w:r>
        <w:rPr>
          <w:rFonts w:ascii="Times New Roman" w:cs="Times New Roman"/>
          <w:kern w:val="2"/>
          <w:sz w:val="21"/>
        </w:rPr>
        <w:t>管理人员的名单</w:t>
      </w:r>
      <w:r>
        <w:rPr>
          <w:rFonts w:hint="eastAsia" w:ascii="Times New Roman" w:cs="Times New Roman"/>
          <w:kern w:val="2"/>
          <w:sz w:val="21"/>
        </w:rPr>
        <w:t>及其岗位、注册执业资格等，以及与承包人之间的劳动关系证明和缴纳社会保险的有效证明</w:t>
      </w:r>
      <w:r>
        <w:rPr>
          <w:rFonts w:ascii="Times New Roman" w:cs="Times New Roman"/>
          <w:kern w:val="2"/>
          <w:sz w:val="21"/>
        </w:rPr>
        <w:t>供监理人和发包人</w:t>
      </w:r>
      <w:r>
        <w:rPr>
          <w:rFonts w:hint="eastAsia" w:ascii="Times New Roman" w:cs="Times New Roman"/>
          <w:kern w:val="2"/>
          <w:sz w:val="21"/>
        </w:rPr>
        <w:t>审核，承包人项目管理机构的设置应与投标文件一致。</w:t>
      </w:r>
    </w:p>
    <w:p w14:paraId="74C56353">
      <w:pPr>
        <w:widowControl w:val="0"/>
        <w:tabs>
          <w:tab w:val="left" w:pos="1620"/>
          <w:tab w:val="left" w:pos="2340"/>
        </w:tabs>
        <w:spacing w:after="156"/>
        <w:ind w:left="899"/>
        <w:rPr>
          <w:rFonts w:ascii="Times New Roman" w:hAnsi="Times New Roman" w:cs="Times New Roman"/>
          <w:kern w:val="2"/>
          <w:sz w:val="21"/>
        </w:rPr>
      </w:pPr>
      <w:r>
        <w:rPr>
          <w:rFonts w:hint="eastAsia" w:cs="Times New Roman"/>
          <w:sz w:val="21"/>
        </w:rPr>
        <w:t>⑵承包人的主要施工管理人员(技术负责人、质量负责人、安全负责人、安全员、劳资专管员及</w:t>
      </w:r>
      <w:r>
        <w:rPr>
          <w:rFonts w:hint="eastAsia" w:cs="Times New Roman"/>
          <w:b/>
          <w:i/>
          <w:sz w:val="21"/>
        </w:rPr>
        <w:t>专用条款</w:t>
      </w:r>
      <w:r>
        <w:rPr>
          <w:rFonts w:hint="eastAsia" w:cs="Times New Roman"/>
          <w:sz w:val="21"/>
        </w:rPr>
        <w:t>约定的其他人员)应</w:t>
      </w:r>
      <w:r>
        <w:rPr>
          <w:rFonts w:hint="eastAsia" w:ascii="Times New Roman" w:hAnsi="Times New Roman" w:cs="Times New Roman"/>
          <w:kern w:val="2"/>
          <w:sz w:val="21"/>
        </w:rPr>
        <w:t>与投标文件所载明的人选一致且</w:t>
      </w:r>
      <w:r>
        <w:rPr>
          <w:rFonts w:hint="eastAsia" w:cs="Times New Roman"/>
          <w:sz w:val="21"/>
        </w:rPr>
        <w:t>相对稳定。承包人如确需更换主要施工管理人员，应至少提前7天以书面形式通知</w:t>
      </w:r>
      <w:r>
        <w:rPr>
          <w:rFonts w:cs="Times New Roman"/>
          <w:sz w:val="21"/>
        </w:rPr>
        <w:t>监理人</w:t>
      </w:r>
      <w:r>
        <w:rPr>
          <w:rFonts w:hint="eastAsia" w:cs="Times New Roman"/>
          <w:sz w:val="21"/>
        </w:rPr>
        <w:t>，并报发包人同意。</w:t>
      </w:r>
      <w:r>
        <w:rPr>
          <w:rFonts w:hint="eastAsia" w:ascii="Times New Roman" w:hAnsi="Times New Roman" w:cs="Times New Roman"/>
          <w:kern w:val="2"/>
          <w:sz w:val="21"/>
        </w:rPr>
        <w:t>发包人应在收到通知后7天内予以答复，否则视为同意。</w:t>
      </w:r>
    </w:p>
    <w:p w14:paraId="7450B1AB">
      <w:pPr>
        <w:widowControl w:val="0"/>
        <w:tabs>
          <w:tab w:val="left" w:pos="1620"/>
          <w:tab w:val="left" w:pos="2340"/>
        </w:tabs>
        <w:spacing w:after="156"/>
        <w:ind w:left="899"/>
        <w:rPr>
          <w:rFonts w:ascii="Times New Roman" w:hAnsi="Times New Roman" w:cs="Times New Roman"/>
          <w:kern w:val="2"/>
          <w:sz w:val="21"/>
        </w:rPr>
      </w:pPr>
      <w:r>
        <w:rPr>
          <w:rFonts w:hint="eastAsia" w:cs="Times New Roman"/>
          <w:sz w:val="21"/>
        </w:rPr>
        <w:t>⑶承包人的主要施工管理人员应保证常驻现场。除</w:t>
      </w:r>
      <w:r>
        <w:rPr>
          <w:rFonts w:hint="eastAsia" w:cs="Times New Roman"/>
          <w:b/>
          <w:i/>
          <w:sz w:val="21"/>
        </w:rPr>
        <w:t>专用条款</w:t>
      </w:r>
      <w:r>
        <w:rPr>
          <w:rFonts w:hint="eastAsia" w:cs="Times New Roman"/>
          <w:sz w:val="21"/>
        </w:rPr>
        <w:t>另有约定外，承包人的主要施工管理人员离开施工现场每月累计不超过5天的，应报监理人同意；离开施工现场每月累计超过5天的，应以书面形式通知监理人，并报发包人同意。主要施工管理人员离开施工现场前应指定一名有经验的人员临时代行其职责，该人员应具备履行相应职责的资格和能力，且应征得监理人或发包人的同意。</w:t>
      </w:r>
    </w:p>
    <w:p w14:paraId="7D0BE941">
      <w:pPr>
        <w:widowControl w:val="0"/>
        <w:tabs>
          <w:tab w:val="left" w:pos="1620"/>
          <w:tab w:val="left" w:pos="2340"/>
        </w:tabs>
        <w:spacing w:after="156"/>
        <w:ind w:left="899"/>
        <w:rPr>
          <w:rFonts w:cs="Times New Roman"/>
          <w:sz w:val="21"/>
        </w:rPr>
      </w:pPr>
      <w:r>
        <w:rPr>
          <w:rFonts w:hint="eastAsia" w:cs="Times New Roman"/>
          <w:sz w:val="21"/>
        </w:rPr>
        <w:t>⑷承包人的劳资专管员应掌握施工现场用工、考勤、工资发放等情况，对分包人劳动用工实施监督管理，审核分包人编制的工人工资支付表。</w:t>
      </w:r>
    </w:p>
    <w:p w14:paraId="4C2D4C56">
      <w:pPr>
        <w:widowControl w:val="0"/>
        <w:tabs>
          <w:tab w:val="left" w:pos="1620"/>
          <w:tab w:val="left" w:pos="2340"/>
        </w:tabs>
        <w:ind w:left="902"/>
        <w:rPr>
          <w:rFonts w:cs="Times New Roman"/>
          <w:sz w:val="21"/>
        </w:rPr>
      </w:pPr>
      <w:r>
        <w:rPr>
          <w:rFonts w:cs="Times New Roman"/>
          <w:sz w:val="21"/>
        </w:rPr>
        <w:fldChar w:fldCharType="begin"/>
      </w:r>
      <w:r>
        <w:rPr>
          <w:rFonts w:hint="eastAsia" w:cs="Times New Roman"/>
          <w:sz w:val="21"/>
        </w:rPr>
        <w:instrText xml:space="preserve">= 5 \* GB2</w:instrText>
      </w:r>
      <w:r>
        <w:rPr>
          <w:rFonts w:cs="Times New Roman"/>
          <w:sz w:val="21"/>
        </w:rPr>
        <w:fldChar w:fldCharType="separate"/>
      </w:r>
      <w:r>
        <w:rPr>
          <w:rFonts w:hint="eastAsia" w:cs="Times New Roman"/>
          <w:sz w:val="21"/>
        </w:rPr>
        <w:t>⑸</w:t>
      </w:r>
      <w:r>
        <w:rPr>
          <w:rFonts w:cs="Times New Roman"/>
          <w:sz w:val="21"/>
        </w:rPr>
        <w:fldChar w:fldCharType="end"/>
      </w:r>
      <w:r>
        <w:rPr>
          <w:rFonts w:cs="Times New Roman"/>
          <w:sz w:val="21"/>
        </w:rPr>
        <w:t>承包人的</w:t>
      </w:r>
      <w:r>
        <w:rPr>
          <w:rFonts w:hint="eastAsia" w:cs="Times New Roman"/>
          <w:sz w:val="21"/>
        </w:rPr>
        <w:t>管理人员</w:t>
      </w:r>
      <w:r>
        <w:rPr>
          <w:rFonts w:cs="Times New Roman"/>
          <w:sz w:val="21"/>
        </w:rPr>
        <w:t>在</w:t>
      </w:r>
      <w:r>
        <w:rPr>
          <w:rFonts w:hint="eastAsia" w:cs="Times New Roman"/>
          <w:sz w:val="21"/>
        </w:rPr>
        <w:t>施工</w:t>
      </w:r>
      <w:r>
        <w:rPr>
          <w:rFonts w:cs="Times New Roman"/>
          <w:sz w:val="21"/>
        </w:rPr>
        <w:t>期间出现以下情况</w:t>
      </w:r>
      <w:r>
        <w:rPr>
          <w:rFonts w:hint="eastAsia" w:cs="Times New Roman"/>
          <w:sz w:val="21"/>
        </w:rPr>
        <w:t>，应承担</w:t>
      </w:r>
      <w:r>
        <w:rPr>
          <w:rFonts w:hint="eastAsia" w:cs="Times New Roman"/>
          <w:b/>
          <w:i/>
          <w:sz w:val="21"/>
        </w:rPr>
        <w:t>专用条款</w:t>
      </w:r>
      <w:r>
        <w:rPr>
          <w:rFonts w:hint="eastAsia" w:cs="Times New Roman"/>
          <w:sz w:val="21"/>
        </w:rPr>
        <w:t>的约定的违约责任</w:t>
      </w:r>
      <w:r>
        <w:rPr>
          <w:rFonts w:cs="Times New Roman"/>
          <w:sz w:val="21"/>
        </w:rPr>
        <w:t>：</w:t>
      </w:r>
    </w:p>
    <w:p w14:paraId="64C23E32">
      <w:pPr>
        <w:widowControl w:val="0"/>
        <w:tabs>
          <w:tab w:val="left" w:pos="1620"/>
          <w:tab w:val="left" w:pos="2340"/>
        </w:tabs>
        <w:ind w:left="899" w:firstLine="181"/>
        <w:rPr>
          <w:rFonts w:cs="Times New Roman"/>
          <w:sz w:val="21"/>
        </w:rPr>
      </w:pPr>
      <w:r>
        <w:rPr>
          <w:rFonts w:hint="eastAsia" w:cs="Times New Roman"/>
          <w:sz w:val="21"/>
        </w:rPr>
        <w:t>①</w:t>
      </w:r>
      <w:r>
        <w:rPr>
          <w:rFonts w:cs="Times New Roman"/>
          <w:sz w:val="21"/>
        </w:rPr>
        <w:t>承包人的项目</w:t>
      </w:r>
      <w:r>
        <w:rPr>
          <w:rFonts w:hint="eastAsia" w:cs="Times New Roman"/>
          <w:sz w:val="21"/>
        </w:rPr>
        <w:t>管理</w:t>
      </w:r>
      <w:r>
        <w:rPr>
          <w:rFonts w:cs="Times New Roman"/>
          <w:sz w:val="21"/>
        </w:rPr>
        <w:t>机构设置与</w:t>
      </w:r>
      <w:r>
        <w:rPr>
          <w:rFonts w:hint="eastAsia" w:ascii="Times New Roman" w:cs="Times New Roman"/>
          <w:kern w:val="2"/>
          <w:sz w:val="21"/>
        </w:rPr>
        <w:t>投标文件</w:t>
      </w:r>
      <w:r>
        <w:rPr>
          <w:rFonts w:cs="Times New Roman"/>
          <w:sz w:val="21"/>
        </w:rPr>
        <w:t xml:space="preserve">的承诺不一致； </w:t>
      </w:r>
    </w:p>
    <w:p w14:paraId="1785B6E6">
      <w:pPr>
        <w:widowControl w:val="0"/>
        <w:tabs>
          <w:tab w:val="left" w:pos="1620"/>
          <w:tab w:val="left" w:pos="2340"/>
        </w:tabs>
        <w:ind w:left="899" w:firstLine="181"/>
        <w:rPr>
          <w:rFonts w:cs="Times New Roman"/>
          <w:sz w:val="21"/>
        </w:rPr>
      </w:pPr>
      <w:r>
        <w:rPr>
          <w:rFonts w:hint="eastAsia" w:cs="Times New Roman"/>
          <w:sz w:val="21"/>
        </w:rPr>
        <w:t>②</w:t>
      </w:r>
      <w:r>
        <w:rPr>
          <w:rFonts w:cs="Times New Roman"/>
          <w:sz w:val="21"/>
        </w:rPr>
        <w:t>承包人的主要</w:t>
      </w:r>
      <w:r>
        <w:rPr>
          <w:rFonts w:hint="eastAsia" w:cs="Times New Roman"/>
          <w:sz w:val="21"/>
        </w:rPr>
        <w:t>施工管理</w:t>
      </w:r>
      <w:r>
        <w:rPr>
          <w:rFonts w:cs="Times New Roman"/>
          <w:sz w:val="21"/>
        </w:rPr>
        <w:t>人员不到位；</w:t>
      </w:r>
    </w:p>
    <w:p w14:paraId="7C23E844">
      <w:pPr>
        <w:widowControl w:val="0"/>
        <w:tabs>
          <w:tab w:val="left" w:pos="1620"/>
          <w:tab w:val="left" w:pos="2340"/>
        </w:tabs>
        <w:ind w:left="899" w:firstLine="181"/>
        <w:rPr>
          <w:rFonts w:cs="Times New Roman"/>
          <w:sz w:val="21"/>
        </w:rPr>
      </w:pPr>
      <w:r>
        <w:rPr>
          <w:rFonts w:hint="eastAsia" w:cs="Times New Roman"/>
          <w:sz w:val="21"/>
        </w:rPr>
        <w:t>③</w:t>
      </w:r>
      <w:r>
        <w:rPr>
          <w:rFonts w:cs="Times New Roman"/>
          <w:sz w:val="21"/>
        </w:rPr>
        <w:t>未经发包人</w:t>
      </w:r>
      <w:r>
        <w:rPr>
          <w:rFonts w:hint="eastAsia" w:cs="Times New Roman"/>
          <w:sz w:val="21"/>
        </w:rPr>
        <w:t>同意</w:t>
      </w:r>
      <w:r>
        <w:rPr>
          <w:rFonts w:cs="Times New Roman"/>
          <w:sz w:val="21"/>
        </w:rPr>
        <w:t>，承包人擅自更换主要</w:t>
      </w:r>
      <w:r>
        <w:rPr>
          <w:rFonts w:hint="eastAsia" w:cs="Times New Roman"/>
          <w:sz w:val="21"/>
        </w:rPr>
        <w:t>施工</w:t>
      </w:r>
      <w:r>
        <w:rPr>
          <w:rFonts w:cs="Times New Roman"/>
          <w:sz w:val="21"/>
        </w:rPr>
        <w:t>管理人员；</w:t>
      </w:r>
    </w:p>
    <w:p w14:paraId="0D53B055">
      <w:pPr>
        <w:widowControl w:val="0"/>
        <w:tabs>
          <w:tab w:val="left" w:pos="1620"/>
          <w:tab w:val="left" w:pos="2340"/>
        </w:tabs>
        <w:ind w:left="899" w:firstLine="181"/>
        <w:rPr>
          <w:rFonts w:cs="Times New Roman"/>
          <w:sz w:val="21"/>
        </w:rPr>
      </w:pPr>
      <w:r>
        <w:rPr>
          <w:rFonts w:hint="eastAsia" w:cs="Times New Roman"/>
          <w:sz w:val="21"/>
        </w:rPr>
        <w:t>④</w:t>
      </w:r>
      <w:r>
        <w:rPr>
          <w:rFonts w:cs="Times New Roman"/>
          <w:sz w:val="21"/>
        </w:rPr>
        <w:t>承包人的主要</w:t>
      </w:r>
      <w:r>
        <w:rPr>
          <w:rFonts w:hint="eastAsia" w:cs="Times New Roman"/>
          <w:sz w:val="21"/>
        </w:rPr>
        <w:t>施工管理</w:t>
      </w:r>
      <w:r>
        <w:rPr>
          <w:rFonts w:cs="Times New Roman"/>
          <w:sz w:val="21"/>
        </w:rPr>
        <w:t>人员</w:t>
      </w:r>
      <w:r>
        <w:rPr>
          <w:rFonts w:hint="eastAsia" w:cs="Times New Roman"/>
          <w:sz w:val="21"/>
        </w:rPr>
        <w:t>未经监理人或发包人同意擅自离开施工现场的；</w:t>
      </w:r>
    </w:p>
    <w:p w14:paraId="03C8EEAE">
      <w:pPr>
        <w:widowControl w:val="0"/>
        <w:tabs>
          <w:tab w:val="left" w:pos="1620"/>
          <w:tab w:val="left" w:pos="2340"/>
        </w:tabs>
        <w:snapToGrid w:val="0"/>
        <w:spacing w:after="156"/>
        <w:ind w:left="902" w:firstLine="181"/>
        <w:rPr>
          <w:rFonts w:cs="Times New Roman"/>
          <w:sz w:val="21"/>
        </w:rPr>
      </w:pPr>
      <w:r>
        <w:rPr>
          <w:rFonts w:hint="eastAsia" w:cs="Times New Roman"/>
          <w:sz w:val="21"/>
        </w:rPr>
        <w:t>⑤</w:t>
      </w:r>
      <w:r>
        <w:rPr>
          <w:rFonts w:cs="Times New Roman"/>
          <w:sz w:val="21"/>
        </w:rPr>
        <w:t>承包人的主要</w:t>
      </w:r>
      <w:r>
        <w:rPr>
          <w:rFonts w:hint="eastAsia" w:cs="Times New Roman"/>
          <w:sz w:val="21"/>
        </w:rPr>
        <w:t>施工管理</w:t>
      </w:r>
      <w:r>
        <w:rPr>
          <w:rFonts w:cs="Times New Roman"/>
          <w:sz w:val="21"/>
        </w:rPr>
        <w:t>人员</w:t>
      </w:r>
      <w:r>
        <w:rPr>
          <w:rFonts w:hint="eastAsia" w:cs="Times New Roman"/>
          <w:sz w:val="21"/>
        </w:rPr>
        <w:t>同时</w:t>
      </w:r>
      <w:r>
        <w:rPr>
          <w:rFonts w:cs="Times New Roman"/>
          <w:sz w:val="21"/>
        </w:rPr>
        <w:t>兼任承包人其它</w:t>
      </w:r>
      <w:r>
        <w:rPr>
          <w:rFonts w:hint="eastAsia" w:cs="Times New Roman"/>
          <w:sz w:val="21"/>
        </w:rPr>
        <w:t>工程</w:t>
      </w:r>
      <w:r>
        <w:rPr>
          <w:rFonts w:cs="Times New Roman"/>
          <w:sz w:val="21"/>
        </w:rPr>
        <w:t>项目</w:t>
      </w:r>
      <w:r>
        <w:rPr>
          <w:rFonts w:hint="eastAsia" w:cs="Times New Roman"/>
          <w:sz w:val="21"/>
        </w:rPr>
        <w:t>的</w:t>
      </w:r>
      <w:r>
        <w:rPr>
          <w:rFonts w:cs="Times New Roman"/>
          <w:sz w:val="21"/>
        </w:rPr>
        <w:t>任何职务</w:t>
      </w:r>
      <w:r>
        <w:rPr>
          <w:rFonts w:hint="eastAsia" w:cs="Times New Roman"/>
          <w:sz w:val="21"/>
        </w:rPr>
        <w:t>。</w:t>
      </w:r>
    </w:p>
    <w:p w14:paraId="0C8752C7">
      <w:pPr>
        <w:widowControl w:val="0"/>
        <w:tabs>
          <w:tab w:val="left" w:pos="1620"/>
          <w:tab w:val="left" w:pos="2340"/>
        </w:tabs>
        <w:spacing w:after="156"/>
        <w:ind w:left="899"/>
        <w:rPr>
          <w:rFonts w:cs="Times New Roman"/>
          <w:sz w:val="21"/>
        </w:rPr>
      </w:pPr>
      <w:r>
        <w:rPr>
          <w:rFonts w:hint="eastAsia" w:cs="Times New Roman"/>
          <w:sz w:val="21"/>
        </w:rPr>
        <w:t>⑹</w:t>
      </w:r>
      <w:r>
        <w:rPr>
          <w:rFonts w:cs="Times New Roman"/>
          <w:sz w:val="21"/>
        </w:rPr>
        <w:t>发包人对于承包人主要施工管理人员</w:t>
      </w:r>
      <w:r>
        <w:rPr>
          <w:rFonts w:hint="eastAsia" w:cs="Times New Roman"/>
          <w:sz w:val="21"/>
        </w:rPr>
        <w:t>的资格或能力</w:t>
      </w:r>
      <w:r>
        <w:rPr>
          <w:rFonts w:cs="Times New Roman"/>
          <w:sz w:val="21"/>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cs="Times New Roman"/>
          <w:b/>
          <w:i/>
          <w:sz w:val="21"/>
        </w:rPr>
        <w:t>专用条款</w:t>
      </w:r>
      <w:r>
        <w:rPr>
          <w:rFonts w:cs="Times New Roman"/>
          <w:sz w:val="21"/>
        </w:rPr>
        <w:t>的约定承担违约责任。</w:t>
      </w:r>
    </w:p>
    <w:p w14:paraId="056D9F34">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联合体承包人</w:t>
      </w:r>
    </w:p>
    <w:p w14:paraId="7932579D">
      <w:pPr>
        <w:widowControl w:val="0"/>
        <w:tabs>
          <w:tab w:val="left" w:pos="1620"/>
          <w:tab w:val="left" w:pos="2340"/>
        </w:tabs>
        <w:ind w:left="899"/>
        <w:rPr>
          <w:rFonts w:cs="Times New Roman"/>
          <w:sz w:val="21"/>
        </w:rPr>
      </w:pPr>
      <w:r>
        <w:rPr>
          <w:rFonts w:hint="eastAsia" w:cs="Times New Roman"/>
          <w:sz w:val="21"/>
        </w:rPr>
        <w:t>如果承包人是由两个或两个以上的当事人依法组成的联营体、联合体或其他形式的组合：</w:t>
      </w:r>
    </w:p>
    <w:p w14:paraId="7C8C3E75">
      <w:pPr>
        <w:widowControl w:val="0"/>
        <w:tabs>
          <w:tab w:val="left" w:pos="1620"/>
          <w:tab w:val="left" w:pos="2340"/>
        </w:tabs>
        <w:ind w:left="899" w:firstLine="181"/>
        <w:rPr>
          <w:rFonts w:cs="Times New Roman"/>
          <w:sz w:val="21"/>
        </w:rPr>
      </w:pPr>
      <w:r>
        <w:rPr>
          <w:rFonts w:hint="eastAsia" w:cs="Times New Roman"/>
          <w:sz w:val="21"/>
        </w:rPr>
        <w:t>①各成员在履行合同上对发包人负有共同的和各自的责任；</w:t>
      </w:r>
    </w:p>
    <w:p w14:paraId="76F64AF0">
      <w:pPr>
        <w:widowControl w:val="0"/>
        <w:tabs>
          <w:tab w:val="left" w:pos="1620"/>
          <w:tab w:val="left" w:pos="2340"/>
        </w:tabs>
        <w:ind w:left="899" w:firstLine="181"/>
        <w:rPr>
          <w:rFonts w:cs="Times New Roman"/>
          <w:sz w:val="21"/>
        </w:rPr>
      </w:pPr>
      <w:r>
        <w:rPr>
          <w:rFonts w:hint="eastAsia" w:cs="Times New Roman"/>
          <w:sz w:val="21"/>
        </w:rPr>
        <w:t>②各成员应将有权约束承包人及其各自的负责人通知发包人；</w:t>
      </w:r>
    </w:p>
    <w:p w14:paraId="45F0D6BA">
      <w:pPr>
        <w:widowControl w:val="0"/>
        <w:tabs>
          <w:tab w:val="left" w:pos="1620"/>
          <w:tab w:val="left" w:pos="2340"/>
        </w:tabs>
        <w:ind w:left="899" w:firstLine="181"/>
        <w:rPr>
          <w:rFonts w:cs="Times New Roman"/>
          <w:sz w:val="21"/>
        </w:rPr>
      </w:pPr>
      <w:r>
        <w:rPr>
          <w:rFonts w:hint="eastAsia" w:cs="Times New Roman"/>
          <w:sz w:val="21"/>
        </w:rPr>
        <w:t>③未经发包人事先同意，承包人不得改变其组成或法律地位；</w:t>
      </w:r>
    </w:p>
    <w:p w14:paraId="77967BE9">
      <w:pPr>
        <w:widowControl w:val="0"/>
        <w:tabs>
          <w:tab w:val="left" w:pos="1620"/>
          <w:tab w:val="left" w:pos="2340"/>
        </w:tabs>
        <w:ind w:left="899" w:firstLine="181"/>
        <w:rPr>
          <w:rFonts w:cs="Times New Roman"/>
          <w:sz w:val="21"/>
        </w:rPr>
      </w:pPr>
      <w:r>
        <w:rPr>
          <w:rFonts w:hint="eastAsia" w:cs="Times New Roman"/>
          <w:sz w:val="21"/>
        </w:rPr>
        <w:t>④各成员的责任、权利、义务、合同价款的分配比例及方式在联合体协议中明确。</w:t>
      </w:r>
    </w:p>
    <w:p w14:paraId="34E0394D">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ascii="华文细黑" w:cs="Times New Roman"/>
          <w:b/>
          <w:bCs/>
          <w:snapToGrid w:val="0"/>
          <w:sz w:val="28"/>
          <w:szCs w:val="44"/>
        </w:rPr>
        <w:t>监理人</w:t>
      </w:r>
    </w:p>
    <w:p w14:paraId="51166C36">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监理人</w:t>
      </w:r>
      <w:r>
        <w:rPr>
          <w:rFonts w:hint="eastAsia" w:cs="Times New Roman"/>
          <w:b/>
          <w:bCs/>
        </w:rPr>
        <w:t>的通知</w:t>
      </w:r>
    </w:p>
    <w:p w14:paraId="3B9588C1">
      <w:pPr>
        <w:widowControl w:val="0"/>
        <w:tabs>
          <w:tab w:val="left" w:pos="1620"/>
          <w:tab w:val="left" w:pos="2340"/>
        </w:tabs>
        <w:spacing w:after="156"/>
        <w:ind w:left="899"/>
        <w:rPr>
          <w:rFonts w:cs="Times New Roman"/>
          <w:sz w:val="21"/>
        </w:rPr>
      </w:pPr>
      <w:r>
        <w:rPr>
          <w:rFonts w:hint="eastAsia" w:cs="Times New Roman"/>
          <w:sz w:val="21"/>
        </w:rPr>
        <w:t>发包人应在本合同</w:t>
      </w:r>
      <w:r>
        <w:rPr>
          <w:rFonts w:hint="eastAsia" w:cs="Times New Roman"/>
          <w:b/>
          <w:i/>
          <w:sz w:val="21"/>
        </w:rPr>
        <w:t>专用条款</w:t>
      </w:r>
      <w:r>
        <w:rPr>
          <w:rFonts w:hint="eastAsia" w:cs="Times New Roman"/>
          <w:sz w:val="21"/>
        </w:rPr>
        <w:t>中列明</w:t>
      </w:r>
      <w:r>
        <w:rPr>
          <w:rFonts w:cs="Times New Roman"/>
          <w:sz w:val="21"/>
        </w:rPr>
        <w:t>监理人</w:t>
      </w:r>
      <w:r>
        <w:rPr>
          <w:rFonts w:hint="eastAsia" w:cs="Times New Roman"/>
          <w:sz w:val="21"/>
        </w:rPr>
        <w:t>。实施监理的工程，发包人应在开工前将</w:t>
      </w:r>
      <w:r>
        <w:rPr>
          <w:rFonts w:cs="Times New Roman"/>
          <w:sz w:val="21"/>
        </w:rPr>
        <w:t>监理人</w:t>
      </w:r>
      <w:r>
        <w:rPr>
          <w:rFonts w:hint="eastAsia" w:cs="Times New Roman"/>
          <w:sz w:val="21"/>
        </w:rPr>
        <w:t>和总监理工程师的名称、姓名、监理内容书面通知承包人。发包人如需更换</w:t>
      </w:r>
      <w:r>
        <w:rPr>
          <w:rFonts w:cs="Times New Roman"/>
          <w:sz w:val="21"/>
        </w:rPr>
        <w:t>监理人</w:t>
      </w:r>
      <w:r>
        <w:rPr>
          <w:rFonts w:hint="eastAsia" w:cs="Times New Roman"/>
          <w:sz w:val="21"/>
        </w:rPr>
        <w:t>，应至少提前7天以书面形式通知承包人。</w:t>
      </w:r>
    </w:p>
    <w:p w14:paraId="7D927483">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监理人</w:t>
      </w:r>
      <w:r>
        <w:rPr>
          <w:rFonts w:hint="eastAsia" w:cs="Times New Roman"/>
          <w:b/>
          <w:bCs/>
        </w:rPr>
        <w:t>的职权</w:t>
      </w:r>
    </w:p>
    <w:p w14:paraId="12F9E86B">
      <w:pPr>
        <w:widowControl w:val="0"/>
        <w:tabs>
          <w:tab w:val="left" w:pos="1620"/>
          <w:tab w:val="left" w:pos="2340"/>
        </w:tabs>
        <w:spacing w:after="156"/>
        <w:ind w:left="899"/>
        <w:rPr>
          <w:rFonts w:cs="Times New Roman"/>
          <w:sz w:val="21"/>
        </w:rPr>
      </w:pPr>
      <w:r>
        <w:rPr>
          <w:rFonts w:cs="Times New Roman"/>
          <w:sz w:val="21"/>
        </w:rPr>
        <w:t>监理人</w:t>
      </w:r>
      <w:r>
        <w:rPr>
          <w:rFonts w:hint="eastAsia" w:cs="Times New Roman"/>
          <w:sz w:val="21"/>
        </w:rPr>
        <w:t>应履行本合同条款约定的职责，行使本合同订明或必然隐含的权力。除合同明确说明外，</w:t>
      </w:r>
      <w:r>
        <w:rPr>
          <w:rFonts w:cs="Times New Roman"/>
          <w:sz w:val="21"/>
        </w:rPr>
        <w:t>监理人</w:t>
      </w:r>
      <w:r>
        <w:rPr>
          <w:rFonts w:hint="eastAsia" w:cs="Times New Roman"/>
          <w:sz w:val="21"/>
        </w:rPr>
        <w:t>无权修改合同，亦无权免除承包人在合同内的任何职责和义务。</w:t>
      </w:r>
      <w:r>
        <w:rPr>
          <w:rFonts w:cs="Times New Roman"/>
          <w:sz w:val="21"/>
        </w:rPr>
        <w:t>监理人</w:t>
      </w:r>
      <w:r>
        <w:rPr>
          <w:rFonts w:hint="eastAsia" w:cs="Times New Roman"/>
          <w:sz w:val="21"/>
        </w:rPr>
        <w:t>在履行和行使其职权时，其任何行为或遗漏，不免除承包人履行合同约定的任何职责和义务。</w:t>
      </w:r>
    </w:p>
    <w:p w14:paraId="01A9F076">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监理人</w:t>
      </w:r>
      <w:r>
        <w:rPr>
          <w:rFonts w:hint="eastAsia" w:cs="Times New Roman"/>
          <w:b/>
          <w:bCs/>
        </w:rPr>
        <w:t>权力的限制</w:t>
      </w:r>
    </w:p>
    <w:p w14:paraId="598FA1FE">
      <w:pPr>
        <w:widowControl w:val="0"/>
        <w:tabs>
          <w:tab w:val="left" w:pos="1620"/>
          <w:tab w:val="left" w:pos="2340"/>
        </w:tabs>
        <w:ind w:left="899"/>
        <w:rPr>
          <w:rFonts w:cs="Times New Roman"/>
          <w:sz w:val="21"/>
        </w:rPr>
      </w:pPr>
      <w:r>
        <w:rPr>
          <w:rFonts w:hint="eastAsia" w:cs="Times New Roman"/>
          <w:sz w:val="21"/>
        </w:rPr>
        <w:t>⑴</w:t>
      </w:r>
      <w:r>
        <w:rPr>
          <w:rFonts w:cs="Times New Roman"/>
          <w:sz w:val="21"/>
        </w:rPr>
        <w:t>监理人</w:t>
      </w:r>
      <w:r>
        <w:rPr>
          <w:rFonts w:hint="eastAsia" w:cs="Times New Roman"/>
          <w:sz w:val="21"/>
        </w:rPr>
        <w:t>行使下列权力时，应先取得发包人的批准。但是，当</w:t>
      </w:r>
      <w:r>
        <w:rPr>
          <w:rFonts w:cs="Times New Roman"/>
          <w:sz w:val="21"/>
        </w:rPr>
        <w:t>监理人</w:t>
      </w:r>
      <w:r>
        <w:rPr>
          <w:rFonts w:hint="eastAsia" w:cs="Times New Roman"/>
          <w:sz w:val="21"/>
        </w:rPr>
        <w:t>行使下列需经发包人批准的权力时，应视为发包人已予批准：</w:t>
      </w:r>
    </w:p>
    <w:p w14:paraId="31FFCEC2">
      <w:pPr>
        <w:widowControl w:val="0"/>
        <w:tabs>
          <w:tab w:val="left" w:pos="1620"/>
          <w:tab w:val="left" w:pos="2340"/>
        </w:tabs>
        <w:ind w:left="1079"/>
        <w:rPr>
          <w:rFonts w:cs="Times New Roman"/>
          <w:sz w:val="21"/>
        </w:rPr>
      </w:pPr>
      <w:r>
        <w:rPr>
          <w:rFonts w:hint="eastAsia" w:cs="Times New Roman"/>
          <w:sz w:val="21"/>
        </w:rPr>
        <w:t>①发布开工令、停工令、复工令；</w:t>
      </w:r>
    </w:p>
    <w:p w14:paraId="1D5B3F62">
      <w:pPr>
        <w:widowControl w:val="0"/>
        <w:tabs>
          <w:tab w:val="left" w:pos="1620"/>
          <w:tab w:val="left" w:pos="2340"/>
        </w:tabs>
        <w:ind w:left="1079"/>
        <w:rPr>
          <w:rFonts w:cs="Times New Roman"/>
          <w:sz w:val="21"/>
        </w:rPr>
      </w:pPr>
      <w:r>
        <w:rPr>
          <w:rFonts w:hint="eastAsia" w:cs="Times New Roman"/>
          <w:sz w:val="21"/>
        </w:rPr>
        <w:t>②向</w:t>
      </w:r>
      <w:r>
        <w:rPr>
          <w:rFonts w:cs="Times New Roman"/>
          <w:sz w:val="21"/>
        </w:rPr>
        <w:t>设计人</w:t>
      </w:r>
      <w:r>
        <w:rPr>
          <w:rFonts w:hint="eastAsia" w:cs="Times New Roman"/>
          <w:sz w:val="21"/>
        </w:rPr>
        <w:t>或承包人提出建议且提出的建议可能会提高工程造价或延误工期；</w:t>
      </w:r>
    </w:p>
    <w:p w14:paraId="1570C992">
      <w:pPr>
        <w:widowControl w:val="0"/>
        <w:tabs>
          <w:tab w:val="left" w:pos="1620"/>
          <w:tab w:val="left" w:pos="2340"/>
        </w:tabs>
        <w:ind w:left="1079"/>
        <w:rPr>
          <w:rFonts w:cs="Times New Roman"/>
          <w:sz w:val="21"/>
        </w:rPr>
      </w:pPr>
      <w:r>
        <w:rPr>
          <w:rFonts w:hint="eastAsia" w:cs="Times New Roman"/>
          <w:sz w:val="21"/>
        </w:rPr>
        <w:t>③对本工程任何形式、数量、质量、价款和内容上的变动；</w:t>
      </w:r>
    </w:p>
    <w:p w14:paraId="17E4E370">
      <w:pPr>
        <w:widowControl w:val="0"/>
        <w:tabs>
          <w:tab w:val="left" w:pos="1620"/>
          <w:tab w:val="left" w:pos="2340"/>
        </w:tabs>
        <w:ind w:left="1079"/>
        <w:rPr>
          <w:rFonts w:cs="Times New Roman"/>
          <w:sz w:val="21"/>
        </w:rPr>
      </w:pPr>
      <w:r>
        <w:rPr>
          <w:rFonts w:hint="eastAsia" w:cs="Times New Roman"/>
          <w:sz w:val="21"/>
        </w:rPr>
        <w:t>④对合同约定的承包人职责和义务进行变更；</w:t>
      </w:r>
    </w:p>
    <w:p w14:paraId="525EE93D">
      <w:pPr>
        <w:widowControl w:val="0"/>
        <w:tabs>
          <w:tab w:val="left" w:pos="1620"/>
          <w:tab w:val="left" w:pos="2340"/>
        </w:tabs>
        <w:ind w:left="1079"/>
        <w:rPr>
          <w:rFonts w:cs="Times New Roman"/>
          <w:sz w:val="21"/>
        </w:rPr>
      </w:pPr>
      <w:r>
        <w:rPr>
          <w:rFonts w:hint="eastAsia" w:cs="Times New Roman"/>
          <w:sz w:val="21"/>
        </w:rPr>
        <w:t>⑤提出或批准索赔；</w:t>
      </w:r>
    </w:p>
    <w:p w14:paraId="144BC73D">
      <w:pPr>
        <w:widowControl w:val="0"/>
        <w:tabs>
          <w:tab w:val="left" w:pos="1620"/>
          <w:tab w:val="left" w:pos="2340"/>
        </w:tabs>
        <w:ind w:left="1079"/>
        <w:rPr>
          <w:rFonts w:cs="Times New Roman"/>
          <w:sz w:val="21"/>
        </w:rPr>
      </w:pPr>
      <w:r>
        <w:rPr>
          <w:rFonts w:hint="eastAsia" w:cs="Times New Roman"/>
          <w:sz w:val="21"/>
        </w:rPr>
        <w:t>⑥签发工程款支付证书；</w:t>
      </w:r>
    </w:p>
    <w:p w14:paraId="7C41CEFB">
      <w:pPr>
        <w:widowControl w:val="0"/>
        <w:tabs>
          <w:tab w:val="left" w:pos="1620"/>
          <w:tab w:val="left" w:pos="2340"/>
        </w:tabs>
        <w:ind w:left="1079"/>
        <w:rPr>
          <w:rFonts w:cs="Times New Roman"/>
          <w:sz w:val="21"/>
        </w:rPr>
      </w:pPr>
      <w:r>
        <w:rPr>
          <w:rFonts w:hint="eastAsia" w:cs="Times New Roman"/>
          <w:sz w:val="21"/>
        </w:rPr>
        <w:t>⑦合同条款中明确约定应取得发包人批准的其他权力；</w:t>
      </w:r>
    </w:p>
    <w:p w14:paraId="3CCDE469">
      <w:pPr>
        <w:widowControl w:val="0"/>
        <w:tabs>
          <w:tab w:val="left" w:pos="1620"/>
          <w:tab w:val="left" w:pos="2340"/>
        </w:tabs>
        <w:ind w:left="1079"/>
        <w:rPr>
          <w:rFonts w:cs="Times New Roman"/>
          <w:sz w:val="21"/>
        </w:rPr>
      </w:pPr>
      <w:r>
        <w:rPr>
          <w:rFonts w:hint="eastAsia" w:cs="Times New Roman"/>
          <w:sz w:val="21"/>
        </w:rPr>
        <w:t>⑧</w:t>
      </w:r>
      <w:r>
        <w:rPr>
          <w:rFonts w:hint="eastAsia" w:cs="Times New Roman"/>
          <w:b/>
          <w:i/>
          <w:sz w:val="21"/>
        </w:rPr>
        <w:t>专用条款</w:t>
      </w:r>
      <w:r>
        <w:rPr>
          <w:rFonts w:hint="eastAsia" w:cs="Times New Roman"/>
          <w:sz w:val="21"/>
        </w:rPr>
        <w:t>中明确的其他需经发包人批准的权力。</w:t>
      </w:r>
    </w:p>
    <w:p w14:paraId="5CE68274">
      <w:pPr>
        <w:widowControl w:val="0"/>
        <w:tabs>
          <w:tab w:val="left" w:pos="1620"/>
          <w:tab w:val="left" w:pos="2340"/>
        </w:tabs>
        <w:spacing w:before="156" w:after="156"/>
        <w:ind w:left="899"/>
        <w:rPr>
          <w:rFonts w:cs="Times New Roman"/>
          <w:sz w:val="21"/>
        </w:rPr>
      </w:pPr>
      <w:r>
        <w:rPr>
          <w:rFonts w:hint="eastAsia" w:cs="Times New Roman"/>
          <w:sz w:val="21"/>
        </w:rPr>
        <w:t>⑵当</w:t>
      </w:r>
      <w:r>
        <w:rPr>
          <w:rFonts w:cs="Times New Roman"/>
          <w:sz w:val="21"/>
        </w:rPr>
        <w:t>监理人</w:t>
      </w:r>
      <w:r>
        <w:rPr>
          <w:rFonts w:hint="eastAsia" w:cs="Times New Roman"/>
          <w:sz w:val="21"/>
        </w:rPr>
        <w:t>认为出现了危及人身、财产安全和立即影响工程安危的紧急情况，且不可能在事前把情况报告给发包人时，在不免除合同约定的承包人的任何职责和义务的情况下，</w:t>
      </w:r>
      <w:r>
        <w:rPr>
          <w:rFonts w:cs="Times New Roman"/>
          <w:sz w:val="21"/>
        </w:rPr>
        <w:t>监理人</w:t>
      </w:r>
      <w:r>
        <w:rPr>
          <w:rFonts w:hint="eastAsia" w:cs="Times New Roman"/>
          <w:sz w:val="21"/>
        </w:rPr>
        <w:t>可先行行使5.3款⑴中的权力，并应在事后24小时内向发包人作出书面报告。</w:t>
      </w:r>
    </w:p>
    <w:p w14:paraId="4D1E9D2A">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总监理工程师</w:t>
      </w:r>
    </w:p>
    <w:p w14:paraId="751287AE">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监理人</w:t>
      </w:r>
      <w:r>
        <w:rPr>
          <w:rFonts w:hint="eastAsia" w:cs="Times New Roman"/>
          <w:sz w:val="21"/>
        </w:rPr>
        <w:t>可随时将其任何职责和权力授予其任命的总监理工程师(按有关规定或发包人指定必须由</w:t>
      </w:r>
      <w:r>
        <w:rPr>
          <w:rFonts w:cs="Times New Roman"/>
          <w:sz w:val="21"/>
        </w:rPr>
        <w:t>监理人</w:t>
      </w:r>
      <w:r>
        <w:rPr>
          <w:rFonts w:hint="eastAsia" w:cs="Times New Roman"/>
          <w:sz w:val="21"/>
        </w:rPr>
        <w:t>亲自履行的职权不得转授)，亦可随时将其授予总监理工程师的任何职权撤回。任何此类授权和撤回应由</w:t>
      </w:r>
      <w:r>
        <w:rPr>
          <w:rFonts w:cs="Times New Roman"/>
          <w:sz w:val="21"/>
        </w:rPr>
        <w:t>监理人</w:t>
      </w:r>
      <w:r>
        <w:rPr>
          <w:rFonts w:hint="eastAsia" w:cs="Times New Roman"/>
          <w:sz w:val="21"/>
        </w:rPr>
        <w:t>提前7天以书面形式通知发包人和承包人，在未将有关文件副本送交承包人之前，该项授权和撤回不能生效。</w:t>
      </w:r>
    </w:p>
    <w:p w14:paraId="7525F496">
      <w:pPr>
        <w:widowControl w:val="0"/>
        <w:tabs>
          <w:tab w:val="left" w:pos="1620"/>
          <w:tab w:val="left" w:pos="2340"/>
        </w:tabs>
        <w:spacing w:after="156"/>
        <w:ind w:left="899"/>
        <w:rPr>
          <w:rFonts w:cs="Times New Roman"/>
          <w:sz w:val="21"/>
        </w:rPr>
      </w:pPr>
      <w:r>
        <w:rPr>
          <w:rFonts w:hint="eastAsia" w:cs="Times New Roman"/>
          <w:sz w:val="21"/>
        </w:rPr>
        <w:t>⑵总监理工程师对</w:t>
      </w:r>
      <w:r>
        <w:rPr>
          <w:rFonts w:cs="Times New Roman"/>
          <w:sz w:val="21"/>
        </w:rPr>
        <w:t>监理人</w:t>
      </w:r>
      <w:r>
        <w:rPr>
          <w:rFonts w:hint="eastAsia" w:cs="Times New Roman"/>
          <w:sz w:val="21"/>
        </w:rPr>
        <w:t>负责，履行和行使</w:t>
      </w:r>
      <w:r>
        <w:rPr>
          <w:rFonts w:cs="Times New Roman"/>
          <w:sz w:val="21"/>
        </w:rPr>
        <w:t>监理人</w:t>
      </w:r>
      <w:r>
        <w:rPr>
          <w:rFonts w:hint="eastAsia" w:cs="Times New Roman"/>
          <w:sz w:val="21"/>
        </w:rPr>
        <w:t>授予的职责和权力。总监理工程师在其授权范围内履行职权时，视同</w:t>
      </w:r>
      <w:r>
        <w:rPr>
          <w:rFonts w:cs="Times New Roman"/>
          <w:sz w:val="21"/>
        </w:rPr>
        <w:t>监理人</w:t>
      </w:r>
      <w:r>
        <w:rPr>
          <w:rFonts w:hint="eastAsia" w:cs="Times New Roman"/>
          <w:sz w:val="21"/>
        </w:rPr>
        <w:t>。</w:t>
      </w:r>
    </w:p>
    <w:p w14:paraId="040F1C68">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监理人</w:t>
      </w:r>
      <w:r>
        <w:rPr>
          <w:rFonts w:hint="eastAsia" w:cs="Times New Roman"/>
          <w:b/>
          <w:bCs/>
        </w:rPr>
        <w:t>指令</w:t>
      </w:r>
    </w:p>
    <w:p w14:paraId="58C44CC0">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监理人</w:t>
      </w:r>
      <w:r>
        <w:rPr>
          <w:rFonts w:hint="eastAsia" w:cs="Times New Roman"/>
          <w:sz w:val="21"/>
        </w:rPr>
        <w:t>应按合同约定，及时向承包人提供所需的指令。</w:t>
      </w:r>
      <w:r>
        <w:rPr>
          <w:rFonts w:cs="Times New Roman"/>
          <w:sz w:val="21"/>
        </w:rPr>
        <w:t>监理人</w:t>
      </w:r>
      <w:r>
        <w:rPr>
          <w:rFonts w:hint="eastAsia" w:cs="Times New Roman"/>
          <w:sz w:val="21"/>
        </w:rPr>
        <w:t>的指令以书面形式送达项目经理，项目经理在回执上签署姓名和收到时间后生效。</w:t>
      </w:r>
    </w:p>
    <w:p w14:paraId="17624F78">
      <w:pPr>
        <w:widowControl w:val="0"/>
        <w:tabs>
          <w:tab w:val="left" w:pos="1620"/>
          <w:tab w:val="left" w:pos="2340"/>
        </w:tabs>
        <w:spacing w:after="156"/>
        <w:ind w:left="899"/>
        <w:rPr>
          <w:rFonts w:cs="Times New Roman"/>
          <w:sz w:val="21"/>
        </w:rPr>
      </w:pPr>
      <w:r>
        <w:rPr>
          <w:rFonts w:hint="eastAsia" w:cs="Times New Roman"/>
          <w:sz w:val="21"/>
        </w:rPr>
        <w:t>⑵必要时，</w:t>
      </w:r>
      <w:r>
        <w:rPr>
          <w:rFonts w:cs="Times New Roman"/>
          <w:sz w:val="21"/>
        </w:rPr>
        <w:t>监理人</w:t>
      </w:r>
      <w:r>
        <w:rPr>
          <w:rFonts w:hint="eastAsia" w:cs="Times New Roman"/>
          <w:sz w:val="21"/>
        </w:rPr>
        <w:t>可以发出口头指令，并在48小时内给予书面确认。对</w:t>
      </w:r>
      <w:r>
        <w:rPr>
          <w:rFonts w:cs="Times New Roman"/>
          <w:sz w:val="21"/>
        </w:rPr>
        <w:t>监理人</w:t>
      </w:r>
      <w:r>
        <w:rPr>
          <w:rFonts w:hint="eastAsia" w:cs="Times New Roman"/>
          <w:sz w:val="21"/>
        </w:rPr>
        <w:t>的口头指令，承包人应予执行。如承包人在</w:t>
      </w:r>
      <w:r>
        <w:rPr>
          <w:rFonts w:cs="Times New Roman"/>
          <w:sz w:val="21"/>
        </w:rPr>
        <w:t>监理人</w:t>
      </w:r>
      <w:r>
        <w:rPr>
          <w:rFonts w:hint="eastAsia" w:cs="Times New Roman"/>
          <w:sz w:val="21"/>
        </w:rPr>
        <w:t>发出的口头指令48小时之后，未收到</w:t>
      </w:r>
      <w:r>
        <w:rPr>
          <w:rFonts w:cs="Times New Roman"/>
          <w:sz w:val="21"/>
        </w:rPr>
        <w:t>监理人</w:t>
      </w:r>
      <w:r>
        <w:rPr>
          <w:rFonts w:hint="eastAsia" w:cs="Times New Roman"/>
          <w:sz w:val="21"/>
        </w:rPr>
        <w:t>的书面确认，应在</w:t>
      </w:r>
      <w:r>
        <w:rPr>
          <w:rFonts w:cs="Times New Roman"/>
          <w:sz w:val="21"/>
        </w:rPr>
        <w:t>监理人</w:t>
      </w:r>
      <w:r>
        <w:rPr>
          <w:rFonts w:hint="eastAsia" w:cs="Times New Roman"/>
          <w:sz w:val="21"/>
        </w:rPr>
        <w:t>发出口头指令后7天内提出书面确认要求，</w:t>
      </w:r>
      <w:r>
        <w:rPr>
          <w:rFonts w:cs="Times New Roman"/>
          <w:sz w:val="21"/>
        </w:rPr>
        <w:t>监理人</w:t>
      </w:r>
      <w:r>
        <w:rPr>
          <w:rFonts w:hint="eastAsia" w:cs="Times New Roman"/>
          <w:sz w:val="21"/>
        </w:rPr>
        <w:t>应在承包人提出书面确认要求后48小时内给予答复，逾期不予答复的，视为口头指令已被确认。</w:t>
      </w:r>
    </w:p>
    <w:p w14:paraId="79A868C5">
      <w:pPr>
        <w:widowControl w:val="0"/>
        <w:tabs>
          <w:tab w:val="left" w:pos="1620"/>
          <w:tab w:val="left" w:pos="2340"/>
        </w:tabs>
        <w:spacing w:after="156"/>
        <w:ind w:left="899"/>
        <w:rPr>
          <w:rFonts w:cs="Times New Roman"/>
          <w:sz w:val="21"/>
        </w:rPr>
      </w:pPr>
      <w:r>
        <w:rPr>
          <w:rFonts w:hint="eastAsia" w:cs="Times New Roman"/>
          <w:sz w:val="21"/>
        </w:rPr>
        <w:t>⑶承包人认为</w:t>
      </w:r>
      <w:r>
        <w:rPr>
          <w:rFonts w:cs="Times New Roman"/>
          <w:sz w:val="21"/>
        </w:rPr>
        <w:t>监理人</w:t>
      </w:r>
      <w:r>
        <w:rPr>
          <w:rFonts w:hint="eastAsia" w:cs="Times New Roman"/>
          <w:sz w:val="21"/>
        </w:rPr>
        <w:t>的指令不合理，应在收到指令后24小时内向</w:t>
      </w:r>
      <w:r>
        <w:rPr>
          <w:rFonts w:cs="Times New Roman"/>
          <w:sz w:val="21"/>
        </w:rPr>
        <w:t>监理人</w:t>
      </w:r>
      <w:r>
        <w:rPr>
          <w:rFonts w:hint="eastAsia" w:cs="Times New Roman"/>
          <w:sz w:val="21"/>
        </w:rPr>
        <w:t>报告，</w:t>
      </w:r>
      <w:r>
        <w:rPr>
          <w:rFonts w:cs="Times New Roman"/>
          <w:sz w:val="21"/>
        </w:rPr>
        <w:t>监理人</w:t>
      </w:r>
      <w:r>
        <w:rPr>
          <w:rFonts w:hint="eastAsia" w:cs="Times New Roman"/>
          <w:sz w:val="21"/>
        </w:rPr>
        <w:t>应在收到承包人报告后24小时内作出修改指令或继续执行原指令的决定，通知承包人。</w:t>
      </w:r>
      <w:r>
        <w:rPr>
          <w:rFonts w:cs="Times New Roman"/>
          <w:sz w:val="21"/>
        </w:rPr>
        <w:t>监理人逾期未回复的，承包人有权拒绝执行上述指示。</w:t>
      </w:r>
    </w:p>
    <w:p w14:paraId="6C5CAEAA">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监理人对承包人的任何工作、工程或其采用的材料和工程设备未在约定的或合理期限内提出意见的，视为批准，但不免除或减轻承包人对该工作、工程、材料、工程设备等应承担的责任和义务。</w:t>
      </w:r>
    </w:p>
    <w:p w14:paraId="068C782E">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监理人</w:t>
      </w:r>
      <w:r>
        <w:rPr>
          <w:rFonts w:hint="eastAsia" w:cs="Times New Roman"/>
          <w:b/>
          <w:bCs/>
        </w:rPr>
        <w:t>未尽义务或失误</w:t>
      </w:r>
    </w:p>
    <w:p w14:paraId="0948DD2D">
      <w:pPr>
        <w:widowControl w:val="0"/>
        <w:tabs>
          <w:tab w:val="left" w:pos="1620"/>
          <w:tab w:val="left" w:pos="2340"/>
        </w:tabs>
        <w:spacing w:after="156"/>
        <w:ind w:left="899"/>
        <w:rPr>
          <w:rFonts w:cs="Times New Roman"/>
          <w:sz w:val="21"/>
        </w:rPr>
      </w:pPr>
      <w:r>
        <w:rPr>
          <w:rFonts w:cs="Times New Roman"/>
          <w:sz w:val="21"/>
        </w:rPr>
        <w:t>监理人</w:t>
      </w:r>
      <w:r>
        <w:rPr>
          <w:rFonts w:hint="eastAsia" w:cs="Times New Roman"/>
          <w:sz w:val="21"/>
        </w:rPr>
        <w:t>应按本合同约定，及时向承包人提供所需的指令、批准并履行约定的其他义务。因</w:t>
      </w:r>
      <w:r>
        <w:rPr>
          <w:rFonts w:cs="Times New Roman"/>
          <w:sz w:val="21"/>
        </w:rPr>
        <w:t>监理人</w:t>
      </w:r>
      <w:r>
        <w:rPr>
          <w:rFonts w:hint="eastAsia" w:cs="Times New Roman"/>
          <w:sz w:val="21"/>
        </w:rPr>
        <w:t>未能按合同约定履行义务或因</w:t>
      </w:r>
      <w:r>
        <w:rPr>
          <w:rFonts w:cs="Times New Roman"/>
          <w:sz w:val="21"/>
        </w:rPr>
        <w:t>监理人</w:t>
      </w:r>
      <w:r>
        <w:rPr>
          <w:rFonts w:hint="eastAsia" w:cs="Times New Roman"/>
          <w:sz w:val="21"/>
        </w:rPr>
        <w:t>的失误，给承包人造成损失和(或)导致工期延误的，发包人应赔偿承包人的损失，顺延延误的工期。</w:t>
      </w:r>
    </w:p>
    <w:p w14:paraId="3BBFF9F4">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转让、分包</w:t>
      </w:r>
    </w:p>
    <w:p w14:paraId="55ADECEC">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转让</w:t>
      </w:r>
    </w:p>
    <w:p w14:paraId="7524B163">
      <w:pPr>
        <w:widowControl w:val="0"/>
        <w:tabs>
          <w:tab w:val="left" w:pos="1620"/>
          <w:tab w:val="left" w:pos="2340"/>
        </w:tabs>
        <w:spacing w:after="156"/>
        <w:ind w:left="899"/>
        <w:rPr>
          <w:rFonts w:cs="Times New Roman"/>
          <w:sz w:val="21"/>
        </w:rPr>
      </w:pPr>
      <w:r>
        <w:rPr>
          <w:rFonts w:hint="eastAsia" w:cs="Times New Roman"/>
          <w:sz w:val="21"/>
        </w:rPr>
        <w:t>承包人不得将本合同的全部工程或其中任何部分转让给其他单位或个人。如承包人有上述转让行为，按照</w:t>
      </w:r>
      <w:r>
        <w:rPr>
          <w:rFonts w:hint="eastAsia" w:cs="Times New Roman"/>
          <w:b/>
          <w:i/>
          <w:sz w:val="21"/>
        </w:rPr>
        <w:t>专用条款</w:t>
      </w:r>
      <w:r>
        <w:rPr>
          <w:rFonts w:hint="eastAsia" w:cs="Times New Roman"/>
          <w:sz w:val="21"/>
        </w:rPr>
        <w:t>的约定承担违约责任。</w:t>
      </w:r>
    </w:p>
    <w:p w14:paraId="097CAAB8">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分包</w:t>
      </w:r>
    </w:p>
    <w:p w14:paraId="24708AD9">
      <w:pPr>
        <w:widowControl w:val="0"/>
        <w:tabs>
          <w:tab w:val="left" w:pos="1620"/>
          <w:tab w:val="left" w:pos="2340"/>
        </w:tabs>
        <w:spacing w:after="156"/>
        <w:ind w:left="899"/>
        <w:rPr>
          <w:rFonts w:cs="Times New Roman"/>
          <w:sz w:val="21"/>
        </w:rPr>
      </w:pPr>
      <w:r>
        <w:rPr>
          <w:rFonts w:hint="eastAsia" w:cs="Times New Roman"/>
          <w:sz w:val="21"/>
        </w:rPr>
        <w:t>⑴如承包人不具备其本工程承包范围内的某专业工程的专项施工资质时，应对该专业工程实施分包。</w:t>
      </w:r>
    </w:p>
    <w:p w14:paraId="20B0D7A2">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承包人不得将工程主体结构、关键性工作及</w:t>
      </w:r>
      <w:r>
        <w:rPr>
          <w:rFonts w:cs="Times New Roman"/>
          <w:b/>
          <w:i/>
          <w:sz w:val="21"/>
        </w:rPr>
        <w:t>专用条款</w:t>
      </w:r>
      <w:r>
        <w:rPr>
          <w:rFonts w:cs="Times New Roman"/>
          <w:sz w:val="21"/>
        </w:rPr>
        <w:t>中禁止分包的专业工程分包给第三人，主体结构、关键性工作的范围由承发包双方按照法律规定在</w:t>
      </w:r>
      <w:r>
        <w:rPr>
          <w:rFonts w:cs="Times New Roman"/>
          <w:b/>
          <w:i/>
          <w:sz w:val="21"/>
        </w:rPr>
        <w:t>专用条款</w:t>
      </w:r>
      <w:r>
        <w:rPr>
          <w:rFonts w:cs="Times New Roman"/>
          <w:sz w:val="21"/>
        </w:rPr>
        <w:t>中予以明确。</w:t>
      </w:r>
    </w:p>
    <w:p w14:paraId="6189AEA3">
      <w:pPr>
        <w:widowControl w:val="0"/>
        <w:tabs>
          <w:tab w:val="left" w:pos="1620"/>
          <w:tab w:val="left" w:pos="2340"/>
        </w:tabs>
        <w:spacing w:after="156"/>
        <w:ind w:left="899"/>
        <w:rPr>
          <w:rFonts w:cs="Times New Roman"/>
          <w:sz w:val="21"/>
        </w:rPr>
      </w:pPr>
      <w:r>
        <w:rPr>
          <w:rFonts w:hint="eastAsia" w:cs="Times New Roman"/>
          <w:sz w:val="21"/>
        </w:rPr>
        <w:t>⑶未报经</w:t>
      </w:r>
      <w:r>
        <w:rPr>
          <w:rFonts w:cs="Times New Roman"/>
          <w:sz w:val="21"/>
        </w:rPr>
        <w:t>监理人</w:t>
      </w:r>
      <w:r>
        <w:rPr>
          <w:rFonts w:hint="eastAsia" w:cs="Times New Roman"/>
          <w:sz w:val="21"/>
        </w:rPr>
        <w:t>审查并取得发包人批准，承包人不得将其本工程承包范围内的任何部分工程分包。如承包人有未经发包人同意的分包行为，按照</w:t>
      </w:r>
      <w:r>
        <w:rPr>
          <w:rFonts w:hint="eastAsia" w:cs="Times New Roman"/>
          <w:b/>
          <w:i/>
          <w:sz w:val="21"/>
        </w:rPr>
        <w:t>专用条款</w:t>
      </w:r>
      <w:r>
        <w:rPr>
          <w:rFonts w:hint="eastAsia" w:cs="Times New Roman"/>
          <w:sz w:val="21"/>
        </w:rPr>
        <w:t>的约定承担违约责任。</w:t>
      </w:r>
    </w:p>
    <w:p w14:paraId="71C24622">
      <w:pPr>
        <w:widowControl w:val="0"/>
        <w:tabs>
          <w:tab w:val="left" w:pos="1620"/>
          <w:tab w:val="left" w:pos="2340"/>
        </w:tabs>
        <w:spacing w:after="156"/>
        <w:ind w:left="899"/>
        <w:rPr>
          <w:rFonts w:cs="Times New Roman"/>
          <w:sz w:val="21"/>
        </w:rPr>
      </w:pPr>
      <w:r>
        <w:rPr>
          <w:rFonts w:hint="eastAsia" w:cs="Times New Roman"/>
          <w:sz w:val="21"/>
        </w:rPr>
        <w:t>⑷承包人应禁止分包人将分包工程的任何部分再分包。如出现分包人将分包工程的任何部分再分包的行为，承包人应按照</w:t>
      </w:r>
      <w:r>
        <w:rPr>
          <w:rFonts w:hint="eastAsia" w:cs="Times New Roman"/>
          <w:b/>
          <w:i/>
          <w:sz w:val="21"/>
        </w:rPr>
        <w:t>专用条款</w:t>
      </w:r>
      <w:r>
        <w:rPr>
          <w:rFonts w:hint="eastAsia" w:cs="Times New Roman"/>
          <w:sz w:val="21"/>
        </w:rPr>
        <w:t>的约定承担违约责任。</w:t>
      </w:r>
    </w:p>
    <w:p w14:paraId="2C1A326E">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5 \* GB2</w:instrText>
      </w:r>
      <w:r>
        <w:rPr>
          <w:rFonts w:cs="Times New Roman"/>
          <w:sz w:val="21"/>
        </w:rPr>
        <w:fldChar w:fldCharType="separate"/>
      </w:r>
      <w:r>
        <w:rPr>
          <w:rFonts w:hint="eastAsia" w:cs="Times New Roman"/>
          <w:sz w:val="21"/>
        </w:rPr>
        <w:t>⑸</w:t>
      </w:r>
      <w:r>
        <w:rPr>
          <w:rFonts w:cs="Times New Roman"/>
          <w:sz w:val="21"/>
        </w:rPr>
        <w:fldChar w:fldCharType="end"/>
      </w:r>
      <w:r>
        <w:rPr>
          <w:rFonts w:hint="eastAsia" w:cs="Times New Roman"/>
          <w:sz w:val="21"/>
        </w:rPr>
        <w:t>承包人不得将其承包范围内全部工程肢解分包。如承包人有将其承包范围内全部工程肢解分包的行为，按照</w:t>
      </w:r>
      <w:r>
        <w:rPr>
          <w:rFonts w:hint="eastAsia" w:cs="Times New Roman"/>
          <w:b/>
          <w:i/>
          <w:sz w:val="21"/>
        </w:rPr>
        <w:t>专用条款</w:t>
      </w:r>
      <w:r>
        <w:rPr>
          <w:rFonts w:hint="eastAsia" w:cs="Times New Roman"/>
          <w:sz w:val="21"/>
        </w:rPr>
        <w:t>的约定承担违约责任。</w:t>
      </w:r>
    </w:p>
    <w:p w14:paraId="5C797593">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分包人的确定</w:t>
      </w:r>
    </w:p>
    <w:p w14:paraId="7A46D0D4">
      <w:pPr>
        <w:widowControl w:val="0"/>
        <w:tabs>
          <w:tab w:val="left" w:pos="1620"/>
          <w:tab w:val="left" w:pos="2340"/>
        </w:tabs>
        <w:spacing w:after="156"/>
        <w:ind w:left="899"/>
        <w:rPr>
          <w:rFonts w:cs="Times New Roman"/>
          <w:sz w:val="21"/>
        </w:rPr>
      </w:pPr>
      <w:r>
        <w:rPr>
          <w:rFonts w:hint="eastAsia" w:cs="Times New Roman"/>
          <w:sz w:val="21"/>
        </w:rPr>
        <w:t>⑴承包人按照6.2⑴款对某专业工程实施分包时，分包人必须具备承建该专业工程的施工资质条件，同时满足</w:t>
      </w:r>
      <w:r>
        <w:rPr>
          <w:rFonts w:hint="eastAsia" w:cs="Times New Roman"/>
          <w:b/>
          <w:i/>
          <w:sz w:val="21"/>
        </w:rPr>
        <w:t>专用条款</w:t>
      </w:r>
      <w:r>
        <w:rPr>
          <w:rFonts w:hint="eastAsia" w:cs="Times New Roman"/>
          <w:sz w:val="21"/>
        </w:rPr>
        <w:t>约定的条件。</w:t>
      </w:r>
    </w:p>
    <w:p w14:paraId="131CD44F">
      <w:pPr>
        <w:widowControl w:val="0"/>
        <w:tabs>
          <w:tab w:val="left" w:pos="1620"/>
          <w:tab w:val="left" w:pos="2340"/>
        </w:tabs>
        <w:spacing w:after="156"/>
        <w:ind w:left="899"/>
        <w:rPr>
          <w:rFonts w:cs="Times New Roman"/>
          <w:sz w:val="21"/>
        </w:rPr>
      </w:pPr>
      <w:r>
        <w:rPr>
          <w:rFonts w:hint="eastAsia" w:cs="Times New Roman"/>
          <w:sz w:val="21"/>
        </w:rPr>
        <w:t>⑵选择分包人时，承包人有义务依据</w:t>
      </w:r>
      <w:r>
        <w:rPr>
          <w:rFonts w:cs="Times New Roman"/>
          <w:sz w:val="21"/>
        </w:rPr>
        <w:t>监理人</w:t>
      </w:r>
      <w:r>
        <w:rPr>
          <w:rFonts w:hint="eastAsia" w:cs="Times New Roman"/>
          <w:sz w:val="21"/>
        </w:rPr>
        <w:t>的要求向</w:t>
      </w:r>
      <w:r>
        <w:rPr>
          <w:rFonts w:cs="Times New Roman"/>
          <w:sz w:val="21"/>
        </w:rPr>
        <w:t>监理人</w:t>
      </w:r>
      <w:r>
        <w:rPr>
          <w:rFonts w:hint="eastAsia" w:cs="Times New Roman"/>
          <w:sz w:val="21"/>
        </w:rPr>
        <w:t>提供拟选分包人的一切资料，经发包人和</w:t>
      </w:r>
      <w:r>
        <w:rPr>
          <w:rFonts w:cs="Times New Roman"/>
          <w:sz w:val="21"/>
        </w:rPr>
        <w:t>监理人</w:t>
      </w:r>
      <w:r>
        <w:rPr>
          <w:rFonts w:hint="eastAsia" w:cs="Times New Roman"/>
          <w:sz w:val="21"/>
        </w:rPr>
        <w:t>批准后作为分包人。</w:t>
      </w:r>
    </w:p>
    <w:p w14:paraId="2689B470">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分包合同</w:t>
      </w:r>
    </w:p>
    <w:p w14:paraId="4BECEE24">
      <w:pPr>
        <w:widowControl w:val="0"/>
        <w:tabs>
          <w:tab w:val="left" w:pos="1620"/>
          <w:tab w:val="left" w:pos="2340"/>
        </w:tabs>
        <w:spacing w:after="156"/>
        <w:ind w:left="899"/>
        <w:rPr>
          <w:rFonts w:cs="Times New Roman"/>
          <w:sz w:val="21"/>
        </w:rPr>
      </w:pPr>
      <w:r>
        <w:rPr>
          <w:rFonts w:hint="eastAsia" w:cs="Times New Roman"/>
          <w:sz w:val="21"/>
        </w:rPr>
        <w:t>⑴承包人与分包人签订分包合同后7天内，应将分包合同送发包人</w:t>
      </w:r>
      <w:r>
        <w:rPr>
          <w:rFonts w:hint="eastAsia" w:ascii="Times New Roman" w:hAnsi="Times New Roman" w:cs="Times New Roman"/>
          <w:kern w:val="2"/>
          <w:sz w:val="21"/>
        </w:rPr>
        <w:t>和</w:t>
      </w:r>
      <w:r>
        <w:rPr>
          <w:rFonts w:ascii="Times New Roman" w:hAnsi="Times New Roman" w:cs="Times New Roman"/>
          <w:kern w:val="2"/>
          <w:sz w:val="21"/>
        </w:rPr>
        <w:t>监理人</w:t>
      </w:r>
      <w:r>
        <w:rPr>
          <w:rFonts w:hint="eastAsia" w:ascii="Times New Roman" w:hAnsi="Times New Roman" w:cs="Times New Roman"/>
          <w:kern w:val="2"/>
          <w:sz w:val="21"/>
        </w:rPr>
        <w:t>各一份</w:t>
      </w:r>
      <w:r>
        <w:rPr>
          <w:rFonts w:hint="eastAsia" w:cs="Times New Roman"/>
          <w:sz w:val="21"/>
        </w:rPr>
        <w:t>存档。</w:t>
      </w:r>
    </w:p>
    <w:p w14:paraId="1E7E29CF">
      <w:pPr>
        <w:widowControl w:val="0"/>
        <w:tabs>
          <w:tab w:val="left" w:pos="1620"/>
          <w:tab w:val="left" w:pos="2340"/>
        </w:tabs>
        <w:spacing w:after="156"/>
        <w:ind w:left="899"/>
        <w:rPr>
          <w:rFonts w:cs="Times New Roman"/>
          <w:sz w:val="21"/>
        </w:rPr>
      </w:pPr>
      <w:r>
        <w:rPr>
          <w:rFonts w:hint="eastAsia" w:cs="Times New Roman"/>
          <w:sz w:val="21"/>
        </w:rPr>
        <w:t>⑵承包人对分包合同承担连带责任。分包合同不解除本合同约定承包人的任何义务与责任，承包人在分包工程现场应派驻监督管理人员，保证分包合同的履行。分包人的任何违约或疏忽，均视为承包人违约或疏忽。</w:t>
      </w:r>
    </w:p>
    <w:p w14:paraId="441E93BF">
      <w:pPr>
        <w:widowControl w:val="0"/>
        <w:tabs>
          <w:tab w:val="left" w:pos="1620"/>
          <w:tab w:val="left" w:pos="2340"/>
        </w:tabs>
        <w:spacing w:after="156"/>
        <w:ind w:left="899"/>
        <w:rPr>
          <w:rFonts w:cs="Times New Roman"/>
          <w:sz w:val="21"/>
        </w:rPr>
      </w:pPr>
      <w:r>
        <w:rPr>
          <w:rFonts w:hint="eastAsia" w:cs="Times New Roman"/>
          <w:sz w:val="21"/>
        </w:rPr>
        <w:t>⑶分包工程价款由承包人与分包人结算。除本合同另有约定或取得承包人的同意外，发包人不得以任何形式向分包人支付各种工程价款。</w:t>
      </w:r>
    </w:p>
    <w:p w14:paraId="52BA9A5B">
      <w:pPr>
        <w:widowControl w:val="0"/>
        <w:tabs>
          <w:tab w:val="left" w:pos="1620"/>
          <w:tab w:val="left" w:pos="2340"/>
        </w:tabs>
        <w:spacing w:after="156"/>
        <w:ind w:left="899"/>
        <w:rPr>
          <w:rFonts w:cs="Times New Roman"/>
          <w:sz w:val="21"/>
        </w:rPr>
      </w:pPr>
      <w:r>
        <w:rPr>
          <w:rFonts w:hint="eastAsia" w:cs="Times New Roman"/>
          <w:sz w:val="21"/>
        </w:rPr>
        <w:t>⑷承包人有义务向发包人提供其向分包人支付工程款项的证明。如承包人有拖欠分包人工程款项行为的，视为承包人违约，</w:t>
      </w:r>
      <w:r>
        <w:rPr>
          <w:rFonts w:hint="eastAsia" w:ascii="Times New Roman" w:cs="Times New Roman"/>
          <w:kern w:val="2"/>
          <w:sz w:val="21"/>
        </w:rPr>
        <w:t>发包人有权直接向分包人支付承包人未支付的应得款项，</w:t>
      </w:r>
      <w:r>
        <w:rPr>
          <w:rFonts w:hint="eastAsia" w:cs="Times New Roman"/>
          <w:sz w:val="21"/>
        </w:rPr>
        <w:t>并从承包人的应得工程款项中抵扣。</w:t>
      </w:r>
    </w:p>
    <w:p w14:paraId="50B44470">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专业工程发包</w:t>
      </w:r>
    </w:p>
    <w:p w14:paraId="22EAC873">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专业工程承包人</w:t>
      </w:r>
    </w:p>
    <w:p w14:paraId="53980E7E">
      <w:pPr>
        <w:widowControl w:val="0"/>
        <w:tabs>
          <w:tab w:val="left" w:pos="1620"/>
          <w:tab w:val="left" w:pos="2340"/>
        </w:tabs>
        <w:spacing w:after="156"/>
        <w:ind w:left="899"/>
        <w:rPr>
          <w:rFonts w:cs="Times New Roman"/>
          <w:sz w:val="21"/>
        </w:rPr>
      </w:pPr>
      <w:r>
        <w:rPr>
          <w:rFonts w:hint="eastAsia" w:cs="Times New Roman"/>
          <w:sz w:val="21"/>
        </w:rPr>
        <w:t>⑴发包人可将本工程中承包人承包范围以外的专业工程，按照有关法律、法规的规定另行组织招标确定专业工程承包人，并在</w:t>
      </w:r>
      <w:r>
        <w:rPr>
          <w:rFonts w:hint="eastAsia" w:cs="Times New Roman"/>
          <w:b/>
          <w:i/>
          <w:sz w:val="21"/>
        </w:rPr>
        <w:t>专用条款</w:t>
      </w:r>
      <w:r>
        <w:rPr>
          <w:rFonts w:hint="eastAsia" w:cs="Times New Roman"/>
          <w:sz w:val="21"/>
        </w:rPr>
        <w:t>中明确另行发包的专业工程以及专业工程承包人。</w:t>
      </w:r>
    </w:p>
    <w:p w14:paraId="296077DB">
      <w:pPr>
        <w:widowControl w:val="0"/>
        <w:tabs>
          <w:tab w:val="left" w:pos="1620"/>
          <w:tab w:val="left" w:pos="2340"/>
        </w:tabs>
        <w:spacing w:after="156"/>
        <w:ind w:left="899"/>
        <w:rPr>
          <w:rFonts w:cs="Times New Roman"/>
          <w:sz w:val="21"/>
        </w:rPr>
      </w:pPr>
      <w:r>
        <w:rPr>
          <w:rFonts w:hint="eastAsia" w:cs="Times New Roman"/>
          <w:sz w:val="21"/>
        </w:rPr>
        <w:t>⑵专业工程施工合同由发包人与专业工程承包人签订。发包人应保障承包人免于承担应由专业工程承包人承担的责任和义务，任何由于专业工程承包人未履行上述责任和义务，或由于专业工程承包人的过失而造成的任何损失，承包人免于承担。</w:t>
      </w:r>
    </w:p>
    <w:p w14:paraId="6B2D2D6D">
      <w:pPr>
        <w:widowControl w:val="0"/>
        <w:tabs>
          <w:tab w:val="left" w:pos="1620"/>
          <w:tab w:val="left" w:pos="2340"/>
        </w:tabs>
        <w:spacing w:after="156"/>
        <w:ind w:left="899"/>
        <w:rPr>
          <w:rFonts w:cs="Times New Roman"/>
          <w:sz w:val="21"/>
        </w:rPr>
      </w:pPr>
      <w:r>
        <w:rPr>
          <w:rFonts w:hint="eastAsia" w:cs="Times New Roman"/>
          <w:sz w:val="21"/>
        </w:rPr>
        <w:t>⑶专业工程承包人应接受承包人的统一协调管理，施工中协作配合。</w:t>
      </w:r>
    </w:p>
    <w:p w14:paraId="033FF5AD">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总承包服务费</w:t>
      </w:r>
    </w:p>
    <w:p w14:paraId="2AB6B9A3">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总承包服务费是承包人为配合协调发包人进行的专业工程发包、对发包人自行采购的材料与设备等进行保管以及施工现场管理、竣工资料汇总整理等服务所需的费用。包括总包管理服务费和发包人供应材料（设备）保管费</w:t>
      </w:r>
      <w:r>
        <w:rPr>
          <w:rFonts w:hint="eastAsia" w:cs="Times New Roman"/>
          <w:sz w:val="21"/>
        </w:rPr>
        <w:t>，其对应的工作内容可在</w:t>
      </w:r>
      <w:r>
        <w:rPr>
          <w:rFonts w:hint="eastAsia" w:cs="Times New Roman"/>
          <w:b/>
          <w:i/>
          <w:sz w:val="21"/>
        </w:rPr>
        <w:t>专用条款</w:t>
      </w:r>
      <w:r>
        <w:rPr>
          <w:rFonts w:hint="eastAsia" w:cs="Times New Roman"/>
          <w:sz w:val="21"/>
        </w:rPr>
        <w:t>中详细约定</w:t>
      </w:r>
      <w:r>
        <w:rPr>
          <w:rFonts w:cs="Times New Roman"/>
          <w:sz w:val="21"/>
        </w:rPr>
        <w:t>。</w:t>
      </w:r>
    </w:p>
    <w:p w14:paraId="4F57EDAB">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发包人自行发包的专业工程需要使用承包人设施或其提供的服务，其费用已包含在总包工程费用或该分包工程费用中，可由</w:t>
      </w:r>
      <w:r>
        <w:rPr>
          <w:rFonts w:hint="eastAsia" w:cs="Times New Roman"/>
          <w:sz w:val="21"/>
        </w:rPr>
        <w:t>专业工程承包人和承包人</w:t>
      </w:r>
      <w:r>
        <w:rPr>
          <w:rFonts w:cs="Times New Roman"/>
          <w:sz w:val="21"/>
        </w:rPr>
        <w:t>根据该设施或服务情况协商支付，不得向发包人另行索要。</w:t>
      </w:r>
    </w:p>
    <w:p w14:paraId="7B86594D">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工作界面协调</w:t>
      </w:r>
    </w:p>
    <w:p w14:paraId="4A0CEDED">
      <w:pPr>
        <w:widowControl w:val="0"/>
        <w:tabs>
          <w:tab w:val="left" w:pos="1620"/>
          <w:tab w:val="left" w:pos="2340"/>
        </w:tabs>
        <w:spacing w:after="156"/>
        <w:ind w:left="899"/>
        <w:rPr>
          <w:rFonts w:cs="Times New Roman"/>
          <w:sz w:val="21"/>
        </w:rPr>
      </w:pPr>
      <w:r>
        <w:rPr>
          <w:rFonts w:hint="eastAsia" w:cs="Times New Roman"/>
          <w:sz w:val="21"/>
        </w:rPr>
        <w:t>⑴承包人应</w:t>
      </w:r>
      <w:r>
        <w:rPr>
          <w:rFonts w:cs="Times New Roman"/>
          <w:sz w:val="21"/>
        </w:rPr>
        <w:t>做好</w:t>
      </w:r>
      <w:r>
        <w:rPr>
          <w:rFonts w:hint="eastAsia" w:cs="Times New Roman"/>
          <w:sz w:val="21"/>
        </w:rPr>
        <w:t>与本工程相关</w:t>
      </w:r>
      <w:r>
        <w:rPr>
          <w:rFonts w:cs="Times New Roman"/>
          <w:sz w:val="21"/>
        </w:rPr>
        <w:t>各专业</w:t>
      </w:r>
      <w:r>
        <w:rPr>
          <w:rFonts w:hint="eastAsia" w:cs="Times New Roman"/>
          <w:sz w:val="21"/>
        </w:rPr>
        <w:t>工作</w:t>
      </w:r>
      <w:r>
        <w:rPr>
          <w:rFonts w:cs="Times New Roman"/>
          <w:sz w:val="21"/>
        </w:rPr>
        <w:t>界面的</w:t>
      </w:r>
      <w:r>
        <w:rPr>
          <w:rFonts w:hint="eastAsia" w:cs="Times New Roman"/>
          <w:sz w:val="21"/>
        </w:rPr>
        <w:t>协调工作。</w:t>
      </w:r>
      <w:r>
        <w:rPr>
          <w:rFonts w:cs="Times New Roman"/>
          <w:sz w:val="21"/>
        </w:rPr>
        <w:t>本工程施工期间，承包人</w:t>
      </w:r>
      <w:r>
        <w:rPr>
          <w:rFonts w:hint="eastAsia" w:cs="Times New Roman"/>
          <w:sz w:val="21"/>
        </w:rPr>
        <w:t>应</w:t>
      </w:r>
      <w:r>
        <w:rPr>
          <w:rFonts w:cs="Times New Roman"/>
          <w:sz w:val="21"/>
        </w:rPr>
        <w:t>无条件服从发包人及</w:t>
      </w:r>
      <w:r>
        <w:rPr>
          <w:rFonts w:hint="eastAsia" w:cs="Times New Roman"/>
          <w:sz w:val="21"/>
        </w:rPr>
        <w:t>监理人</w:t>
      </w:r>
      <w:r>
        <w:rPr>
          <w:rFonts w:cs="Times New Roman"/>
          <w:sz w:val="21"/>
        </w:rPr>
        <w:t>的统一协调指令</w:t>
      </w:r>
      <w:r>
        <w:rPr>
          <w:rFonts w:hint="eastAsia" w:cs="Times New Roman"/>
          <w:sz w:val="21"/>
        </w:rPr>
        <w:t>，并指定</w:t>
      </w:r>
      <w:r>
        <w:rPr>
          <w:rFonts w:cs="Times New Roman"/>
          <w:sz w:val="21"/>
        </w:rPr>
        <w:t>专人负责接口协调工作，确保发包人及</w:t>
      </w:r>
      <w:r>
        <w:rPr>
          <w:rFonts w:hint="eastAsia" w:cs="Times New Roman"/>
          <w:sz w:val="21"/>
        </w:rPr>
        <w:t>监理人</w:t>
      </w:r>
      <w:r>
        <w:rPr>
          <w:rFonts w:cs="Times New Roman"/>
          <w:sz w:val="21"/>
        </w:rPr>
        <w:t>指令的及时实施。</w:t>
      </w:r>
    </w:p>
    <w:p w14:paraId="7A650F6C">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承包人在编制施工组织设计时，应根据设计文件</w:t>
      </w:r>
      <w:r>
        <w:rPr>
          <w:rFonts w:hint="eastAsia" w:cs="Times New Roman"/>
          <w:sz w:val="21"/>
        </w:rPr>
        <w:t>和</w:t>
      </w:r>
      <w:r>
        <w:rPr>
          <w:rFonts w:cs="Times New Roman"/>
          <w:sz w:val="21"/>
        </w:rPr>
        <w:t>现场调查资料，充分考虑施工接口的部位及内容，制定可能引起接口部位安全质量问题的预防措施；及时向</w:t>
      </w:r>
      <w:r>
        <w:rPr>
          <w:rFonts w:hint="eastAsia" w:cs="Times New Roman"/>
          <w:sz w:val="21"/>
        </w:rPr>
        <w:t>监理人</w:t>
      </w:r>
      <w:r>
        <w:rPr>
          <w:rFonts w:cs="Times New Roman"/>
          <w:sz w:val="21"/>
        </w:rPr>
        <w:t>提交本工程需其它专业工程提供接口的细目清单，交由</w:t>
      </w:r>
      <w:r>
        <w:rPr>
          <w:rFonts w:hint="eastAsia" w:cs="Times New Roman"/>
          <w:sz w:val="21"/>
        </w:rPr>
        <w:t>监理人</w:t>
      </w:r>
      <w:r>
        <w:rPr>
          <w:rFonts w:cs="Times New Roman"/>
          <w:sz w:val="21"/>
        </w:rPr>
        <w:t>统一协调；或接受</w:t>
      </w:r>
      <w:r>
        <w:rPr>
          <w:rFonts w:hint="eastAsia" w:cs="Times New Roman"/>
          <w:sz w:val="21"/>
        </w:rPr>
        <w:t>监理人</w:t>
      </w:r>
      <w:r>
        <w:rPr>
          <w:rFonts w:cs="Times New Roman"/>
          <w:sz w:val="21"/>
        </w:rPr>
        <w:t>的接口指令，及时实施接口指令作业。</w:t>
      </w:r>
    </w:p>
    <w:p w14:paraId="09F8C0C2">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承包人与其它工程之间</w:t>
      </w:r>
      <w:r>
        <w:rPr>
          <w:rFonts w:hint="eastAsia" w:cs="Times New Roman"/>
          <w:sz w:val="21"/>
        </w:rPr>
        <w:t>应当就</w:t>
      </w:r>
      <w:r>
        <w:rPr>
          <w:rFonts w:cs="Times New Roman"/>
          <w:sz w:val="21"/>
        </w:rPr>
        <w:t>施工接</w:t>
      </w:r>
      <w:r>
        <w:rPr>
          <w:rFonts w:hint="eastAsia" w:cs="Times New Roman"/>
          <w:sz w:val="21"/>
        </w:rPr>
        <w:t>口</w:t>
      </w:r>
      <w:r>
        <w:rPr>
          <w:rFonts w:cs="Times New Roman"/>
          <w:sz w:val="21"/>
        </w:rPr>
        <w:t>、测量控制网点</w:t>
      </w:r>
      <w:r>
        <w:rPr>
          <w:rFonts w:hint="eastAsia" w:cs="Times New Roman"/>
          <w:sz w:val="21"/>
        </w:rPr>
        <w:t>、预埋件(预留孔洞)位置和尺寸等资料及时互通信息，中线控制桩点应贯通测定，水准点应相互闭合，以确保施工顺利进行，避免工程质量事故的发生。</w:t>
      </w:r>
    </w:p>
    <w:p w14:paraId="26773F73">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由于承包人未能及时对工程接口问题进行协调或未及时实施</w:t>
      </w:r>
      <w:r>
        <w:rPr>
          <w:rFonts w:hint="eastAsia" w:cs="Times New Roman"/>
          <w:sz w:val="21"/>
        </w:rPr>
        <w:t>监理人</w:t>
      </w:r>
      <w:r>
        <w:rPr>
          <w:rFonts w:cs="Times New Roman"/>
          <w:sz w:val="21"/>
        </w:rPr>
        <w:t>接口指令而造成工程延误、返工或其它损失，所有损失和费用由承包人</w:t>
      </w:r>
      <w:r>
        <w:rPr>
          <w:rFonts w:hint="eastAsia" w:cs="Times New Roman"/>
          <w:sz w:val="21"/>
        </w:rPr>
        <w:t>承</w:t>
      </w:r>
      <w:r>
        <w:rPr>
          <w:rFonts w:cs="Times New Roman"/>
          <w:sz w:val="21"/>
        </w:rPr>
        <w:t>担。发包人或监理人均有权根据实际情况，</w:t>
      </w:r>
      <w:r>
        <w:rPr>
          <w:rFonts w:hint="eastAsia" w:cs="Times New Roman"/>
          <w:sz w:val="21"/>
        </w:rPr>
        <w:t>要求</w:t>
      </w:r>
      <w:r>
        <w:rPr>
          <w:rFonts w:cs="Times New Roman"/>
          <w:sz w:val="21"/>
        </w:rPr>
        <w:t>承包人</w:t>
      </w:r>
      <w:r>
        <w:rPr>
          <w:rFonts w:hint="eastAsia" w:cs="Times New Roman"/>
          <w:sz w:val="21"/>
        </w:rPr>
        <w:t>支付</w:t>
      </w:r>
      <w:r>
        <w:rPr>
          <w:rFonts w:hint="eastAsia" w:cs="Times New Roman"/>
          <w:b/>
          <w:i/>
          <w:sz w:val="21"/>
        </w:rPr>
        <w:t>专用条款</w:t>
      </w:r>
      <w:r>
        <w:rPr>
          <w:rFonts w:hint="eastAsia" w:cs="Times New Roman"/>
          <w:sz w:val="21"/>
        </w:rPr>
        <w:t>约定的违约金</w:t>
      </w:r>
      <w:r>
        <w:rPr>
          <w:rFonts w:cs="Times New Roman"/>
          <w:sz w:val="21"/>
        </w:rPr>
        <w:t>，包括并不限于采取扣付工程款等方式。</w:t>
      </w:r>
    </w:p>
    <w:p w14:paraId="7E5D8ACA">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用工和劳务</w:t>
      </w:r>
    </w:p>
    <w:p w14:paraId="159F0BAB">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劳动合同</w:t>
      </w:r>
    </w:p>
    <w:p w14:paraId="25117469">
      <w:pPr>
        <w:widowControl w:val="0"/>
        <w:tabs>
          <w:tab w:val="left" w:pos="1620"/>
          <w:tab w:val="left" w:pos="2340"/>
        </w:tabs>
        <w:spacing w:after="156"/>
        <w:ind w:left="899"/>
        <w:rPr>
          <w:rFonts w:cs="Times New Roman"/>
          <w:sz w:val="21"/>
        </w:rPr>
      </w:pPr>
      <w:r>
        <w:rPr>
          <w:rFonts w:hint="eastAsia" w:cs="Times New Roman"/>
          <w:sz w:val="21"/>
        </w:rPr>
        <w:t>⑴除合同另有规定外，承包人应自行聘(雇)用工人。承包人不得从为发包人或</w:t>
      </w:r>
      <w:r>
        <w:rPr>
          <w:rFonts w:cs="Times New Roman"/>
          <w:sz w:val="21"/>
        </w:rPr>
        <w:t>监理人</w:t>
      </w:r>
      <w:r>
        <w:rPr>
          <w:rFonts w:hint="eastAsia" w:cs="Times New Roman"/>
          <w:sz w:val="21"/>
        </w:rPr>
        <w:t>服务的人员中招雇任何人员。</w:t>
      </w:r>
    </w:p>
    <w:p w14:paraId="0F87F7EA">
      <w:pPr>
        <w:widowControl w:val="0"/>
        <w:tabs>
          <w:tab w:val="left" w:pos="1620"/>
          <w:tab w:val="left" w:pos="2340"/>
        </w:tabs>
        <w:spacing w:after="156"/>
        <w:ind w:left="899"/>
        <w:rPr>
          <w:rFonts w:cs="Times New Roman"/>
          <w:sz w:val="21"/>
        </w:rPr>
      </w:pPr>
      <w:r>
        <w:rPr>
          <w:rFonts w:hint="eastAsia" w:cs="Times New Roman"/>
          <w:sz w:val="21"/>
        </w:rPr>
        <w:t>⑵承包人应按照劳动法和劳动合同法的相关规定与聘(雇)用工人签订劳动合同，缴纳社会保险，按国家规定提供劳动保护，明确劳动报酬等内容，及时足额支付工资等劳动报酬。</w:t>
      </w:r>
    </w:p>
    <w:p w14:paraId="3E0EC131">
      <w:pPr>
        <w:widowControl w:val="0"/>
        <w:tabs>
          <w:tab w:val="left" w:pos="1620"/>
          <w:tab w:val="left" w:pos="2340"/>
        </w:tabs>
        <w:spacing w:after="156"/>
        <w:ind w:left="899"/>
        <w:rPr>
          <w:rFonts w:cs="Times New Roman"/>
          <w:sz w:val="21"/>
        </w:rPr>
      </w:pPr>
      <w:r>
        <w:rPr>
          <w:rFonts w:hint="eastAsia" w:cs="Times New Roman"/>
          <w:sz w:val="21"/>
        </w:rPr>
        <w:t>⑶若发包人或</w:t>
      </w:r>
      <w:r>
        <w:rPr>
          <w:rFonts w:cs="Times New Roman"/>
          <w:sz w:val="21"/>
        </w:rPr>
        <w:t>监理人</w:t>
      </w:r>
      <w:r>
        <w:rPr>
          <w:rFonts w:hint="eastAsia" w:cs="Times New Roman"/>
          <w:sz w:val="21"/>
        </w:rPr>
        <w:t>发现有未签订劳动合同的工人在现场施工，则视为承包人违约，并承担</w:t>
      </w:r>
      <w:r>
        <w:rPr>
          <w:rFonts w:cs="Times New Roman"/>
          <w:b/>
          <w:i/>
          <w:sz w:val="21"/>
        </w:rPr>
        <w:t>专用条款</w:t>
      </w:r>
      <w:r>
        <w:rPr>
          <w:rFonts w:hint="eastAsia" w:cs="Times New Roman"/>
          <w:sz w:val="21"/>
        </w:rPr>
        <w:t>约定的违约责任。</w:t>
      </w:r>
    </w:p>
    <w:p w14:paraId="75AF2148">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劳务分包</w:t>
      </w:r>
    </w:p>
    <w:p w14:paraId="4A0D38FC">
      <w:pPr>
        <w:widowControl w:val="0"/>
        <w:tabs>
          <w:tab w:val="left" w:pos="1620"/>
          <w:tab w:val="left" w:pos="2340"/>
        </w:tabs>
        <w:spacing w:after="156"/>
        <w:ind w:left="899"/>
        <w:rPr>
          <w:rFonts w:cs="Times New Roman"/>
          <w:sz w:val="21"/>
        </w:rPr>
      </w:pPr>
      <w:r>
        <w:rPr>
          <w:rFonts w:hint="eastAsia" w:cs="Times New Roman"/>
          <w:sz w:val="21"/>
        </w:rPr>
        <w:t>⑴承包人实施劳务分包的，应将劳务发包给具有相应劳务资质的劳务企业，与劳务分包企业设立工人工资支付专用账户，并按照劳务分包合同约定及时足额向劳务企业支付劳务费用。</w:t>
      </w:r>
    </w:p>
    <w:p w14:paraId="53F4D61D">
      <w:pPr>
        <w:widowControl w:val="0"/>
        <w:tabs>
          <w:tab w:val="left" w:pos="1620"/>
          <w:tab w:val="left" w:pos="2340"/>
        </w:tabs>
        <w:spacing w:after="156"/>
        <w:ind w:left="899"/>
        <w:rPr>
          <w:rFonts w:cs="Times New Roman"/>
          <w:sz w:val="21"/>
        </w:rPr>
      </w:pPr>
      <w:r>
        <w:rPr>
          <w:rFonts w:hint="eastAsia" w:cs="Times New Roman"/>
          <w:sz w:val="21"/>
        </w:rPr>
        <w:t>⑵承包人应在劳务分包合同中要求劳务分包企业对所有派遣工人购买意外伤害险和工伤保险，保险金额不得低于</w:t>
      </w:r>
      <w:r>
        <w:rPr>
          <w:rFonts w:hint="eastAsia" w:cs="Times New Roman"/>
          <w:b/>
          <w:i/>
          <w:sz w:val="21"/>
        </w:rPr>
        <w:t>专用条款</w:t>
      </w:r>
      <w:r>
        <w:rPr>
          <w:rFonts w:hint="eastAsia" w:cs="Times New Roman"/>
          <w:sz w:val="21"/>
        </w:rPr>
        <w:t>约定额度。保险单复印件应提供一份给发包人备案，承包人未对劳务分包企业提出此要求或虽然提出此要求但劳务企业未购买此保险的，承包人应完善相关购买手续，否则承包人与劳务分包企业向受伤害工人承担连带赔偿责任。</w:t>
      </w:r>
    </w:p>
    <w:p w14:paraId="6E96851B">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劳务分包合同</w:t>
      </w:r>
    </w:p>
    <w:p w14:paraId="13CA5004">
      <w:pPr>
        <w:widowControl w:val="0"/>
        <w:tabs>
          <w:tab w:val="left" w:pos="1620"/>
          <w:tab w:val="left" w:pos="2340"/>
        </w:tabs>
        <w:spacing w:after="156"/>
        <w:ind w:left="899"/>
        <w:rPr>
          <w:rFonts w:cs="Times New Roman"/>
          <w:sz w:val="21"/>
        </w:rPr>
      </w:pPr>
      <w:r>
        <w:rPr>
          <w:rFonts w:hint="eastAsia" w:cs="Times New Roman"/>
          <w:sz w:val="21"/>
        </w:rPr>
        <w:t>⑴选择劳务分包企业时，承包人有义务依据</w:t>
      </w:r>
      <w:r>
        <w:rPr>
          <w:rFonts w:cs="Times New Roman"/>
          <w:sz w:val="21"/>
        </w:rPr>
        <w:t>监理人</w:t>
      </w:r>
      <w:r>
        <w:rPr>
          <w:rFonts w:hint="eastAsia" w:cs="Times New Roman"/>
          <w:sz w:val="21"/>
        </w:rPr>
        <w:t>的要求向</w:t>
      </w:r>
      <w:r>
        <w:rPr>
          <w:rFonts w:cs="Times New Roman"/>
          <w:sz w:val="21"/>
        </w:rPr>
        <w:t>监理人</w:t>
      </w:r>
      <w:r>
        <w:rPr>
          <w:rFonts w:hint="eastAsia" w:cs="Times New Roman"/>
          <w:sz w:val="21"/>
        </w:rPr>
        <w:t>提供拟选劳务分包企业的一切资料，经发包人和</w:t>
      </w:r>
      <w:r>
        <w:rPr>
          <w:rFonts w:cs="Times New Roman"/>
          <w:sz w:val="21"/>
        </w:rPr>
        <w:t>监理人</w:t>
      </w:r>
      <w:r>
        <w:rPr>
          <w:rFonts w:hint="eastAsia" w:cs="Times New Roman"/>
          <w:sz w:val="21"/>
        </w:rPr>
        <w:t>批准后作为劳务分包企业。</w:t>
      </w:r>
    </w:p>
    <w:p w14:paraId="35CF3227">
      <w:pPr>
        <w:widowControl w:val="0"/>
        <w:tabs>
          <w:tab w:val="left" w:pos="1620"/>
          <w:tab w:val="left" w:pos="2340"/>
        </w:tabs>
        <w:spacing w:after="156"/>
        <w:ind w:left="899"/>
        <w:rPr>
          <w:rFonts w:cs="Times New Roman"/>
          <w:sz w:val="21"/>
        </w:rPr>
      </w:pPr>
      <w:r>
        <w:rPr>
          <w:rFonts w:hint="eastAsia" w:cs="Times New Roman"/>
          <w:sz w:val="21"/>
        </w:rPr>
        <w:t>⑵承包人与劳务分包企业签订劳务分包合同后7天内，应将劳务分包合同送发包人</w:t>
      </w:r>
      <w:r>
        <w:rPr>
          <w:rFonts w:hint="eastAsia" w:ascii="Times New Roman" w:hAnsi="Times New Roman" w:cs="Times New Roman"/>
          <w:kern w:val="2"/>
          <w:sz w:val="21"/>
        </w:rPr>
        <w:t>和</w:t>
      </w:r>
      <w:r>
        <w:rPr>
          <w:rFonts w:ascii="Times New Roman" w:hAnsi="Times New Roman" w:cs="Times New Roman"/>
          <w:kern w:val="2"/>
          <w:sz w:val="21"/>
        </w:rPr>
        <w:t>监理人</w:t>
      </w:r>
      <w:r>
        <w:rPr>
          <w:rFonts w:hint="eastAsia" w:ascii="Times New Roman" w:hAnsi="Times New Roman" w:cs="Times New Roman"/>
          <w:kern w:val="2"/>
          <w:sz w:val="21"/>
        </w:rPr>
        <w:t>各一份</w:t>
      </w:r>
      <w:r>
        <w:rPr>
          <w:rFonts w:hint="eastAsia" w:cs="Times New Roman"/>
          <w:sz w:val="21"/>
        </w:rPr>
        <w:t>存档。</w:t>
      </w:r>
    </w:p>
    <w:p w14:paraId="72B6CD4D">
      <w:pPr>
        <w:widowControl w:val="0"/>
        <w:tabs>
          <w:tab w:val="left" w:pos="1620"/>
          <w:tab w:val="left" w:pos="2340"/>
        </w:tabs>
        <w:spacing w:after="156"/>
        <w:ind w:left="899"/>
        <w:rPr>
          <w:rFonts w:cs="Times New Roman"/>
          <w:sz w:val="21"/>
        </w:rPr>
      </w:pPr>
      <w:r>
        <w:rPr>
          <w:rFonts w:hint="eastAsia" w:cs="Times New Roman"/>
          <w:sz w:val="21"/>
        </w:rPr>
        <w:t>⑶若发包人或</w:t>
      </w:r>
      <w:r>
        <w:rPr>
          <w:rFonts w:cs="Times New Roman"/>
          <w:sz w:val="21"/>
        </w:rPr>
        <w:t>监理人</w:t>
      </w:r>
      <w:r>
        <w:rPr>
          <w:rFonts w:hint="eastAsia" w:cs="Times New Roman"/>
          <w:sz w:val="21"/>
        </w:rPr>
        <w:t>发现工地上有未签订劳务分包合同的劳务企业人员在现场施工，则视为承包人违约，并承担</w:t>
      </w:r>
      <w:r>
        <w:rPr>
          <w:rFonts w:cs="Times New Roman"/>
          <w:b/>
          <w:i/>
          <w:sz w:val="21"/>
        </w:rPr>
        <w:t>专用条款</w:t>
      </w:r>
      <w:r>
        <w:rPr>
          <w:rFonts w:hint="eastAsia" w:cs="Times New Roman"/>
          <w:sz w:val="21"/>
        </w:rPr>
        <w:t>约定的违约责任。</w:t>
      </w:r>
    </w:p>
    <w:p w14:paraId="3B0F386F">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工人工资</w:t>
      </w:r>
    </w:p>
    <w:p w14:paraId="004151D7">
      <w:pPr>
        <w:widowControl w:val="0"/>
        <w:tabs>
          <w:tab w:val="left" w:pos="1620"/>
          <w:tab w:val="left" w:pos="2340"/>
        </w:tabs>
        <w:spacing w:after="156"/>
        <w:ind w:left="899"/>
        <w:rPr>
          <w:rFonts w:cs="Times New Roman"/>
          <w:sz w:val="21"/>
        </w:rPr>
      </w:pPr>
      <w:r>
        <w:rPr>
          <w:rFonts w:hint="eastAsia" w:cs="Times New Roman"/>
          <w:sz w:val="21"/>
        </w:rPr>
        <w:t>⑴承包人应按照有关规定开设工人工资专用账户，专项用于发放本工程工人工资。开设、使用工人工资专用账户有关资料应由承包人妥善保存备查。</w:t>
      </w:r>
    </w:p>
    <w:p w14:paraId="224EAB5C">
      <w:pPr>
        <w:widowControl w:val="0"/>
        <w:tabs>
          <w:tab w:val="left" w:pos="1620"/>
          <w:tab w:val="left" w:pos="2340"/>
        </w:tabs>
        <w:spacing w:after="156"/>
        <w:ind w:left="899"/>
        <w:rPr>
          <w:rFonts w:cs="Times New Roman"/>
          <w:sz w:val="21"/>
        </w:rPr>
      </w:pPr>
      <w:r>
        <w:rPr>
          <w:rFonts w:hint="eastAsia" w:cs="Times New Roman"/>
          <w:sz w:val="21"/>
        </w:rPr>
        <w:t>⑵发包人应及时足额地将合同约定的工人工资支付款项支付到工人工资专用账户，并加强对承包人按时足额发放工人工资的监督。</w:t>
      </w:r>
    </w:p>
    <w:p w14:paraId="54B003FA">
      <w:pPr>
        <w:widowControl w:val="0"/>
        <w:tabs>
          <w:tab w:val="left" w:pos="1620"/>
          <w:tab w:val="left" w:pos="2340"/>
        </w:tabs>
        <w:spacing w:after="156"/>
        <w:ind w:left="899"/>
        <w:rPr>
          <w:rFonts w:cs="Times New Roman"/>
          <w:sz w:val="21"/>
        </w:rPr>
      </w:pPr>
      <w:r>
        <w:rPr>
          <w:rFonts w:hint="eastAsia" w:cs="Times New Roman"/>
          <w:sz w:val="21"/>
        </w:rPr>
        <w:t>⑶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14:paraId="63D58527">
      <w:pPr>
        <w:widowControl w:val="0"/>
        <w:tabs>
          <w:tab w:val="left" w:pos="1620"/>
          <w:tab w:val="left" w:pos="2340"/>
        </w:tabs>
        <w:spacing w:after="156"/>
        <w:ind w:left="899"/>
        <w:rPr>
          <w:rFonts w:cs="Times New Roman"/>
          <w:sz w:val="21"/>
        </w:rPr>
      </w:pPr>
      <w:r>
        <w:rPr>
          <w:rFonts w:hint="eastAsia" w:cs="Times New Roman"/>
          <w:sz w:val="21"/>
        </w:rPr>
        <w:t>⑷承包人拖欠工人工资或劳务分包企业劳务费用的，经被拖欠人催付，承包人仍不予支付的，被拖欠人可以向发包人请求代为支付，经发包人和</w:t>
      </w:r>
      <w:r>
        <w:rPr>
          <w:rFonts w:cs="Times New Roman"/>
          <w:sz w:val="21"/>
        </w:rPr>
        <w:t>监理人</w:t>
      </w:r>
      <w:r>
        <w:rPr>
          <w:rFonts w:hint="eastAsia" w:cs="Times New Roman"/>
          <w:sz w:val="21"/>
        </w:rPr>
        <w:t>核查情况属实的，视为承包人违约，发包人有权</w:t>
      </w:r>
      <w:r>
        <w:rPr>
          <w:rFonts w:cs="Times New Roman"/>
          <w:kern w:val="2"/>
          <w:sz w:val="21"/>
        </w:rPr>
        <w:t>从承包人的工程款</w:t>
      </w:r>
      <w:r>
        <w:rPr>
          <w:rFonts w:hint="eastAsia" w:cs="Times New Roman"/>
          <w:kern w:val="2"/>
          <w:sz w:val="21"/>
        </w:rPr>
        <w:t>(</w:t>
      </w:r>
      <w:r>
        <w:rPr>
          <w:rFonts w:cs="Times New Roman"/>
          <w:kern w:val="2"/>
          <w:sz w:val="21"/>
        </w:rPr>
        <w:t>或预付款、保证金等</w:t>
      </w:r>
      <w:r>
        <w:rPr>
          <w:rFonts w:hint="eastAsia" w:cs="Times New Roman"/>
          <w:kern w:val="2"/>
          <w:sz w:val="21"/>
        </w:rPr>
        <w:t>)</w:t>
      </w:r>
      <w:r>
        <w:rPr>
          <w:rFonts w:cs="Times New Roman"/>
          <w:kern w:val="2"/>
          <w:sz w:val="21"/>
        </w:rPr>
        <w:t>中扣付</w:t>
      </w:r>
      <w:r>
        <w:rPr>
          <w:rFonts w:hint="eastAsia" w:cs="Times New Roman"/>
          <w:kern w:val="2"/>
          <w:sz w:val="21"/>
        </w:rPr>
        <w:t>拖欠的</w:t>
      </w:r>
      <w:r>
        <w:rPr>
          <w:rFonts w:cs="Times New Roman"/>
          <w:kern w:val="2"/>
          <w:sz w:val="21"/>
        </w:rPr>
        <w:t>工人工资</w:t>
      </w:r>
      <w:r>
        <w:rPr>
          <w:rFonts w:hint="eastAsia" w:cs="Times New Roman"/>
          <w:kern w:val="2"/>
          <w:sz w:val="21"/>
        </w:rPr>
        <w:t>或劳务费</w:t>
      </w:r>
      <w:r>
        <w:rPr>
          <w:rFonts w:hint="eastAsia" w:cs="Times New Roman"/>
          <w:sz w:val="21"/>
        </w:rPr>
        <w:t>。</w:t>
      </w:r>
    </w:p>
    <w:p w14:paraId="14ACB86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职业健康</w:t>
      </w:r>
    </w:p>
    <w:p w14:paraId="0ADC05E1">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应按照法律规定安排现场施工人员的劳动和休息时间，保障工人的休息时间，并支付合理的报酬和费用。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B24742D">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4670F03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用工培训</w:t>
      </w:r>
    </w:p>
    <w:p w14:paraId="41880F70">
      <w:pPr>
        <w:widowControl w:val="0"/>
        <w:tabs>
          <w:tab w:val="left" w:pos="1620"/>
          <w:tab w:val="left" w:pos="2340"/>
        </w:tabs>
        <w:spacing w:after="156"/>
        <w:ind w:left="899"/>
        <w:rPr>
          <w:rFonts w:cs="Times New Roman"/>
          <w:sz w:val="21"/>
        </w:rPr>
      </w:pPr>
      <w:r>
        <w:rPr>
          <w:rFonts w:hint="eastAsia" w:cs="Times New Roman"/>
          <w:sz w:val="21"/>
        </w:rPr>
        <w:t>⑴承包人应切实履行用工主体责任，按照《深圳市工程建设行业产业工人职业训练管理办法》等有关规定计取和使用产业工人职业训练专项经费及开展产业工人职业训练。承包人应对产业工人职业训练专项经费实行专款专用，并妥善保存经费使用情况相关资料。承包人依法将建设工程分包的，应与分包人就经费使用在分包合同中约定。发包人应对经费使用进行监督。</w:t>
      </w:r>
    </w:p>
    <w:p w14:paraId="1197EAFD">
      <w:pPr>
        <w:widowControl w:val="0"/>
        <w:tabs>
          <w:tab w:val="left" w:pos="1620"/>
          <w:tab w:val="left" w:pos="2340"/>
        </w:tabs>
        <w:spacing w:after="156"/>
        <w:ind w:left="899"/>
        <w:rPr>
          <w:rFonts w:cs="Times New Roman"/>
          <w:sz w:val="21"/>
        </w:rPr>
      </w:pPr>
      <w:r>
        <w:rPr>
          <w:rFonts w:hint="eastAsia" w:cs="Times New Roman"/>
          <w:sz w:val="21"/>
        </w:rPr>
        <w:t>⑵承包人应按照《深圳市工程建设行业产业工人职业训练管理办法》制定产业工人训练计划，组织工人参加质量安全基础训练，妥善保存产业工人年度训练计划、职业训练管理和实施情况相关资料。</w:t>
      </w:r>
    </w:p>
    <w:p w14:paraId="155B624F">
      <w:pPr>
        <w:widowControl w:val="0"/>
        <w:numPr>
          <w:ilvl w:val="0"/>
          <w:numId w:val="2"/>
        </w:numPr>
        <w:tabs>
          <w:tab w:val="left" w:pos="54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施工组织设计和进度计划</w:t>
      </w:r>
    </w:p>
    <w:p w14:paraId="40921B26">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施工组织设计和进度计划的编制与提交</w:t>
      </w:r>
    </w:p>
    <w:p w14:paraId="1F63CB5E">
      <w:pPr>
        <w:widowControl w:val="0"/>
        <w:tabs>
          <w:tab w:val="left" w:pos="1620"/>
          <w:tab w:val="left" w:pos="2340"/>
        </w:tabs>
        <w:spacing w:after="156"/>
        <w:ind w:left="899"/>
        <w:rPr>
          <w:rFonts w:cs="Times New Roman"/>
          <w:sz w:val="21"/>
        </w:rPr>
      </w:pPr>
      <w:r>
        <w:rPr>
          <w:rFonts w:hint="eastAsia" w:cs="Times New Roman"/>
          <w:sz w:val="21"/>
        </w:rPr>
        <w:t>⑴承包人应编制本工程和</w:t>
      </w:r>
      <w:r>
        <w:rPr>
          <w:rFonts w:hint="eastAsia" w:cs="Times New Roman"/>
          <w:b/>
          <w:i/>
          <w:sz w:val="21"/>
        </w:rPr>
        <w:t>专用条款</w:t>
      </w:r>
      <w:r>
        <w:rPr>
          <w:rFonts w:hint="eastAsia" w:cs="Times New Roman"/>
          <w:sz w:val="21"/>
        </w:rPr>
        <w:t>约定的单项工程的施工组织设计和进度计划，对合同工程的全部施工作业提出总体上的施工方法、施工安排、作业顺序和时间表。施工组织设计应包含以下内容：</w:t>
      </w:r>
    </w:p>
    <w:p w14:paraId="2164339C">
      <w:pPr>
        <w:widowControl w:val="0"/>
        <w:tabs>
          <w:tab w:val="left" w:pos="1620"/>
          <w:tab w:val="left" w:pos="2340"/>
        </w:tabs>
        <w:ind w:left="1079"/>
        <w:rPr>
          <w:rFonts w:cs="Times New Roman"/>
          <w:sz w:val="21"/>
        </w:rPr>
      </w:pPr>
      <w:r>
        <w:rPr>
          <w:rFonts w:hint="eastAsia" w:cs="Times New Roman"/>
          <w:sz w:val="21"/>
        </w:rPr>
        <w:t>①</w:t>
      </w:r>
      <w:r>
        <w:rPr>
          <w:rFonts w:cs="Times New Roman"/>
          <w:sz w:val="21"/>
        </w:rPr>
        <w:t>施工方案</w:t>
      </w:r>
      <w:r>
        <w:rPr>
          <w:rFonts w:hint="eastAsia" w:cs="Times New Roman"/>
          <w:sz w:val="21"/>
        </w:rPr>
        <w:t>；</w:t>
      </w:r>
    </w:p>
    <w:p w14:paraId="1966E9F5">
      <w:pPr>
        <w:widowControl w:val="0"/>
        <w:tabs>
          <w:tab w:val="left" w:pos="1620"/>
          <w:tab w:val="left" w:pos="2340"/>
        </w:tabs>
        <w:ind w:left="1079"/>
        <w:rPr>
          <w:rFonts w:cs="Times New Roman"/>
          <w:sz w:val="21"/>
        </w:rPr>
      </w:pPr>
      <w:r>
        <w:rPr>
          <w:rFonts w:hint="eastAsia" w:cs="Times New Roman"/>
          <w:sz w:val="21"/>
        </w:rPr>
        <w:t>②</w:t>
      </w:r>
      <w:r>
        <w:rPr>
          <w:rFonts w:cs="Times New Roman"/>
          <w:sz w:val="21"/>
        </w:rPr>
        <w:t>施工现场平面布置图；</w:t>
      </w:r>
    </w:p>
    <w:p w14:paraId="66B05D34">
      <w:pPr>
        <w:widowControl w:val="0"/>
        <w:tabs>
          <w:tab w:val="left" w:pos="1620"/>
          <w:tab w:val="left" w:pos="2340"/>
        </w:tabs>
        <w:ind w:left="1079"/>
        <w:rPr>
          <w:rFonts w:cs="Times New Roman"/>
          <w:sz w:val="21"/>
        </w:rPr>
      </w:pPr>
      <w:r>
        <w:rPr>
          <w:rFonts w:hint="eastAsia" w:cs="Times New Roman"/>
          <w:sz w:val="21"/>
        </w:rPr>
        <w:t>③</w:t>
      </w:r>
      <w:r>
        <w:rPr>
          <w:rFonts w:cs="Times New Roman"/>
          <w:sz w:val="21"/>
        </w:rPr>
        <w:t>施工进度计划和保证措施；</w:t>
      </w:r>
    </w:p>
    <w:p w14:paraId="4D193BD8">
      <w:pPr>
        <w:widowControl w:val="0"/>
        <w:tabs>
          <w:tab w:val="left" w:pos="1620"/>
          <w:tab w:val="left" w:pos="2340"/>
        </w:tabs>
        <w:ind w:left="1079"/>
        <w:rPr>
          <w:rFonts w:cs="Times New Roman"/>
          <w:sz w:val="21"/>
        </w:rPr>
      </w:pPr>
      <w:r>
        <w:rPr>
          <w:rFonts w:hint="eastAsia" w:cs="Times New Roman"/>
          <w:sz w:val="21"/>
        </w:rPr>
        <w:t>④</w:t>
      </w:r>
      <w:r>
        <w:rPr>
          <w:rFonts w:cs="Times New Roman"/>
          <w:sz w:val="21"/>
        </w:rPr>
        <w:t>劳动力及材料供应计划；</w:t>
      </w:r>
    </w:p>
    <w:p w14:paraId="6BF51984">
      <w:pPr>
        <w:widowControl w:val="0"/>
        <w:tabs>
          <w:tab w:val="left" w:pos="1620"/>
          <w:tab w:val="left" w:pos="2340"/>
        </w:tabs>
        <w:ind w:left="1079"/>
        <w:rPr>
          <w:rFonts w:cs="Times New Roman"/>
          <w:sz w:val="21"/>
        </w:rPr>
      </w:pPr>
      <w:r>
        <w:rPr>
          <w:rFonts w:hint="eastAsia" w:cs="Times New Roman"/>
          <w:sz w:val="21"/>
        </w:rPr>
        <w:t>⑤</w:t>
      </w:r>
      <w:r>
        <w:rPr>
          <w:rFonts w:cs="Times New Roman"/>
          <w:sz w:val="21"/>
        </w:rPr>
        <w:t>施工机械设备的选用；</w:t>
      </w:r>
    </w:p>
    <w:p w14:paraId="6E69D8F9">
      <w:pPr>
        <w:widowControl w:val="0"/>
        <w:tabs>
          <w:tab w:val="left" w:pos="1620"/>
          <w:tab w:val="left" w:pos="2340"/>
        </w:tabs>
        <w:ind w:left="1079"/>
        <w:rPr>
          <w:rFonts w:cs="Times New Roman"/>
          <w:sz w:val="21"/>
        </w:rPr>
      </w:pPr>
      <w:r>
        <w:rPr>
          <w:rFonts w:hint="eastAsia" w:cs="Times New Roman"/>
          <w:sz w:val="21"/>
        </w:rPr>
        <w:t>⑥</w:t>
      </w:r>
      <w:r>
        <w:rPr>
          <w:rFonts w:cs="Times New Roman"/>
          <w:sz w:val="21"/>
        </w:rPr>
        <w:t>质量保证体系及措施；</w:t>
      </w:r>
    </w:p>
    <w:p w14:paraId="2280948B">
      <w:pPr>
        <w:widowControl w:val="0"/>
        <w:tabs>
          <w:tab w:val="left" w:pos="1620"/>
          <w:tab w:val="left" w:pos="2340"/>
        </w:tabs>
        <w:ind w:left="1079"/>
        <w:rPr>
          <w:rFonts w:cs="Times New Roman"/>
          <w:sz w:val="21"/>
        </w:rPr>
      </w:pPr>
      <w:r>
        <w:rPr>
          <w:rFonts w:hint="eastAsia" w:cs="Times New Roman"/>
          <w:sz w:val="21"/>
        </w:rPr>
        <w:t>⑦</w:t>
      </w:r>
      <w:r>
        <w:rPr>
          <w:rFonts w:cs="Times New Roman"/>
          <w:sz w:val="21"/>
        </w:rPr>
        <w:t>安全生产、文明施工措施；</w:t>
      </w:r>
    </w:p>
    <w:p w14:paraId="148C653B">
      <w:pPr>
        <w:widowControl w:val="0"/>
        <w:tabs>
          <w:tab w:val="left" w:pos="1620"/>
          <w:tab w:val="left" w:pos="2340"/>
        </w:tabs>
        <w:ind w:left="1079"/>
        <w:rPr>
          <w:rFonts w:cs="Times New Roman"/>
          <w:sz w:val="21"/>
        </w:rPr>
      </w:pPr>
      <w:r>
        <w:rPr>
          <w:rFonts w:hint="eastAsia" w:cs="Times New Roman"/>
          <w:sz w:val="21"/>
        </w:rPr>
        <w:t>⑧</w:t>
      </w:r>
      <w:r>
        <w:rPr>
          <w:rFonts w:cs="Times New Roman"/>
          <w:sz w:val="21"/>
        </w:rPr>
        <w:t>环境保护、成本控制措施</w:t>
      </w:r>
      <w:r>
        <w:rPr>
          <w:rFonts w:hint="eastAsia" w:cs="Times New Roman"/>
          <w:sz w:val="21"/>
        </w:rPr>
        <w:t>；</w:t>
      </w:r>
    </w:p>
    <w:p w14:paraId="45B0A8B8">
      <w:pPr>
        <w:widowControl w:val="0"/>
        <w:tabs>
          <w:tab w:val="left" w:pos="1620"/>
          <w:tab w:val="left" w:pos="2340"/>
        </w:tabs>
        <w:ind w:left="1079"/>
        <w:rPr>
          <w:rFonts w:cs="Times New Roman"/>
          <w:sz w:val="21"/>
        </w:rPr>
      </w:pPr>
      <w:r>
        <w:rPr>
          <w:rFonts w:hint="eastAsia" w:cs="Times New Roman"/>
          <w:sz w:val="21"/>
        </w:rPr>
        <w:t>⑨承发包双方约定的其他内容</w:t>
      </w:r>
      <w:r>
        <w:rPr>
          <w:rFonts w:cs="Times New Roman"/>
          <w:sz w:val="21"/>
        </w:rPr>
        <w:t>。</w:t>
      </w:r>
    </w:p>
    <w:p w14:paraId="0276195E">
      <w:pPr>
        <w:widowControl w:val="0"/>
        <w:tabs>
          <w:tab w:val="left" w:pos="1620"/>
          <w:tab w:val="left" w:pos="2340"/>
        </w:tabs>
        <w:spacing w:after="156"/>
        <w:ind w:left="899"/>
        <w:rPr>
          <w:rFonts w:cs="Times New Roman"/>
          <w:sz w:val="21"/>
        </w:rPr>
      </w:pPr>
      <w:r>
        <w:rPr>
          <w:rFonts w:hint="eastAsia" w:cs="Times New Roman"/>
          <w:sz w:val="21"/>
        </w:rPr>
        <w:t>⑵承包人应按</w:t>
      </w:r>
      <w:r>
        <w:rPr>
          <w:rFonts w:hint="eastAsia" w:cs="Times New Roman"/>
          <w:b/>
          <w:i/>
          <w:sz w:val="21"/>
        </w:rPr>
        <w:t>专用条款</w:t>
      </w:r>
      <w:r>
        <w:rPr>
          <w:rFonts w:hint="eastAsia" w:cs="Times New Roman"/>
          <w:sz w:val="21"/>
        </w:rPr>
        <w:t>中约定的时间和要求向</w:t>
      </w:r>
      <w:r>
        <w:rPr>
          <w:rFonts w:cs="Times New Roman"/>
          <w:sz w:val="21"/>
        </w:rPr>
        <w:t>监理人</w:t>
      </w:r>
      <w:r>
        <w:rPr>
          <w:rFonts w:hint="eastAsia" w:cs="Times New Roman"/>
          <w:sz w:val="21"/>
        </w:rPr>
        <w:t>提交施工组织设计和工程进度计划。</w:t>
      </w:r>
      <w:r>
        <w:rPr>
          <w:rFonts w:cs="Times New Roman"/>
          <w:sz w:val="21"/>
        </w:rPr>
        <w:t>监理人</w:t>
      </w:r>
      <w:r>
        <w:rPr>
          <w:rFonts w:hint="eastAsia" w:cs="Times New Roman"/>
          <w:sz w:val="21"/>
        </w:rPr>
        <w:t>应按</w:t>
      </w:r>
      <w:r>
        <w:rPr>
          <w:rFonts w:hint="eastAsia" w:cs="Times New Roman"/>
          <w:b/>
          <w:i/>
          <w:sz w:val="21"/>
        </w:rPr>
        <w:t>专用条款</w:t>
      </w:r>
      <w:r>
        <w:rPr>
          <w:rFonts w:hint="eastAsia" w:cs="Times New Roman"/>
          <w:sz w:val="21"/>
        </w:rPr>
        <w:t>中约定的时间予以确认或提出修改意见，逾期不确认也不提出修改意见的，应视为同意。</w:t>
      </w:r>
      <w:r>
        <w:rPr>
          <w:rFonts w:cs="Times New Roman"/>
          <w:sz w:val="21"/>
        </w:rPr>
        <w:t>监理人</w:t>
      </w:r>
      <w:r>
        <w:rPr>
          <w:rFonts w:hint="eastAsia" w:cs="Times New Roman"/>
          <w:sz w:val="21"/>
        </w:rPr>
        <w:t>如期提出合理修改意见的，承包人应根据该意见按</w:t>
      </w:r>
      <w:r>
        <w:rPr>
          <w:rFonts w:hint="eastAsia" w:cs="Times New Roman"/>
          <w:b/>
          <w:i/>
          <w:sz w:val="21"/>
        </w:rPr>
        <w:t>专用条款</w:t>
      </w:r>
      <w:r>
        <w:rPr>
          <w:rFonts w:hint="eastAsia" w:cs="Times New Roman"/>
          <w:sz w:val="21"/>
        </w:rPr>
        <w:t>约定的时间或要求提交修改后的施工组织设计和工程进度计划，待</w:t>
      </w:r>
      <w:r>
        <w:rPr>
          <w:rFonts w:cs="Times New Roman"/>
          <w:sz w:val="21"/>
        </w:rPr>
        <w:t>监理人</w:t>
      </w:r>
      <w:r>
        <w:rPr>
          <w:rFonts w:hint="eastAsia" w:cs="Times New Roman"/>
          <w:sz w:val="21"/>
        </w:rPr>
        <w:t>确认后执行。</w:t>
      </w:r>
      <w:r>
        <w:rPr>
          <w:rFonts w:cs="Times New Roman"/>
          <w:sz w:val="21"/>
        </w:rPr>
        <w:t>监理人</w:t>
      </w:r>
      <w:r>
        <w:rPr>
          <w:rFonts w:hint="eastAsia" w:cs="Times New Roman"/>
          <w:sz w:val="21"/>
        </w:rPr>
        <w:t>对上述计划的同意，不能因此而解除承包人根据本合同约定应负的任何责任或义务。</w:t>
      </w:r>
    </w:p>
    <w:p w14:paraId="1738D9F1">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cs="Times New Roman"/>
          <w:b/>
          <w:bCs/>
        </w:rPr>
        <w:t>临时设施的图纸和文件</w:t>
      </w:r>
    </w:p>
    <w:p w14:paraId="1A9583AA">
      <w:pPr>
        <w:widowControl w:val="0"/>
        <w:tabs>
          <w:tab w:val="left" w:pos="1620"/>
          <w:tab w:val="left" w:pos="2340"/>
        </w:tabs>
        <w:spacing w:after="156"/>
        <w:ind w:left="899"/>
        <w:rPr>
          <w:rFonts w:cs="Times New Roman"/>
          <w:sz w:val="21"/>
        </w:rPr>
      </w:pPr>
      <w:r>
        <w:rPr>
          <w:rFonts w:cs="Times New Roman"/>
          <w:sz w:val="21"/>
        </w:rPr>
        <w:t>承包人应</w:t>
      </w:r>
      <w:r>
        <w:rPr>
          <w:rFonts w:hint="eastAsia" w:cs="Times New Roman"/>
          <w:sz w:val="21"/>
        </w:rPr>
        <w:t>在施工组织设计提交的同时，</w:t>
      </w:r>
      <w:r>
        <w:rPr>
          <w:rFonts w:cs="Times New Roman"/>
          <w:sz w:val="21"/>
        </w:rPr>
        <w:t>向监理人报送本工程临时设施的图纸和资料文件。其内容包括(但不限于)临时设施总平面布置图及必要的文字说明，如生产、生活设施、</w:t>
      </w:r>
      <w:r>
        <w:rPr>
          <w:rFonts w:hint="eastAsia" w:cs="Times New Roman"/>
          <w:sz w:val="21"/>
        </w:rPr>
        <w:t>水电供应、</w:t>
      </w:r>
      <w:r>
        <w:rPr>
          <w:rFonts w:cs="Times New Roman"/>
          <w:sz w:val="21"/>
        </w:rPr>
        <w:t>道路、排水系统、环保环卫、安全防护措施，相关管理制度(办法)等必要的文字说明和图表资料，经批准后实施。</w:t>
      </w:r>
    </w:p>
    <w:p w14:paraId="187DA216">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工程进度计划</w:t>
      </w:r>
    </w:p>
    <w:p w14:paraId="45256725">
      <w:pPr>
        <w:widowControl w:val="0"/>
        <w:tabs>
          <w:tab w:val="left" w:pos="1620"/>
          <w:tab w:val="left" w:pos="2340"/>
        </w:tabs>
        <w:spacing w:after="156"/>
        <w:ind w:left="899"/>
        <w:rPr>
          <w:rFonts w:cs="Times New Roman"/>
          <w:sz w:val="21"/>
        </w:rPr>
      </w:pPr>
      <w:r>
        <w:rPr>
          <w:rFonts w:hint="eastAsia" w:cs="Times New Roman"/>
          <w:sz w:val="21"/>
        </w:rPr>
        <w:t>工程进度计划应按照关键线路网络图和主要工作横道图两种形式分别编绘，并应包括每月预计完成的工作量和形象进度，在需要时每个月修正一次。承包人必须按</w:t>
      </w:r>
      <w:r>
        <w:rPr>
          <w:rFonts w:cs="Times New Roman"/>
          <w:sz w:val="21"/>
        </w:rPr>
        <w:t>监理人</w:t>
      </w:r>
      <w:r>
        <w:rPr>
          <w:rFonts w:hint="eastAsia" w:cs="Times New Roman"/>
          <w:sz w:val="21"/>
        </w:rPr>
        <w:t>确认的进度计划组织施工，接受</w:t>
      </w:r>
      <w:r>
        <w:rPr>
          <w:rFonts w:cs="Times New Roman"/>
          <w:sz w:val="21"/>
        </w:rPr>
        <w:t>监理人</w:t>
      </w:r>
      <w:r>
        <w:rPr>
          <w:rFonts w:hint="eastAsia" w:cs="Times New Roman"/>
          <w:sz w:val="21"/>
        </w:rPr>
        <w:t>对进度的检查、监督。工程实际进度对于在竣工时间内完工过于迟缓或与经确认的进度计划不符时，承包人应按</w:t>
      </w:r>
      <w:r>
        <w:rPr>
          <w:rFonts w:cs="Times New Roman"/>
          <w:sz w:val="21"/>
        </w:rPr>
        <w:t>监理人</w:t>
      </w:r>
      <w:r>
        <w:rPr>
          <w:rFonts w:hint="eastAsia" w:cs="Times New Roman"/>
          <w:sz w:val="21"/>
        </w:rPr>
        <w:t>的要求和建议进行整改并提交修订的进度计划，经</w:t>
      </w:r>
      <w:r>
        <w:rPr>
          <w:rFonts w:cs="Times New Roman"/>
          <w:sz w:val="21"/>
        </w:rPr>
        <w:t>监理人</w:t>
      </w:r>
      <w:r>
        <w:rPr>
          <w:rFonts w:hint="eastAsia" w:cs="Times New Roman"/>
          <w:sz w:val="21"/>
        </w:rPr>
        <w:t>确认后执行。因承包人的原因导致实际进度与进度计划不符，承包人无权就改进措施提出追加合同价款。</w:t>
      </w:r>
    </w:p>
    <w:p w14:paraId="1C4DFEC1">
      <w:pPr>
        <w:widowControl w:val="0"/>
        <w:numPr>
          <w:ilvl w:val="1"/>
          <w:numId w:val="2"/>
        </w:numPr>
        <w:tabs>
          <w:tab w:val="left" w:pos="540"/>
          <w:tab w:val="left" w:pos="576"/>
          <w:tab w:val="left" w:pos="900"/>
          <w:tab w:val="left" w:pos="2340"/>
        </w:tabs>
        <w:spacing w:before="120" w:after="156"/>
        <w:ind w:left="359" w:firstLine="0"/>
        <w:outlineLvl w:val="1"/>
        <w:rPr>
          <w:rFonts w:cs="Times New Roman"/>
          <w:b/>
          <w:bCs/>
        </w:rPr>
      </w:pPr>
      <w:r>
        <w:rPr>
          <w:rFonts w:hint="eastAsia" w:cs="Times New Roman"/>
          <w:b/>
          <w:bCs/>
        </w:rPr>
        <w:t>工程用款计划</w:t>
      </w:r>
    </w:p>
    <w:p w14:paraId="4EC8BE3E">
      <w:pPr>
        <w:widowControl w:val="0"/>
        <w:tabs>
          <w:tab w:val="left" w:pos="1620"/>
          <w:tab w:val="left" w:pos="2340"/>
        </w:tabs>
        <w:spacing w:after="156"/>
        <w:ind w:left="899"/>
        <w:rPr>
          <w:rFonts w:cs="Times New Roman"/>
          <w:sz w:val="21"/>
        </w:rPr>
      </w:pPr>
      <w:r>
        <w:rPr>
          <w:rFonts w:hint="eastAsia" w:cs="Times New Roman"/>
          <w:sz w:val="21"/>
        </w:rPr>
        <w:t>承包人应按</w:t>
      </w:r>
      <w:r>
        <w:rPr>
          <w:rFonts w:hint="eastAsia" w:cs="Times New Roman"/>
          <w:b/>
          <w:i/>
          <w:sz w:val="21"/>
        </w:rPr>
        <w:t>专用条款</w:t>
      </w:r>
      <w:r>
        <w:rPr>
          <w:rFonts w:hint="eastAsia" w:cs="Times New Roman"/>
          <w:sz w:val="21"/>
        </w:rPr>
        <w:t>的约定按工程进度计划向</w:t>
      </w:r>
      <w:r>
        <w:rPr>
          <w:rFonts w:cs="Times New Roman"/>
          <w:sz w:val="21"/>
        </w:rPr>
        <w:t>监理人</w:t>
      </w:r>
      <w:r>
        <w:rPr>
          <w:rFonts w:hint="eastAsia" w:cs="Times New Roman"/>
          <w:sz w:val="21"/>
        </w:rPr>
        <w:t>提交按合同约定承包人有权得到支付的工程用款计划，以备</w:t>
      </w:r>
      <w:r>
        <w:rPr>
          <w:rFonts w:cs="Times New Roman"/>
          <w:sz w:val="21"/>
        </w:rPr>
        <w:t>监理人</w:t>
      </w:r>
      <w:r>
        <w:rPr>
          <w:rFonts w:hint="eastAsia" w:cs="Times New Roman"/>
          <w:sz w:val="21"/>
        </w:rPr>
        <w:t>查阅。如</w:t>
      </w:r>
      <w:r>
        <w:rPr>
          <w:rFonts w:cs="Times New Roman"/>
          <w:sz w:val="21"/>
        </w:rPr>
        <w:t>监理人</w:t>
      </w:r>
      <w:r>
        <w:rPr>
          <w:rFonts w:hint="eastAsia" w:cs="Times New Roman"/>
          <w:sz w:val="21"/>
        </w:rPr>
        <w:t>提出要求，承包人还应按要求提交修改的工程用款计划。</w:t>
      </w:r>
    </w:p>
    <w:p w14:paraId="3B04B5D0">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施工准备</w:t>
      </w:r>
    </w:p>
    <w:p w14:paraId="7F7D5EF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现场考察与勘察资料分析</w:t>
      </w:r>
    </w:p>
    <w:p w14:paraId="32DF8770">
      <w:pPr>
        <w:widowControl w:val="0"/>
        <w:tabs>
          <w:tab w:val="left" w:pos="1620"/>
          <w:tab w:val="left" w:pos="2340"/>
        </w:tabs>
        <w:spacing w:after="156"/>
        <w:ind w:left="899"/>
        <w:rPr>
          <w:rFonts w:cs="Times New Roman"/>
          <w:sz w:val="21"/>
        </w:rPr>
      </w:pPr>
      <w:r>
        <w:rPr>
          <w:rFonts w:hint="eastAsia" w:cs="Times New Roman"/>
          <w:sz w:val="21"/>
        </w:rPr>
        <w:t>⑴承包人在签订合同之前，应研究和分析发包人提供的水文、地质、气象等资料，并在勘察设计文件和发包人提供的相关资料的基础上，对现场存在的管线等地下构筑物作进一步调查和了解，以取得其对施工影响的全部信息，并在施工组织设计和进度计划中作出充分的考虑。</w:t>
      </w:r>
      <w:r>
        <w:rPr>
          <w:rFonts w:hint="eastAsia" w:ascii="Times New Roman" w:hAnsi="Times New Roman" w:cs="Times New Roman"/>
          <w:kern w:val="2"/>
          <w:sz w:val="21"/>
        </w:rPr>
        <w:t>发包人应对其所提供资料的准确性负责，</w:t>
      </w:r>
      <w:r>
        <w:rPr>
          <w:rFonts w:hint="eastAsia" w:cs="Times New Roman"/>
          <w:sz w:val="21"/>
        </w:rPr>
        <w:t>承包人应对其对该资料的理解、判断和应用负责。</w:t>
      </w:r>
    </w:p>
    <w:p w14:paraId="1811336F">
      <w:pPr>
        <w:widowControl w:val="0"/>
        <w:tabs>
          <w:tab w:val="left" w:pos="1620"/>
          <w:tab w:val="left" w:pos="2340"/>
        </w:tabs>
        <w:spacing w:after="156"/>
        <w:ind w:left="899"/>
        <w:rPr>
          <w:rFonts w:cs="Times New Roman"/>
          <w:sz w:val="21"/>
        </w:rPr>
      </w:pPr>
      <w:r>
        <w:rPr>
          <w:rFonts w:hint="eastAsia" w:cs="Times New Roman"/>
          <w:sz w:val="21"/>
        </w:rPr>
        <w:t>⑵承包人在签订合同之前，应视为已研究和察看了工地及其四周环境；已清楚知道关于通往工地的现有道路或其他交通条件、土地及工地的外形和性质、损毁物业的危险、挖掘对象的性质、进行本工程所需的工程及材料的性质、生活与施工条件；已取得影响其签订合同及进行本工程施工的资料。承包人不得以对上述事项了解不够充分而向发包人索赔，也不得免除根据合同约定须承担的责任。</w:t>
      </w:r>
    </w:p>
    <w:p w14:paraId="21462742">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施工场地提供</w:t>
      </w:r>
    </w:p>
    <w:p w14:paraId="352F0480">
      <w:pPr>
        <w:widowControl w:val="0"/>
        <w:tabs>
          <w:tab w:val="left" w:pos="1620"/>
          <w:tab w:val="left" w:pos="2340"/>
        </w:tabs>
        <w:spacing w:after="156"/>
        <w:ind w:left="899"/>
        <w:rPr>
          <w:rFonts w:cs="Times New Roman"/>
          <w:sz w:val="21"/>
        </w:rPr>
      </w:pPr>
      <w:r>
        <w:rPr>
          <w:rFonts w:hint="eastAsia" w:cs="Times New Roman"/>
          <w:sz w:val="21"/>
        </w:rPr>
        <w:t>⑴发包人应按</w:t>
      </w:r>
      <w:r>
        <w:rPr>
          <w:rFonts w:hint="eastAsia" w:cs="Times New Roman"/>
          <w:b/>
          <w:i/>
          <w:sz w:val="21"/>
        </w:rPr>
        <w:t>专用条款</w:t>
      </w:r>
      <w:r>
        <w:rPr>
          <w:rFonts w:hint="eastAsia" w:cs="Times New Roman"/>
          <w:sz w:val="21"/>
        </w:rPr>
        <w:t>的约定向承包人提供施工所需的场地，以满足承包人进行本工程施工。发包人未按约定提供施工所需的场地，致使本工程或其他任何部分的进展受到影响，给承包人造成损失和(或)导致工期延误的，发包人应赔偿承包人损失，顺延延误的工期。</w:t>
      </w:r>
    </w:p>
    <w:p w14:paraId="0168BEAD">
      <w:pPr>
        <w:widowControl w:val="0"/>
        <w:tabs>
          <w:tab w:val="left" w:pos="1620"/>
          <w:tab w:val="left" w:pos="2340"/>
        </w:tabs>
        <w:spacing w:after="156"/>
        <w:ind w:left="899"/>
        <w:rPr>
          <w:rFonts w:cs="Times New Roman"/>
          <w:sz w:val="21"/>
        </w:rPr>
      </w:pPr>
      <w:r>
        <w:rPr>
          <w:rFonts w:hint="eastAsia" w:cs="Times New Roman"/>
          <w:sz w:val="21"/>
        </w:rPr>
        <w:t>⑵发包人未能按期办妥土地征用和搬迁手续，承包人在接到</w:t>
      </w:r>
      <w:r>
        <w:rPr>
          <w:rFonts w:cs="Times New Roman"/>
          <w:sz w:val="21"/>
        </w:rPr>
        <w:t>监理人</w:t>
      </w:r>
      <w:r>
        <w:rPr>
          <w:rFonts w:hint="eastAsia" w:cs="Times New Roman"/>
          <w:sz w:val="21"/>
        </w:rPr>
        <w:t>通知后，应按</w:t>
      </w:r>
      <w:r>
        <w:rPr>
          <w:rFonts w:cs="Times New Roman"/>
          <w:sz w:val="21"/>
        </w:rPr>
        <w:t>监理人</w:t>
      </w:r>
      <w:r>
        <w:rPr>
          <w:rFonts w:hint="eastAsia" w:cs="Times New Roman"/>
          <w:sz w:val="21"/>
        </w:rPr>
        <w:t>的指示及时调整工程组织设计和进度计划中的各项工作的施工方案和顺序，以便能够继续施工或者对施工人员和施工机械及时进行调整，以避免停工损失的发生。发包人未能按期办妥土地征用和搬迁手续，给承包人造成损失和(或)导致工期延误的，发包人应赔偿承包人损失，顺延延误的工期。</w:t>
      </w:r>
    </w:p>
    <w:p w14:paraId="6B0A2B7F">
      <w:pPr>
        <w:widowControl w:val="0"/>
        <w:tabs>
          <w:tab w:val="left" w:pos="1620"/>
          <w:tab w:val="left" w:pos="2340"/>
        </w:tabs>
        <w:spacing w:after="156"/>
        <w:ind w:left="899"/>
        <w:rPr>
          <w:rFonts w:cs="Times New Roman"/>
          <w:sz w:val="21"/>
        </w:rPr>
      </w:pPr>
      <w:r>
        <w:rPr>
          <w:rFonts w:hint="eastAsia" w:cs="Times New Roman"/>
          <w:sz w:val="21"/>
        </w:rPr>
        <w:t>⑶征地红线内的工程用地，在不影响施工的前提下，经发包人批准，可免费提供给承包人作施工临时用地。红线范围外的临时占地的租用，由发包人根据开工需要和施工先后顺序，分期办理租用手续，提供给承包人作施工临时用地。红线外的临时占地租用费用由发包人支付(</w:t>
      </w:r>
      <w:r>
        <w:rPr>
          <w:rFonts w:hint="eastAsia" w:cs="Times New Roman"/>
          <w:b/>
          <w:i/>
          <w:sz w:val="21"/>
        </w:rPr>
        <w:t>专用条款</w:t>
      </w:r>
      <w:r>
        <w:rPr>
          <w:rFonts w:hint="eastAsia" w:cs="Times New Roman"/>
          <w:sz w:val="21"/>
        </w:rPr>
        <w:t>另有约定除外)。临时用地使用完毕后，承包人应自费将临时用地恢复原状。</w:t>
      </w:r>
    </w:p>
    <w:p w14:paraId="5E8D2838">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施工放线</w:t>
      </w:r>
    </w:p>
    <w:p w14:paraId="0183A554">
      <w:pPr>
        <w:widowControl w:val="0"/>
        <w:tabs>
          <w:tab w:val="left" w:pos="1620"/>
          <w:tab w:val="left" w:pos="2340"/>
        </w:tabs>
        <w:spacing w:after="156"/>
        <w:ind w:left="899"/>
        <w:rPr>
          <w:rFonts w:cs="Times New Roman"/>
          <w:sz w:val="21"/>
        </w:rPr>
      </w:pPr>
      <w:r>
        <w:rPr>
          <w:rFonts w:hint="eastAsia" w:cs="Times New Roman"/>
          <w:sz w:val="21"/>
        </w:rPr>
        <w:t>⑴发包人应</w:t>
      </w:r>
      <w:r>
        <w:rPr>
          <w:rFonts w:cs="Times New Roman"/>
          <w:sz w:val="21"/>
        </w:rPr>
        <w:t>在至迟不得晚于第</w:t>
      </w:r>
      <w:r>
        <w:rPr>
          <w:rFonts w:hint="eastAsia" w:cs="Times New Roman"/>
          <w:sz w:val="21"/>
        </w:rPr>
        <w:t>11.1款〔</w:t>
      </w:r>
      <w:r>
        <w:rPr>
          <w:rFonts w:cs="Times New Roman"/>
          <w:sz w:val="21"/>
        </w:rPr>
        <w:t>开工</w:t>
      </w:r>
      <w:r>
        <w:rPr>
          <w:rFonts w:hint="eastAsia" w:cs="Times New Roman"/>
          <w:sz w:val="21"/>
        </w:rPr>
        <w:t>〕中开工通知书</w:t>
      </w:r>
      <w:r>
        <w:rPr>
          <w:rFonts w:cs="Times New Roman"/>
          <w:sz w:val="21"/>
        </w:rPr>
        <w:t>载明的开工日期前7天通过监理人</w:t>
      </w:r>
      <w:r>
        <w:rPr>
          <w:rFonts w:hint="eastAsia" w:cs="Times New Roman"/>
          <w:sz w:val="21"/>
        </w:rPr>
        <w:t>向承包人提供工程施工所需的原始基准点、基准线和基准标高，以及</w:t>
      </w:r>
      <w:r>
        <w:rPr>
          <w:rFonts w:hint="eastAsia" w:ascii="Times New Roman" w:hAnsi="Times New Roman" w:cs="Times New Roman"/>
          <w:kern w:val="2"/>
          <w:sz w:val="21"/>
        </w:rPr>
        <w:t>工程项目范围内城市轨道交通隧道、给水管道、燃气管道分布情况，</w:t>
      </w:r>
      <w:r>
        <w:rPr>
          <w:rFonts w:hint="eastAsia" w:cs="Times New Roman"/>
          <w:sz w:val="21"/>
        </w:rPr>
        <w:t>并对其真实准确性负责，同时承担由于其错误而引起的承包人的费用损失和工期延误的补偿责任。</w:t>
      </w:r>
    </w:p>
    <w:p w14:paraId="56F1B5A8">
      <w:pPr>
        <w:widowControl w:val="0"/>
        <w:tabs>
          <w:tab w:val="left" w:pos="1620"/>
          <w:tab w:val="left" w:pos="2340"/>
        </w:tabs>
        <w:spacing w:after="156"/>
        <w:ind w:left="899"/>
        <w:rPr>
          <w:rFonts w:cs="Times New Roman"/>
          <w:sz w:val="21"/>
        </w:rPr>
      </w:pPr>
      <w:r>
        <w:rPr>
          <w:rFonts w:hint="eastAsia" w:cs="Times New Roman"/>
          <w:sz w:val="21"/>
        </w:rPr>
        <w:t>⑵承包人按上述基准负责对工程的所有部位正确定位，纠正在工程的位置、标高、尺寸或定线中的任何错误。</w:t>
      </w:r>
      <w:r>
        <w:rPr>
          <w:rFonts w:cs="Times New Roman"/>
          <w:sz w:val="21"/>
        </w:rPr>
        <w:t>监理人</w:t>
      </w:r>
      <w:r>
        <w:rPr>
          <w:rFonts w:hint="eastAsia" w:cs="Times New Roman"/>
          <w:sz w:val="21"/>
        </w:rPr>
        <w:t>对放样、准线或标高的核查，均不应解除承包人对其准确性所负的责任。</w:t>
      </w:r>
    </w:p>
    <w:p w14:paraId="126531BD">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施工过程中对施工现场内水准点等测量标志物的保护工作由承包人负责。</w:t>
      </w:r>
    </w:p>
    <w:p w14:paraId="123846FA">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4 \* GB2</w:instrText>
      </w:r>
      <w:r>
        <w:rPr>
          <w:rFonts w:cs="Times New Roman"/>
          <w:sz w:val="21"/>
        </w:rPr>
        <w:fldChar w:fldCharType="separate"/>
      </w:r>
      <w:r>
        <w:rPr>
          <w:rFonts w:hint="eastAsia" w:cs="Times New Roman"/>
          <w:sz w:val="21"/>
        </w:rPr>
        <w:t>⑷</w:t>
      </w:r>
      <w:r>
        <w:rPr>
          <w:rFonts w:cs="Times New Roman"/>
          <w:sz w:val="21"/>
        </w:rPr>
        <w:fldChar w:fldCharType="end"/>
      </w:r>
      <w:r>
        <w:rPr>
          <w:rFonts w:hint="eastAsia" w:cs="Times New Roman"/>
          <w:sz w:val="21"/>
        </w:rPr>
        <w:t>承包人应落实</w:t>
      </w:r>
      <w:r>
        <w:rPr>
          <w:rFonts w:hint="eastAsia" w:ascii="Times New Roman" w:hAnsi="Times New Roman" w:cs="Times New Roman"/>
          <w:kern w:val="2"/>
          <w:sz w:val="21"/>
        </w:rPr>
        <w:t>工程项目范围内城市轨道交通隧道、给水管道、燃气管道的安全保护措施。</w:t>
      </w:r>
    </w:p>
    <w:p w14:paraId="4DFEF232">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施工组织准备工作</w:t>
      </w:r>
    </w:p>
    <w:p w14:paraId="6B551E4A">
      <w:pPr>
        <w:widowControl w:val="0"/>
        <w:tabs>
          <w:tab w:val="left" w:pos="1620"/>
          <w:tab w:val="left" w:pos="2340"/>
        </w:tabs>
        <w:ind w:left="899"/>
        <w:rPr>
          <w:rFonts w:cs="Times New Roman"/>
          <w:sz w:val="21"/>
        </w:rPr>
      </w:pPr>
      <w:r>
        <w:rPr>
          <w:rFonts w:hint="eastAsia" w:cs="Times New Roman"/>
          <w:sz w:val="21"/>
        </w:rPr>
        <w:t>本</w:t>
      </w:r>
      <w:r>
        <w:rPr>
          <w:rFonts w:cs="Times New Roman"/>
          <w:sz w:val="21"/>
        </w:rPr>
        <w:t>工程开工前，承包人应及时做好</w:t>
      </w:r>
      <w:r>
        <w:rPr>
          <w:rFonts w:hint="eastAsia" w:cs="Times New Roman"/>
          <w:sz w:val="21"/>
        </w:rPr>
        <w:t>如下</w:t>
      </w:r>
      <w:r>
        <w:rPr>
          <w:rFonts w:cs="Times New Roman"/>
          <w:sz w:val="21"/>
        </w:rPr>
        <w:t>施工</w:t>
      </w:r>
      <w:r>
        <w:rPr>
          <w:rFonts w:hint="eastAsia" w:cs="Times New Roman"/>
          <w:sz w:val="21"/>
        </w:rPr>
        <w:t>组织</w:t>
      </w:r>
      <w:r>
        <w:rPr>
          <w:rFonts w:cs="Times New Roman"/>
          <w:sz w:val="21"/>
        </w:rPr>
        <w:t>准备工作</w:t>
      </w:r>
      <w:r>
        <w:rPr>
          <w:rFonts w:hint="eastAsia" w:cs="Times New Roman"/>
          <w:sz w:val="21"/>
        </w:rPr>
        <w:t>(</w:t>
      </w:r>
      <w:r>
        <w:rPr>
          <w:rFonts w:cs="Times New Roman"/>
          <w:sz w:val="21"/>
        </w:rPr>
        <w:t>包括但不限于</w:t>
      </w:r>
      <w:r>
        <w:rPr>
          <w:rFonts w:hint="eastAsia" w:cs="Times New Roman"/>
          <w:sz w:val="21"/>
        </w:rPr>
        <w:t>)</w:t>
      </w:r>
      <w:r>
        <w:rPr>
          <w:rFonts w:cs="Times New Roman"/>
          <w:sz w:val="21"/>
        </w:rPr>
        <w:t>：</w:t>
      </w:r>
    </w:p>
    <w:p w14:paraId="72F41ED6">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1 \* GB2</w:instrText>
      </w:r>
      <w:r>
        <w:rPr>
          <w:rFonts w:cs="Times New Roman"/>
          <w:sz w:val="21"/>
        </w:rPr>
        <w:fldChar w:fldCharType="separate"/>
      </w:r>
      <w:r>
        <w:rPr>
          <w:rFonts w:hint="eastAsia" w:cs="Times New Roman"/>
          <w:sz w:val="21"/>
        </w:rPr>
        <w:t>⑴</w:t>
      </w:r>
      <w:r>
        <w:rPr>
          <w:rFonts w:cs="Times New Roman"/>
          <w:sz w:val="21"/>
        </w:rPr>
        <w:fldChar w:fldCharType="end"/>
      </w:r>
      <w:r>
        <w:rPr>
          <w:rFonts w:cs="Times New Roman"/>
          <w:sz w:val="21"/>
        </w:rPr>
        <w:t>组建施工管理机构和专业作业队伍，并进行进场前的施工教育培训</w:t>
      </w:r>
      <w:r>
        <w:rPr>
          <w:rFonts w:hint="eastAsia" w:cs="Times New Roman"/>
          <w:sz w:val="21"/>
        </w:rPr>
        <w:t>；</w:t>
      </w:r>
    </w:p>
    <w:p w14:paraId="4E7078F0">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2 \* GB2</w:instrText>
      </w:r>
      <w:r>
        <w:rPr>
          <w:rFonts w:cs="Times New Roman"/>
          <w:sz w:val="21"/>
        </w:rPr>
        <w:fldChar w:fldCharType="separate"/>
      </w:r>
      <w:r>
        <w:rPr>
          <w:rFonts w:hint="eastAsia" w:cs="Times New Roman"/>
          <w:sz w:val="21"/>
        </w:rPr>
        <w:t>⑵</w:t>
      </w:r>
      <w:r>
        <w:rPr>
          <w:rFonts w:cs="Times New Roman"/>
          <w:sz w:val="21"/>
        </w:rPr>
        <w:fldChar w:fldCharType="end"/>
      </w:r>
      <w:r>
        <w:rPr>
          <w:rFonts w:cs="Times New Roman"/>
          <w:sz w:val="21"/>
        </w:rPr>
        <w:t>编制材料和设备供应计划并做好供应</w:t>
      </w:r>
      <w:r>
        <w:rPr>
          <w:rFonts w:hint="eastAsia" w:cs="Times New Roman"/>
          <w:sz w:val="21"/>
        </w:rPr>
        <w:t>，</w:t>
      </w:r>
      <w:r>
        <w:rPr>
          <w:rFonts w:cs="Times New Roman"/>
          <w:sz w:val="21"/>
        </w:rPr>
        <w:t>安排好预制构件和非标准件加工以及施工机具设备的维修保养工作</w:t>
      </w:r>
      <w:r>
        <w:rPr>
          <w:rFonts w:hint="eastAsia" w:cs="Times New Roman"/>
          <w:sz w:val="21"/>
        </w:rPr>
        <w:t>；</w:t>
      </w:r>
    </w:p>
    <w:p w14:paraId="19B45F74">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3 \* GB2</w:instrText>
      </w:r>
      <w:r>
        <w:rPr>
          <w:rFonts w:cs="Times New Roman"/>
          <w:sz w:val="21"/>
        </w:rPr>
        <w:fldChar w:fldCharType="separate"/>
      </w:r>
      <w:r>
        <w:rPr>
          <w:rFonts w:hint="eastAsia" w:cs="Times New Roman"/>
          <w:sz w:val="21"/>
        </w:rPr>
        <w:t>⑶</w:t>
      </w:r>
      <w:r>
        <w:rPr>
          <w:rFonts w:cs="Times New Roman"/>
          <w:sz w:val="21"/>
        </w:rPr>
        <w:fldChar w:fldCharType="end"/>
      </w:r>
      <w:r>
        <w:rPr>
          <w:rFonts w:cs="Times New Roman"/>
          <w:sz w:val="21"/>
        </w:rPr>
        <w:t>核实场内搬迁项目情况，并报监理人交由发包人与有关部门处理</w:t>
      </w:r>
      <w:r>
        <w:rPr>
          <w:rFonts w:hint="eastAsia" w:cs="Times New Roman"/>
          <w:sz w:val="21"/>
        </w:rPr>
        <w:t>；</w:t>
      </w:r>
    </w:p>
    <w:p w14:paraId="1799F95F">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4 \* GB2</w:instrText>
      </w:r>
      <w:r>
        <w:rPr>
          <w:rFonts w:cs="Times New Roman"/>
          <w:sz w:val="21"/>
        </w:rPr>
        <w:fldChar w:fldCharType="separate"/>
      </w:r>
      <w:r>
        <w:rPr>
          <w:rFonts w:hint="eastAsia" w:cs="Times New Roman"/>
          <w:sz w:val="21"/>
        </w:rPr>
        <w:t>⑷</w:t>
      </w:r>
      <w:r>
        <w:rPr>
          <w:rFonts w:cs="Times New Roman"/>
          <w:sz w:val="21"/>
        </w:rPr>
        <w:fldChar w:fldCharType="end"/>
      </w:r>
      <w:r>
        <w:rPr>
          <w:rFonts w:cs="Times New Roman"/>
          <w:sz w:val="21"/>
        </w:rPr>
        <w:t>架设供电线路，接通施工用水管路，确定材料、设备等运输线路</w:t>
      </w:r>
      <w:r>
        <w:rPr>
          <w:rFonts w:hint="eastAsia" w:cs="Times New Roman"/>
          <w:sz w:val="21"/>
        </w:rPr>
        <w:t>；</w:t>
      </w:r>
    </w:p>
    <w:p w14:paraId="52F5B696">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5 \* GB2</w:instrText>
      </w:r>
      <w:r>
        <w:rPr>
          <w:rFonts w:cs="Times New Roman"/>
          <w:sz w:val="21"/>
        </w:rPr>
        <w:fldChar w:fldCharType="separate"/>
      </w:r>
      <w:r>
        <w:rPr>
          <w:rFonts w:hint="eastAsia" w:cs="Times New Roman"/>
          <w:sz w:val="21"/>
        </w:rPr>
        <w:t>⑸</w:t>
      </w:r>
      <w:r>
        <w:rPr>
          <w:rFonts w:cs="Times New Roman"/>
          <w:sz w:val="21"/>
        </w:rPr>
        <w:fldChar w:fldCharType="end"/>
      </w:r>
      <w:r>
        <w:rPr>
          <w:rFonts w:hint="eastAsia" w:cs="Times New Roman"/>
          <w:sz w:val="21"/>
        </w:rPr>
        <w:t>做好场区的临时排水、</w:t>
      </w:r>
      <w:r>
        <w:rPr>
          <w:rFonts w:cs="Times New Roman"/>
          <w:sz w:val="21"/>
        </w:rPr>
        <w:t>泄水口</w:t>
      </w:r>
      <w:r>
        <w:rPr>
          <w:rFonts w:hint="eastAsia" w:cs="Times New Roman"/>
          <w:sz w:val="21"/>
        </w:rPr>
        <w:t>、车辆、车轮冲洗沟槽设施及场地、道路硬化等及其他全部临时工程；</w:t>
      </w:r>
    </w:p>
    <w:p w14:paraId="0D71BFA6">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6 \* GB2</w:instrText>
      </w:r>
      <w:r>
        <w:rPr>
          <w:rFonts w:cs="Times New Roman"/>
          <w:sz w:val="21"/>
        </w:rPr>
        <w:fldChar w:fldCharType="separate"/>
      </w:r>
      <w:r>
        <w:rPr>
          <w:rFonts w:hint="eastAsia" w:cs="Times New Roman"/>
          <w:sz w:val="21"/>
        </w:rPr>
        <w:t>⑹</w:t>
      </w:r>
      <w:r>
        <w:rPr>
          <w:rFonts w:cs="Times New Roman"/>
          <w:sz w:val="21"/>
        </w:rPr>
        <w:fldChar w:fldCharType="end"/>
      </w:r>
      <w:r>
        <w:rPr>
          <w:rFonts w:cs="Times New Roman"/>
          <w:sz w:val="21"/>
        </w:rPr>
        <w:t>组织施工机械设备和材料进场</w:t>
      </w:r>
      <w:r>
        <w:rPr>
          <w:rFonts w:hint="eastAsia" w:cs="Times New Roman"/>
          <w:sz w:val="21"/>
        </w:rPr>
        <w:t>；</w:t>
      </w:r>
    </w:p>
    <w:p w14:paraId="1C59B825">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7 \* GB2</w:instrText>
      </w:r>
      <w:r>
        <w:rPr>
          <w:rFonts w:cs="Times New Roman"/>
          <w:sz w:val="21"/>
        </w:rPr>
        <w:fldChar w:fldCharType="separate"/>
      </w:r>
      <w:r>
        <w:rPr>
          <w:rFonts w:hint="eastAsia" w:cs="Times New Roman"/>
          <w:sz w:val="21"/>
        </w:rPr>
        <w:t>⑺</w:t>
      </w:r>
      <w:r>
        <w:rPr>
          <w:rFonts w:cs="Times New Roman"/>
          <w:sz w:val="21"/>
        </w:rPr>
        <w:fldChar w:fldCharType="end"/>
      </w:r>
      <w:r>
        <w:rPr>
          <w:rFonts w:cs="Times New Roman"/>
          <w:sz w:val="21"/>
        </w:rPr>
        <w:t>落实季节性施工措施</w:t>
      </w:r>
      <w:r>
        <w:rPr>
          <w:rFonts w:hint="eastAsia" w:cs="Times New Roman"/>
          <w:sz w:val="21"/>
        </w:rPr>
        <w:t>；</w:t>
      </w:r>
    </w:p>
    <w:p w14:paraId="15E17642">
      <w:pPr>
        <w:widowControl w:val="0"/>
        <w:tabs>
          <w:tab w:val="left" w:pos="1620"/>
          <w:tab w:val="left" w:pos="2340"/>
        </w:tabs>
        <w:ind w:left="1079"/>
        <w:rPr>
          <w:rFonts w:cs="Times New Roman"/>
          <w:sz w:val="21"/>
        </w:rPr>
      </w:pPr>
      <w:r>
        <w:rPr>
          <w:rFonts w:cs="Times New Roman"/>
          <w:sz w:val="21"/>
        </w:rPr>
        <w:fldChar w:fldCharType="begin"/>
      </w:r>
      <w:r>
        <w:rPr>
          <w:rFonts w:hint="eastAsia" w:cs="Times New Roman"/>
          <w:sz w:val="21"/>
        </w:rPr>
        <w:instrText xml:space="preserve">= 8 \* GB2</w:instrText>
      </w:r>
      <w:r>
        <w:rPr>
          <w:rFonts w:cs="Times New Roman"/>
          <w:sz w:val="21"/>
        </w:rPr>
        <w:fldChar w:fldCharType="separate"/>
      </w:r>
      <w:r>
        <w:rPr>
          <w:rFonts w:hint="eastAsia" w:cs="Times New Roman"/>
          <w:sz w:val="21"/>
        </w:rPr>
        <w:t>⑻</w:t>
      </w:r>
      <w:r>
        <w:rPr>
          <w:rFonts w:cs="Times New Roman"/>
          <w:sz w:val="21"/>
        </w:rPr>
        <w:fldChar w:fldCharType="end"/>
      </w:r>
      <w:r>
        <w:rPr>
          <w:rFonts w:cs="Times New Roman"/>
          <w:sz w:val="21"/>
        </w:rPr>
        <w:t>向</w:t>
      </w:r>
      <w:r>
        <w:rPr>
          <w:rFonts w:hint="eastAsia" w:cs="Times New Roman"/>
          <w:sz w:val="21"/>
        </w:rPr>
        <w:t>监理人</w:t>
      </w:r>
      <w:r>
        <w:rPr>
          <w:rFonts w:cs="Times New Roman"/>
          <w:sz w:val="21"/>
        </w:rPr>
        <w:t>提交安全生产</w:t>
      </w:r>
      <w:r>
        <w:rPr>
          <w:rFonts w:hint="eastAsia" w:cs="Times New Roman"/>
          <w:sz w:val="21"/>
        </w:rPr>
        <w:t>(含消防安全)</w:t>
      </w:r>
      <w:r>
        <w:rPr>
          <w:rFonts w:cs="Times New Roman"/>
          <w:sz w:val="21"/>
        </w:rPr>
        <w:t>计划；落实安全、</w:t>
      </w:r>
      <w:r>
        <w:rPr>
          <w:rFonts w:hint="eastAsia" w:cs="Times New Roman"/>
          <w:sz w:val="21"/>
        </w:rPr>
        <w:t>消防和保安措施，以及</w:t>
      </w:r>
      <w:r>
        <w:rPr>
          <w:rFonts w:cs="Times New Roman"/>
          <w:sz w:val="21"/>
        </w:rPr>
        <w:t>文明施工管理措施。</w:t>
      </w:r>
    </w:p>
    <w:p w14:paraId="12CEA42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施工技术准备工作</w:t>
      </w:r>
    </w:p>
    <w:p w14:paraId="097E68DC">
      <w:pPr>
        <w:widowControl w:val="0"/>
        <w:tabs>
          <w:tab w:val="left" w:pos="1620"/>
          <w:tab w:val="left" w:pos="2340"/>
        </w:tabs>
        <w:ind w:left="899"/>
        <w:rPr>
          <w:rFonts w:cs="Times New Roman"/>
          <w:sz w:val="21"/>
        </w:rPr>
      </w:pPr>
      <w:r>
        <w:rPr>
          <w:rFonts w:hint="eastAsia" w:cs="Times New Roman"/>
          <w:sz w:val="21"/>
        </w:rPr>
        <w:t>本</w:t>
      </w:r>
      <w:r>
        <w:rPr>
          <w:rFonts w:cs="Times New Roman"/>
          <w:sz w:val="21"/>
        </w:rPr>
        <w:t>工程开工前，承包人应及时做好</w:t>
      </w:r>
      <w:r>
        <w:rPr>
          <w:rFonts w:hint="eastAsia" w:cs="Times New Roman"/>
          <w:sz w:val="21"/>
        </w:rPr>
        <w:t>如下</w:t>
      </w:r>
      <w:r>
        <w:rPr>
          <w:rFonts w:cs="Times New Roman"/>
          <w:sz w:val="21"/>
        </w:rPr>
        <w:t>施工</w:t>
      </w:r>
      <w:r>
        <w:rPr>
          <w:rFonts w:hint="eastAsia" w:cs="Times New Roman"/>
          <w:sz w:val="21"/>
        </w:rPr>
        <w:t>技术</w:t>
      </w:r>
      <w:r>
        <w:rPr>
          <w:rFonts w:cs="Times New Roman"/>
          <w:sz w:val="21"/>
        </w:rPr>
        <w:t>准备工作</w:t>
      </w:r>
      <w:r>
        <w:rPr>
          <w:rFonts w:hint="eastAsia" w:cs="Times New Roman"/>
          <w:sz w:val="21"/>
        </w:rPr>
        <w:t>(</w:t>
      </w:r>
      <w:r>
        <w:rPr>
          <w:rFonts w:cs="Times New Roman"/>
          <w:sz w:val="21"/>
        </w:rPr>
        <w:t>包括但不限于</w:t>
      </w:r>
      <w:r>
        <w:rPr>
          <w:rFonts w:hint="eastAsia" w:cs="Times New Roman"/>
          <w:sz w:val="21"/>
        </w:rPr>
        <w:t>)</w:t>
      </w:r>
      <w:r>
        <w:rPr>
          <w:rFonts w:cs="Times New Roman"/>
          <w:sz w:val="21"/>
        </w:rPr>
        <w:t>：</w:t>
      </w:r>
    </w:p>
    <w:p w14:paraId="109DD835">
      <w:pPr>
        <w:widowControl w:val="0"/>
        <w:tabs>
          <w:tab w:val="left" w:pos="1620"/>
          <w:tab w:val="left" w:pos="2340"/>
        </w:tabs>
        <w:ind w:left="899"/>
        <w:rPr>
          <w:rFonts w:cs="Times New Roman"/>
          <w:sz w:val="21"/>
        </w:rPr>
      </w:pPr>
      <w:r>
        <w:rPr>
          <w:rFonts w:hint="eastAsia" w:cs="Times New Roman"/>
          <w:sz w:val="21"/>
        </w:rPr>
        <w:t>⑴</w:t>
      </w:r>
      <w:r>
        <w:rPr>
          <w:rFonts w:cs="Times New Roman"/>
          <w:sz w:val="21"/>
        </w:rPr>
        <w:t>熟悉、审核设计图，参加监理人</w:t>
      </w:r>
      <w:r>
        <w:rPr>
          <w:rFonts w:hint="eastAsia" w:cs="Times New Roman"/>
          <w:sz w:val="21"/>
        </w:rPr>
        <w:t>组织的</w:t>
      </w:r>
      <w:r>
        <w:rPr>
          <w:rFonts w:cs="Times New Roman"/>
          <w:sz w:val="21"/>
        </w:rPr>
        <w:t>设计交底和图纸会审</w:t>
      </w:r>
      <w:r>
        <w:rPr>
          <w:rFonts w:hint="eastAsia" w:cs="Times New Roman"/>
          <w:sz w:val="21"/>
        </w:rPr>
        <w:t>；</w:t>
      </w:r>
    </w:p>
    <w:p w14:paraId="776E6D69">
      <w:pPr>
        <w:widowControl w:val="0"/>
        <w:tabs>
          <w:tab w:val="left" w:pos="1620"/>
          <w:tab w:val="left" w:pos="2340"/>
        </w:tabs>
        <w:ind w:left="899"/>
        <w:rPr>
          <w:rFonts w:cs="Times New Roman"/>
          <w:sz w:val="21"/>
        </w:rPr>
      </w:pPr>
      <w:r>
        <w:rPr>
          <w:rFonts w:hint="eastAsia" w:cs="Times New Roman"/>
          <w:sz w:val="21"/>
        </w:rPr>
        <w:t>⑵参与</w:t>
      </w:r>
      <w:r>
        <w:rPr>
          <w:rFonts w:cs="Times New Roman"/>
          <w:sz w:val="21"/>
        </w:rPr>
        <w:t>监理人</w:t>
      </w:r>
      <w:r>
        <w:rPr>
          <w:rFonts w:hint="eastAsia" w:cs="Times New Roman"/>
          <w:sz w:val="21"/>
        </w:rPr>
        <w:t>组织的</w:t>
      </w:r>
      <w:r>
        <w:rPr>
          <w:rFonts w:cs="Times New Roman"/>
          <w:sz w:val="21"/>
        </w:rPr>
        <w:t>测量交桩</w:t>
      </w:r>
      <w:r>
        <w:rPr>
          <w:rFonts w:hint="eastAsia" w:cs="Times New Roman"/>
          <w:sz w:val="21"/>
        </w:rPr>
        <w:t>，</w:t>
      </w:r>
      <w:r>
        <w:rPr>
          <w:rFonts w:cs="Times New Roman"/>
          <w:sz w:val="21"/>
        </w:rPr>
        <w:t>复测控制桩和水准点，并制定测量方案和监控量测方案</w:t>
      </w:r>
      <w:r>
        <w:rPr>
          <w:rFonts w:hint="eastAsia" w:cs="Times New Roman"/>
          <w:sz w:val="21"/>
        </w:rPr>
        <w:t>；</w:t>
      </w:r>
    </w:p>
    <w:p w14:paraId="6215FD9D">
      <w:pPr>
        <w:widowControl w:val="0"/>
        <w:tabs>
          <w:tab w:val="left" w:pos="1620"/>
          <w:tab w:val="left" w:pos="2340"/>
        </w:tabs>
        <w:ind w:left="899"/>
        <w:rPr>
          <w:rFonts w:cs="Times New Roman"/>
          <w:sz w:val="21"/>
        </w:rPr>
      </w:pPr>
      <w:r>
        <w:rPr>
          <w:rFonts w:hint="eastAsia" w:cs="Times New Roman"/>
          <w:sz w:val="21"/>
        </w:rPr>
        <w:t>⑶</w:t>
      </w:r>
      <w:r>
        <w:rPr>
          <w:rFonts w:cs="Times New Roman"/>
          <w:sz w:val="21"/>
        </w:rPr>
        <w:t>按监理人要求，优化施工组织设计</w:t>
      </w:r>
      <w:r>
        <w:rPr>
          <w:rFonts w:hint="eastAsia" w:cs="Times New Roman"/>
          <w:sz w:val="21"/>
        </w:rPr>
        <w:t>；</w:t>
      </w:r>
    </w:p>
    <w:p w14:paraId="79EF8383">
      <w:pPr>
        <w:widowControl w:val="0"/>
        <w:tabs>
          <w:tab w:val="left" w:pos="1620"/>
          <w:tab w:val="left" w:pos="2340"/>
        </w:tabs>
        <w:ind w:left="899"/>
        <w:rPr>
          <w:rFonts w:cs="Times New Roman"/>
          <w:sz w:val="21"/>
        </w:rPr>
      </w:pPr>
      <w:r>
        <w:rPr>
          <w:rFonts w:hint="eastAsia" w:cs="Times New Roman"/>
          <w:sz w:val="21"/>
        </w:rPr>
        <w:t>⑷</w:t>
      </w:r>
      <w:r>
        <w:rPr>
          <w:rFonts w:cs="Times New Roman"/>
          <w:sz w:val="21"/>
        </w:rPr>
        <w:t>做好技术交底和培训，安排好检验试验工作</w:t>
      </w:r>
      <w:r>
        <w:rPr>
          <w:rFonts w:hint="eastAsia" w:cs="Times New Roman"/>
          <w:sz w:val="21"/>
        </w:rPr>
        <w:t>。</w:t>
      </w:r>
    </w:p>
    <w:p w14:paraId="6EFEEF1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不利的外界障碍或条件</w:t>
      </w:r>
    </w:p>
    <w:p w14:paraId="5A44E96D">
      <w:pPr>
        <w:widowControl w:val="0"/>
        <w:tabs>
          <w:tab w:val="left" w:pos="1620"/>
          <w:tab w:val="left" w:pos="2340"/>
        </w:tabs>
        <w:spacing w:after="156"/>
        <w:ind w:left="899"/>
        <w:rPr>
          <w:rFonts w:cs="Times New Roman"/>
          <w:sz w:val="21"/>
        </w:rPr>
      </w:pPr>
      <w:r>
        <w:rPr>
          <w:rFonts w:hint="eastAsia" w:cs="Times New Roman"/>
          <w:sz w:val="21"/>
        </w:rPr>
        <w:t>⑴在施工期间，如遇到承包人无法预见的外界障碍或条件，给承包人造成损失和(或)导致工期延误的，发包人应顺延延误的工期，费用的承担在专用条款中另行约定。</w:t>
      </w:r>
    </w:p>
    <w:p w14:paraId="0FC3992F">
      <w:pPr>
        <w:widowControl w:val="0"/>
        <w:tabs>
          <w:tab w:val="left" w:pos="1620"/>
          <w:tab w:val="left" w:pos="2340"/>
        </w:tabs>
        <w:spacing w:after="156"/>
        <w:ind w:left="899"/>
        <w:rPr>
          <w:rFonts w:cs="Times New Roman"/>
          <w:sz w:val="21"/>
        </w:rPr>
      </w:pPr>
      <w:r>
        <w:rPr>
          <w:rFonts w:hint="eastAsia" w:cs="Times New Roman"/>
          <w:sz w:val="21"/>
        </w:rPr>
        <w:t>⑵在确定损失和(或)延误的工期时，应该考虑</w:t>
      </w:r>
      <w:r>
        <w:rPr>
          <w:rFonts w:cs="Times New Roman"/>
          <w:sz w:val="21"/>
        </w:rPr>
        <w:t>监理人</w:t>
      </w:r>
      <w:r>
        <w:rPr>
          <w:rFonts w:hint="eastAsia" w:cs="Times New Roman"/>
          <w:sz w:val="21"/>
        </w:rPr>
        <w:t>已经发给承包人与此有关的指令，以及在没有</w:t>
      </w:r>
      <w:r>
        <w:rPr>
          <w:rFonts w:cs="Times New Roman"/>
          <w:sz w:val="21"/>
        </w:rPr>
        <w:t>监理人</w:t>
      </w:r>
      <w:r>
        <w:rPr>
          <w:rFonts w:hint="eastAsia" w:cs="Times New Roman"/>
          <w:sz w:val="21"/>
        </w:rPr>
        <w:t>具体指令情况下，承包人所采取的合理措施。</w:t>
      </w:r>
    </w:p>
    <w:p w14:paraId="2C6F42A1">
      <w:pPr>
        <w:widowControl w:val="0"/>
        <w:tabs>
          <w:tab w:val="left" w:pos="1620"/>
          <w:tab w:val="left" w:pos="2340"/>
        </w:tabs>
        <w:spacing w:after="156"/>
        <w:ind w:left="899"/>
        <w:rPr>
          <w:rFonts w:cs="Times New Roman"/>
          <w:sz w:val="21"/>
        </w:rPr>
      </w:pPr>
      <w:r>
        <w:rPr>
          <w:rFonts w:hint="eastAsia" w:cs="Times New Roman"/>
          <w:sz w:val="21"/>
        </w:rPr>
        <w:t>⑶对于</w:t>
      </w:r>
      <w:r>
        <w:rPr>
          <w:rFonts w:hint="eastAsia" w:cs="Times New Roman"/>
          <w:b/>
          <w:i/>
          <w:sz w:val="21"/>
        </w:rPr>
        <w:t>专用条款</w:t>
      </w:r>
      <w:r>
        <w:rPr>
          <w:rFonts w:hint="eastAsia" w:cs="Times New Roman"/>
          <w:sz w:val="21"/>
        </w:rPr>
        <w:t>已经明确指出的不利的外界障碍或条件，均视为承包人在接受合同时已预见其影响因素并已在投标报价中计入由于其影响而可能发生的一切费用。</w:t>
      </w:r>
    </w:p>
    <w:p w14:paraId="62067791">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开工及延期</w:t>
      </w:r>
    </w:p>
    <w:p w14:paraId="4940848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开工</w:t>
      </w:r>
    </w:p>
    <w:p w14:paraId="437DB055">
      <w:pPr>
        <w:widowControl w:val="0"/>
        <w:tabs>
          <w:tab w:val="left" w:pos="1620"/>
          <w:tab w:val="left" w:pos="2340"/>
        </w:tabs>
        <w:spacing w:after="156"/>
        <w:ind w:left="899"/>
        <w:rPr>
          <w:rFonts w:cs="Times New Roman"/>
          <w:sz w:val="21"/>
        </w:rPr>
      </w:pPr>
      <w:r>
        <w:rPr>
          <w:rFonts w:cs="Times New Roman"/>
          <w:sz w:val="21"/>
        </w:rPr>
        <w:t>监理人</w:t>
      </w:r>
      <w:r>
        <w:rPr>
          <w:rFonts w:hint="eastAsia" w:cs="Times New Roman"/>
          <w:sz w:val="21"/>
        </w:rPr>
        <w:t>应按合同约定的开工日期在不少于7天前向承包人发出开工通知书，承包人应按合同约定的开工日期开始本工程或按专用条款13.1款约定的单项工程开工日期开始本工程中某单项工程的施工。</w:t>
      </w:r>
    </w:p>
    <w:p w14:paraId="4413F58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开工延期</w:t>
      </w:r>
    </w:p>
    <w:p w14:paraId="427150CD">
      <w:pPr>
        <w:widowControl w:val="0"/>
        <w:tabs>
          <w:tab w:val="left" w:pos="1620"/>
          <w:tab w:val="left" w:pos="2340"/>
        </w:tabs>
        <w:spacing w:after="156"/>
        <w:ind w:left="899"/>
        <w:rPr>
          <w:rFonts w:cs="Times New Roman"/>
          <w:sz w:val="21"/>
        </w:rPr>
      </w:pPr>
      <w:r>
        <w:rPr>
          <w:rFonts w:hint="eastAsia" w:cs="Times New Roman"/>
          <w:sz w:val="21"/>
        </w:rPr>
        <w:t>⑴承包人因自身的原因不能按本合同约定的开工日期开工，应在不少于本合同约定的开工日期前7天，以书面形式向</w:t>
      </w:r>
      <w:r>
        <w:rPr>
          <w:rFonts w:cs="Times New Roman"/>
          <w:sz w:val="21"/>
        </w:rPr>
        <w:t>监理人</w:t>
      </w:r>
      <w:r>
        <w:rPr>
          <w:rFonts w:hint="eastAsia" w:cs="Times New Roman"/>
          <w:sz w:val="21"/>
        </w:rPr>
        <w:t>提出开工延期的要求和理由。</w:t>
      </w:r>
      <w:r>
        <w:rPr>
          <w:rFonts w:cs="Times New Roman"/>
          <w:sz w:val="21"/>
        </w:rPr>
        <w:t>监理人</w:t>
      </w:r>
      <w:r>
        <w:rPr>
          <w:rFonts w:hint="eastAsia" w:cs="Times New Roman"/>
          <w:sz w:val="21"/>
        </w:rPr>
        <w:t>应在接到开工延期申请后48小时内予以审核，并报发包人审批后答复承包人。发包人同意开工延期或逾期未予答复的，开工延期并相应顺延工期；发包人不同意开工延期或承包人未在约定时限内提出开工延期申请的，开工不予延期并工期不予顺延。</w:t>
      </w:r>
    </w:p>
    <w:p w14:paraId="4E4B0C0F">
      <w:pPr>
        <w:widowControl w:val="0"/>
        <w:tabs>
          <w:tab w:val="left" w:pos="1620"/>
          <w:tab w:val="left" w:pos="2340"/>
        </w:tabs>
        <w:spacing w:after="156"/>
        <w:ind w:left="899"/>
        <w:rPr>
          <w:rFonts w:cs="Times New Roman"/>
          <w:sz w:val="21"/>
        </w:rPr>
      </w:pPr>
      <w:r>
        <w:rPr>
          <w:rFonts w:hint="eastAsia" w:cs="Times New Roman"/>
          <w:sz w:val="21"/>
        </w:rPr>
        <w:t>⑵因发包人的原因造成承包人不能在本合同约定的开工日期开工，</w:t>
      </w:r>
      <w:r>
        <w:rPr>
          <w:rFonts w:cs="Times New Roman"/>
          <w:sz w:val="21"/>
        </w:rPr>
        <w:t>监理人</w:t>
      </w:r>
      <w:r>
        <w:rPr>
          <w:rFonts w:hint="eastAsia" w:cs="Times New Roman"/>
          <w:sz w:val="21"/>
        </w:rPr>
        <w:t>应在不少于本合同约定的开工日期前7天，以书面形式通知承包人，延期开工并相应顺延工期。因发包人的原因延期开工给承包人造成损失的，发包人应赔偿承包人损失。</w:t>
      </w:r>
    </w:p>
    <w:p w14:paraId="21349610">
      <w:pPr>
        <w:widowControl w:val="0"/>
        <w:tabs>
          <w:tab w:val="left" w:pos="1620"/>
          <w:tab w:val="left" w:pos="2340"/>
        </w:tabs>
        <w:spacing w:after="156"/>
        <w:ind w:left="899"/>
        <w:rPr>
          <w:rFonts w:cs="Times New Roman"/>
          <w:sz w:val="21"/>
        </w:rPr>
      </w:pPr>
      <w:r>
        <w:rPr>
          <w:rFonts w:hint="eastAsia" w:cs="Times New Roman"/>
          <w:sz w:val="21"/>
        </w:rPr>
        <w:t>⑶按照11.2⑴、⑵款情形确定延期开工后，</w:t>
      </w:r>
      <w:r>
        <w:rPr>
          <w:rFonts w:cs="Times New Roman"/>
          <w:sz w:val="21"/>
        </w:rPr>
        <w:t>监理人</w:t>
      </w:r>
      <w:r>
        <w:rPr>
          <w:rFonts w:hint="eastAsia" w:cs="Times New Roman"/>
          <w:sz w:val="21"/>
        </w:rPr>
        <w:t>应在具备开工条件后至少提前7天向承包人发出开工通知书。</w:t>
      </w:r>
    </w:p>
    <w:p w14:paraId="79AC8993">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暂停施工和恢复施工</w:t>
      </w:r>
    </w:p>
    <w:p w14:paraId="01F6517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发包人原因引起的暂停施工</w:t>
      </w:r>
    </w:p>
    <w:p w14:paraId="330E1E14">
      <w:pPr>
        <w:widowControl w:val="0"/>
        <w:tabs>
          <w:tab w:val="left" w:pos="1620"/>
          <w:tab w:val="left" w:pos="2340"/>
        </w:tabs>
        <w:spacing w:after="156"/>
        <w:ind w:left="899"/>
        <w:rPr>
          <w:rFonts w:cs="Times New Roman"/>
          <w:sz w:val="21"/>
        </w:rPr>
      </w:pPr>
      <w:r>
        <w:rPr>
          <w:rFonts w:cs="Times New Roman"/>
          <w:sz w:val="21"/>
        </w:rPr>
        <w:t>因发包人原因引起暂停施工的，监理人经发包人同意后，应及时下达暂停施工指示。情况紧急且监理人未及时下达暂停施工指示的，按照第</w:t>
      </w:r>
      <w:r>
        <w:rPr>
          <w:rFonts w:hint="eastAsia" w:cs="Times New Roman"/>
          <w:sz w:val="21"/>
        </w:rPr>
        <w:t>12</w:t>
      </w:r>
      <w:r>
        <w:rPr>
          <w:rFonts w:cs="Times New Roman"/>
          <w:sz w:val="21"/>
        </w:rPr>
        <w:t>.4</w:t>
      </w:r>
      <w:r>
        <w:rPr>
          <w:rFonts w:hint="eastAsia" w:cs="Times New Roman"/>
          <w:sz w:val="21"/>
        </w:rPr>
        <w:t>款〔</w:t>
      </w:r>
      <w:r>
        <w:rPr>
          <w:rFonts w:cs="Times New Roman"/>
          <w:sz w:val="21"/>
        </w:rPr>
        <w:t>紧急情况下的暂停施工</w:t>
      </w:r>
      <w:r>
        <w:rPr>
          <w:rFonts w:hint="eastAsia" w:cs="Times New Roman"/>
          <w:sz w:val="21"/>
        </w:rPr>
        <w:t>〕</w:t>
      </w:r>
      <w:r>
        <w:rPr>
          <w:rFonts w:cs="Times New Roman"/>
          <w:sz w:val="21"/>
        </w:rPr>
        <w:t>执行。</w:t>
      </w:r>
    </w:p>
    <w:p w14:paraId="2FC05760">
      <w:pPr>
        <w:widowControl w:val="0"/>
        <w:tabs>
          <w:tab w:val="left" w:pos="1620"/>
          <w:tab w:val="left" w:pos="2340"/>
        </w:tabs>
        <w:spacing w:after="156"/>
        <w:ind w:left="899"/>
        <w:rPr>
          <w:rFonts w:cs="Times New Roman"/>
          <w:sz w:val="21"/>
        </w:rPr>
      </w:pPr>
      <w:r>
        <w:rPr>
          <w:rFonts w:cs="Times New Roman"/>
          <w:sz w:val="21"/>
        </w:rPr>
        <w:t>因发包人原因引起的暂停施工，发包人应承担由此增加的费用和（或）延误的工期，并支付承包人合理的利润。</w:t>
      </w:r>
    </w:p>
    <w:p w14:paraId="4029C45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承包人原因引起的暂停施工</w:t>
      </w:r>
    </w:p>
    <w:p w14:paraId="15A40403">
      <w:pPr>
        <w:widowControl w:val="0"/>
        <w:tabs>
          <w:tab w:val="left" w:pos="1620"/>
          <w:tab w:val="left" w:pos="2340"/>
        </w:tabs>
        <w:spacing w:after="156"/>
        <w:ind w:left="899"/>
        <w:rPr>
          <w:rFonts w:cs="Times New Roman"/>
          <w:sz w:val="21"/>
        </w:rPr>
      </w:pPr>
      <w:r>
        <w:rPr>
          <w:rFonts w:cs="Times New Roman"/>
          <w:sz w:val="21"/>
        </w:rPr>
        <w:t>因承包人原因引起的暂停施工，承包人应承担由此增加的费用和（或）延误的工期，且承包人在收到监理人复工指示后</w:t>
      </w:r>
      <w:r>
        <w:rPr>
          <w:rFonts w:hint="eastAsia" w:cs="Times New Roman"/>
          <w:sz w:val="21"/>
        </w:rPr>
        <w:t>在</w:t>
      </w:r>
      <w:r>
        <w:rPr>
          <w:rFonts w:hint="eastAsia" w:cs="Times New Roman"/>
          <w:b/>
          <w:i/>
          <w:sz w:val="21"/>
        </w:rPr>
        <w:t>专用条款</w:t>
      </w:r>
      <w:r>
        <w:rPr>
          <w:rFonts w:hint="eastAsia" w:cs="Times New Roman"/>
          <w:sz w:val="21"/>
        </w:rPr>
        <w:t>约定的期限</w:t>
      </w:r>
      <w:r>
        <w:rPr>
          <w:rFonts w:cs="Times New Roman"/>
          <w:sz w:val="21"/>
        </w:rPr>
        <w:t>内仍未复工的，视为第</w:t>
      </w:r>
      <w:r>
        <w:rPr>
          <w:rFonts w:hint="eastAsia" w:cs="Times New Roman"/>
          <w:sz w:val="21"/>
        </w:rPr>
        <w:t>29.2款〔</w:t>
      </w:r>
      <w:r>
        <w:rPr>
          <w:rFonts w:cs="Times New Roman"/>
          <w:sz w:val="21"/>
        </w:rPr>
        <w:t>承包人违约</w:t>
      </w:r>
      <w:r>
        <w:rPr>
          <w:rFonts w:hint="eastAsia" w:cs="Times New Roman"/>
          <w:sz w:val="21"/>
        </w:rPr>
        <w:t>〕第⑺</w:t>
      </w:r>
      <w:r>
        <w:rPr>
          <w:rFonts w:cs="Times New Roman"/>
          <w:sz w:val="21"/>
        </w:rPr>
        <w:t>项约定的承包人无法继续履行合同的情形。</w:t>
      </w:r>
    </w:p>
    <w:p w14:paraId="0562B1C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指示暂停施工</w:t>
      </w:r>
    </w:p>
    <w:p w14:paraId="3FAE554C">
      <w:pPr>
        <w:widowControl w:val="0"/>
        <w:tabs>
          <w:tab w:val="left" w:pos="1620"/>
          <w:tab w:val="left" w:pos="2340"/>
        </w:tabs>
        <w:spacing w:after="156"/>
        <w:ind w:left="899"/>
        <w:rPr>
          <w:rFonts w:cs="Times New Roman"/>
          <w:sz w:val="21"/>
        </w:rPr>
      </w:pPr>
      <w:r>
        <w:rPr>
          <w:rFonts w:cs="Times New Roman"/>
          <w:sz w:val="21"/>
        </w:rPr>
        <w:t>监理人认为有必要时，并经发包人批准后，可向承包人作出暂停施工的指示，承包人应按监理人指示暂停施工。</w:t>
      </w:r>
    </w:p>
    <w:p w14:paraId="6B1DD4C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紧急情况下的暂停施工</w:t>
      </w:r>
    </w:p>
    <w:p w14:paraId="493F45B4">
      <w:pPr>
        <w:widowControl w:val="0"/>
        <w:tabs>
          <w:tab w:val="left" w:pos="1620"/>
          <w:tab w:val="left" w:pos="2340"/>
        </w:tabs>
        <w:spacing w:after="156"/>
        <w:ind w:left="899"/>
        <w:rPr>
          <w:rFonts w:cs="Times New Roman"/>
          <w:sz w:val="21"/>
        </w:rPr>
      </w:pPr>
      <w:r>
        <w:rPr>
          <w:rFonts w:cs="Times New Roman"/>
          <w:sz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约定处理。</w:t>
      </w:r>
    </w:p>
    <w:p w14:paraId="6969A78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暂停施工后的复工</w:t>
      </w:r>
    </w:p>
    <w:p w14:paraId="0E7497FD">
      <w:pPr>
        <w:widowControl w:val="0"/>
        <w:tabs>
          <w:tab w:val="left" w:pos="1620"/>
          <w:tab w:val="left" w:pos="2340"/>
        </w:tabs>
        <w:spacing w:after="156"/>
        <w:ind w:left="899"/>
        <w:rPr>
          <w:rFonts w:cs="Times New Roman"/>
          <w:sz w:val="21"/>
        </w:rPr>
      </w:pPr>
      <w:r>
        <w:rPr>
          <w:rFonts w:cs="Times New Roman"/>
          <w:sz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14F2FF0">
      <w:pPr>
        <w:widowControl w:val="0"/>
        <w:tabs>
          <w:tab w:val="left" w:pos="1620"/>
          <w:tab w:val="left" w:pos="2340"/>
        </w:tabs>
        <w:spacing w:after="156"/>
        <w:ind w:left="899"/>
        <w:rPr>
          <w:rFonts w:cs="Times New Roman"/>
          <w:sz w:val="21"/>
        </w:rPr>
      </w:pPr>
      <w:r>
        <w:rPr>
          <w:rFonts w:cs="Times New Roman"/>
          <w:sz w:val="21"/>
        </w:rPr>
        <w:t>承包人无故拖延和拒绝复工的，承包人承担由此增加的费用和（或）延误的工期；因发包人原因无法按时复工的，按照第</w:t>
      </w:r>
      <w:r>
        <w:rPr>
          <w:rFonts w:hint="eastAsia" w:cs="Times New Roman"/>
          <w:sz w:val="21"/>
        </w:rPr>
        <w:t>13.2款〔</w:t>
      </w:r>
      <w:r>
        <w:rPr>
          <w:rFonts w:cs="Times New Roman"/>
          <w:sz w:val="21"/>
        </w:rPr>
        <w:t>因发包人原因导致工期延误</w:t>
      </w:r>
      <w:r>
        <w:rPr>
          <w:rFonts w:hint="eastAsia" w:cs="Times New Roman"/>
          <w:sz w:val="21"/>
        </w:rPr>
        <w:t>〕</w:t>
      </w:r>
      <w:r>
        <w:rPr>
          <w:rFonts w:cs="Times New Roman"/>
          <w:sz w:val="21"/>
        </w:rPr>
        <w:t>约定办理。</w:t>
      </w:r>
    </w:p>
    <w:p w14:paraId="270ACF7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暂停施工期间的工程照管</w:t>
      </w:r>
    </w:p>
    <w:p w14:paraId="6A9A2DC6">
      <w:pPr>
        <w:widowControl w:val="0"/>
        <w:tabs>
          <w:tab w:val="left" w:pos="1620"/>
          <w:tab w:val="left" w:pos="2340"/>
        </w:tabs>
        <w:spacing w:after="156"/>
        <w:ind w:left="899"/>
        <w:rPr>
          <w:rFonts w:cs="Times New Roman"/>
          <w:sz w:val="21"/>
        </w:rPr>
      </w:pPr>
      <w:r>
        <w:rPr>
          <w:rFonts w:cs="Times New Roman"/>
          <w:sz w:val="21"/>
        </w:rPr>
        <w:t>暂停施工期间，承包人应负责妥善照管工程并提供安全保障，由此增加的费用由责任方承担。</w:t>
      </w:r>
    </w:p>
    <w:p w14:paraId="38F1A122">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工期及延误</w:t>
      </w:r>
    </w:p>
    <w:p w14:paraId="3E7F406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工期</w:t>
      </w:r>
    </w:p>
    <w:p w14:paraId="29F9147E">
      <w:pPr>
        <w:widowControl w:val="0"/>
        <w:tabs>
          <w:tab w:val="left" w:pos="1620"/>
          <w:tab w:val="left" w:pos="2340"/>
        </w:tabs>
        <w:spacing w:after="156"/>
        <w:ind w:left="899"/>
        <w:rPr>
          <w:rFonts w:cs="Times New Roman"/>
          <w:sz w:val="21"/>
        </w:rPr>
      </w:pPr>
      <w:r>
        <w:rPr>
          <w:rFonts w:hint="eastAsia" w:cs="Times New Roman"/>
          <w:sz w:val="21"/>
        </w:rPr>
        <w:t>本工程须在本合同协议书中约定的时间内完成，或在根据第13.2款〔因发包人原因导致工期延误〕约定的延长期限内完成。本工程的任何单项工程须在</w:t>
      </w:r>
      <w:r>
        <w:rPr>
          <w:rFonts w:hint="eastAsia" w:cs="Times New Roman"/>
          <w:b/>
          <w:i/>
          <w:sz w:val="21"/>
        </w:rPr>
        <w:t>专用条款</w:t>
      </w:r>
      <w:r>
        <w:rPr>
          <w:rFonts w:hint="eastAsia" w:cs="Times New Roman"/>
          <w:sz w:val="21"/>
        </w:rPr>
        <w:t>约定的各段时间内完成，或在根据第13.2款〔因发包人原因导致工期延误〕约定的延长期限内完成。</w:t>
      </w:r>
    </w:p>
    <w:p w14:paraId="077D4A4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因发包人原因导致工期延误</w:t>
      </w:r>
    </w:p>
    <w:p w14:paraId="0714A2D9">
      <w:pPr>
        <w:widowControl w:val="0"/>
        <w:tabs>
          <w:tab w:val="left" w:pos="1620"/>
          <w:tab w:val="left" w:pos="2340"/>
        </w:tabs>
        <w:spacing w:after="156"/>
        <w:ind w:left="899"/>
        <w:rPr>
          <w:rFonts w:cs="Times New Roman"/>
          <w:sz w:val="21"/>
        </w:rPr>
      </w:pPr>
      <w:r>
        <w:rPr>
          <w:rFonts w:cs="Times New Roman"/>
          <w:sz w:val="21"/>
        </w:rPr>
        <w:t xml:space="preserve">在合同履行过程中，因下列情况导致工期延误和（或）费用增加的，由发包人承担由此延误的工期和（或）增加的费用，且发包人应支付承包人合理的利润： </w:t>
      </w:r>
    </w:p>
    <w:p w14:paraId="4A385828">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1 \* GB2</w:instrText>
      </w:r>
      <w:r>
        <w:rPr>
          <w:rFonts w:cs="Times New Roman"/>
          <w:sz w:val="21"/>
        </w:rPr>
        <w:fldChar w:fldCharType="separate"/>
      </w:r>
      <w:r>
        <w:rPr>
          <w:rFonts w:hint="eastAsia" w:cs="Times New Roman"/>
          <w:sz w:val="21"/>
        </w:rPr>
        <w:t>⑴</w:t>
      </w:r>
      <w:r>
        <w:rPr>
          <w:rFonts w:cs="Times New Roman"/>
          <w:sz w:val="21"/>
        </w:rPr>
        <w:fldChar w:fldCharType="end"/>
      </w:r>
      <w:r>
        <w:rPr>
          <w:rFonts w:cs="Times New Roman"/>
          <w:sz w:val="21"/>
        </w:rPr>
        <w:t>发包人未能按合同约定提供图纸或所提供图纸不符合合同约定的；</w:t>
      </w:r>
    </w:p>
    <w:p w14:paraId="2BC994FC">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2 \* GB2</w:instrText>
      </w:r>
      <w:r>
        <w:rPr>
          <w:rFonts w:cs="Times New Roman"/>
          <w:sz w:val="21"/>
        </w:rPr>
        <w:fldChar w:fldCharType="separate"/>
      </w:r>
      <w:r>
        <w:rPr>
          <w:rFonts w:hint="eastAsia" w:cs="Times New Roman"/>
          <w:sz w:val="21"/>
        </w:rPr>
        <w:t>⑵</w:t>
      </w:r>
      <w:r>
        <w:rPr>
          <w:rFonts w:cs="Times New Roman"/>
          <w:sz w:val="21"/>
        </w:rPr>
        <w:fldChar w:fldCharType="end"/>
      </w:r>
      <w:r>
        <w:rPr>
          <w:rFonts w:cs="Times New Roman"/>
          <w:sz w:val="21"/>
        </w:rPr>
        <w:t>发包人未能按合同约定提供施工现场、施工条件、基础资料、许可、批准等开工条件的；</w:t>
      </w:r>
    </w:p>
    <w:p w14:paraId="44E7C234">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3 \* GB2</w:instrText>
      </w:r>
      <w:r>
        <w:rPr>
          <w:rFonts w:cs="Times New Roman"/>
          <w:sz w:val="21"/>
        </w:rPr>
        <w:fldChar w:fldCharType="separate"/>
      </w:r>
      <w:r>
        <w:rPr>
          <w:rFonts w:hint="eastAsia" w:cs="Times New Roman"/>
          <w:sz w:val="21"/>
        </w:rPr>
        <w:t>⑶</w:t>
      </w:r>
      <w:r>
        <w:rPr>
          <w:rFonts w:cs="Times New Roman"/>
          <w:sz w:val="21"/>
        </w:rPr>
        <w:fldChar w:fldCharType="end"/>
      </w:r>
      <w:r>
        <w:rPr>
          <w:rFonts w:cs="Times New Roman"/>
          <w:sz w:val="21"/>
        </w:rPr>
        <w:t>发包人提供的测量基准点、基准线和水准点及其书面资料存在错误或疏漏的；</w:t>
      </w:r>
    </w:p>
    <w:p w14:paraId="6272F57A">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4 \* GB2</w:instrText>
      </w:r>
      <w:r>
        <w:rPr>
          <w:rFonts w:cs="Times New Roman"/>
          <w:sz w:val="21"/>
        </w:rPr>
        <w:fldChar w:fldCharType="separate"/>
      </w:r>
      <w:r>
        <w:rPr>
          <w:rFonts w:hint="eastAsia" w:cs="Times New Roman"/>
          <w:sz w:val="21"/>
        </w:rPr>
        <w:t>⑷</w:t>
      </w:r>
      <w:r>
        <w:rPr>
          <w:rFonts w:cs="Times New Roman"/>
          <w:sz w:val="21"/>
        </w:rPr>
        <w:fldChar w:fldCharType="end"/>
      </w:r>
      <w:r>
        <w:rPr>
          <w:rFonts w:cs="Times New Roman"/>
          <w:sz w:val="21"/>
        </w:rPr>
        <w:t>发包人未能在计划开工日期之日起7天内同意下达开工通知的；</w:t>
      </w:r>
    </w:p>
    <w:p w14:paraId="30DEF984">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5 \* GB2</w:instrText>
      </w:r>
      <w:r>
        <w:rPr>
          <w:rFonts w:cs="Times New Roman"/>
          <w:sz w:val="21"/>
        </w:rPr>
        <w:fldChar w:fldCharType="separate"/>
      </w:r>
      <w:r>
        <w:rPr>
          <w:rFonts w:hint="eastAsia" w:cs="Times New Roman"/>
          <w:sz w:val="21"/>
        </w:rPr>
        <w:t>⑸</w:t>
      </w:r>
      <w:r>
        <w:rPr>
          <w:rFonts w:cs="Times New Roman"/>
          <w:sz w:val="21"/>
        </w:rPr>
        <w:fldChar w:fldCharType="end"/>
      </w:r>
      <w:r>
        <w:rPr>
          <w:rFonts w:cs="Times New Roman"/>
          <w:sz w:val="21"/>
        </w:rPr>
        <w:t>发包人未能按合同约定日期支付工程预付款、进度款</w:t>
      </w:r>
      <w:r>
        <w:rPr>
          <w:rFonts w:hint="eastAsia" w:cs="Times New Roman"/>
          <w:sz w:val="21"/>
        </w:rPr>
        <w:t>、过程结算款</w:t>
      </w:r>
      <w:r>
        <w:rPr>
          <w:rFonts w:cs="Times New Roman"/>
          <w:sz w:val="21"/>
        </w:rPr>
        <w:t>或竣工结算款的；</w:t>
      </w:r>
    </w:p>
    <w:p w14:paraId="15360799">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6 \* GB2</w:instrText>
      </w:r>
      <w:r>
        <w:rPr>
          <w:rFonts w:cs="Times New Roman"/>
          <w:sz w:val="21"/>
        </w:rPr>
        <w:fldChar w:fldCharType="separate"/>
      </w:r>
      <w:r>
        <w:rPr>
          <w:rFonts w:hint="eastAsia" w:cs="Times New Roman"/>
          <w:sz w:val="21"/>
        </w:rPr>
        <w:t>⑹</w:t>
      </w:r>
      <w:r>
        <w:rPr>
          <w:rFonts w:cs="Times New Roman"/>
          <w:sz w:val="21"/>
        </w:rPr>
        <w:fldChar w:fldCharType="end"/>
      </w:r>
      <w:r>
        <w:rPr>
          <w:rFonts w:cs="Times New Roman"/>
          <w:sz w:val="21"/>
        </w:rPr>
        <w:t>监理人未按合同约定发出指示、批准等文件的；</w:t>
      </w:r>
    </w:p>
    <w:p w14:paraId="76B86D4E">
      <w:pPr>
        <w:widowControl w:val="0"/>
        <w:tabs>
          <w:tab w:val="left" w:pos="1620"/>
          <w:tab w:val="left" w:pos="2340"/>
        </w:tabs>
        <w:spacing w:after="156"/>
        <w:ind w:left="899"/>
        <w:rPr>
          <w:rFonts w:cs="Times New Roman"/>
          <w:sz w:val="21"/>
        </w:rPr>
      </w:pPr>
      <w:r>
        <w:rPr>
          <w:rFonts w:cs="Times New Roman"/>
          <w:sz w:val="21"/>
        </w:rPr>
        <w:fldChar w:fldCharType="begin"/>
      </w:r>
      <w:r>
        <w:rPr>
          <w:rFonts w:hint="eastAsia" w:cs="Times New Roman"/>
          <w:sz w:val="21"/>
        </w:rPr>
        <w:instrText xml:space="preserve">= 7 \* GB2</w:instrText>
      </w:r>
      <w:r>
        <w:rPr>
          <w:rFonts w:cs="Times New Roman"/>
          <w:sz w:val="21"/>
        </w:rPr>
        <w:fldChar w:fldCharType="separate"/>
      </w:r>
      <w:r>
        <w:rPr>
          <w:rFonts w:hint="eastAsia" w:cs="Times New Roman"/>
          <w:sz w:val="21"/>
        </w:rPr>
        <w:t>⑺</w:t>
      </w:r>
      <w:r>
        <w:rPr>
          <w:rFonts w:cs="Times New Roman"/>
          <w:sz w:val="21"/>
        </w:rPr>
        <w:fldChar w:fldCharType="end"/>
      </w:r>
      <w:r>
        <w:rPr>
          <w:rFonts w:cs="Times New Roman"/>
          <w:b/>
          <w:i/>
          <w:sz w:val="21"/>
        </w:rPr>
        <w:t>专用条款</w:t>
      </w:r>
      <w:r>
        <w:rPr>
          <w:rFonts w:cs="Times New Roman"/>
          <w:sz w:val="21"/>
        </w:rPr>
        <w:t>中约定的其他情形。</w:t>
      </w:r>
    </w:p>
    <w:p w14:paraId="233FFFD7">
      <w:pPr>
        <w:widowControl w:val="0"/>
        <w:tabs>
          <w:tab w:val="left" w:pos="1620"/>
          <w:tab w:val="left" w:pos="2340"/>
        </w:tabs>
        <w:spacing w:after="156"/>
        <w:ind w:left="899"/>
        <w:rPr>
          <w:rFonts w:cs="Times New Roman"/>
          <w:sz w:val="21"/>
        </w:rPr>
      </w:pPr>
      <w:r>
        <w:rPr>
          <w:rFonts w:cs="Times New Roman"/>
          <w:sz w:val="21"/>
        </w:rPr>
        <w:t>因发包人原因未按计划开工日期开工的，发包人应按实际开工日期顺延竣工日期，确保实际工期不低于合同约定的工期总日历天数。因发包人原因导致工期延误需要修订施工进度计划的，按照第9.3</w:t>
      </w:r>
      <w:r>
        <w:rPr>
          <w:rFonts w:hint="eastAsia" w:cs="Times New Roman"/>
          <w:sz w:val="21"/>
        </w:rPr>
        <w:t>条〔工程</w:t>
      </w:r>
      <w:r>
        <w:rPr>
          <w:rFonts w:cs="Times New Roman"/>
          <w:sz w:val="21"/>
        </w:rPr>
        <w:t>进度计划</w:t>
      </w:r>
      <w:r>
        <w:rPr>
          <w:rFonts w:hint="eastAsia" w:cs="Times New Roman"/>
          <w:sz w:val="21"/>
        </w:rPr>
        <w:t>〕对进度计划进行修订</w:t>
      </w:r>
      <w:r>
        <w:rPr>
          <w:rFonts w:cs="Times New Roman"/>
          <w:sz w:val="21"/>
        </w:rPr>
        <w:t>。</w:t>
      </w:r>
    </w:p>
    <w:p w14:paraId="74F1D40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因承包人原因导致工期延误</w:t>
      </w:r>
    </w:p>
    <w:p w14:paraId="1F93D091">
      <w:pPr>
        <w:widowControl w:val="0"/>
        <w:tabs>
          <w:tab w:val="left" w:pos="1620"/>
          <w:tab w:val="left" w:pos="2340"/>
        </w:tabs>
        <w:spacing w:after="156"/>
        <w:ind w:left="899"/>
        <w:rPr>
          <w:rFonts w:cs="Times New Roman"/>
          <w:sz w:val="21"/>
        </w:rPr>
      </w:pPr>
      <w:r>
        <w:rPr>
          <w:rFonts w:cs="Times New Roman"/>
          <w:sz w:val="21"/>
        </w:rPr>
        <w:t>因承包人原因造成工期延误的，可在</w:t>
      </w:r>
      <w:r>
        <w:rPr>
          <w:rFonts w:cs="Times New Roman"/>
          <w:b/>
          <w:i/>
          <w:sz w:val="21"/>
        </w:rPr>
        <w:t>专用条款</w:t>
      </w:r>
      <w:r>
        <w:rPr>
          <w:rFonts w:cs="Times New Roman"/>
          <w:sz w:val="21"/>
        </w:rPr>
        <w:t>中约定逾期竣工违约金的计算方法和逾期竣工违约金的上限。承包人支付逾期竣工违约金后，不免除承包人继续完成工程及修补缺陷的义务。</w:t>
      </w:r>
    </w:p>
    <w:p w14:paraId="673095A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提前竣工</w:t>
      </w:r>
    </w:p>
    <w:p w14:paraId="21E48547">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cs="Times New Roman"/>
          <w:sz w:val="21"/>
        </w:rPr>
        <w:t>承包人认为提前竣工指示无法执行的，应向</w:t>
      </w:r>
      <w:r>
        <w:rPr>
          <w:rFonts w:cs="Times New Roman"/>
          <w:sz w:val="21"/>
        </w:rPr>
        <w:t>监理人</w:t>
      </w:r>
      <w:r>
        <w:rPr>
          <w:rFonts w:hint="eastAsia" w:cs="Times New Roman"/>
          <w:sz w:val="21"/>
        </w:rPr>
        <w:t>和发包人提出书面异议，发包人和</w:t>
      </w:r>
      <w:r>
        <w:rPr>
          <w:rFonts w:cs="Times New Roman"/>
          <w:sz w:val="21"/>
        </w:rPr>
        <w:t>监理人</w:t>
      </w:r>
      <w:r>
        <w:rPr>
          <w:rFonts w:hint="eastAsia" w:cs="Times New Roman"/>
          <w:sz w:val="21"/>
        </w:rPr>
        <w:t>应在收到异议后7天内予以答复。任何情况下，发包人不得压缩合理工期。</w:t>
      </w:r>
    </w:p>
    <w:p w14:paraId="3F8FBCAB">
      <w:pPr>
        <w:widowControl w:val="0"/>
        <w:tabs>
          <w:tab w:val="left" w:pos="1620"/>
          <w:tab w:val="left" w:pos="2340"/>
        </w:tabs>
        <w:spacing w:after="156"/>
        <w:ind w:left="899"/>
        <w:rPr>
          <w:rFonts w:cs="Times New Roman"/>
          <w:sz w:val="21"/>
        </w:rPr>
      </w:pPr>
      <w:r>
        <w:rPr>
          <w:rFonts w:hint="eastAsia" w:cs="Times New Roman"/>
          <w:sz w:val="21"/>
        </w:rPr>
        <w:t>⑵承包人提出提前竣工的，应</w:t>
      </w:r>
      <w:r>
        <w:rPr>
          <w:rFonts w:cs="Times New Roman"/>
          <w:sz w:val="21"/>
        </w:rPr>
        <w:t>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w:t>
      </w:r>
      <w:r>
        <w:rPr>
          <w:rFonts w:hint="eastAsia" w:cs="Times New Roman"/>
          <w:sz w:val="21"/>
        </w:rPr>
        <w:t>和承包人协商</w:t>
      </w:r>
      <w:r>
        <w:rPr>
          <w:rFonts w:cs="Times New Roman"/>
          <w:sz w:val="21"/>
        </w:rPr>
        <w:t>承担。</w:t>
      </w:r>
    </w:p>
    <w:p w14:paraId="423D3989">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发包人要求承包人提前竣工，或承包人提出提前竣工的建议能够给发包人带来效益的，承发包双方可以在</w:t>
      </w:r>
      <w:r>
        <w:rPr>
          <w:rFonts w:cs="Times New Roman"/>
          <w:b/>
          <w:i/>
          <w:sz w:val="21"/>
        </w:rPr>
        <w:t>专用条款</w:t>
      </w:r>
      <w:r>
        <w:rPr>
          <w:rFonts w:cs="Times New Roman"/>
          <w:sz w:val="21"/>
        </w:rPr>
        <w:t>中约定提前竣工的奖励。</w:t>
      </w:r>
    </w:p>
    <w:p w14:paraId="6BE321B9">
      <w:pPr>
        <w:widowControl w:val="0"/>
        <w:tabs>
          <w:tab w:val="left" w:pos="1620"/>
          <w:tab w:val="left" w:pos="2340"/>
        </w:tabs>
        <w:spacing w:after="156"/>
        <w:ind w:left="899"/>
        <w:rPr>
          <w:rFonts w:cs="Times New Roman"/>
          <w:sz w:val="21"/>
        </w:rPr>
      </w:pPr>
      <w:r>
        <w:rPr>
          <w:rFonts w:hint="eastAsia" w:cs="Times New Roman"/>
          <w:sz w:val="21"/>
        </w:rPr>
        <w:t>⑷发包人要求承包人提前竣工的，若工期压缩超过按《深圳市建设工程施工工期定额》计算所得本工程定额工期20%的，应按现行《深圳市建设工程计价费率标准》规定的方法和推荐系数计算赶工措施费和夜间施工费，并扣除本工程招标控制价中已列明的赶工措施费和夜间施工费后向承包人支付补偿费用，补偿费用支付后，发包人不再按照13.4.（3）项的约定向承包人支付提前竣工奖励费。《深圳市建设工程施工工期定额》缺项的专业工程，或需采取特殊措施以缩短工期的，由发包人、承包人在</w:t>
      </w:r>
      <w:r>
        <w:rPr>
          <w:rFonts w:hint="eastAsia" w:cs="Times New Roman"/>
          <w:b/>
          <w:i/>
          <w:sz w:val="21"/>
        </w:rPr>
        <w:t>专用条款</w:t>
      </w:r>
      <w:r>
        <w:rPr>
          <w:rFonts w:hint="eastAsia" w:cs="Times New Roman"/>
          <w:sz w:val="21"/>
        </w:rPr>
        <w:t>中约定压缩工期补偿费用计算方法。</w:t>
      </w:r>
    </w:p>
    <w:p w14:paraId="4A272D74">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工作时间的限制</w:t>
      </w:r>
    </w:p>
    <w:p w14:paraId="50F18DDE">
      <w:pPr>
        <w:widowControl w:val="0"/>
        <w:tabs>
          <w:tab w:val="left" w:pos="1620"/>
          <w:tab w:val="left" w:pos="2340"/>
        </w:tabs>
        <w:spacing w:after="156"/>
        <w:ind w:left="899"/>
        <w:rPr>
          <w:rFonts w:cs="Times New Roman"/>
          <w:sz w:val="21"/>
        </w:rPr>
      </w:pPr>
      <w:r>
        <w:rPr>
          <w:rFonts w:hint="eastAsia" w:cs="Times New Roman"/>
          <w:sz w:val="21"/>
        </w:rPr>
        <w:t>承包人在夜间或国家规定的节假日进行永久工程的施工应经</w:t>
      </w:r>
      <w:r>
        <w:rPr>
          <w:rFonts w:cs="Times New Roman"/>
          <w:sz w:val="21"/>
        </w:rPr>
        <w:t>监理人</w:t>
      </w:r>
      <w:r>
        <w:rPr>
          <w:rFonts w:hint="eastAsia" w:cs="Times New Roman"/>
          <w:sz w:val="21"/>
        </w:rPr>
        <w:t>的认可，并应遵守当地政府的有关规定或取得有关部门的批准，但是为了抢救生命或保护财产，或为了工程的安全、质量而不可避免的或绝对必要的作业，则不必事先经</w:t>
      </w:r>
      <w:r>
        <w:rPr>
          <w:rFonts w:cs="Times New Roman"/>
          <w:sz w:val="21"/>
        </w:rPr>
        <w:t>监理人</w:t>
      </w:r>
      <w:r>
        <w:rPr>
          <w:rFonts w:hint="eastAsia" w:cs="Times New Roman"/>
          <w:sz w:val="21"/>
        </w:rPr>
        <w:t>的许可，但应在事后立即向</w:t>
      </w:r>
      <w:r>
        <w:rPr>
          <w:rFonts w:cs="Times New Roman"/>
          <w:sz w:val="21"/>
        </w:rPr>
        <w:t>监理人</w:t>
      </w:r>
      <w:r>
        <w:rPr>
          <w:rFonts w:hint="eastAsia" w:cs="Times New Roman"/>
          <w:sz w:val="21"/>
        </w:rPr>
        <w:t>报告。</w:t>
      </w:r>
    </w:p>
    <w:p w14:paraId="6F3C3138">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材料设备的供应和检验</w:t>
      </w:r>
    </w:p>
    <w:p w14:paraId="0AC44CD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发包人供应材料设备</w:t>
      </w:r>
    </w:p>
    <w:p w14:paraId="79146DE1">
      <w:pPr>
        <w:widowControl w:val="0"/>
        <w:tabs>
          <w:tab w:val="left" w:pos="1620"/>
          <w:tab w:val="left" w:pos="2340"/>
        </w:tabs>
        <w:spacing w:after="156"/>
        <w:ind w:left="899"/>
        <w:rPr>
          <w:rFonts w:cs="Times New Roman"/>
          <w:sz w:val="21"/>
        </w:rPr>
      </w:pPr>
      <w:r>
        <w:rPr>
          <w:rFonts w:hint="eastAsia" w:cs="Times New Roman"/>
          <w:sz w:val="21"/>
        </w:rPr>
        <w:t>⑴发包人供应材料设备的，应在</w:t>
      </w:r>
      <w:r>
        <w:rPr>
          <w:rFonts w:hint="eastAsia" w:cs="Times New Roman"/>
          <w:b/>
          <w:i/>
          <w:sz w:val="21"/>
        </w:rPr>
        <w:t>专用条款</w:t>
      </w:r>
      <w:r>
        <w:rPr>
          <w:rFonts w:hint="eastAsia" w:cs="Times New Roman"/>
          <w:sz w:val="21"/>
        </w:rPr>
        <w:t>中列出相应材料设备清单。材料设备清单中应约定发包人供应材料设备的品种、规格、型号、数量、单价、质量等级、提供时间和地点。发包人应按材料设备清单中的约定向承包人提供材料设备，并提供产品质量合格证明，对材料设备质量负责。</w:t>
      </w:r>
      <w:r>
        <w:rPr>
          <w:rFonts w:cs="Times New Roman"/>
          <w:sz w:val="21"/>
        </w:rPr>
        <w:t>承包人按照第</w:t>
      </w:r>
      <w:r>
        <w:rPr>
          <w:rFonts w:hint="eastAsia" w:cs="Times New Roman"/>
          <w:sz w:val="21"/>
        </w:rPr>
        <w:t>9.3条〔工程</w:t>
      </w:r>
      <w:r>
        <w:rPr>
          <w:rFonts w:cs="Times New Roman"/>
          <w:sz w:val="21"/>
        </w:rPr>
        <w:t>进度计划</w:t>
      </w:r>
      <w:r>
        <w:rPr>
          <w:rFonts w:hint="eastAsia" w:cs="Times New Roman"/>
          <w:sz w:val="21"/>
        </w:rPr>
        <w:t>〕</w:t>
      </w:r>
      <w:r>
        <w:rPr>
          <w:rFonts w:cs="Times New Roman"/>
          <w:sz w:val="21"/>
        </w:rPr>
        <w:t>约定修订施工进度计划时，需同时提交经修订后的发包人供应材料与工程设备的进场计划。</w:t>
      </w:r>
    </w:p>
    <w:p w14:paraId="674C9F05">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承包人应提前30天通过监理人以书面形式通知发包人供应材料与工程设备进场。</w:t>
      </w:r>
      <w:r>
        <w:rPr>
          <w:rFonts w:hint="eastAsia" w:cs="Times New Roman"/>
          <w:sz w:val="21"/>
        </w:rPr>
        <w:t>发包人在所供材料设备到货前24小时通知承包人，</w:t>
      </w:r>
      <w:r>
        <w:rPr>
          <w:rFonts w:ascii="Times New Roman" w:cs="Times New Roman"/>
          <w:kern w:val="2"/>
          <w:sz w:val="21"/>
        </w:rPr>
        <w:t>货物运到施工场地后，</w:t>
      </w:r>
      <w:r>
        <w:rPr>
          <w:rFonts w:hint="eastAsia" w:ascii="Times New Roman" w:cs="Times New Roman"/>
          <w:kern w:val="2"/>
          <w:sz w:val="21"/>
        </w:rPr>
        <w:t>发包人和</w:t>
      </w:r>
      <w:r>
        <w:rPr>
          <w:rFonts w:ascii="Times New Roman" w:cs="Times New Roman"/>
          <w:kern w:val="2"/>
          <w:sz w:val="21"/>
        </w:rPr>
        <w:t>承包人</w:t>
      </w:r>
      <w:r>
        <w:rPr>
          <w:rFonts w:hint="eastAsia" w:cs="Times New Roman"/>
          <w:sz w:val="21"/>
        </w:rPr>
        <w:t>双方在</w:t>
      </w:r>
      <w:r>
        <w:rPr>
          <w:rFonts w:cs="Times New Roman"/>
          <w:sz w:val="21"/>
        </w:rPr>
        <w:t>监理人</w:t>
      </w:r>
      <w:r>
        <w:rPr>
          <w:rFonts w:hint="eastAsia" w:cs="Times New Roman"/>
          <w:sz w:val="21"/>
        </w:rPr>
        <w:t>的见证下进行验收交接，并按承包人指定的地点和方式堆放。承发包双方完成交验后，发包人仍应对由其提供的材料设备承担有关质量责任。</w:t>
      </w:r>
    </w:p>
    <w:p w14:paraId="3D33E84D">
      <w:pPr>
        <w:widowControl w:val="0"/>
        <w:tabs>
          <w:tab w:val="left" w:pos="1620"/>
          <w:tab w:val="left" w:pos="2340"/>
        </w:tabs>
        <w:spacing w:after="156"/>
        <w:ind w:left="899"/>
        <w:rPr>
          <w:rFonts w:cs="Times New Roman"/>
          <w:sz w:val="21"/>
        </w:rPr>
      </w:pPr>
      <w:r>
        <w:rPr>
          <w:rFonts w:hint="eastAsia" w:cs="Times New Roman"/>
          <w:sz w:val="21"/>
        </w:rPr>
        <w:t>⑶发包人对其供应的材料设备履行完毕14.1⑵款约定验交程序，且承包人接收后，由承包人负责保管，因承包人原因发生的丢失、盗失、毁损等由承包人负责赔偿。发包人按</w:t>
      </w:r>
      <w:r>
        <w:rPr>
          <w:rFonts w:hint="eastAsia" w:cs="Times New Roman"/>
          <w:b/>
          <w:i/>
          <w:sz w:val="21"/>
        </w:rPr>
        <w:t>专用条款</w:t>
      </w:r>
      <w:r>
        <w:rPr>
          <w:rFonts w:hint="eastAsia" w:cs="Times New Roman"/>
          <w:sz w:val="21"/>
        </w:rPr>
        <w:t>约定向承包人支付发包人供应材料设备保管费。发包人供应材料设备保管费是指承包人对发包人自行采购的材料设备进行保管服务及现场管理所需的费用。发包人供应材料设备保管费的计算基数为发包人供应材料设备结算价款。</w:t>
      </w:r>
    </w:p>
    <w:p w14:paraId="50BAF7D1">
      <w:pPr>
        <w:widowControl w:val="0"/>
        <w:tabs>
          <w:tab w:val="left" w:pos="1620"/>
          <w:tab w:val="left" w:pos="2340"/>
        </w:tabs>
        <w:spacing w:after="156"/>
        <w:ind w:left="899"/>
        <w:rPr>
          <w:rFonts w:cs="Times New Roman"/>
          <w:sz w:val="21"/>
        </w:rPr>
      </w:pPr>
      <w:r>
        <w:rPr>
          <w:rFonts w:hint="eastAsia" w:cs="Times New Roman"/>
          <w:sz w:val="21"/>
        </w:rPr>
        <w:t>⑷如发包人未履行14.1⑵款约定的验交程序，则承包人不负责保管，发生的丢失、盗失、毁损等由发包人负责，但承包人没有提出异议，且已收取发包人支付的相应保管费用的除外。承包人</w:t>
      </w:r>
      <w:r>
        <w:rPr>
          <w:rFonts w:ascii="Times New Roman" w:cs="Times New Roman"/>
          <w:kern w:val="2"/>
          <w:sz w:val="21"/>
        </w:rPr>
        <w:t>未</w:t>
      </w:r>
      <w:r>
        <w:rPr>
          <w:rFonts w:hint="eastAsia" w:ascii="Times New Roman" w:cs="Times New Roman"/>
          <w:kern w:val="2"/>
          <w:sz w:val="21"/>
        </w:rPr>
        <w:t>按发包人通知要求参加</w:t>
      </w:r>
      <w:r>
        <w:rPr>
          <w:rFonts w:ascii="Times New Roman" w:cs="Times New Roman"/>
          <w:kern w:val="2"/>
          <w:sz w:val="21"/>
        </w:rPr>
        <w:t>验收的，视为承包人已验收合格，相应的保管责任由承包人承担。</w:t>
      </w:r>
    </w:p>
    <w:p w14:paraId="7DBDBFE7">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发包人供应材料设备的结算</w:t>
      </w:r>
    </w:p>
    <w:p w14:paraId="39E0342F">
      <w:pPr>
        <w:widowControl w:val="0"/>
        <w:tabs>
          <w:tab w:val="left" w:pos="1620"/>
          <w:tab w:val="left" w:pos="2340"/>
        </w:tabs>
        <w:ind w:left="899"/>
        <w:rPr>
          <w:rFonts w:cs="Times New Roman"/>
          <w:sz w:val="21"/>
        </w:rPr>
      </w:pPr>
      <w:r>
        <w:rPr>
          <w:rFonts w:hint="eastAsia" w:cs="Times New Roman"/>
          <w:sz w:val="21"/>
        </w:rPr>
        <w:t>除非</w:t>
      </w:r>
      <w:r>
        <w:rPr>
          <w:rFonts w:hint="eastAsia" w:cs="Times New Roman"/>
          <w:b/>
          <w:i/>
          <w:sz w:val="21"/>
        </w:rPr>
        <w:t>专用条款</w:t>
      </w:r>
      <w:r>
        <w:rPr>
          <w:rFonts w:hint="eastAsia" w:cs="Times New Roman"/>
          <w:sz w:val="21"/>
        </w:rPr>
        <w:t>中另有约定，</w:t>
      </w:r>
      <w:r>
        <w:rPr>
          <w:rFonts w:cs="Times New Roman"/>
          <w:sz w:val="21"/>
        </w:rPr>
        <w:t>本工程发包</w:t>
      </w:r>
      <w:r>
        <w:rPr>
          <w:rFonts w:hint="eastAsia" w:cs="Times New Roman"/>
          <w:sz w:val="21"/>
        </w:rPr>
        <w:t>人供应材料设备</w:t>
      </w:r>
      <w:r>
        <w:rPr>
          <w:rFonts w:cs="Times New Roman"/>
          <w:sz w:val="21"/>
        </w:rPr>
        <w:t>按如下方式结算：</w:t>
      </w:r>
    </w:p>
    <w:p w14:paraId="33B3EB2C">
      <w:pPr>
        <w:widowControl w:val="0"/>
        <w:tabs>
          <w:tab w:val="left" w:pos="1620"/>
          <w:tab w:val="left" w:pos="2340"/>
        </w:tabs>
        <w:ind w:left="1079"/>
        <w:rPr>
          <w:rFonts w:cs="Times New Roman"/>
          <w:sz w:val="21"/>
        </w:rPr>
      </w:pPr>
      <w:r>
        <w:rPr>
          <w:rFonts w:hint="eastAsia" w:cs="Times New Roman"/>
          <w:sz w:val="21"/>
        </w:rPr>
        <w:t>⑴承包人</w:t>
      </w:r>
      <w:r>
        <w:rPr>
          <w:rFonts w:cs="Times New Roman"/>
          <w:sz w:val="21"/>
        </w:rPr>
        <w:t>按发包人要求、竣工图纸和工程造价管理机构发布的相关</w:t>
      </w:r>
      <w:r>
        <w:rPr>
          <w:rFonts w:hint="eastAsia" w:cs="Times New Roman"/>
          <w:sz w:val="21"/>
        </w:rPr>
        <w:t>消耗量</w:t>
      </w:r>
      <w:r>
        <w:rPr>
          <w:rFonts w:cs="Times New Roman"/>
          <w:sz w:val="21"/>
        </w:rPr>
        <w:t>定额计算本工程需用的发包</w:t>
      </w:r>
      <w:r>
        <w:rPr>
          <w:rFonts w:hint="eastAsia" w:cs="Times New Roman"/>
          <w:sz w:val="21"/>
        </w:rPr>
        <w:t>人供应材料设备的</w:t>
      </w:r>
      <w:r>
        <w:rPr>
          <w:rFonts w:cs="Times New Roman"/>
          <w:sz w:val="21"/>
        </w:rPr>
        <w:t>合理数量</w:t>
      </w:r>
      <w:r>
        <w:rPr>
          <w:rFonts w:hint="eastAsia" w:cs="Times New Roman"/>
          <w:sz w:val="21"/>
        </w:rPr>
        <w:t>，经</w:t>
      </w:r>
      <w:r>
        <w:rPr>
          <w:rFonts w:cs="Times New Roman"/>
          <w:sz w:val="21"/>
        </w:rPr>
        <w:t>监理人</w:t>
      </w:r>
      <w:r>
        <w:rPr>
          <w:rFonts w:hint="eastAsia" w:cs="Times New Roman"/>
          <w:sz w:val="21"/>
        </w:rPr>
        <w:t>审核后报发包人确认</w:t>
      </w:r>
      <w:r>
        <w:rPr>
          <w:rFonts w:cs="Times New Roman"/>
          <w:sz w:val="21"/>
        </w:rPr>
        <w:t>；</w:t>
      </w:r>
    </w:p>
    <w:p w14:paraId="30B4D3E7">
      <w:pPr>
        <w:widowControl w:val="0"/>
        <w:tabs>
          <w:tab w:val="left" w:pos="1620"/>
          <w:tab w:val="left" w:pos="2340"/>
        </w:tabs>
        <w:ind w:left="1079"/>
        <w:rPr>
          <w:rFonts w:cs="Times New Roman"/>
          <w:sz w:val="21"/>
        </w:rPr>
      </w:pPr>
      <w:r>
        <w:rPr>
          <w:rFonts w:hint="eastAsia" w:cs="Times New Roman"/>
          <w:sz w:val="21"/>
        </w:rPr>
        <w:t>⑵</w:t>
      </w:r>
      <w:r>
        <w:rPr>
          <w:rFonts w:cs="Times New Roman"/>
          <w:sz w:val="21"/>
        </w:rPr>
        <w:t>发包</w:t>
      </w:r>
      <w:r>
        <w:rPr>
          <w:rFonts w:hint="eastAsia" w:cs="Times New Roman"/>
          <w:sz w:val="21"/>
        </w:rPr>
        <w:t>人供应材料设备</w:t>
      </w:r>
      <w:r>
        <w:rPr>
          <w:rFonts w:cs="Times New Roman"/>
          <w:sz w:val="21"/>
        </w:rPr>
        <w:t>的结算单价按照发包人通过招标</w:t>
      </w:r>
      <w:r>
        <w:rPr>
          <w:rFonts w:hint="eastAsia" w:cs="Times New Roman"/>
          <w:sz w:val="21"/>
        </w:rPr>
        <w:t>或询价采购等</w:t>
      </w:r>
      <w:r>
        <w:rPr>
          <w:rFonts w:cs="Times New Roman"/>
          <w:sz w:val="21"/>
        </w:rPr>
        <w:t>方式确定的</w:t>
      </w:r>
      <w:r>
        <w:rPr>
          <w:rFonts w:hint="eastAsia" w:cs="Times New Roman"/>
          <w:sz w:val="21"/>
        </w:rPr>
        <w:t>材料设备</w:t>
      </w:r>
      <w:r>
        <w:rPr>
          <w:rFonts w:cs="Times New Roman"/>
          <w:sz w:val="21"/>
        </w:rPr>
        <w:t>单价计算</w:t>
      </w:r>
      <w:r>
        <w:rPr>
          <w:rFonts w:hint="eastAsia" w:cs="Times New Roman"/>
          <w:sz w:val="21"/>
        </w:rPr>
        <w:t xml:space="preserve">； </w:t>
      </w:r>
    </w:p>
    <w:p w14:paraId="45A4E7BC">
      <w:pPr>
        <w:widowControl w:val="0"/>
        <w:tabs>
          <w:tab w:val="left" w:pos="1620"/>
          <w:tab w:val="left" w:pos="2340"/>
        </w:tabs>
        <w:ind w:left="1079"/>
        <w:rPr>
          <w:rFonts w:cs="Times New Roman"/>
          <w:sz w:val="21"/>
        </w:rPr>
      </w:pPr>
      <w:r>
        <w:rPr>
          <w:rFonts w:hint="eastAsia" w:cs="Times New Roman"/>
          <w:sz w:val="21"/>
        </w:rPr>
        <w:t>⑶</w:t>
      </w:r>
      <w:r>
        <w:rPr>
          <w:rFonts w:cs="Times New Roman"/>
          <w:sz w:val="21"/>
        </w:rPr>
        <w:t>承包人实际</w:t>
      </w:r>
      <w:r>
        <w:rPr>
          <w:rFonts w:hint="eastAsia" w:cs="Times New Roman"/>
          <w:sz w:val="21"/>
        </w:rPr>
        <w:t>使用</w:t>
      </w:r>
      <w:r>
        <w:rPr>
          <w:rFonts w:cs="Times New Roman"/>
          <w:sz w:val="21"/>
        </w:rPr>
        <w:t>发包</w:t>
      </w:r>
      <w:r>
        <w:rPr>
          <w:rFonts w:hint="eastAsia" w:cs="Times New Roman"/>
          <w:sz w:val="21"/>
        </w:rPr>
        <w:t>人供应材料设备的</w:t>
      </w:r>
      <w:r>
        <w:rPr>
          <w:rFonts w:cs="Times New Roman"/>
          <w:sz w:val="21"/>
        </w:rPr>
        <w:t>数量</w:t>
      </w:r>
      <w:r>
        <w:rPr>
          <w:rFonts w:hint="eastAsia" w:cs="Times New Roman"/>
          <w:sz w:val="21"/>
        </w:rPr>
        <w:t>超过14.2⑴款确认的</w:t>
      </w:r>
      <w:r>
        <w:rPr>
          <w:rFonts w:cs="Times New Roman"/>
          <w:sz w:val="21"/>
        </w:rPr>
        <w:t>合理数量</w:t>
      </w:r>
      <w:r>
        <w:rPr>
          <w:rFonts w:hint="eastAsia" w:cs="Times New Roman"/>
          <w:sz w:val="21"/>
        </w:rPr>
        <w:t>，超出部分的费用由承包人承担；承包人实际使用</w:t>
      </w:r>
      <w:r>
        <w:rPr>
          <w:rFonts w:cs="Times New Roman"/>
          <w:sz w:val="21"/>
        </w:rPr>
        <w:t>发包</w:t>
      </w:r>
      <w:r>
        <w:rPr>
          <w:rFonts w:hint="eastAsia" w:cs="Times New Roman"/>
          <w:sz w:val="21"/>
        </w:rPr>
        <w:t>人供应材料设备的数量小于14.2⑴款确认的</w:t>
      </w:r>
      <w:r>
        <w:rPr>
          <w:rFonts w:cs="Times New Roman"/>
          <w:sz w:val="21"/>
        </w:rPr>
        <w:t>合理数量</w:t>
      </w:r>
      <w:r>
        <w:rPr>
          <w:rFonts w:hint="eastAsia" w:cs="Times New Roman"/>
          <w:sz w:val="21"/>
        </w:rPr>
        <w:t>，节约的费用按</w:t>
      </w:r>
      <w:r>
        <w:rPr>
          <w:rFonts w:hint="eastAsia" w:cs="Times New Roman"/>
          <w:b/>
          <w:i/>
          <w:sz w:val="21"/>
        </w:rPr>
        <w:t>专用条款</w:t>
      </w:r>
      <w:r>
        <w:rPr>
          <w:rFonts w:hint="eastAsia" w:cs="Times New Roman"/>
          <w:sz w:val="21"/>
        </w:rPr>
        <w:t>约定进行分配；</w:t>
      </w:r>
    </w:p>
    <w:p w14:paraId="2A4C01D9">
      <w:pPr>
        <w:widowControl w:val="0"/>
        <w:tabs>
          <w:tab w:val="left" w:pos="1620"/>
          <w:tab w:val="left" w:pos="2340"/>
        </w:tabs>
        <w:ind w:left="1079"/>
        <w:rPr>
          <w:rFonts w:cs="Times New Roman"/>
          <w:sz w:val="21"/>
        </w:rPr>
      </w:pPr>
      <w:r>
        <w:rPr>
          <w:rFonts w:hint="eastAsia" w:cs="Times New Roman"/>
          <w:sz w:val="21"/>
        </w:rPr>
        <w:t>⑷</w:t>
      </w:r>
      <w:r>
        <w:rPr>
          <w:rFonts w:cs="Times New Roman"/>
          <w:sz w:val="21"/>
        </w:rPr>
        <w:t>承包人</w:t>
      </w:r>
      <w:r>
        <w:rPr>
          <w:rFonts w:hint="eastAsia" w:cs="Times New Roman"/>
          <w:sz w:val="21"/>
        </w:rPr>
        <w:t>的投标报价中已包括</w:t>
      </w:r>
      <w:r>
        <w:rPr>
          <w:rFonts w:cs="Times New Roman"/>
          <w:sz w:val="21"/>
        </w:rPr>
        <w:t>发包人供应材料设备</w:t>
      </w:r>
      <w:r>
        <w:rPr>
          <w:rFonts w:hint="eastAsia" w:cs="Times New Roman"/>
          <w:sz w:val="21"/>
        </w:rPr>
        <w:t>的场内运输费、</w:t>
      </w:r>
      <w:r>
        <w:rPr>
          <w:rFonts w:cs="Times New Roman"/>
          <w:sz w:val="21"/>
        </w:rPr>
        <w:t>安装</w:t>
      </w:r>
      <w:r>
        <w:rPr>
          <w:rFonts w:hint="eastAsia" w:cs="Times New Roman"/>
          <w:sz w:val="21"/>
        </w:rPr>
        <w:t>费，</w:t>
      </w:r>
      <w:r>
        <w:rPr>
          <w:rFonts w:cs="Times New Roman"/>
          <w:sz w:val="21"/>
        </w:rPr>
        <w:t>结算时不因发包人供应材料设备</w:t>
      </w:r>
      <w:r>
        <w:rPr>
          <w:rFonts w:hint="eastAsia" w:cs="Times New Roman"/>
          <w:sz w:val="21"/>
        </w:rPr>
        <w:t>单价的</w:t>
      </w:r>
      <w:r>
        <w:rPr>
          <w:rFonts w:cs="Times New Roman"/>
          <w:sz w:val="21"/>
        </w:rPr>
        <w:t>变化而调整。</w:t>
      </w:r>
    </w:p>
    <w:p w14:paraId="4B331C4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发包人供应材料设备承担的责任</w:t>
      </w:r>
    </w:p>
    <w:p w14:paraId="7F213F34">
      <w:pPr>
        <w:widowControl w:val="0"/>
        <w:tabs>
          <w:tab w:val="left" w:pos="1620"/>
          <w:tab w:val="left" w:pos="2340"/>
        </w:tabs>
        <w:ind w:left="899"/>
        <w:rPr>
          <w:rFonts w:cs="Times New Roman"/>
          <w:sz w:val="21"/>
        </w:rPr>
      </w:pPr>
      <w:r>
        <w:rPr>
          <w:rFonts w:hint="eastAsia" w:cs="Times New Roman"/>
          <w:sz w:val="21"/>
        </w:rPr>
        <w:t>发包人供应的材料设备与专用条款14.1（1）发包人供应材料设备清单中的约定不符时，发包人承担相关责任，具体如下：</w:t>
      </w:r>
    </w:p>
    <w:p w14:paraId="7B7B6E39">
      <w:pPr>
        <w:widowControl w:val="0"/>
        <w:tabs>
          <w:tab w:val="left" w:pos="1620"/>
          <w:tab w:val="left" w:pos="2340"/>
        </w:tabs>
        <w:ind w:left="1079"/>
        <w:rPr>
          <w:rFonts w:cs="Times New Roman"/>
          <w:sz w:val="21"/>
        </w:rPr>
      </w:pPr>
      <w:r>
        <w:rPr>
          <w:rFonts w:hint="eastAsia" w:cs="Times New Roman"/>
          <w:sz w:val="21"/>
        </w:rPr>
        <w:t>⑴材料设备单价不符合约定，由发包人承担所有价差；</w:t>
      </w:r>
    </w:p>
    <w:p w14:paraId="55F451EB">
      <w:pPr>
        <w:widowControl w:val="0"/>
        <w:tabs>
          <w:tab w:val="left" w:pos="1620"/>
          <w:tab w:val="left" w:pos="2340"/>
        </w:tabs>
        <w:ind w:left="1079"/>
        <w:rPr>
          <w:rFonts w:cs="Times New Roman"/>
          <w:sz w:val="21"/>
        </w:rPr>
      </w:pPr>
      <w:r>
        <w:rPr>
          <w:rFonts w:hint="eastAsia" w:cs="Times New Roman"/>
          <w:sz w:val="21"/>
        </w:rPr>
        <w:t>⑵材料设备的品种、规格、型号、质量等级不符合约定，承包人可拒绝接收、保管，由发包人负责运出施工场地并重新采购；</w:t>
      </w:r>
    </w:p>
    <w:p w14:paraId="4CEEFD90">
      <w:pPr>
        <w:widowControl w:val="0"/>
        <w:tabs>
          <w:tab w:val="left" w:pos="1620"/>
          <w:tab w:val="left" w:pos="2340"/>
        </w:tabs>
        <w:ind w:left="1079"/>
        <w:rPr>
          <w:rFonts w:cs="Times New Roman"/>
          <w:sz w:val="21"/>
        </w:rPr>
      </w:pPr>
      <w:r>
        <w:rPr>
          <w:rFonts w:hint="eastAsia" w:cs="Times New Roman"/>
          <w:sz w:val="21"/>
        </w:rPr>
        <w:t>⑶材料设备的到货地点不符合约定，由发包人负责运至材料设备清单约定的地点；</w:t>
      </w:r>
    </w:p>
    <w:p w14:paraId="2EF2892C">
      <w:pPr>
        <w:widowControl w:val="0"/>
        <w:tabs>
          <w:tab w:val="left" w:pos="1620"/>
          <w:tab w:val="left" w:pos="2340"/>
        </w:tabs>
        <w:ind w:left="1079"/>
        <w:rPr>
          <w:rFonts w:cs="Times New Roman"/>
          <w:sz w:val="21"/>
        </w:rPr>
      </w:pPr>
      <w:r>
        <w:rPr>
          <w:rFonts w:hint="eastAsia" w:cs="Times New Roman"/>
          <w:sz w:val="21"/>
        </w:rPr>
        <w:t>⑷材料设备供应数量不符合约定，多于清单中约定的数量时由发包人负责运出施工场地，少于清单中约定数量时由发包人负责补齐；</w:t>
      </w:r>
    </w:p>
    <w:p w14:paraId="78CCA04E">
      <w:pPr>
        <w:widowControl w:val="0"/>
        <w:tabs>
          <w:tab w:val="left" w:pos="1620"/>
          <w:tab w:val="left" w:pos="2340"/>
        </w:tabs>
        <w:ind w:left="1079"/>
        <w:rPr>
          <w:rFonts w:cs="Times New Roman"/>
          <w:sz w:val="21"/>
        </w:rPr>
      </w:pPr>
      <w:r>
        <w:rPr>
          <w:rFonts w:hint="eastAsia" w:cs="Times New Roman"/>
          <w:sz w:val="21"/>
        </w:rPr>
        <w:t>⑸材料设备到货交接时间不符合约定，早于约定时间的由发包人承担因此产生的保管费用，迟于约定时间给承包人造成损失和(或)导致工期延误的，发包人应赔偿承包人损失，顺延延误的工期。</w:t>
      </w:r>
    </w:p>
    <w:p w14:paraId="40E738B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承包人采购材料设备</w:t>
      </w:r>
    </w:p>
    <w:p w14:paraId="47C5282D">
      <w:pPr>
        <w:widowControl w:val="0"/>
        <w:tabs>
          <w:tab w:val="left" w:pos="1620"/>
          <w:tab w:val="left" w:pos="2340"/>
        </w:tabs>
        <w:spacing w:after="156"/>
        <w:ind w:left="899"/>
        <w:rPr>
          <w:rFonts w:cs="Times New Roman"/>
          <w:sz w:val="21"/>
        </w:rPr>
      </w:pPr>
      <w:r>
        <w:rPr>
          <w:rFonts w:hint="eastAsia" w:cs="Times New Roman"/>
          <w:sz w:val="21"/>
        </w:rPr>
        <w:t>承包人负责采购的材料设备，应符合设计、标准、规范、招标文件、</w:t>
      </w:r>
      <w:r>
        <w:rPr>
          <w:rFonts w:hint="eastAsia" w:cs="Times New Roman"/>
          <w:b/>
          <w:i/>
          <w:sz w:val="21"/>
        </w:rPr>
        <w:t>专用条款</w:t>
      </w:r>
      <w:r>
        <w:rPr>
          <w:rFonts w:hint="eastAsia" w:cs="Times New Roman"/>
          <w:sz w:val="21"/>
        </w:rPr>
        <w:t>约定的要求以及投标文件的承诺，并提供产品质量合格证明，承包人对材料设备质量负责。</w:t>
      </w:r>
      <w:r>
        <w:rPr>
          <w:rFonts w:cs="Times New Roman"/>
          <w:sz w:val="21"/>
        </w:rPr>
        <w:t>合同约定由承包人采购的材料、工程设备，发包人不得指定生产厂家或供应商，发包人违反本款约定指定生产厂家或供应商的，承包人有权拒绝。</w:t>
      </w:r>
    </w:p>
    <w:p w14:paraId="5CCA0C10">
      <w:pPr>
        <w:widowControl w:val="0"/>
        <w:tabs>
          <w:tab w:val="left" w:pos="1620"/>
          <w:tab w:val="left" w:pos="2340"/>
        </w:tabs>
        <w:spacing w:after="156"/>
        <w:ind w:left="899"/>
        <w:rPr>
          <w:rFonts w:cs="Times New Roman"/>
          <w:sz w:val="21"/>
        </w:rPr>
      </w:pPr>
      <w:r>
        <w:rPr>
          <w:rFonts w:hint="eastAsia" w:cs="Times New Roman"/>
          <w:sz w:val="21"/>
        </w:rPr>
        <w:t>承包人应负责其采购的所有材料设备的包装、运输、接收、装卸、存储和保护，并承担因货物运输引起的民事和(或)刑事责任。承包人应在材料设备到货前24小时通知发包人，双方在</w:t>
      </w:r>
      <w:r>
        <w:rPr>
          <w:rFonts w:cs="Times New Roman"/>
          <w:sz w:val="21"/>
        </w:rPr>
        <w:t>监理人</w:t>
      </w:r>
      <w:r>
        <w:rPr>
          <w:rFonts w:hint="eastAsia" w:cs="Times New Roman"/>
          <w:sz w:val="21"/>
        </w:rPr>
        <w:t>的见证下进行联合验收。</w:t>
      </w:r>
    </w:p>
    <w:p w14:paraId="5ED0500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承包人采购材料设备承担的责任</w:t>
      </w:r>
    </w:p>
    <w:p w14:paraId="62D31071">
      <w:pPr>
        <w:widowControl w:val="0"/>
        <w:tabs>
          <w:tab w:val="left" w:pos="1620"/>
          <w:tab w:val="left" w:pos="2340"/>
        </w:tabs>
        <w:spacing w:after="156"/>
        <w:ind w:left="899"/>
        <w:rPr>
          <w:rFonts w:cs="Times New Roman"/>
          <w:sz w:val="21"/>
        </w:rPr>
      </w:pPr>
      <w:r>
        <w:rPr>
          <w:rFonts w:hint="eastAsia" w:cs="Times New Roman"/>
          <w:sz w:val="21"/>
        </w:rPr>
        <w:t>⑴承包人采购的材料设备与14.4款约定的要求不符时，承包人应按</w:t>
      </w:r>
      <w:r>
        <w:rPr>
          <w:rFonts w:cs="Times New Roman"/>
          <w:sz w:val="21"/>
        </w:rPr>
        <w:t>监理人</w:t>
      </w:r>
      <w:r>
        <w:rPr>
          <w:rFonts w:hint="eastAsia" w:cs="Times New Roman"/>
          <w:sz w:val="21"/>
        </w:rPr>
        <w:t>要求的时间运出施工场地，重新采购符合要求的材料设备，承担因此产生的费用，由此延误的工期不予顺延。</w:t>
      </w:r>
    </w:p>
    <w:p w14:paraId="3B5A8191">
      <w:pPr>
        <w:widowControl w:val="0"/>
        <w:tabs>
          <w:tab w:val="left" w:pos="1620"/>
          <w:tab w:val="left" w:pos="2340"/>
        </w:tabs>
        <w:spacing w:after="156"/>
        <w:ind w:left="899"/>
        <w:rPr>
          <w:rFonts w:ascii="Times New Roman" w:hAnsi="Times New Roman" w:cs="Times New Roman"/>
          <w:sz w:val="21"/>
        </w:rPr>
      </w:pPr>
      <w:r>
        <w:rPr>
          <w:rFonts w:hint="eastAsia" w:ascii="Times New Roman" w:hAnsi="Times New Roman" w:cs="Times New Roman"/>
          <w:sz w:val="21"/>
        </w:rPr>
        <w:t>⑵承包人使用了不符合14.4款约定要求的材料设备，则应按</w:t>
      </w:r>
      <w:r>
        <w:rPr>
          <w:rFonts w:ascii="Times New Roman" w:hAnsi="Times New Roman" w:cs="Times New Roman"/>
          <w:sz w:val="21"/>
        </w:rPr>
        <w:t>监理人</w:t>
      </w:r>
      <w:r>
        <w:rPr>
          <w:rFonts w:hint="eastAsia" w:ascii="Times New Roman" w:hAnsi="Times New Roman" w:cs="Times New Roman"/>
          <w:sz w:val="21"/>
        </w:rPr>
        <w:t>的指令负责修复、拆除或重新采购，并承担因此产生的费用，由此延误的工期不予顺延。</w:t>
      </w:r>
    </w:p>
    <w:p w14:paraId="6A089EE3">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材料和工程设备的替代</w:t>
      </w:r>
    </w:p>
    <w:p w14:paraId="59470DE8">
      <w:pPr>
        <w:widowControl w:val="0"/>
        <w:tabs>
          <w:tab w:val="left" w:pos="1620"/>
          <w:tab w:val="left" w:pos="2340"/>
        </w:tabs>
        <w:spacing w:after="156"/>
        <w:ind w:left="972" w:leftChars="405" w:firstLine="92" w:firstLineChars="44"/>
        <w:rPr>
          <w:rFonts w:ascii="Times New Roman" w:hAnsi="Times New Roman" w:cs="Times New Roman"/>
          <w:sz w:val="21"/>
        </w:rPr>
      </w:pPr>
      <w:r>
        <w:rPr>
          <w:rFonts w:hint="eastAsia" w:cs="Times New Roman"/>
          <w:sz w:val="21"/>
        </w:rPr>
        <w:t>⑴</w:t>
      </w:r>
      <w:r>
        <w:rPr>
          <w:rFonts w:ascii="Times New Roman" w:hAnsi="Times New Roman" w:cs="Times New Roman"/>
          <w:sz w:val="21"/>
        </w:rPr>
        <w:t>出现下列情况需要使用替代材料和工程设备的，承包人应按照第</w:t>
      </w:r>
      <w:r>
        <w:rPr>
          <w:rFonts w:hint="eastAsia" w:ascii="Times New Roman" w:hAnsi="Times New Roman" w:cs="Times New Roman"/>
          <w:sz w:val="21"/>
        </w:rPr>
        <w:t>14</w:t>
      </w:r>
      <w:r>
        <w:rPr>
          <w:rFonts w:ascii="Times New Roman" w:hAnsi="Times New Roman" w:cs="Times New Roman"/>
          <w:sz w:val="21"/>
        </w:rPr>
        <w:t>.</w:t>
      </w:r>
      <w:r>
        <w:rPr>
          <w:rFonts w:hint="eastAsia" w:ascii="Times New Roman" w:hAnsi="Times New Roman" w:cs="Times New Roman"/>
          <w:sz w:val="21"/>
        </w:rPr>
        <w:t>6</w:t>
      </w:r>
      <w:r>
        <w:rPr>
          <w:rFonts w:ascii="Times New Roman" w:hAnsi="Times New Roman" w:cs="Times New Roman"/>
          <w:sz w:val="21"/>
        </w:rPr>
        <w:t>.</w:t>
      </w:r>
      <w:r>
        <w:rPr>
          <w:rFonts w:hint="eastAsia" w:ascii="Times New Roman" w:hAnsi="Times New Roman" w:cs="Times New Roman"/>
          <w:sz w:val="21"/>
        </w:rPr>
        <w:t>（2）</w:t>
      </w:r>
      <w:r>
        <w:rPr>
          <w:rFonts w:ascii="Times New Roman" w:hAnsi="Times New Roman" w:cs="Times New Roman"/>
          <w:sz w:val="21"/>
        </w:rPr>
        <w:t>项约定的程序执行：</w:t>
      </w:r>
    </w:p>
    <w:p w14:paraId="371926A7">
      <w:pPr>
        <w:widowControl w:val="0"/>
        <w:tabs>
          <w:tab w:val="left" w:pos="1620"/>
          <w:tab w:val="left" w:pos="2340"/>
        </w:tabs>
        <w:spacing w:after="156"/>
        <w:ind w:left="1267" w:leftChars="528"/>
        <w:rPr>
          <w:rFonts w:ascii="Times New Roman" w:hAnsi="Times New Roman" w:cs="Times New Roman"/>
          <w:sz w:val="21"/>
        </w:rPr>
      </w:pPr>
      <w:r>
        <w:rPr>
          <w:rFonts w:hint="eastAsia" w:cs="Times New Roman"/>
          <w:sz w:val="21"/>
        </w:rPr>
        <w:t>①</w:t>
      </w:r>
      <w:r>
        <w:rPr>
          <w:rFonts w:ascii="Times New Roman" w:hAnsi="Times New Roman" w:cs="Times New Roman"/>
          <w:sz w:val="21"/>
        </w:rPr>
        <w:t>基准日</w:t>
      </w:r>
      <w:r>
        <w:rPr>
          <w:rFonts w:hint="eastAsia" w:ascii="Times New Roman" w:hAnsi="Times New Roman" w:cs="Times New Roman"/>
          <w:sz w:val="21"/>
        </w:rPr>
        <w:t>期</w:t>
      </w:r>
      <w:r>
        <w:rPr>
          <w:rFonts w:ascii="Times New Roman" w:hAnsi="Times New Roman" w:cs="Times New Roman"/>
          <w:sz w:val="21"/>
        </w:rPr>
        <w:t>后生效的法律规定禁止使用的；</w:t>
      </w:r>
    </w:p>
    <w:p w14:paraId="00544355">
      <w:pPr>
        <w:widowControl w:val="0"/>
        <w:tabs>
          <w:tab w:val="left" w:pos="1620"/>
          <w:tab w:val="left" w:pos="2340"/>
        </w:tabs>
        <w:spacing w:after="156"/>
        <w:ind w:left="1267" w:leftChars="528"/>
        <w:rPr>
          <w:rFonts w:ascii="Times New Roman" w:hAnsi="Times New Roman" w:cs="Times New Roman"/>
          <w:sz w:val="21"/>
        </w:rPr>
      </w:pPr>
      <w:r>
        <w:rPr>
          <w:rFonts w:hint="eastAsia" w:cs="Times New Roman"/>
          <w:sz w:val="21"/>
        </w:rPr>
        <w:t>②</w:t>
      </w:r>
      <w:r>
        <w:rPr>
          <w:rFonts w:ascii="Times New Roman" w:hAnsi="Times New Roman" w:cs="Times New Roman"/>
          <w:sz w:val="21"/>
        </w:rPr>
        <w:t>发包人要求使用替代品的；</w:t>
      </w:r>
    </w:p>
    <w:p w14:paraId="253D9541">
      <w:pPr>
        <w:widowControl w:val="0"/>
        <w:tabs>
          <w:tab w:val="left" w:pos="1620"/>
          <w:tab w:val="left" w:pos="2340"/>
        </w:tabs>
        <w:spacing w:after="156"/>
        <w:ind w:left="1267" w:leftChars="528"/>
        <w:rPr>
          <w:rFonts w:ascii="Times New Roman" w:hAnsi="Times New Roman" w:cs="Times New Roman"/>
          <w:sz w:val="21"/>
        </w:rPr>
      </w:pPr>
      <w:r>
        <w:rPr>
          <w:rFonts w:hint="eastAsia" w:cs="Times New Roman"/>
          <w:sz w:val="21"/>
        </w:rPr>
        <w:t>③</w:t>
      </w:r>
      <w:r>
        <w:rPr>
          <w:rFonts w:ascii="Times New Roman" w:hAnsi="Times New Roman" w:cs="Times New Roman"/>
          <w:sz w:val="21"/>
        </w:rPr>
        <w:t>因其他原因必须使用替代品的。</w:t>
      </w:r>
    </w:p>
    <w:p w14:paraId="59C19038">
      <w:pPr>
        <w:widowControl w:val="0"/>
        <w:tabs>
          <w:tab w:val="left" w:pos="1620"/>
          <w:tab w:val="left" w:pos="2340"/>
        </w:tabs>
        <w:spacing w:after="156"/>
        <w:ind w:left="899"/>
        <w:rPr>
          <w:rFonts w:ascii="Times New Roman" w:hAnsi="Times New Roman" w:cs="Times New Roman"/>
          <w:sz w:val="21"/>
        </w:rPr>
      </w:pPr>
      <w:r>
        <w:rPr>
          <w:rFonts w:hint="eastAsia" w:ascii="Times New Roman" w:hAnsi="Times New Roman" w:cs="Times New Roman"/>
          <w:sz w:val="21"/>
        </w:rPr>
        <w:t>⑵承包人需要使用替代材料设备应在</w:t>
      </w:r>
      <w:r>
        <w:rPr>
          <w:rFonts w:hint="eastAsia" w:ascii="Times New Roman" w:hAnsi="Times New Roman" w:cs="Times New Roman"/>
          <w:b/>
          <w:i/>
          <w:sz w:val="21"/>
        </w:rPr>
        <w:t>专用条款</w:t>
      </w:r>
      <w:r>
        <w:rPr>
          <w:rFonts w:hint="eastAsia" w:ascii="Times New Roman" w:hAnsi="Times New Roman" w:cs="Times New Roman"/>
          <w:sz w:val="21"/>
        </w:rPr>
        <w:t>约定的时限前向</w:t>
      </w:r>
      <w:r>
        <w:rPr>
          <w:rFonts w:ascii="Times New Roman" w:hAnsi="Times New Roman" w:cs="Times New Roman"/>
          <w:sz w:val="21"/>
        </w:rPr>
        <w:t>监理人</w:t>
      </w:r>
      <w:r>
        <w:rPr>
          <w:rFonts w:hint="eastAsia" w:ascii="Times New Roman" w:hAnsi="Times New Roman" w:cs="Times New Roman"/>
          <w:sz w:val="21"/>
        </w:rPr>
        <w:t>提出申请，</w:t>
      </w:r>
      <w:r>
        <w:rPr>
          <w:rFonts w:ascii="Times New Roman" w:hAnsi="Times New Roman" w:cs="Times New Roman"/>
          <w:sz w:val="21"/>
        </w:rPr>
        <w:t>监理人</w:t>
      </w:r>
      <w:r>
        <w:rPr>
          <w:rFonts w:hint="eastAsia" w:ascii="Times New Roman" w:hAnsi="Times New Roman" w:cs="Times New Roman"/>
          <w:sz w:val="21"/>
        </w:rPr>
        <w:t>应在</w:t>
      </w:r>
      <w:r>
        <w:rPr>
          <w:rFonts w:hint="eastAsia" w:ascii="Times New Roman" w:hAnsi="Times New Roman" w:cs="Times New Roman"/>
          <w:b/>
          <w:i/>
          <w:sz w:val="21"/>
        </w:rPr>
        <w:t>专用条款</w:t>
      </w:r>
      <w:r>
        <w:rPr>
          <w:rFonts w:hint="eastAsia" w:ascii="Times New Roman" w:hAnsi="Times New Roman" w:cs="Times New Roman"/>
          <w:sz w:val="21"/>
        </w:rPr>
        <w:t>约定的时限内发书面指示报发包人，</w:t>
      </w:r>
      <w:r>
        <w:rPr>
          <w:rFonts w:ascii="Times New Roman" w:hAnsi="Times New Roman" w:cs="Times New Roman"/>
          <w:sz w:val="21"/>
        </w:rPr>
        <w:t>监理人逾期发出书面指示的，视为发包人和监理人同意使用替代品。</w:t>
      </w:r>
      <w:r>
        <w:rPr>
          <w:rFonts w:hint="eastAsia" w:ascii="Times New Roman" w:hAnsi="Times New Roman" w:cs="Times New Roman"/>
          <w:sz w:val="21"/>
        </w:rPr>
        <w:t>替代</w:t>
      </w:r>
      <w:r>
        <w:rPr>
          <w:rFonts w:ascii="Times New Roman" w:hAnsi="Times New Roman" w:cs="Times New Roman"/>
          <w:sz w:val="21"/>
        </w:rPr>
        <w:t>材料</w:t>
      </w:r>
      <w:r>
        <w:rPr>
          <w:rFonts w:hint="eastAsia" w:ascii="Times New Roman" w:hAnsi="Times New Roman" w:cs="Times New Roman"/>
          <w:sz w:val="21"/>
        </w:rPr>
        <w:t>设备的</w:t>
      </w:r>
      <w:r>
        <w:rPr>
          <w:rFonts w:ascii="Times New Roman" w:hAnsi="Times New Roman" w:cs="Times New Roman"/>
          <w:sz w:val="21"/>
        </w:rPr>
        <w:t>品质</w:t>
      </w:r>
      <w:r>
        <w:rPr>
          <w:rFonts w:hint="eastAsia" w:ascii="Times New Roman" w:hAnsi="Times New Roman" w:cs="Times New Roman"/>
          <w:sz w:val="21"/>
        </w:rPr>
        <w:t>、</w:t>
      </w:r>
      <w:r>
        <w:rPr>
          <w:rFonts w:ascii="Times New Roman" w:hAnsi="Times New Roman" w:cs="Times New Roman"/>
          <w:sz w:val="21"/>
        </w:rPr>
        <w:t>标准、性能不能低于被</w:t>
      </w:r>
      <w:r>
        <w:rPr>
          <w:rFonts w:hint="eastAsia" w:ascii="Times New Roman" w:hAnsi="Times New Roman" w:cs="Times New Roman"/>
          <w:sz w:val="21"/>
        </w:rPr>
        <w:t>替代</w:t>
      </w:r>
      <w:r>
        <w:rPr>
          <w:rFonts w:ascii="Times New Roman" w:hAnsi="Times New Roman" w:cs="Times New Roman"/>
          <w:sz w:val="21"/>
        </w:rPr>
        <w:t>材料，</w:t>
      </w:r>
      <w:r>
        <w:rPr>
          <w:rFonts w:hint="eastAsia" w:ascii="Times New Roman" w:hAnsi="Times New Roman" w:cs="Times New Roman"/>
          <w:sz w:val="21"/>
        </w:rPr>
        <w:t>因此增减的合同价格和产生的费用的承担，承发包双方在</w:t>
      </w:r>
      <w:r>
        <w:rPr>
          <w:rFonts w:hint="eastAsia" w:ascii="Times New Roman" w:hAnsi="Times New Roman" w:cs="Times New Roman"/>
          <w:b/>
          <w:i/>
          <w:sz w:val="21"/>
        </w:rPr>
        <w:t>专用条款</w:t>
      </w:r>
      <w:r>
        <w:rPr>
          <w:rFonts w:hint="eastAsia" w:ascii="Times New Roman" w:hAnsi="Times New Roman" w:cs="Times New Roman"/>
          <w:sz w:val="21"/>
        </w:rPr>
        <w:t>中约定。</w:t>
      </w:r>
    </w:p>
    <w:p w14:paraId="2A77EE9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材料设备的检验</w:t>
      </w:r>
    </w:p>
    <w:p w14:paraId="78B64D50">
      <w:pPr>
        <w:widowControl w:val="0"/>
        <w:tabs>
          <w:tab w:val="left" w:pos="1620"/>
          <w:tab w:val="left" w:pos="2340"/>
        </w:tabs>
        <w:spacing w:after="156"/>
        <w:ind w:left="899"/>
        <w:rPr>
          <w:rFonts w:ascii="Times New Roman" w:hAnsi="Times New Roman" w:cs="Times New Roman"/>
          <w:sz w:val="21"/>
        </w:rPr>
      </w:pPr>
      <w:r>
        <w:rPr>
          <w:rFonts w:hint="eastAsia" w:cs="Times New Roman"/>
          <w:sz w:val="21"/>
        </w:rPr>
        <w:t>⑴</w:t>
      </w:r>
      <w:r>
        <w:rPr>
          <w:rFonts w:hint="eastAsia" w:ascii="Times New Roman" w:hAnsi="Times New Roman" w:cs="Times New Roman"/>
          <w:sz w:val="21"/>
        </w:rPr>
        <w:t>本工程一切材料设备在用于本工程之前，均应按照法律、法规、规章和有关标准、规范的规定以及</w:t>
      </w:r>
      <w:r>
        <w:rPr>
          <w:rFonts w:hint="eastAsia" w:ascii="Times New Roman" w:hAnsi="Times New Roman" w:cs="Times New Roman"/>
          <w:b/>
          <w:i/>
          <w:sz w:val="21"/>
        </w:rPr>
        <w:t>专用条款</w:t>
      </w:r>
      <w:r>
        <w:rPr>
          <w:rFonts w:hint="eastAsia" w:ascii="Times New Roman" w:hAnsi="Times New Roman" w:cs="Times New Roman"/>
          <w:sz w:val="21"/>
        </w:rPr>
        <w:t>约定的检验时间和地点、取样办法、检验频次和内容等要求，在</w:t>
      </w:r>
      <w:r>
        <w:rPr>
          <w:rFonts w:ascii="Times New Roman" w:hAnsi="Times New Roman" w:cs="Times New Roman"/>
          <w:sz w:val="21"/>
        </w:rPr>
        <w:t>监理人</w:t>
      </w:r>
      <w:r>
        <w:rPr>
          <w:rFonts w:hint="eastAsia" w:ascii="Times New Roman" w:hAnsi="Times New Roman" w:cs="Times New Roman"/>
          <w:sz w:val="21"/>
        </w:rPr>
        <w:t>的监督、见证下，由承包人负责取样并送</w:t>
      </w:r>
      <w:r>
        <w:rPr>
          <w:rFonts w:hint="eastAsia" w:ascii="Times New Roman" w:hAnsi="Times New Roman" w:cs="Times New Roman"/>
          <w:b/>
          <w:i/>
          <w:sz w:val="21"/>
        </w:rPr>
        <w:t>专用条款</w:t>
      </w:r>
      <w:r>
        <w:rPr>
          <w:rFonts w:hint="eastAsia" w:ascii="Times New Roman" w:hAnsi="Times New Roman" w:cs="Times New Roman"/>
          <w:sz w:val="21"/>
        </w:rPr>
        <w:t>指定的检验机构进行检验，不合格的不得使用。</w:t>
      </w:r>
    </w:p>
    <w:p w14:paraId="15E29A00">
      <w:pPr>
        <w:widowControl w:val="0"/>
        <w:tabs>
          <w:tab w:val="left" w:pos="1620"/>
          <w:tab w:val="left" w:pos="2340"/>
        </w:tabs>
        <w:spacing w:after="156"/>
        <w:ind w:left="899"/>
        <w:rPr>
          <w:rFonts w:ascii="Times New Roman" w:hAnsi="Times New Roman" w:cs="Times New Roman"/>
          <w:sz w:val="21"/>
        </w:rPr>
      </w:pPr>
      <w:r>
        <w:rPr>
          <w:rFonts w:hint="eastAsia" w:cs="Times New Roman"/>
          <w:sz w:val="21"/>
        </w:rPr>
        <w:t>⑵</w:t>
      </w:r>
      <w:r>
        <w:rPr>
          <w:rFonts w:hint="eastAsia" w:ascii="Times New Roman" w:hAnsi="Times New Roman" w:cs="Times New Roman"/>
          <w:sz w:val="21"/>
        </w:rPr>
        <w:t>拟用于本工程的材料设备应当经检验合格后使用。发包人供应的材料设备的检验费用由发包人承担；承包人采购的材料设备检验费用由承包人承担。</w:t>
      </w:r>
    </w:p>
    <w:p w14:paraId="3E489622">
      <w:pPr>
        <w:widowControl w:val="0"/>
        <w:tabs>
          <w:tab w:val="left" w:pos="1620"/>
          <w:tab w:val="left" w:pos="2340"/>
        </w:tabs>
        <w:spacing w:after="156"/>
        <w:ind w:left="899"/>
        <w:rPr>
          <w:rFonts w:ascii="Times New Roman" w:hAnsi="Times New Roman" w:cs="Times New Roman"/>
          <w:sz w:val="21"/>
        </w:rPr>
      </w:pPr>
      <w:r>
        <w:rPr>
          <w:rFonts w:hint="eastAsia" w:cs="Times New Roman"/>
          <w:sz w:val="21"/>
        </w:rPr>
        <w:t>⑶</w:t>
      </w:r>
      <w:r>
        <w:rPr>
          <w:rFonts w:hint="eastAsia" w:ascii="Times New Roman" w:hAnsi="Times New Roman" w:cs="Times New Roman"/>
          <w:sz w:val="21"/>
        </w:rPr>
        <w:t>发包人对具有出厂合格证明材料设备的检验，构件的破坏性检验、其他特殊要求的检验及发包人委托检测机构进行的检测，如经检验合格的，检验费用由发包人承担；若检验不合格且为承包人采购的材料设备，检验费用由承包人承担。</w:t>
      </w:r>
    </w:p>
    <w:p w14:paraId="2D488E0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材料设备的再次检验和随时检查</w:t>
      </w:r>
    </w:p>
    <w:p w14:paraId="3FB35D88">
      <w:pPr>
        <w:widowControl w:val="0"/>
        <w:tabs>
          <w:tab w:val="left" w:pos="1620"/>
          <w:tab w:val="left" w:pos="2340"/>
        </w:tabs>
        <w:spacing w:after="156"/>
        <w:ind w:left="899"/>
        <w:rPr>
          <w:rFonts w:ascii="Times New Roman" w:hAnsi="Times New Roman" w:cs="Times New Roman"/>
          <w:sz w:val="21"/>
        </w:rPr>
      </w:pPr>
      <w:r>
        <w:rPr>
          <w:rFonts w:hint="eastAsia" w:cs="Times New Roman"/>
          <w:sz w:val="21"/>
        </w:rPr>
        <w:t>⑴</w:t>
      </w:r>
      <w:r>
        <w:rPr>
          <w:rFonts w:hint="eastAsia" w:ascii="Times New Roman" w:hAnsi="Times New Roman" w:cs="Times New Roman"/>
          <w:sz w:val="21"/>
        </w:rPr>
        <w:t>如</w:t>
      </w:r>
      <w:r>
        <w:rPr>
          <w:rFonts w:ascii="Times New Roman" w:hAnsi="Times New Roman" w:cs="Times New Roman"/>
          <w:sz w:val="21"/>
        </w:rPr>
        <w:t>监理人</w:t>
      </w:r>
      <w:r>
        <w:rPr>
          <w:rFonts w:hint="eastAsia" w:ascii="Times New Roman" w:hAnsi="Times New Roman" w:cs="Times New Roman"/>
          <w:sz w:val="21"/>
        </w:rPr>
        <w:t>认为需要，可要求对材料设备进行再次检验。发包人供应的材料设备，再次检验费用由发包人承担。承包人采购的材料设备，如再次检验结果表明该材料设备不符合有关标准、规范的规定或本合同的约定，检验费用由承包人承担，否则由发包人承担。</w:t>
      </w:r>
    </w:p>
    <w:p w14:paraId="1795AE3C">
      <w:pPr>
        <w:widowControl w:val="0"/>
        <w:tabs>
          <w:tab w:val="left" w:pos="1620"/>
          <w:tab w:val="left" w:pos="2340"/>
        </w:tabs>
        <w:spacing w:after="156"/>
        <w:ind w:left="899"/>
        <w:rPr>
          <w:rFonts w:ascii="Times New Roman" w:hAnsi="Times New Roman" w:cs="Times New Roman"/>
          <w:sz w:val="21"/>
        </w:rPr>
      </w:pPr>
      <w:r>
        <w:rPr>
          <w:rFonts w:hint="eastAsia" w:cs="Times New Roman"/>
          <w:sz w:val="21"/>
        </w:rPr>
        <w:t>⑵</w:t>
      </w:r>
      <w:r>
        <w:rPr>
          <w:rFonts w:ascii="Times New Roman" w:hAnsi="Times New Roman" w:cs="Times New Roman"/>
          <w:sz w:val="21"/>
        </w:rPr>
        <w:t>监理人</w:t>
      </w:r>
      <w:r>
        <w:rPr>
          <w:rFonts w:hint="eastAsia" w:ascii="Times New Roman" w:hAnsi="Times New Roman" w:cs="Times New Roman"/>
          <w:sz w:val="21"/>
        </w:rPr>
        <w:t>在一切合理的时间内均应能进入施工现场以及半成品的制造、加工或制配的所有车间和场所，承包人应为其进入上述场所提供一切便利和协助。</w:t>
      </w:r>
    </w:p>
    <w:p w14:paraId="4EC3549A">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工程质量和检测</w:t>
      </w:r>
    </w:p>
    <w:p w14:paraId="3B9B4C98">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工程质量</w:t>
      </w:r>
    </w:p>
    <w:p w14:paraId="00AB84BE">
      <w:pPr>
        <w:widowControl w:val="0"/>
        <w:tabs>
          <w:tab w:val="left" w:pos="1620"/>
          <w:tab w:val="left" w:pos="2340"/>
        </w:tabs>
        <w:spacing w:after="156"/>
        <w:ind w:left="899"/>
        <w:rPr>
          <w:rFonts w:cs="Times New Roman"/>
          <w:sz w:val="21"/>
        </w:rPr>
      </w:pPr>
      <w:r>
        <w:rPr>
          <w:rFonts w:hint="eastAsia" w:cs="Times New Roman"/>
          <w:sz w:val="21"/>
        </w:rPr>
        <w:t>⑴工程质量应达到本合同协议书中约定的质量标准，工程质量标准的评定应以本合同约定的标准、规范为依据，</w:t>
      </w:r>
      <w:r>
        <w:rPr>
          <w:rFonts w:hint="eastAsia" w:cs="Times New Roman"/>
          <w:caps/>
          <w:kern w:val="2"/>
          <w:sz w:val="21"/>
          <w:szCs w:val="21"/>
        </w:rPr>
        <w:t>合同没有约定的，以国家或行业的质量检验评定标准为依据。</w:t>
      </w:r>
    </w:p>
    <w:p w14:paraId="06E3EEDE">
      <w:pPr>
        <w:widowControl w:val="0"/>
        <w:tabs>
          <w:tab w:val="left" w:pos="1620"/>
          <w:tab w:val="left" w:pos="2340"/>
        </w:tabs>
        <w:spacing w:after="156"/>
        <w:ind w:left="899"/>
        <w:rPr>
          <w:rFonts w:cs="Times New Roman"/>
          <w:sz w:val="21"/>
        </w:rPr>
      </w:pPr>
      <w:r>
        <w:rPr>
          <w:rFonts w:hint="eastAsia" w:cs="Times New Roman"/>
          <w:sz w:val="21"/>
        </w:rPr>
        <w:t>⑵承包人应建立质量保证体系，</w:t>
      </w:r>
      <w:r>
        <w:rPr>
          <w:rFonts w:cs="Times New Roman"/>
          <w:sz w:val="21"/>
        </w:rPr>
        <w:t>监理人</w:t>
      </w:r>
      <w:r>
        <w:rPr>
          <w:rFonts w:hint="eastAsia" w:cs="Times New Roman"/>
          <w:sz w:val="21"/>
        </w:rPr>
        <w:t>有权对体系的任何方面进行审查。遵守质量保证体系不应解除合同约定的承包人的任何义务和职责。</w:t>
      </w:r>
    </w:p>
    <w:p w14:paraId="39C49E82">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因发包人原因造成工程质量未达到合同约定标准的，由发包人承担由此增加的费用和（或）延误的工期。</w:t>
      </w:r>
    </w:p>
    <w:p w14:paraId="5D54F9C9">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因承包人原因造成工程质量未达到合同约定标准的，发包人有权要求承包人返工直至工程质量达到合同约定的标准为止，并由承包人承担由此增加的费用和（或）延误的工期。</w:t>
      </w:r>
    </w:p>
    <w:p w14:paraId="1345406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发包人质量控制责任</w:t>
      </w:r>
    </w:p>
    <w:p w14:paraId="617DAB49">
      <w:pPr>
        <w:widowControl w:val="0"/>
        <w:tabs>
          <w:tab w:val="left" w:pos="1620"/>
          <w:tab w:val="left" w:pos="2340"/>
        </w:tabs>
        <w:spacing w:after="156"/>
        <w:ind w:left="899"/>
        <w:rPr>
          <w:rFonts w:cs="Times New Roman"/>
          <w:sz w:val="21"/>
        </w:rPr>
      </w:pPr>
      <w:r>
        <w:rPr>
          <w:rFonts w:cs="Times New Roman"/>
          <w:sz w:val="21"/>
        </w:rPr>
        <w:t>发包人应按照法律规定及合同约定完成与工程质量有关的各项工作</w:t>
      </w:r>
      <w:r>
        <w:rPr>
          <w:rFonts w:hint="eastAsia" w:cs="Times New Roman"/>
          <w:sz w:val="21"/>
        </w:rPr>
        <w:t>，其职责包括但不限于下列内容：</w:t>
      </w:r>
    </w:p>
    <w:p w14:paraId="3C4269ED">
      <w:pPr>
        <w:widowControl w:val="0"/>
        <w:tabs>
          <w:tab w:val="left" w:pos="1620"/>
          <w:tab w:val="left" w:pos="2340"/>
        </w:tabs>
        <w:ind w:left="899"/>
        <w:rPr>
          <w:rFonts w:cs="Times New Roman"/>
          <w:sz w:val="21"/>
        </w:rPr>
      </w:pPr>
      <w:r>
        <w:rPr>
          <w:rFonts w:hint="eastAsia" w:cs="Times New Roman"/>
          <w:sz w:val="21"/>
        </w:rPr>
        <w:t>⑴向有关的勘察、设计、施工、工程监理等单位提供与建设工程有关的原始资料。原始资料必须真实、准确、齐全。</w:t>
      </w:r>
    </w:p>
    <w:p w14:paraId="5D8BEA9E">
      <w:pPr>
        <w:widowControl w:val="0"/>
        <w:tabs>
          <w:tab w:val="left" w:pos="1620"/>
          <w:tab w:val="left" w:pos="2340"/>
        </w:tabs>
        <w:ind w:left="899"/>
        <w:rPr>
          <w:rFonts w:ascii="Times New Roman" w:hAnsi="Times New Roman" w:cs="Times New Roman"/>
          <w:kern w:val="2"/>
          <w:sz w:val="21"/>
        </w:rPr>
      </w:pPr>
      <w:r>
        <w:rPr>
          <w:rFonts w:hint="eastAsia" w:cs="Times New Roman"/>
          <w:sz w:val="21"/>
        </w:rPr>
        <w:t>⑵不得迫使承包方以低于成本的价格竞标，不得任意压缩合理工期。</w:t>
      </w:r>
    </w:p>
    <w:p w14:paraId="7810AE19">
      <w:pPr>
        <w:widowControl w:val="0"/>
        <w:tabs>
          <w:tab w:val="left" w:pos="1620"/>
          <w:tab w:val="left" w:pos="2340"/>
        </w:tabs>
        <w:ind w:left="899"/>
        <w:rPr>
          <w:rFonts w:cs="Times New Roman"/>
          <w:sz w:val="21"/>
        </w:rPr>
      </w:pPr>
      <w:r>
        <w:rPr>
          <w:rFonts w:hint="eastAsia" w:cs="Times New Roman"/>
          <w:sz w:val="21"/>
        </w:rPr>
        <w:t>⑶将施工图设计文件报建设行政主管部门或者其他有关部门审查。施工图设计文件未经审查批准的，不得使用。</w:t>
      </w:r>
    </w:p>
    <w:p w14:paraId="4630928C">
      <w:pPr>
        <w:widowControl w:val="0"/>
        <w:tabs>
          <w:tab w:val="left" w:pos="1620"/>
          <w:tab w:val="left" w:pos="2340"/>
        </w:tabs>
        <w:ind w:left="899"/>
        <w:rPr>
          <w:rFonts w:cs="Times New Roman"/>
          <w:sz w:val="21"/>
        </w:rPr>
      </w:pPr>
      <w:r>
        <w:rPr>
          <w:rFonts w:hint="eastAsia" w:cs="Times New Roman"/>
          <w:sz w:val="21"/>
        </w:rPr>
        <w:t>⑷按照合同约定，由发包人采购材料、设备的，应保证其符合设计文件和合同要求。</w:t>
      </w:r>
    </w:p>
    <w:p w14:paraId="01156035">
      <w:pPr>
        <w:widowControl w:val="0"/>
        <w:tabs>
          <w:tab w:val="left" w:pos="1620"/>
          <w:tab w:val="left" w:pos="2340"/>
        </w:tabs>
        <w:ind w:left="899"/>
        <w:rPr>
          <w:rFonts w:cs="Times New Roman"/>
          <w:sz w:val="21"/>
        </w:rPr>
      </w:pPr>
      <w:r>
        <w:rPr>
          <w:rFonts w:hint="eastAsia" w:cs="Times New Roman"/>
          <w:sz w:val="21"/>
        </w:rPr>
        <w:t>⑸收到建设工程竣工报告后，组织设计、施工、工程监理等有关单位进行竣工验收。经验收合格的，方可交付使用。</w:t>
      </w:r>
    </w:p>
    <w:p w14:paraId="67ECA1BD">
      <w:pPr>
        <w:widowControl w:val="0"/>
        <w:tabs>
          <w:tab w:val="left" w:pos="1620"/>
          <w:tab w:val="left" w:pos="2340"/>
        </w:tabs>
        <w:ind w:left="899"/>
        <w:rPr>
          <w:rFonts w:cs="Times New Roman"/>
          <w:sz w:val="21"/>
        </w:rPr>
      </w:pPr>
      <w:r>
        <w:rPr>
          <w:rFonts w:hint="eastAsia" w:cs="Times New Roman"/>
          <w:sz w:val="21"/>
        </w:rPr>
        <w:t>⑹应严格按照国家有关档案管理的规定，及时收集、整理建设项目各环节的文件资料，建立、健全建设项目档案，并在建设工程竣工验收后，及时向建设行政主管部门或者其他有关部门移交建设项目档案。</w:t>
      </w:r>
    </w:p>
    <w:p w14:paraId="5394C9F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承包人质量控制责任</w:t>
      </w:r>
    </w:p>
    <w:p w14:paraId="5956C344">
      <w:pPr>
        <w:widowControl w:val="0"/>
        <w:tabs>
          <w:tab w:val="left" w:pos="1620"/>
          <w:tab w:val="left" w:pos="2340"/>
        </w:tabs>
        <w:spacing w:after="156"/>
        <w:ind w:left="899"/>
        <w:rPr>
          <w:rFonts w:cs="Times New Roman"/>
          <w:sz w:val="21"/>
        </w:rPr>
      </w:pPr>
      <w:r>
        <w:rPr>
          <w:rFonts w:hint="eastAsia" w:cs="Times New Roman"/>
          <w:sz w:val="21"/>
        </w:rPr>
        <w:t>承包人就本工程的工程质量向发包人负责，其职责包括但不限于下列内容：</w:t>
      </w:r>
    </w:p>
    <w:p w14:paraId="3526DCF9">
      <w:pPr>
        <w:widowControl w:val="0"/>
        <w:tabs>
          <w:tab w:val="left" w:pos="1620"/>
          <w:tab w:val="left" w:pos="2340"/>
        </w:tabs>
        <w:ind w:left="899"/>
        <w:rPr>
          <w:rFonts w:cs="Times New Roman"/>
          <w:sz w:val="21"/>
        </w:rPr>
      </w:pPr>
      <w:r>
        <w:rPr>
          <w:rFonts w:hint="eastAsia" w:cs="Times New Roman"/>
          <w:sz w:val="21"/>
        </w:rPr>
        <w:t>⑴编制和审查施工技术方案，确定特殊工程的施工技术措施，制定工程质量保证体系；</w:t>
      </w:r>
    </w:p>
    <w:p w14:paraId="3C0C043C">
      <w:pPr>
        <w:widowControl w:val="0"/>
        <w:tabs>
          <w:tab w:val="left" w:pos="1620"/>
          <w:tab w:val="left" w:pos="2340"/>
        </w:tabs>
        <w:ind w:left="899"/>
        <w:rPr>
          <w:rFonts w:cs="Times New Roman"/>
          <w:sz w:val="21"/>
        </w:rPr>
      </w:pPr>
      <w:r>
        <w:rPr>
          <w:rFonts w:hint="eastAsia" w:cs="Times New Roman"/>
          <w:sz w:val="21"/>
        </w:rPr>
        <w:t>⑵提供和组织足够的工程质量控制和检测人员，检查和控制工程施工质量；</w:t>
      </w:r>
    </w:p>
    <w:p w14:paraId="074F91E5">
      <w:pPr>
        <w:widowControl w:val="0"/>
        <w:tabs>
          <w:tab w:val="left" w:pos="1620"/>
          <w:tab w:val="left" w:pos="2340"/>
        </w:tabs>
        <w:ind w:left="899"/>
        <w:rPr>
          <w:rFonts w:cs="Times New Roman"/>
          <w:sz w:val="21"/>
        </w:rPr>
      </w:pPr>
      <w:r>
        <w:rPr>
          <w:rFonts w:hint="eastAsia" w:cs="Times New Roman"/>
          <w:sz w:val="21"/>
        </w:rPr>
        <w:t>⑶控制施工所用的材料、设备，包括承包人、分包人采购的材料、设备，使其不低于标准、规范、设计文件和合同约定的标准；</w:t>
      </w:r>
    </w:p>
    <w:p w14:paraId="4A0816CF">
      <w:pPr>
        <w:widowControl w:val="0"/>
        <w:tabs>
          <w:tab w:val="left" w:pos="1620"/>
          <w:tab w:val="left" w:pos="2340"/>
        </w:tabs>
        <w:ind w:left="899"/>
        <w:rPr>
          <w:rFonts w:cs="Times New Roman"/>
          <w:sz w:val="21"/>
        </w:rPr>
      </w:pPr>
      <w:r>
        <w:rPr>
          <w:rFonts w:hint="eastAsia" w:cs="Times New Roman"/>
          <w:sz w:val="21"/>
        </w:rPr>
        <w:t>⑷参加所有工程的验收工作，包括隐蔽验收、中间验收和竣工验收，并组织分包人参加工程竣工验收；</w:t>
      </w:r>
    </w:p>
    <w:p w14:paraId="359D5133">
      <w:pPr>
        <w:widowControl w:val="0"/>
        <w:tabs>
          <w:tab w:val="left" w:pos="1620"/>
          <w:tab w:val="left" w:pos="2340"/>
        </w:tabs>
        <w:ind w:left="899"/>
        <w:rPr>
          <w:rFonts w:cs="Times New Roman"/>
          <w:sz w:val="21"/>
        </w:rPr>
      </w:pPr>
      <w:r>
        <w:rPr>
          <w:rFonts w:hint="eastAsia" w:cs="Times New Roman"/>
          <w:sz w:val="21"/>
        </w:rPr>
        <w:t>⑸按照有关信息化管理的要求，在深圳市质量安全监管职能平台及时上传、报送有关质量检查、监测和整改情况；</w:t>
      </w:r>
    </w:p>
    <w:p w14:paraId="5C2AD552">
      <w:pPr>
        <w:widowControl w:val="0"/>
        <w:tabs>
          <w:tab w:val="left" w:pos="1620"/>
          <w:tab w:val="left" w:pos="2340"/>
        </w:tabs>
        <w:ind w:left="899"/>
        <w:rPr>
          <w:rFonts w:cs="Times New Roman"/>
          <w:sz w:val="21"/>
        </w:rPr>
      </w:pPr>
      <w:r>
        <w:rPr>
          <w:rFonts w:hint="eastAsia" w:cs="Times New Roman"/>
          <w:sz w:val="21"/>
        </w:rPr>
        <w:t>⑹负责组织分包人共同承担缺陷责任期的工程保修责任。</w:t>
      </w:r>
    </w:p>
    <w:p w14:paraId="7286933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监理人</w:t>
      </w:r>
      <w:r>
        <w:rPr>
          <w:rFonts w:hint="eastAsia" w:cs="Times New Roman"/>
          <w:b/>
          <w:bCs/>
        </w:rPr>
        <w:t>质量控制责任</w:t>
      </w:r>
    </w:p>
    <w:p w14:paraId="2897DA41">
      <w:pPr>
        <w:widowControl w:val="0"/>
        <w:tabs>
          <w:tab w:val="left" w:pos="1620"/>
          <w:tab w:val="left" w:pos="2340"/>
        </w:tabs>
        <w:spacing w:after="156"/>
        <w:ind w:left="899"/>
        <w:rPr>
          <w:rFonts w:cs="Times New Roman"/>
          <w:sz w:val="21"/>
        </w:rPr>
      </w:pPr>
      <w:r>
        <w:rPr>
          <w:rFonts w:hint="eastAsia" w:cs="Times New Roman"/>
          <w:sz w:val="21"/>
        </w:rPr>
        <w:t>监理</w:t>
      </w:r>
      <w:r>
        <w:rPr>
          <w:rFonts w:cs="Times New Roman"/>
          <w:sz w:val="21"/>
        </w:rPr>
        <w:t>人应按照法律规定及合同约定完成与工程质量有关的各项工作</w:t>
      </w:r>
      <w:r>
        <w:rPr>
          <w:rFonts w:hint="eastAsia" w:cs="Times New Roman"/>
          <w:sz w:val="21"/>
        </w:rPr>
        <w:t>，其职责包括但不限于下列内容：</w:t>
      </w:r>
    </w:p>
    <w:p w14:paraId="7C85A0ED">
      <w:pPr>
        <w:widowControl w:val="0"/>
        <w:tabs>
          <w:tab w:val="left" w:pos="1620"/>
          <w:tab w:val="left" w:pos="2340"/>
        </w:tabs>
        <w:ind w:left="899"/>
        <w:rPr>
          <w:rFonts w:cs="Times New Roman"/>
          <w:sz w:val="21"/>
        </w:rPr>
      </w:pPr>
      <w:r>
        <w:rPr>
          <w:rFonts w:hint="eastAsia" w:cs="Times New Roman"/>
          <w:sz w:val="21"/>
        </w:rPr>
        <w:t>⑴</w:t>
      </w:r>
      <w:r>
        <w:rPr>
          <w:rFonts w:cs="Times New Roman"/>
          <w:sz w:val="21"/>
        </w:rPr>
        <w:t>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w:t>
      </w:r>
      <w:r>
        <w:rPr>
          <w:rFonts w:hint="eastAsia" w:cs="Times New Roman"/>
          <w:sz w:val="21"/>
        </w:rPr>
        <w:t>。</w:t>
      </w:r>
      <w:r>
        <w:rPr>
          <w:rFonts w:cs="Times New Roman"/>
          <w:sz w:val="21"/>
        </w:rPr>
        <w:t>监理人为此进行的检查和检验，不免除或减轻承包人按照合同约定应当承担的责任。</w:t>
      </w:r>
    </w:p>
    <w:p w14:paraId="7286BA80">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监理人的检查和检验影响施工正常进行的，且经检查检验不合格的，影响正常施工的费用由承包人承担，工期不予顺延；经检查检验合格的，由此增加的费用和（或）延误的工期由发包人承担。</w:t>
      </w:r>
    </w:p>
    <w:p w14:paraId="25D3D44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工程隐蔽前的检测</w:t>
      </w:r>
    </w:p>
    <w:p w14:paraId="50B259DA">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承包人应当对工程隐蔽部位进行自检，并经自检确认是否具备覆盖条件。</w:t>
      </w:r>
    </w:p>
    <w:p w14:paraId="71372F2D">
      <w:pPr>
        <w:widowControl w:val="0"/>
        <w:tabs>
          <w:tab w:val="left" w:pos="1620"/>
          <w:tab w:val="left" w:pos="2340"/>
        </w:tabs>
        <w:spacing w:after="156"/>
        <w:ind w:left="899"/>
        <w:rPr>
          <w:rFonts w:cs="Times New Roman"/>
          <w:sz w:val="21"/>
        </w:rPr>
      </w:pPr>
      <w:r>
        <w:rPr>
          <w:rFonts w:hint="eastAsia" w:cs="Times New Roman"/>
          <w:sz w:val="21"/>
        </w:rPr>
        <w:t>⑵没有</w:t>
      </w:r>
      <w:r>
        <w:rPr>
          <w:rFonts w:cs="Times New Roman"/>
          <w:sz w:val="21"/>
        </w:rPr>
        <w:t>监理人</w:t>
      </w:r>
      <w:r>
        <w:rPr>
          <w:rFonts w:hint="eastAsia" w:cs="Times New Roman"/>
          <w:sz w:val="21"/>
        </w:rPr>
        <w:t>的批准，任何工程均不得隐蔽。当本工程任何部分具备隐蔽条件时，承包人应提前24小时通知</w:t>
      </w:r>
      <w:r>
        <w:rPr>
          <w:rFonts w:cs="Times New Roman"/>
          <w:sz w:val="21"/>
        </w:rPr>
        <w:t>监理人</w:t>
      </w:r>
      <w:r>
        <w:rPr>
          <w:rFonts w:hint="eastAsia" w:cs="Times New Roman"/>
          <w:sz w:val="21"/>
        </w:rPr>
        <w:t>，告知检测的时间、内容和地点，保证</w:t>
      </w:r>
      <w:r>
        <w:rPr>
          <w:rFonts w:cs="Times New Roman"/>
          <w:sz w:val="21"/>
        </w:rPr>
        <w:t>监理人</w:t>
      </w:r>
      <w:r>
        <w:rPr>
          <w:rFonts w:hint="eastAsia" w:cs="Times New Roman"/>
          <w:sz w:val="21"/>
        </w:rPr>
        <w:t>有充分的时间对隐蔽工程进行检测，并为</w:t>
      </w:r>
      <w:r>
        <w:rPr>
          <w:rFonts w:cs="Times New Roman"/>
          <w:sz w:val="21"/>
        </w:rPr>
        <w:t>监理人</w:t>
      </w:r>
      <w:r>
        <w:rPr>
          <w:rFonts w:hint="eastAsia" w:cs="Times New Roman"/>
          <w:sz w:val="21"/>
        </w:rPr>
        <w:t>提供一切必要的资料和协助。</w:t>
      </w:r>
      <w:r>
        <w:rPr>
          <w:rFonts w:cs="Times New Roman"/>
          <w:sz w:val="21"/>
        </w:rPr>
        <w:t>监理人</w:t>
      </w:r>
      <w:r>
        <w:rPr>
          <w:rFonts w:hint="eastAsia" w:cs="Times New Roman"/>
          <w:sz w:val="21"/>
        </w:rPr>
        <w:t>应按时参加隐蔽工程的检测，不得无故拖延，除非认为没有必要检测，并就此通知承包人。</w:t>
      </w:r>
      <w:r>
        <w:rPr>
          <w:rFonts w:cs="Times New Roman"/>
          <w:sz w:val="21"/>
        </w:rPr>
        <w:t>监理人</w:t>
      </w:r>
      <w:r>
        <w:rPr>
          <w:rFonts w:hint="eastAsia" w:cs="Times New Roman"/>
          <w:sz w:val="21"/>
        </w:rPr>
        <w:t>在组织隐蔽工程验收时，应通知发包人及政府有关部门派人参加。</w:t>
      </w:r>
    </w:p>
    <w:p w14:paraId="1960D91E">
      <w:pPr>
        <w:widowControl w:val="0"/>
        <w:tabs>
          <w:tab w:val="left" w:pos="1620"/>
          <w:tab w:val="left" w:pos="2340"/>
        </w:tabs>
        <w:spacing w:after="156"/>
        <w:ind w:left="899"/>
        <w:rPr>
          <w:rFonts w:cs="Times New Roman"/>
          <w:sz w:val="21"/>
        </w:rPr>
      </w:pPr>
      <w:r>
        <w:rPr>
          <w:rFonts w:cs="Times New Roman"/>
          <w:sz w:val="21"/>
        </w:rPr>
        <w:t>⑶</w:t>
      </w:r>
      <w:r>
        <w:rPr>
          <w:rFonts w:hint="eastAsia" w:cs="Times New Roman"/>
          <w:sz w:val="21"/>
        </w:rPr>
        <w:t>无论</w:t>
      </w:r>
      <w:r>
        <w:rPr>
          <w:rFonts w:cs="Times New Roman"/>
          <w:sz w:val="21"/>
        </w:rPr>
        <w:t>监理人</w:t>
      </w:r>
      <w:r>
        <w:rPr>
          <w:rFonts w:hint="eastAsia" w:cs="Times New Roman"/>
          <w:sz w:val="21"/>
        </w:rPr>
        <w:t>是否进行验收，当其要求对已经隐蔽的工程重新检测时，承包人应按要求进行剥离或开孔，并在检测后重新隐蔽。如检测合格，则发包人承担因此发生的全部增加费用，赔偿承包人损失和(或)相应顺延工期；如检测不合格，则承包人应按</w:t>
      </w:r>
      <w:r>
        <w:rPr>
          <w:rFonts w:cs="Times New Roman"/>
          <w:sz w:val="21"/>
        </w:rPr>
        <w:t>监理人</w:t>
      </w:r>
      <w:r>
        <w:rPr>
          <w:rFonts w:hint="eastAsia" w:cs="Times New Roman"/>
          <w:sz w:val="21"/>
        </w:rPr>
        <w:t>的指令重新施工，直到检测合格，并承担由此发生的全部费用，工期不予顺延。</w:t>
      </w:r>
    </w:p>
    <w:p w14:paraId="05E236BE">
      <w:pPr>
        <w:widowControl w:val="0"/>
        <w:tabs>
          <w:tab w:val="left" w:pos="1620"/>
          <w:tab w:val="left" w:pos="2340"/>
        </w:tabs>
        <w:spacing w:after="156"/>
        <w:ind w:left="899"/>
        <w:rPr>
          <w:rFonts w:cs="Times New Roman"/>
          <w:sz w:val="21"/>
        </w:rPr>
      </w:pPr>
      <w:r>
        <w:rPr>
          <w:rFonts w:cs="Times New Roman"/>
          <w:sz w:val="21"/>
        </w:rPr>
        <w:t>⑷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w:t>
      </w:r>
    </w:p>
    <w:p w14:paraId="48C36A3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防水检测</w:t>
      </w:r>
    </w:p>
    <w:p w14:paraId="465B230D">
      <w:pPr>
        <w:widowControl w:val="0"/>
        <w:tabs>
          <w:tab w:val="left" w:pos="1620"/>
          <w:tab w:val="left" w:pos="2340"/>
        </w:tabs>
        <w:spacing w:after="156"/>
        <w:ind w:left="899"/>
        <w:rPr>
          <w:rFonts w:cs="Times New Roman"/>
          <w:sz w:val="21"/>
        </w:rPr>
      </w:pPr>
      <w:r>
        <w:rPr>
          <w:rFonts w:hint="eastAsia" w:cs="Times New Roman"/>
          <w:sz w:val="21"/>
        </w:rPr>
        <w:t>本工程有防水要求的部位，在下道工序施工进行前，需按要求进行闭水试验，费用已含在相应分部分项工程的综合单价中，由承包人承担。未发现渗漏水的才可进行下道工序施工，如发现渗漏水，承包人应限期自费进行整改直到符合防水要求，由此延误的工期不予顺延。</w:t>
      </w:r>
    </w:p>
    <w:p w14:paraId="05B23E7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工程质量检测费用</w:t>
      </w:r>
    </w:p>
    <w:p w14:paraId="48703E83">
      <w:pPr>
        <w:widowControl w:val="0"/>
        <w:tabs>
          <w:tab w:val="left" w:pos="1620"/>
          <w:tab w:val="left" w:pos="2340"/>
        </w:tabs>
        <w:spacing w:after="156"/>
        <w:ind w:left="899"/>
        <w:rPr>
          <w:rFonts w:cs="Times New Roman"/>
          <w:sz w:val="21"/>
        </w:rPr>
      </w:pPr>
      <w:r>
        <w:rPr>
          <w:rFonts w:hint="eastAsia" w:cs="Times New Roman"/>
          <w:sz w:val="21"/>
        </w:rPr>
        <w:t>工程质量检验检测项目在</w:t>
      </w:r>
      <w:r>
        <w:rPr>
          <w:rFonts w:hint="eastAsia" w:cs="Times New Roman"/>
          <w:b/>
          <w:i/>
          <w:sz w:val="21"/>
        </w:rPr>
        <w:t>专用条款</w:t>
      </w:r>
      <w:r>
        <w:rPr>
          <w:rFonts w:hint="eastAsia" w:cs="Times New Roman"/>
          <w:sz w:val="21"/>
        </w:rPr>
        <w:t>中约定，检测费用由发包人承担。因承包人原因导致检测结果不合格的，承包人承担本次检测的所有检测费用，并无偿返工、负责修复。</w:t>
      </w:r>
    </w:p>
    <w:p w14:paraId="64056EA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质量争议检测</w:t>
      </w:r>
    </w:p>
    <w:p w14:paraId="64315F44">
      <w:pPr>
        <w:widowControl w:val="0"/>
        <w:tabs>
          <w:tab w:val="left" w:pos="1620"/>
          <w:tab w:val="left" w:pos="2340"/>
        </w:tabs>
        <w:spacing w:after="156"/>
        <w:ind w:left="899"/>
        <w:rPr>
          <w:rFonts w:cs="Times New Roman"/>
          <w:sz w:val="21"/>
        </w:rPr>
      </w:pPr>
      <w:r>
        <w:rPr>
          <w:rFonts w:cs="Times New Roman"/>
          <w:sz w:val="21"/>
        </w:rPr>
        <w:t>承发包双方对工程质量有争议的，由双方协商确定的工程质量检测机构鉴定，由此产生的费用及因此造成的损失，由责任方承担。承发包双方均有责任的，由双方根据其责任分别承担。</w:t>
      </w:r>
    </w:p>
    <w:p w14:paraId="5986DEAD">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工程试运行</w:t>
      </w:r>
    </w:p>
    <w:p w14:paraId="1C3FB6D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工程试运行内容和程序</w:t>
      </w:r>
    </w:p>
    <w:p w14:paraId="7B17C445">
      <w:pPr>
        <w:widowControl w:val="0"/>
        <w:tabs>
          <w:tab w:val="left" w:pos="1620"/>
          <w:tab w:val="left" w:pos="2340"/>
        </w:tabs>
        <w:ind w:left="899"/>
        <w:rPr>
          <w:rFonts w:cs="Times New Roman"/>
          <w:sz w:val="21"/>
        </w:rPr>
      </w:pPr>
      <w:r>
        <w:rPr>
          <w:rFonts w:hint="eastAsia" w:cs="Times New Roman"/>
          <w:sz w:val="21"/>
        </w:rPr>
        <w:t>如发包人和承包人约定本工程需要试运行的，双方在</w:t>
      </w:r>
      <w:r>
        <w:rPr>
          <w:rFonts w:hint="eastAsia" w:cs="Times New Roman"/>
          <w:b/>
          <w:i/>
          <w:sz w:val="21"/>
        </w:rPr>
        <w:t>专用条款</w:t>
      </w:r>
      <w:r>
        <w:rPr>
          <w:rFonts w:hint="eastAsia" w:cs="Times New Roman"/>
          <w:sz w:val="21"/>
        </w:rPr>
        <w:t>中约定试运行的内容和费用承担。本工程试运行应按如下程序进行：</w:t>
      </w:r>
    </w:p>
    <w:p w14:paraId="419FAAF7">
      <w:pPr>
        <w:widowControl w:val="0"/>
        <w:tabs>
          <w:tab w:val="left" w:pos="1620"/>
          <w:tab w:val="left" w:pos="2340"/>
        </w:tabs>
        <w:ind w:left="1079"/>
        <w:rPr>
          <w:rFonts w:cs="Times New Roman"/>
          <w:sz w:val="21"/>
        </w:rPr>
      </w:pPr>
      <w:r>
        <w:rPr>
          <w:rFonts w:cs="Times New Roman"/>
          <w:sz w:val="21"/>
        </w:rPr>
        <w:t>⑴</w:t>
      </w:r>
      <w:r>
        <w:rPr>
          <w:rFonts w:hint="eastAsia" w:cs="Times New Roman"/>
          <w:sz w:val="21"/>
        </w:rPr>
        <w:t>设备安装工程具备单机无负荷试运行条件，承包人组织试运行，并在试运行前48小时通知</w:t>
      </w:r>
      <w:r>
        <w:rPr>
          <w:rFonts w:cs="Times New Roman"/>
          <w:sz w:val="21"/>
        </w:rPr>
        <w:t>监理人</w:t>
      </w:r>
      <w:r>
        <w:rPr>
          <w:rFonts w:hint="eastAsia" w:cs="Times New Roman"/>
          <w:sz w:val="21"/>
        </w:rPr>
        <w:t>，告知试运行的时间、内容和地点。承包人准备试运行记录，发包人应为试运行提供必要条件。</w:t>
      </w:r>
      <w:r>
        <w:rPr>
          <w:rFonts w:cs="Times New Roman"/>
          <w:sz w:val="21"/>
        </w:rPr>
        <w:t>监理人</w:t>
      </w:r>
      <w:r>
        <w:rPr>
          <w:rFonts w:hint="eastAsia" w:cs="Times New Roman"/>
          <w:sz w:val="21"/>
        </w:rPr>
        <w:t>应按时参加试运行，试运行合格，</w:t>
      </w:r>
      <w:r>
        <w:rPr>
          <w:rFonts w:cs="Times New Roman"/>
          <w:sz w:val="21"/>
        </w:rPr>
        <w:t>监理人</w:t>
      </w:r>
      <w:r>
        <w:rPr>
          <w:rFonts w:hint="eastAsia" w:cs="Times New Roman"/>
          <w:sz w:val="21"/>
        </w:rPr>
        <w:t>在试运行记录上签字。如在上述约定时间后12小时内，</w:t>
      </w:r>
      <w:r>
        <w:rPr>
          <w:rFonts w:cs="Times New Roman"/>
          <w:sz w:val="21"/>
        </w:rPr>
        <w:t>监理人</w:t>
      </w:r>
      <w:r>
        <w:rPr>
          <w:rFonts w:hint="eastAsia" w:cs="Times New Roman"/>
          <w:sz w:val="21"/>
        </w:rPr>
        <w:t>未能到场参加试运行，承包人可自行试运行，事后</w:t>
      </w:r>
      <w:r>
        <w:rPr>
          <w:rFonts w:cs="Times New Roman"/>
          <w:sz w:val="21"/>
        </w:rPr>
        <w:t>监理人</w:t>
      </w:r>
      <w:r>
        <w:rPr>
          <w:rFonts w:hint="eastAsia" w:cs="Times New Roman"/>
          <w:sz w:val="21"/>
        </w:rPr>
        <w:t>应认可承包人所作的试运行记录。</w:t>
      </w:r>
    </w:p>
    <w:p w14:paraId="03589D3B">
      <w:pPr>
        <w:widowControl w:val="0"/>
        <w:tabs>
          <w:tab w:val="left" w:pos="1620"/>
          <w:tab w:val="left" w:pos="2340"/>
        </w:tabs>
        <w:ind w:left="1079"/>
        <w:rPr>
          <w:rFonts w:cs="Times New Roman"/>
          <w:sz w:val="21"/>
        </w:rPr>
      </w:pPr>
      <w:r>
        <w:rPr>
          <w:rFonts w:cs="Times New Roman"/>
          <w:sz w:val="21"/>
        </w:rPr>
        <w:t>⑵</w:t>
      </w:r>
      <w:r>
        <w:rPr>
          <w:rFonts w:hint="eastAsia" w:cs="Times New Roman"/>
          <w:sz w:val="21"/>
        </w:rPr>
        <w:t>设备安装工程具备无负荷联动试运行条件，发包人组织试运行，并在试运行前48小时通知承包人，告知试运行的时间、内容、地点和对承包人的要求，承包人按要求做好准备工作。试运行合格，双方在试运行记录上签字。</w:t>
      </w:r>
    </w:p>
    <w:p w14:paraId="1623F9B6">
      <w:pPr>
        <w:widowControl w:val="0"/>
        <w:tabs>
          <w:tab w:val="left" w:pos="1620"/>
          <w:tab w:val="left" w:pos="2340"/>
        </w:tabs>
        <w:ind w:left="1079"/>
        <w:rPr>
          <w:rFonts w:cs="Times New Roman"/>
          <w:sz w:val="21"/>
        </w:rPr>
      </w:pPr>
      <w:r>
        <w:rPr>
          <w:rFonts w:cs="Times New Roman"/>
          <w:sz w:val="21"/>
        </w:rPr>
        <w:t>⑶</w:t>
      </w:r>
      <w:r>
        <w:rPr>
          <w:rFonts w:hint="eastAsia" w:cs="Times New Roman"/>
          <w:sz w:val="21"/>
        </w:rPr>
        <w:t>投料试运行应在工程竣工验收后由发包人负责，如发包人要求在工程竣工验收前进行或需要承包人配合时，应征得承包人同意，并另行签订补充协议。</w:t>
      </w:r>
    </w:p>
    <w:p w14:paraId="3DE3622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工程试运行中双方的责任</w:t>
      </w:r>
    </w:p>
    <w:p w14:paraId="187B69A8">
      <w:pPr>
        <w:widowControl w:val="0"/>
        <w:tabs>
          <w:tab w:val="left" w:pos="1620"/>
          <w:tab w:val="left" w:pos="2340"/>
        </w:tabs>
        <w:spacing w:after="156"/>
        <w:ind w:left="899"/>
        <w:rPr>
          <w:rFonts w:cs="Times New Roman"/>
          <w:sz w:val="21"/>
        </w:rPr>
      </w:pPr>
      <w:r>
        <w:rPr>
          <w:rFonts w:cs="Times New Roman"/>
          <w:sz w:val="21"/>
        </w:rPr>
        <w:t>⑴</w:t>
      </w:r>
      <w:r>
        <w:rPr>
          <w:rFonts w:hint="eastAsia" w:cs="Times New Roman"/>
          <w:sz w:val="21"/>
        </w:rPr>
        <w:t>由于设计原因试运行达不到验收要求，发包人应要求</w:t>
      </w:r>
      <w:r>
        <w:rPr>
          <w:rFonts w:cs="Times New Roman"/>
          <w:sz w:val="21"/>
        </w:rPr>
        <w:t>设计人</w:t>
      </w:r>
      <w:r>
        <w:rPr>
          <w:rFonts w:hint="eastAsia" w:cs="Times New Roman"/>
          <w:sz w:val="21"/>
        </w:rPr>
        <w:t>修改设计，承包人按修改后的设计重新安装。发包人承担修改、拆除及重新安装的费用，工期相应顺延。</w:t>
      </w:r>
    </w:p>
    <w:p w14:paraId="2F2178C8">
      <w:pPr>
        <w:widowControl w:val="0"/>
        <w:tabs>
          <w:tab w:val="left" w:pos="1620"/>
          <w:tab w:val="left" w:pos="2340"/>
        </w:tabs>
        <w:spacing w:after="156"/>
        <w:ind w:left="899"/>
        <w:rPr>
          <w:rFonts w:cs="Times New Roman"/>
          <w:sz w:val="21"/>
        </w:rPr>
      </w:pPr>
      <w:r>
        <w:rPr>
          <w:rFonts w:cs="Times New Roman"/>
          <w:sz w:val="21"/>
        </w:rPr>
        <w:t>⑵</w:t>
      </w:r>
      <w:r>
        <w:rPr>
          <w:rFonts w:hint="eastAsia" w:cs="Times New Roman"/>
          <w:sz w:val="21"/>
        </w:rPr>
        <w:t>由于设备制造原因试运行达不到验收要求，如该设备由承包人采购的，则承包人负责修理或重新购置、拆除和重新安装并承担有关费用，工期不予顺延；如该设备由发包人采购的，则发包人负责修理或重新购置，并由承包人进行拆除和重新安装，发包人承担有关费用，工期相应顺延。</w:t>
      </w:r>
    </w:p>
    <w:p w14:paraId="7FD9CDD8">
      <w:pPr>
        <w:widowControl w:val="0"/>
        <w:tabs>
          <w:tab w:val="left" w:pos="1620"/>
          <w:tab w:val="left" w:pos="2340"/>
        </w:tabs>
        <w:spacing w:after="156"/>
        <w:ind w:left="899"/>
        <w:rPr>
          <w:rFonts w:cs="Times New Roman"/>
          <w:sz w:val="21"/>
        </w:rPr>
      </w:pPr>
      <w:r>
        <w:rPr>
          <w:rFonts w:cs="Times New Roman"/>
          <w:sz w:val="21"/>
        </w:rPr>
        <w:t>⑶</w:t>
      </w:r>
      <w:r>
        <w:rPr>
          <w:rFonts w:hint="eastAsia" w:cs="Times New Roman"/>
          <w:sz w:val="21"/>
        </w:rPr>
        <w:t>由于承包人施工原因试运行达不到验收要求，承包人应按</w:t>
      </w:r>
      <w:r>
        <w:rPr>
          <w:rFonts w:cs="Times New Roman"/>
          <w:sz w:val="21"/>
        </w:rPr>
        <w:t>监理人</w:t>
      </w:r>
      <w:r>
        <w:rPr>
          <w:rFonts w:hint="eastAsia" w:cs="Times New Roman"/>
          <w:sz w:val="21"/>
        </w:rPr>
        <w:t>要求重新安装和试运行，并承担有关费用，工期不予顺延。</w:t>
      </w:r>
    </w:p>
    <w:p w14:paraId="53CAC2FD">
      <w:pPr>
        <w:widowControl w:val="0"/>
        <w:tabs>
          <w:tab w:val="left" w:pos="1620"/>
          <w:tab w:val="left" w:pos="2340"/>
        </w:tabs>
        <w:spacing w:after="156"/>
        <w:ind w:left="899"/>
        <w:rPr>
          <w:rFonts w:cs="Times New Roman"/>
          <w:sz w:val="21"/>
        </w:rPr>
      </w:pPr>
      <w:r>
        <w:rPr>
          <w:rFonts w:cs="Times New Roman"/>
          <w:sz w:val="21"/>
        </w:rPr>
        <w:t>⑷监理人</w:t>
      </w:r>
      <w:r>
        <w:rPr>
          <w:rFonts w:hint="eastAsia" w:cs="Times New Roman"/>
          <w:sz w:val="21"/>
        </w:rPr>
        <w:t>在试运行合格后不在试运行记录上签字，试运行结束24小时后，视为</w:t>
      </w:r>
      <w:r>
        <w:rPr>
          <w:rFonts w:cs="Times New Roman"/>
          <w:sz w:val="21"/>
        </w:rPr>
        <w:t>监理人</w:t>
      </w:r>
      <w:r>
        <w:rPr>
          <w:rFonts w:hint="eastAsia" w:cs="Times New Roman"/>
          <w:sz w:val="21"/>
        </w:rPr>
        <w:t>已认可试运行记录，承包人可继续施工或办理竣工手续。</w:t>
      </w:r>
    </w:p>
    <w:p w14:paraId="18504E74">
      <w:pPr>
        <w:widowControl w:val="0"/>
        <w:tabs>
          <w:tab w:val="left" w:pos="1620"/>
          <w:tab w:val="left" w:pos="2340"/>
        </w:tabs>
        <w:spacing w:after="156"/>
        <w:ind w:left="899"/>
        <w:rPr>
          <w:rFonts w:cs="Times New Roman"/>
          <w:sz w:val="21"/>
        </w:rPr>
      </w:pPr>
      <w:r>
        <w:rPr>
          <w:rFonts w:cs="Times New Roman"/>
          <w:sz w:val="21"/>
        </w:rPr>
        <w:t>⑸</w:t>
      </w:r>
      <w:r>
        <w:rPr>
          <w:rFonts w:hint="eastAsia" w:cs="Times New Roman"/>
          <w:sz w:val="21"/>
        </w:rPr>
        <w:t>试运行费用除已包括在签约合同价之内的或专用条款另有约定的，均由发包人承担。</w:t>
      </w:r>
    </w:p>
    <w:p w14:paraId="70E7158D">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安全文明施工与环境保护</w:t>
      </w:r>
    </w:p>
    <w:p w14:paraId="2238FD4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发包人的安全文明施工责任</w:t>
      </w:r>
    </w:p>
    <w:p w14:paraId="149C70E1">
      <w:pPr>
        <w:widowControl w:val="0"/>
        <w:tabs>
          <w:tab w:val="left" w:pos="1620"/>
          <w:tab w:val="left" w:pos="2340"/>
        </w:tabs>
        <w:spacing w:after="156"/>
        <w:ind w:left="899"/>
        <w:rPr>
          <w:rFonts w:cs="Times New Roman"/>
          <w:sz w:val="21"/>
        </w:rPr>
      </w:pPr>
      <w:r>
        <w:rPr>
          <w:rFonts w:cs="Times New Roman"/>
          <w:sz w:val="21"/>
        </w:rPr>
        <w:t>⑴</w:t>
      </w:r>
      <w:r>
        <w:rPr>
          <w:rFonts w:hint="eastAsia" w:cs="Times New Roman"/>
          <w:sz w:val="21"/>
        </w:rPr>
        <w:t>发包人应按照深圳市建设行政主管部门发布的施工安全文明施工措施费清单管理与支付办法，编制安全文明施工措施费清单并向承包人按时足额支付安全文明措施费。</w:t>
      </w:r>
    </w:p>
    <w:p w14:paraId="08CA6E82">
      <w:pPr>
        <w:widowControl w:val="0"/>
        <w:tabs>
          <w:tab w:val="left" w:pos="1620"/>
          <w:tab w:val="left" w:pos="2340"/>
        </w:tabs>
        <w:spacing w:after="156"/>
        <w:ind w:left="899"/>
        <w:rPr>
          <w:rFonts w:cs="Times New Roman"/>
          <w:sz w:val="21"/>
        </w:rPr>
      </w:pPr>
      <w:r>
        <w:rPr>
          <w:rFonts w:cs="Times New Roman"/>
          <w:sz w:val="21"/>
        </w:rPr>
        <w:t>⑵</w:t>
      </w:r>
      <w:r>
        <w:rPr>
          <w:rFonts w:hint="eastAsia" w:cs="Times New Roman"/>
          <w:sz w:val="21"/>
        </w:rPr>
        <w:t>发包人应督促承包人落实安全文明施工标准化管理的相关措施和要求，对安全文明施工措施费的专款专用进行核查。</w:t>
      </w:r>
    </w:p>
    <w:p w14:paraId="53E59A1A">
      <w:pPr>
        <w:widowControl w:val="0"/>
        <w:tabs>
          <w:tab w:val="left" w:pos="1620"/>
          <w:tab w:val="left" w:pos="2340"/>
        </w:tabs>
        <w:spacing w:after="156"/>
        <w:ind w:left="899"/>
        <w:rPr>
          <w:rFonts w:cs="Times New Roman"/>
          <w:sz w:val="21"/>
        </w:rPr>
      </w:pPr>
      <w:r>
        <w:rPr>
          <w:rFonts w:cs="Times New Roman"/>
          <w:sz w:val="21"/>
        </w:rPr>
        <w:t>⑶</w:t>
      </w:r>
      <w:r>
        <w:rPr>
          <w:rFonts w:hint="eastAsia" w:cs="Times New Roman"/>
          <w:sz w:val="21"/>
        </w:rPr>
        <w:t>发包人应对其在施工现场的工作人员进行安全教育，并对他们的安全负责。</w:t>
      </w:r>
    </w:p>
    <w:p w14:paraId="028DDFD5">
      <w:pPr>
        <w:widowControl w:val="0"/>
        <w:tabs>
          <w:tab w:val="left" w:pos="1620"/>
          <w:tab w:val="left" w:pos="2340"/>
        </w:tabs>
        <w:spacing w:after="156"/>
        <w:ind w:left="899"/>
        <w:rPr>
          <w:rFonts w:cs="Times New Roman"/>
          <w:sz w:val="21"/>
        </w:rPr>
      </w:pPr>
      <w:r>
        <w:rPr>
          <w:rFonts w:cs="Times New Roman"/>
          <w:sz w:val="21"/>
        </w:rPr>
        <w:t>⑷</w:t>
      </w:r>
      <w:r>
        <w:rPr>
          <w:rFonts w:hint="eastAsia" w:cs="Times New Roman"/>
          <w:sz w:val="21"/>
        </w:rPr>
        <w:t>发包人不得要求承包人违反安全文明施工的规定进行施工。</w:t>
      </w:r>
    </w:p>
    <w:p w14:paraId="04C1D00E">
      <w:pPr>
        <w:widowControl w:val="0"/>
        <w:tabs>
          <w:tab w:val="left" w:pos="1620"/>
          <w:tab w:val="left" w:pos="2340"/>
        </w:tabs>
        <w:spacing w:after="156"/>
        <w:ind w:left="899"/>
        <w:rPr>
          <w:rFonts w:cs="Times New Roman"/>
          <w:sz w:val="21"/>
        </w:rPr>
      </w:pPr>
      <w:r>
        <w:rPr>
          <w:rFonts w:hint="eastAsia" w:cs="Times New Roman"/>
          <w:sz w:val="21"/>
        </w:rPr>
        <w:t>⑸由于发包人原因造成的安全事故，由发包人承担相应责任及发生的费用，并顺延延误的工期。</w:t>
      </w:r>
    </w:p>
    <w:p w14:paraId="64B3C8C2">
      <w:pPr>
        <w:widowControl w:val="0"/>
        <w:tabs>
          <w:tab w:val="left" w:pos="1620"/>
          <w:tab w:val="left" w:pos="2340"/>
        </w:tabs>
        <w:spacing w:after="156"/>
        <w:ind w:left="899"/>
        <w:rPr>
          <w:rFonts w:cs="Times New Roman"/>
          <w:sz w:val="21"/>
        </w:rPr>
      </w:pPr>
      <w:r>
        <w:rPr>
          <w:rFonts w:hint="eastAsia" w:cs="Times New Roman"/>
          <w:sz w:val="21"/>
        </w:rPr>
        <w:t>⑹</w:t>
      </w:r>
      <w:r>
        <w:rPr>
          <w:rFonts w:hint="eastAsia" w:cs="Times New Roman"/>
          <w:b/>
          <w:i/>
          <w:sz w:val="21"/>
        </w:rPr>
        <w:t>专用条款</w:t>
      </w:r>
      <w:r>
        <w:rPr>
          <w:rFonts w:hint="eastAsia" w:cs="Times New Roman"/>
          <w:sz w:val="21"/>
        </w:rPr>
        <w:t>约定的安全文明施工责任。</w:t>
      </w:r>
    </w:p>
    <w:p w14:paraId="190563A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承包人的安全文明施工责任</w:t>
      </w:r>
    </w:p>
    <w:p w14:paraId="289B916F">
      <w:pPr>
        <w:widowControl w:val="0"/>
        <w:tabs>
          <w:tab w:val="left" w:pos="1620"/>
          <w:tab w:val="left" w:pos="2340"/>
        </w:tabs>
        <w:spacing w:after="156"/>
        <w:ind w:left="899"/>
        <w:rPr>
          <w:rFonts w:cs="Times New Roman"/>
          <w:sz w:val="21"/>
        </w:rPr>
      </w:pPr>
      <w:r>
        <w:rPr>
          <w:rFonts w:cs="Times New Roman"/>
          <w:sz w:val="21"/>
        </w:rPr>
        <w:t>⑴</w:t>
      </w:r>
      <w:r>
        <w:rPr>
          <w:rFonts w:hint="eastAsia" w:cs="Times New Roman"/>
          <w:sz w:val="21"/>
        </w:rPr>
        <w:t>承包人应按照《深圳市建设工程安全文明施工标准》等行业现行的规范、标准，以及发包人提供的安全文明施工措施费清单，编制安全施工专项方案及文明施工专项方案，落实安全防护用品和设施配备、施工风险源管控、安全教育培训、应急管理等方面的安全生产标准化以及文明形象、环境保护、现场卫生、职业健康、信息化管理等方面的文明施工标准化。安全施工专项方案及文明施工专项方案应以书面形式提交给监理人。对监理人要求需采取特殊安全防护措施的分项工程施工前，应编制专项安全施工组织设计，并采取安全技术措施；报请监理人和发包人批准后，方可施工。</w:t>
      </w:r>
    </w:p>
    <w:p w14:paraId="1E59DE6D">
      <w:pPr>
        <w:widowControl w:val="0"/>
        <w:tabs>
          <w:tab w:val="left" w:pos="1620"/>
          <w:tab w:val="left" w:pos="2340"/>
        </w:tabs>
        <w:spacing w:after="156"/>
        <w:ind w:left="899"/>
        <w:rPr>
          <w:rFonts w:cs="Times New Roman"/>
          <w:sz w:val="21"/>
        </w:rPr>
      </w:pPr>
      <w:r>
        <w:rPr>
          <w:rFonts w:cs="Times New Roman"/>
          <w:sz w:val="21"/>
        </w:rPr>
        <w:t>⑵</w:t>
      </w:r>
      <w:r>
        <w:rPr>
          <w:rFonts w:hint="eastAsia" w:cs="Times New Roman"/>
          <w:sz w:val="21"/>
        </w:rPr>
        <w:t>承包人应按照安全施工专项方案及文明施工专项方案组织施工，采取必要的安全防护措施，消除事故隐患，并随时接受行业安全检查人员依法实施的监督检查。承包人安全生产管理机构和专职安全生产管理人员负责对施工企业现场安全文明措施的组织实施进行现场监督检查，并及时向</w:t>
      </w:r>
      <w:r>
        <w:rPr>
          <w:rFonts w:cs="Times New Roman"/>
          <w:sz w:val="21"/>
        </w:rPr>
        <w:t>监理人</w:t>
      </w:r>
      <w:r>
        <w:rPr>
          <w:rFonts w:hint="eastAsia" w:cs="Times New Roman"/>
          <w:sz w:val="21"/>
        </w:rPr>
        <w:t>、发包人和建设行政主管部门反映情况。</w:t>
      </w:r>
    </w:p>
    <w:p w14:paraId="30632397">
      <w:pPr>
        <w:widowControl w:val="0"/>
        <w:tabs>
          <w:tab w:val="left" w:pos="1620"/>
          <w:tab w:val="left" w:pos="2340"/>
        </w:tabs>
        <w:spacing w:after="156"/>
        <w:ind w:left="899"/>
        <w:rPr>
          <w:rFonts w:cs="Times New Roman"/>
          <w:sz w:val="21"/>
        </w:rPr>
      </w:pPr>
      <w:r>
        <w:rPr>
          <w:rFonts w:cs="Times New Roman"/>
          <w:sz w:val="21"/>
        </w:rPr>
        <w:t>⑶</w:t>
      </w:r>
      <w:r>
        <w:rPr>
          <w:rFonts w:cs="Times New Roman"/>
          <w:kern w:val="2"/>
          <w:sz w:val="21"/>
        </w:rPr>
        <w:t>承包人</w:t>
      </w:r>
      <w:r>
        <w:rPr>
          <w:rFonts w:hint="eastAsia" w:cs="Times New Roman"/>
          <w:kern w:val="2"/>
          <w:sz w:val="21"/>
        </w:rPr>
        <w:t>施工现场应</w:t>
      </w:r>
      <w:r>
        <w:rPr>
          <w:rFonts w:cs="Times New Roman"/>
          <w:kern w:val="2"/>
          <w:sz w:val="21"/>
        </w:rPr>
        <w:t>配置必要的安全、文明施工设施与保护器材，设立安全警告标志牌，并为</w:t>
      </w:r>
      <w:r>
        <w:rPr>
          <w:rFonts w:hint="eastAsia" w:cs="Times New Roman"/>
          <w:kern w:val="2"/>
          <w:sz w:val="21"/>
        </w:rPr>
        <w:t>施工</w:t>
      </w:r>
      <w:r>
        <w:rPr>
          <w:rFonts w:cs="Times New Roman"/>
          <w:kern w:val="2"/>
          <w:sz w:val="21"/>
        </w:rPr>
        <w:t>现场</w:t>
      </w:r>
      <w:r>
        <w:rPr>
          <w:rFonts w:hint="eastAsia" w:cs="Times New Roman"/>
          <w:kern w:val="2"/>
          <w:sz w:val="21"/>
        </w:rPr>
        <w:t>人员</w:t>
      </w:r>
      <w:r>
        <w:rPr>
          <w:rFonts w:cs="Times New Roman"/>
          <w:kern w:val="2"/>
          <w:sz w:val="21"/>
        </w:rPr>
        <w:t>(包括发包人代表、监理人人员)提供必要的安全防护和劳动保护用品</w:t>
      </w:r>
      <w:r>
        <w:rPr>
          <w:rFonts w:hint="eastAsia" w:cs="Times New Roman"/>
          <w:b/>
          <w:bCs/>
          <w:kern w:val="2"/>
          <w:sz w:val="21"/>
        </w:rPr>
        <w:t>。</w:t>
      </w:r>
      <w:r>
        <w:rPr>
          <w:rFonts w:cs="Times New Roman"/>
          <w:kern w:val="2"/>
          <w:sz w:val="21"/>
        </w:rPr>
        <w:t>施工作业人员未经安全生产教育培训，不得上岗作业。承包人有责任管制无关人员进入施工现场。</w:t>
      </w:r>
    </w:p>
    <w:p w14:paraId="22423C3B">
      <w:pPr>
        <w:widowControl w:val="0"/>
        <w:tabs>
          <w:tab w:val="left" w:pos="1620"/>
          <w:tab w:val="left" w:pos="2340"/>
        </w:tabs>
        <w:spacing w:after="156"/>
        <w:ind w:left="899"/>
        <w:rPr>
          <w:rFonts w:cs="Times New Roman"/>
          <w:sz w:val="21"/>
        </w:rPr>
      </w:pPr>
      <w:r>
        <w:rPr>
          <w:rFonts w:cs="Times New Roman"/>
          <w:sz w:val="21"/>
        </w:rPr>
        <w:t>⑷</w:t>
      </w:r>
      <w:r>
        <w:rPr>
          <w:rFonts w:hint="eastAsia" w:cs="Times New Roman"/>
          <w:sz w:val="21"/>
        </w:rPr>
        <w:t>承包人与分包人应当在分包合同中明确施工现场安全文明措施费由承包人统一管理，并对其使用负责。施工现场安全文明措施由分包人实施的，由分包人提出专项安全文明措施和方案，经承包人批准后及时支付所需费用。</w:t>
      </w:r>
    </w:p>
    <w:p w14:paraId="6FA62FE7">
      <w:pPr>
        <w:widowControl w:val="0"/>
        <w:tabs>
          <w:tab w:val="left" w:pos="1620"/>
          <w:tab w:val="left" w:pos="2340"/>
        </w:tabs>
        <w:spacing w:after="156"/>
        <w:ind w:left="899"/>
        <w:rPr>
          <w:rFonts w:cs="Times New Roman"/>
          <w:sz w:val="21"/>
        </w:rPr>
      </w:pPr>
      <w:r>
        <w:rPr>
          <w:rFonts w:hint="eastAsia" w:cs="Times New Roman"/>
          <w:sz w:val="21"/>
        </w:rPr>
        <w:t>⑸发生重大伤亡及其他安全事故，承包人应通知</w:t>
      </w:r>
      <w:r>
        <w:rPr>
          <w:rFonts w:cs="Times New Roman"/>
          <w:sz w:val="21"/>
        </w:rPr>
        <w:t>监理人</w:t>
      </w:r>
      <w:r>
        <w:rPr>
          <w:rFonts w:hint="eastAsia" w:cs="Times New Roman"/>
          <w:sz w:val="21"/>
        </w:rPr>
        <w:t>并按相关规定立即上报政府有关部门，同时按政府有关部门要求处理。发包人和承包人对事故责任有争议时，由政府有关部门认定。由于承包人原因造成的安全事故，由承包人承担相应责任及发生的费用，工期不予顺延。</w:t>
      </w:r>
    </w:p>
    <w:p w14:paraId="7D22AE55">
      <w:pPr>
        <w:widowControl w:val="0"/>
        <w:tabs>
          <w:tab w:val="left" w:pos="1620"/>
          <w:tab w:val="left" w:pos="2340"/>
        </w:tabs>
        <w:spacing w:after="156"/>
        <w:ind w:left="899"/>
        <w:rPr>
          <w:rFonts w:cs="Times New Roman"/>
          <w:sz w:val="21"/>
        </w:rPr>
      </w:pPr>
      <w:r>
        <w:rPr>
          <w:rFonts w:hint="eastAsia" w:cs="Times New Roman"/>
          <w:sz w:val="21"/>
        </w:rPr>
        <w:t>⑹</w:t>
      </w:r>
      <w:r>
        <w:rPr>
          <w:rFonts w:cs="Times New Roman"/>
          <w:sz w:val="21"/>
        </w:rPr>
        <w:t>承包人有责任维护发包人</w:t>
      </w:r>
      <w:r>
        <w:rPr>
          <w:rFonts w:hint="eastAsia" w:cs="Times New Roman"/>
          <w:sz w:val="21"/>
        </w:rPr>
        <w:t>的社会</w:t>
      </w:r>
      <w:r>
        <w:rPr>
          <w:rFonts w:cs="Times New Roman"/>
          <w:sz w:val="21"/>
        </w:rPr>
        <w:t>形象，避免由于施工引起安全、文明施工和环境保护</w:t>
      </w:r>
      <w:r>
        <w:rPr>
          <w:rFonts w:hint="eastAsia" w:cs="Times New Roman"/>
          <w:sz w:val="21"/>
        </w:rPr>
        <w:t>(</w:t>
      </w:r>
      <w:r>
        <w:rPr>
          <w:rFonts w:cs="Times New Roman"/>
          <w:sz w:val="21"/>
        </w:rPr>
        <w:t>如噪音、粉尘、排污等</w:t>
      </w:r>
      <w:r>
        <w:rPr>
          <w:rFonts w:hint="eastAsia" w:cs="Times New Roman"/>
          <w:sz w:val="21"/>
        </w:rPr>
        <w:t>)</w:t>
      </w:r>
      <w:r>
        <w:rPr>
          <w:rFonts w:cs="Times New Roman"/>
          <w:sz w:val="21"/>
        </w:rPr>
        <w:t>问题而造成对发包人的索赔。由于上述问题造成的索赔由承包人承担全部责任</w:t>
      </w:r>
      <w:r>
        <w:rPr>
          <w:rFonts w:hint="eastAsia" w:cs="Times New Roman"/>
          <w:sz w:val="21"/>
        </w:rPr>
        <w:t>。</w:t>
      </w:r>
    </w:p>
    <w:p w14:paraId="6ABEA07E">
      <w:pPr>
        <w:widowControl w:val="0"/>
        <w:tabs>
          <w:tab w:val="left" w:pos="1620"/>
          <w:tab w:val="left" w:pos="2340"/>
        </w:tabs>
        <w:spacing w:after="156"/>
        <w:ind w:left="899"/>
        <w:rPr>
          <w:rFonts w:cs="Times New Roman"/>
          <w:sz w:val="21"/>
        </w:rPr>
      </w:pPr>
      <w:r>
        <w:rPr>
          <w:rFonts w:hint="eastAsia" w:cs="Times New Roman"/>
          <w:sz w:val="21"/>
        </w:rPr>
        <w:t>⑺</w:t>
      </w:r>
      <w:r>
        <w:rPr>
          <w:rFonts w:cs="Times New Roman"/>
          <w:sz w:val="21"/>
        </w:rPr>
        <w:t>在施工过程中，如遇到突发的地质变动、事先未知的地下施工障碍等影响施工安全的紧急情况，</w:t>
      </w:r>
      <w:r>
        <w:rPr>
          <w:rFonts w:hint="eastAsia" w:cs="Times New Roman"/>
          <w:sz w:val="21"/>
        </w:rPr>
        <w:t>承包人应及时报告</w:t>
      </w:r>
      <w:r>
        <w:rPr>
          <w:rFonts w:cs="Times New Roman"/>
          <w:sz w:val="21"/>
        </w:rPr>
        <w:t>监理人</w:t>
      </w:r>
      <w:r>
        <w:rPr>
          <w:rFonts w:hint="eastAsia" w:cs="Times New Roman"/>
          <w:sz w:val="21"/>
        </w:rPr>
        <w:t>和发包人，按相关</w:t>
      </w:r>
      <w:r>
        <w:rPr>
          <w:rFonts w:cs="Times New Roman"/>
          <w:sz w:val="21"/>
        </w:rPr>
        <w:t>部门</w:t>
      </w:r>
      <w:r>
        <w:rPr>
          <w:rFonts w:hint="eastAsia" w:cs="Times New Roman"/>
          <w:sz w:val="21"/>
        </w:rPr>
        <w:t>要求</w:t>
      </w:r>
      <w:r>
        <w:rPr>
          <w:rFonts w:cs="Times New Roman"/>
          <w:sz w:val="21"/>
        </w:rPr>
        <w:t>采取应急措施。</w:t>
      </w:r>
    </w:p>
    <w:p w14:paraId="311F2813">
      <w:pPr>
        <w:widowControl w:val="0"/>
        <w:tabs>
          <w:tab w:val="left" w:pos="1620"/>
          <w:tab w:val="left" w:pos="2340"/>
        </w:tabs>
        <w:spacing w:after="156"/>
        <w:ind w:left="899"/>
        <w:rPr>
          <w:rFonts w:cs="Times New Roman"/>
          <w:sz w:val="21"/>
        </w:rPr>
      </w:pPr>
      <w:r>
        <w:rPr>
          <w:rFonts w:hint="eastAsia" w:cs="Times New Roman"/>
          <w:sz w:val="21"/>
        </w:rPr>
        <w:t>⑻承包人应按照有关信息化管理的要求，在深圳市质量安全监管职能平台及时上传、报送有关安全隐患检查和安全隐患整改情况。</w:t>
      </w:r>
    </w:p>
    <w:p w14:paraId="5ACC5ABA">
      <w:pPr>
        <w:widowControl w:val="0"/>
        <w:tabs>
          <w:tab w:val="left" w:pos="1620"/>
          <w:tab w:val="left" w:pos="2340"/>
        </w:tabs>
        <w:spacing w:after="156"/>
        <w:ind w:left="899"/>
        <w:rPr>
          <w:rFonts w:cs="Times New Roman"/>
          <w:sz w:val="21"/>
        </w:rPr>
      </w:pPr>
      <w:r>
        <w:rPr>
          <w:rFonts w:hint="eastAsia" w:cs="Times New Roman"/>
          <w:sz w:val="21"/>
        </w:rPr>
        <w:t>⑼</w:t>
      </w:r>
      <w:r>
        <w:rPr>
          <w:rFonts w:hint="eastAsia" w:cs="Times New Roman"/>
          <w:b/>
          <w:i/>
          <w:sz w:val="21"/>
        </w:rPr>
        <w:t>专用条款</w:t>
      </w:r>
      <w:r>
        <w:rPr>
          <w:rFonts w:hint="eastAsia" w:cs="Times New Roman"/>
          <w:sz w:val="21"/>
        </w:rPr>
        <w:t>约定的安全文明施工责任。</w:t>
      </w:r>
    </w:p>
    <w:p w14:paraId="6A64C384">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监理人</w:t>
      </w:r>
      <w:r>
        <w:rPr>
          <w:rFonts w:hint="eastAsia" w:cs="Times New Roman"/>
          <w:b/>
          <w:bCs/>
        </w:rPr>
        <w:t>对安全文明的监督</w:t>
      </w:r>
    </w:p>
    <w:p w14:paraId="73A2D0B7">
      <w:pPr>
        <w:widowControl w:val="0"/>
        <w:tabs>
          <w:tab w:val="left" w:pos="1620"/>
          <w:tab w:val="left" w:pos="2340"/>
        </w:tabs>
        <w:spacing w:after="156"/>
        <w:ind w:left="899"/>
        <w:rPr>
          <w:rFonts w:cs="Times New Roman"/>
          <w:sz w:val="21"/>
        </w:rPr>
      </w:pPr>
      <w:r>
        <w:rPr>
          <w:rFonts w:cs="Times New Roman"/>
          <w:sz w:val="21"/>
        </w:rPr>
        <w:t>监理人</w:t>
      </w:r>
      <w:r>
        <w:rPr>
          <w:rFonts w:hint="eastAsia" w:cs="Times New Roman"/>
          <w:sz w:val="21"/>
        </w:rPr>
        <w:t>应当对承包人落实施工现场安全文明措施情况进行现场监督。对承包人已经落实的安全文明措施，</w:t>
      </w:r>
      <w:r>
        <w:rPr>
          <w:rFonts w:cs="Times New Roman"/>
          <w:sz w:val="21"/>
        </w:rPr>
        <w:t>监理人</w:t>
      </w:r>
      <w:r>
        <w:rPr>
          <w:rFonts w:hint="eastAsia" w:cs="Times New Roman"/>
          <w:sz w:val="21"/>
        </w:rPr>
        <w:t>应当及时审查确认。</w:t>
      </w:r>
      <w:r>
        <w:rPr>
          <w:rFonts w:cs="Times New Roman"/>
          <w:sz w:val="21"/>
        </w:rPr>
        <w:t>监理人</w:t>
      </w:r>
      <w:r>
        <w:rPr>
          <w:rFonts w:hint="eastAsia" w:cs="Times New Roman"/>
          <w:sz w:val="21"/>
        </w:rPr>
        <w:t>发现承包人未落实施工组织设计及专项施工方案中安全防护和文明施工措施的，有权责令其立即整改，承包人拒不整改或未按期限要求完成整改的，</w:t>
      </w:r>
      <w:r>
        <w:rPr>
          <w:rFonts w:cs="Times New Roman"/>
          <w:sz w:val="21"/>
        </w:rPr>
        <w:t>监理人</w:t>
      </w:r>
      <w:r>
        <w:rPr>
          <w:rFonts w:hint="eastAsia" w:cs="Times New Roman"/>
          <w:sz w:val="21"/>
        </w:rPr>
        <w:t>应当及时向发包人和建设行政主管部门报告，必要时责令其暂停施工。</w:t>
      </w:r>
    </w:p>
    <w:p w14:paraId="2F0ABD3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安全文明措施费的专款专用</w:t>
      </w:r>
    </w:p>
    <w:p w14:paraId="7B0A75DF">
      <w:pPr>
        <w:widowControl w:val="0"/>
        <w:tabs>
          <w:tab w:val="left" w:pos="1620"/>
          <w:tab w:val="left" w:pos="2340"/>
        </w:tabs>
        <w:spacing w:after="156"/>
        <w:ind w:left="899"/>
        <w:rPr>
          <w:rFonts w:cs="Times New Roman"/>
          <w:sz w:val="21"/>
        </w:rPr>
      </w:pPr>
      <w:r>
        <w:rPr>
          <w:rFonts w:hint="eastAsia" w:cs="Times New Roman"/>
          <w:sz w:val="21"/>
        </w:rPr>
        <w:t>⑴承包人应确保施工现场安全文明措施费专款专用，在财务管理中单独列出安全文明措施项目费用清单及金额备查，并设立单独的安全文明措施费银行账户，接受发包人的监管。</w:t>
      </w:r>
    </w:p>
    <w:p w14:paraId="410F8A58">
      <w:pPr>
        <w:widowControl w:val="0"/>
        <w:tabs>
          <w:tab w:val="left" w:pos="1620"/>
          <w:tab w:val="left" w:pos="2340"/>
        </w:tabs>
        <w:spacing w:after="156"/>
        <w:ind w:left="899"/>
        <w:rPr>
          <w:rFonts w:cs="Times New Roman"/>
          <w:sz w:val="21"/>
        </w:rPr>
      </w:pPr>
      <w:r>
        <w:rPr>
          <w:rFonts w:hint="eastAsia" w:cs="Times New Roman"/>
          <w:sz w:val="21"/>
        </w:rPr>
        <w:t>⑵承包人应当按照分包合同约定及时向分包人支付施工现场安全文明措施费。承包人不按约定支付费用，造成分包人不能及时落实安全防护措施导致发生事故的，由承包人负主要责任。</w:t>
      </w:r>
    </w:p>
    <w:p w14:paraId="1B7F5AB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承包人的安全防护和现场作业</w:t>
      </w:r>
    </w:p>
    <w:p w14:paraId="1E1FE661">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DA97E9C">
      <w:pPr>
        <w:widowControl w:val="0"/>
        <w:tabs>
          <w:tab w:val="left" w:pos="1620"/>
          <w:tab w:val="left" w:pos="2340"/>
        </w:tabs>
        <w:spacing w:after="156"/>
        <w:ind w:left="899"/>
        <w:rPr>
          <w:rFonts w:cs="Times New Roman"/>
          <w:sz w:val="21"/>
        </w:rPr>
      </w:pPr>
      <w:r>
        <w:rPr>
          <w:rFonts w:hint="eastAsia" w:cs="Times New Roman"/>
          <w:sz w:val="21"/>
        </w:rPr>
        <w:t>⑵承包人在动力设备、输电线路、地下管道、密封防震车间、易燃易爆地段、临街交通要道附近、放射毒害性环境中施工以及实施爆破作业、使用毒害性腐蚀性物品施工时，施工前应向</w:t>
      </w:r>
      <w:r>
        <w:rPr>
          <w:rFonts w:cs="Times New Roman"/>
          <w:sz w:val="21"/>
        </w:rPr>
        <w:t>监理人</w:t>
      </w:r>
      <w:r>
        <w:rPr>
          <w:rFonts w:hint="eastAsia" w:cs="Times New Roman"/>
          <w:sz w:val="21"/>
        </w:rPr>
        <w:t>提出安全防护措施，经</w:t>
      </w:r>
      <w:r>
        <w:rPr>
          <w:rFonts w:cs="Times New Roman"/>
          <w:sz w:val="21"/>
        </w:rPr>
        <w:t>监理人</w:t>
      </w:r>
      <w:r>
        <w:rPr>
          <w:rFonts w:hint="eastAsia" w:cs="Times New Roman"/>
          <w:sz w:val="21"/>
        </w:rPr>
        <w:t>认可后实施，由发包人承担相应安全防护措施费用。</w:t>
      </w:r>
    </w:p>
    <w:p w14:paraId="4E28DD56">
      <w:pPr>
        <w:widowControl w:val="0"/>
        <w:tabs>
          <w:tab w:val="left" w:pos="1620"/>
          <w:tab w:val="left" w:pos="2340"/>
        </w:tabs>
        <w:spacing w:after="156"/>
        <w:ind w:left="899"/>
        <w:rPr>
          <w:rFonts w:cs="Times New Roman"/>
          <w:sz w:val="21"/>
        </w:rPr>
      </w:pPr>
      <w:r>
        <w:rPr>
          <w:rFonts w:hint="eastAsia" w:cs="Times New Roman"/>
          <w:sz w:val="21"/>
        </w:rPr>
        <w:t>⑶承包人应将其作业限制在现场内。在施工期间，承包人应保持现场没有障碍物，妥善存放和处理材料设备和承包人装备，及时从现场清除并运走任何残物、垃圾和不再需要的临时工程。</w:t>
      </w:r>
    </w:p>
    <w:p w14:paraId="53E48B72">
      <w:pPr>
        <w:widowControl w:val="0"/>
        <w:tabs>
          <w:tab w:val="left" w:pos="1620"/>
          <w:tab w:val="left" w:pos="2340"/>
        </w:tabs>
        <w:spacing w:after="156"/>
        <w:ind w:left="899"/>
        <w:rPr>
          <w:rFonts w:cs="Times New Roman"/>
          <w:sz w:val="21"/>
        </w:rPr>
      </w:pPr>
      <w:r>
        <w:rPr>
          <w:rFonts w:hint="eastAsia" w:cs="Times New Roman"/>
          <w:sz w:val="21"/>
        </w:rPr>
        <w:t>⑷承包人应按照本市相关要求和根据工程性质规模，建立现场视频采集系统，开展实时监控。承包人应当按照建筑从业人员实名制管理的相关要求，利用人脸、虹膜等生物活体信息技术，在工地出入口设立实名闸机通道，实行联网运行。</w:t>
      </w:r>
    </w:p>
    <w:p w14:paraId="2484614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紧急情况</w:t>
      </w:r>
      <w:r>
        <w:rPr>
          <w:rFonts w:hint="eastAsia" w:cs="Times New Roman"/>
          <w:b/>
          <w:bCs/>
        </w:rPr>
        <w:t>处理</w:t>
      </w:r>
    </w:p>
    <w:p w14:paraId="0488659E">
      <w:pPr>
        <w:widowControl w:val="0"/>
        <w:tabs>
          <w:tab w:val="left" w:pos="1620"/>
          <w:tab w:val="left" w:pos="2340"/>
        </w:tabs>
        <w:spacing w:after="156"/>
        <w:ind w:left="899"/>
        <w:rPr>
          <w:rFonts w:cs="Times New Roman"/>
          <w:sz w:val="21"/>
        </w:rPr>
      </w:pPr>
      <w:r>
        <w:rPr>
          <w:rFonts w:cs="Times New Roman"/>
          <w:sz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06AEA2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事故处理</w:t>
      </w:r>
    </w:p>
    <w:p w14:paraId="3AFC06AB">
      <w:pPr>
        <w:widowControl w:val="0"/>
        <w:tabs>
          <w:tab w:val="left" w:pos="1620"/>
          <w:tab w:val="left" w:pos="2340"/>
        </w:tabs>
        <w:spacing w:after="156"/>
        <w:ind w:left="899"/>
        <w:rPr>
          <w:rFonts w:cs="Times New Roman"/>
          <w:sz w:val="21"/>
        </w:rPr>
      </w:pPr>
      <w:r>
        <w:rPr>
          <w:rFonts w:cs="Times New Roman"/>
          <w:sz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6C716F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承包人的环境保护责任</w:t>
      </w:r>
    </w:p>
    <w:p w14:paraId="7F7F3899">
      <w:pPr>
        <w:widowControl w:val="0"/>
        <w:tabs>
          <w:tab w:val="left" w:pos="1620"/>
          <w:tab w:val="left" w:pos="2340"/>
        </w:tabs>
        <w:spacing w:after="156"/>
        <w:ind w:left="899"/>
        <w:rPr>
          <w:rFonts w:cs="Times New Roman"/>
          <w:sz w:val="21"/>
        </w:rPr>
      </w:pPr>
      <w:r>
        <w:rPr>
          <w:rFonts w:hint="eastAsia" w:cs="Times New Roman"/>
          <w:sz w:val="21"/>
        </w:rPr>
        <w:t>⑴发包人和承包人应按照《广东省建筑垃圾管理条例》《深圳市建筑废弃物管理办法》等有关规定，在</w:t>
      </w:r>
      <w:r>
        <w:rPr>
          <w:rFonts w:hint="eastAsia" w:cs="Times New Roman"/>
          <w:b/>
          <w:i/>
          <w:sz w:val="21"/>
        </w:rPr>
        <w:t>专用条款</w:t>
      </w:r>
      <w:r>
        <w:rPr>
          <w:rFonts w:hint="eastAsia" w:cs="Times New Roman"/>
          <w:sz w:val="21"/>
        </w:rPr>
        <w:t>中约定施工现场建筑废弃物减量化目标、要求和措施，明确承包人在施工现场建筑废弃物规范排放、分类处理、禁止混合排放等方面的要求和措施，以及建筑废弃物综合利用产品的相关使用要求，并约定相应违约责任。承包人向施工场地外排放建筑废弃物的，应按规定在排放前向建设、交通运输或水务部门申请建筑废弃物排放核准，并执行电子联单管理制度。</w:t>
      </w:r>
    </w:p>
    <w:p w14:paraId="1B98D411">
      <w:pPr>
        <w:widowControl w:val="0"/>
        <w:tabs>
          <w:tab w:val="left" w:pos="1620"/>
          <w:tab w:val="left" w:pos="2340"/>
        </w:tabs>
        <w:spacing w:after="156"/>
        <w:ind w:left="899"/>
        <w:rPr>
          <w:rFonts w:cs="Times New Roman"/>
          <w:sz w:val="21"/>
        </w:rPr>
      </w:pPr>
      <w:r>
        <w:rPr>
          <w:rFonts w:hint="eastAsia" w:cs="Times New Roman"/>
          <w:sz w:val="21"/>
        </w:rPr>
        <w:t>⑵承包人应采取一切适当措施，保护施工现场内外环境，防治扬尘、噪音、废气、废水、废渣等污染，限制由其施工作业引起的污染对公众和财产造成的损害和妨害。承包人应确保因其活动产生的扬尘、气体排放、地面排水及排污等，不超过政府部门规范要求。</w:t>
      </w:r>
    </w:p>
    <w:p w14:paraId="4F53B076">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承包人在施工期间，应</w:t>
      </w:r>
      <w:r>
        <w:rPr>
          <w:rFonts w:hint="eastAsia" w:cs="Times New Roman"/>
          <w:sz w:val="21"/>
        </w:rPr>
        <w:t>严格</w:t>
      </w:r>
      <w:r>
        <w:rPr>
          <w:rFonts w:cs="Times New Roman"/>
          <w:sz w:val="21"/>
        </w:rPr>
        <w:t>执行《广东省建设项目环境管理条例》《深圳经济特区环境保护条例》和《深圳经济特区环境噪声污染防治条例》等有关法规的规定，依法文明施工，尽可能减少施工对居民生活的影响。</w:t>
      </w:r>
    </w:p>
    <w:p w14:paraId="1F396B3F">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承包人在开工前应向</w:t>
      </w:r>
      <w:r>
        <w:rPr>
          <w:rFonts w:hint="eastAsia" w:cs="Times New Roman"/>
          <w:sz w:val="21"/>
        </w:rPr>
        <w:t>政府</w:t>
      </w:r>
      <w:r>
        <w:rPr>
          <w:rFonts w:cs="Times New Roman"/>
          <w:sz w:val="21"/>
        </w:rPr>
        <w:t>环保部门申报施工期的环保方案。如需夜间连续施工，必须提前到</w:t>
      </w:r>
      <w:r>
        <w:rPr>
          <w:rFonts w:hint="eastAsia" w:cs="Times New Roman"/>
          <w:sz w:val="21"/>
        </w:rPr>
        <w:t>政府</w:t>
      </w:r>
      <w:r>
        <w:rPr>
          <w:rFonts w:cs="Times New Roman"/>
          <w:sz w:val="21"/>
        </w:rPr>
        <w:t>环保部门申请核准手续。</w:t>
      </w:r>
    </w:p>
    <w:p w14:paraId="22D1AC8C">
      <w:pPr>
        <w:widowControl w:val="0"/>
        <w:tabs>
          <w:tab w:val="left" w:pos="1620"/>
          <w:tab w:val="left" w:pos="2340"/>
        </w:tabs>
        <w:spacing w:after="156"/>
        <w:ind w:left="899"/>
        <w:jc w:val="both"/>
        <w:rPr>
          <w:rFonts w:cs="Times New Roman"/>
          <w:sz w:val="21"/>
        </w:rPr>
      </w:pPr>
      <w:r>
        <w:rPr>
          <w:rFonts w:hint="eastAsia" w:cs="Times New Roman"/>
          <w:sz w:val="21"/>
        </w:rPr>
        <w:t>⑸承包人应使用符合《在用非道路移动机械用柴油机排气烟度排放限值及测量方法》（SZJG49-2015）特区技术规范要求的非道路移动机械。</w:t>
      </w:r>
    </w:p>
    <w:p w14:paraId="0204C45E">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余泥渣土运输车辆要求</w:t>
      </w:r>
    </w:p>
    <w:p w14:paraId="3539D2C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余泥渣土运输车辆</w:t>
      </w:r>
      <w:r>
        <w:rPr>
          <w:rFonts w:hint="eastAsia" w:cs="Times New Roman"/>
          <w:b/>
          <w:bCs/>
        </w:rPr>
        <w:t>证件要求</w:t>
      </w:r>
    </w:p>
    <w:p w14:paraId="2E6A2876">
      <w:pPr>
        <w:widowControl w:val="0"/>
        <w:tabs>
          <w:tab w:val="left" w:pos="1620"/>
          <w:tab w:val="left" w:pos="2340"/>
        </w:tabs>
        <w:spacing w:after="156"/>
        <w:ind w:left="899"/>
        <w:rPr>
          <w:rFonts w:cs="Times New Roman"/>
          <w:sz w:val="21"/>
        </w:rPr>
      </w:pPr>
      <w:r>
        <w:rPr>
          <w:rFonts w:cs="Times New Roman"/>
          <w:sz w:val="21"/>
        </w:rPr>
        <w:t>承担本工程余泥渣土运输任务的运输单位及车辆应当持有相关职能部门核发的有效证件，符合《深圳市建筑废弃物管理办法》</w:t>
      </w:r>
      <w:r>
        <w:rPr>
          <w:rFonts w:hint="eastAsia" w:cs="Times New Roman"/>
          <w:sz w:val="21"/>
        </w:rPr>
        <w:t>等有关规定</w:t>
      </w:r>
      <w:r>
        <w:rPr>
          <w:rFonts w:cs="Times New Roman"/>
          <w:sz w:val="21"/>
        </w:rPr>
        <w:t>。</w:t>
      </w:r>
    </w:p>
    <w:p w14:paraId="1A44A98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承包人自行运输</w:t>
      </w:r>
    </w:p>
    <w:p w14:paraId="1CBB6650">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w:t>
      </w:r>
      <w:r>
        <w:rPr>
          <w:rFonts w:hint="eastAsia" w:cs="Times New Roman"/>
          <w:sz w:val="21"/>
        </w:rPr>
        <w:t>持有</w:t>
      </w:r>
      <w:r>
        <w:rPr>
          <w:rFonts w:cs="Times New Roman"/>
          <w:sz w:val="21"/>
        </w:rPr>
        <w:t>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w:t>
      </w:r>
      <w:r>
        <w:rPr>
          <w:rFonts w:hint="eastAsia" w:cs="Times New Roman"/>
          <w:sz w:val="21"/>
        </w:rPr>
        <w:t>具备</w:t>
      </w:r>
      <w:r>
        <w:rPr>
          <w:rFonts w:cs="Times New Roman"/>
          <w:sz w:val="21"/>
        </w:rPr>
        <w:t>余泥渣土运输任务</w:t>
      </w:r>
      <w:r>
        <w:rPr>
          <w:rFonts w:hint="eastAsia" w:cs="Times New Roman"/>
          <w:sz w:val="21"/>
        </w:rPr>
        <w:t>能力的，</w:t>
      </w:r>
      <w:r>
        <w:rPr>
          <w:rFonts w:cs="Times New Roman"/>
          <w:sz w:val="21"/>
        </w:rPr>
        <w:t>可自行组织完成本合同约定的余泥渣土运输任务。</w:t>
      </w:r>
    </w:p>
    <w:p w14:paraId="1B648B6D">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承包人不</w:t>
      </w:r>
      <w:r>
        <w:rPr>
          <w:rFonts w:hint="eastAsia" w:cs="Times New Roman"/>
          <w:sz w:val="21"/>
        </w:rPr>
        <w:t>持有</w:t>
      </w:r>
      <w:r>
        <w:rPr>
          <w:rFonts w:cs="Times New Roman"/>
          <w:sz w:val="21"/>
        </w:rPr>
        <w:t>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w:t>
      </w:r>
      <w:r>
        <w:rPr>
          <w:rFonts w:hint="eastAsia" w:cs="Times New Roman"/>
          <w:sz w:val="21"/>
        </w:rPr>
        <w:t>，不具备</w:t>
      </w:r>
      <w:r>
        <w:rPr>
          <w:rFonts w:cs="Times New Roman"/>
          <w:sz w:val="21"/>
        </w:rPr>
        <w:t>余泥渣土运输任务</w:t>
      </w:r>
      <w:r>
        <w:rPr>
          <w:rFonts w:hint="eastAsia" w:cs="Times New Roman"/>
          <w:sz w:val="21"/>
        </w:rPr>
        <w:t>能力</w:t>
      </w:r>
      <w:r>
        <w:rPr>
          <w:rFonts w:cs="Times New Roman"/>
          <w:sz w:val="21"/>
        </w:rPr>
        <w:t>而自行承担余泥渣土运输任务，应按照</w:t>
      </w:r>
      <w:r>
        <w:rPr>
          <w:rFonts w:cs="Times New Roman"/>
          <w:b/>
          <w:i/>
          <w:sz w:val="21"/>
        </w:rPr>
        <w:t>专用条款</w:t>
      </w:r>
      <w:r>
        <w:rPr>
          <w:rFonts w:cs="Times New Roman"/>
          <w:sz w:val="21"/>
        </w:rPr>
        <w:t>的约定承担违约责任。同时，</w:t>
      </w:r>
      <w:r>
        <w:rPr>
          <w:rFonts w:hint="eastAsia" w:cs="Times New Roman"/>
          <w:sz w:val="21"/>
        </w:rPr>
        <w:t>上述</w:t>
      </w:r>
      <w:r>
        <w:rPr>
          <w:rFonts w:cs="Times New Roman"/>
          <w:sz w:val="21"/>
        </w:rPr>
        <w:t>违约行为导致的工期延误和</w:t>
      </w:r>
      <w:r>
        <w:rPr>
          <w:rFonts w:hint="eastAsia" w:cs="Times New Roman"/>
          <w:sz w:val="21"/>
        </w:rPr>
        <w:t>(</w:t>
      </w:r>
      <w:r>
        <w:rPr>
          <w:rFonts w:cs="Times New Roman"/>
          <w:sz w:val="21"/>
        </w:rPr>
        <w:t>或</w:t>
      </w:r>
      <w:r>
        <w:rPr>
          <w:rFonts w:hint="eastAsia" w:cs="Times New Roman"/>
          <w:sz w:val="21"/>
        </w:rPr>
        <w:t>)</w:t>
      </w:r>
      <w:r>
        <w:rPr>
          <w:rFonts w:cs="Times New Roman"/>
          <w:sz w:val="21"/>
        </w:rPr>
        <w:t>费用增加，</w:t>
      </w:r>
      <w:r>
        <w:rPr>
          <w:rFonts w:hint="eastAsia" w:cs="Times New Roman"/>
          <w:sz w:val="21"/>
        </w:rPr>
        <w:t>由</w:t>
      </w:r>
      <w:r>
        <w:rPr>
          <w:rFonts w:cs="Times New Roman"/>
          <w:sz w:val="21"/>
        </w:rPr>
        <w:t>承包人</w:t>
      </w:r>
      <w:r>
        <w:rPr>
          <w:rFonts w:hint="eastAsia" w:cs="Times New Roman"/>
          <w:sz w:val="21"/>
        </w:rPr>
        <w:t>承担</w:t>
      </w:r>
      <w:r>
        <w:rPr>
          <w:rFonts w:cs="Times New Roman"/>
          <w:sz w:val="21"/>
        </w:rPr>
        <w:t>责任。</w:t>
      </w:r>
    </w:p>
    <w:p w14:paraId="2C3CC5C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余泥渣土运输</w:t>
      </w:r>
      <w:r>
        <w:rPr>
          <w:rFonts w:hint="eastAsia" w:cs="Times New Roman"/>
          <w:b/>
          <w:bCs/>
        </w:rPr>
        <w:t>分包</w:t>
      </w:r>
    </w:p>
    <w:p w14:paraId="15E01A7C">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承包人不</w:t>
      </w:r>
      <w:r>
        <w:rPr>
          <w:rFonts w:hint="eastAsia" w:cs="Times New Roman"/>
          <w:sz w:val="21"/>
        </w:rPr>
        <w:t>持有</w:t>
      </w:r>
      <w:r>
        <w:rPr>
          <w:rFonts w:cs="Times New Roman"/>
          <w:sz w:val="21"/>
        </w:rPr>
        <w:t>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w:t>
      </w:r>
      <w:r>
        <w:rPr>
          <w:rFonts w:hint="eastAsia" w:cs="Times New Roman"/>
          <w:sz w:val="21"/>
        </w:rPr>
        <w:t>不具备</w:t>
      </w:r>
      <w:r>
        <w:rPr>
          <w:rFonts w:cs="Times New Roman"/>
          <w:sz w:val="21"/>
        </w:rPr>
        <w:t>余泥渣土运输任务</w:t>
      </w:r>
      <w:r>
        <w:rPr>
          <w:rFonts w:hint="eastAsia" w:cs="Times New Roman"/>
          <w:sz w:val="21"/>
        </w:rPr>
        <w:t>能力的，</w:t>
      </w:r>
      <w:r>
        <w:rPr>
          <w:rFonts w:cs="Times New Roman"/>
          <w:sz w:val="21"/>
        </w:rPr>
        <w:t>经发包人同意，承包人应将余泥渣土运输任务分包给符合第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证件要求的专业运输单位</w:t>
      </w:r>
      <w:r>
        <w:rPr>
          <w:rFonts w:hint="eastAsia" w:cs="Times New Roman"/>
          <w:sz w:val="21"/>
        </w:rPr>
        <w:t>，并报</w:t>
      </w:r>
      <w:r>
        <w:rPr>
          <w:rFonts w:cs="Times New Roman"/>
          <w:sz w:val="21"/>
        </w:rPr>
        <w:t>监理人</w:t>
      </w:r>
      <w:r>
        <w:rPr>
          <w:rFonts w:hint="eastAsia" w:cs="Times New Roman"/>
          <w:sz w:val="21"/>
        </w:rPr>
        <w:t>审核和</w:t>
      </w:r>
      <w:r>
        <w:rPr>
          <w:rFonts w:cs="Times New Roman"/>
          <w:sz w:val="21"/>
        </w:rPr>
        <w:t>发包人</w:t>
      </w:r>
      <w:r>
        <w:rPr>
          <w:rFonts w:hint="eastAsia" w:cs="Times New Roman"/>
          <w:sz w:val="21"/>
        </w:rPr>
        <w:t>批准</w:t>
      </w:r>
      <w:r>
        <w:rPr>
          <w:rFonts w:cs="Times New Roman"/>
          <w:sz w:val="21"/>
        </w:rPr>
        <w:t>。</w:t>
      </w:r>
    </w:p>
    <w:p w14:paraId="4BB9B5AA">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承包人应将余泥渣土运输分包合同</w:t>
      </w:r>
      <w:r>
        <w:rPr>
          <w:rFonts w:hint="eastAsia" w:cs="Times New Roman"/>
          <w:sz w:val="21"/>
        </w:rPr>
        <w:t>、专业运输单位和</w:t>
      </w:r>
      <w:r>
        <w:rPr>
          <w:rFonts w:cs="Times New Roman"/>
          <w:sz w:val="21"/>
        </w:rPr>
        <w:t>余泥渣土运输</w:t>
      </w:r>
      <w:r>
        <w:rPr>
          <w:rFonts w:hint="eastAsia" w:cs="Times New Roman"/>
          <w:sz w:val="21"/>
        </w:rPr>
        <w:t>车辆的</w:t>
      </w:r>
      <w:r>
        <w:rPr>
          <w:rFonts w:cs="Times New Roman"/>
          <w:sz w:val="21"/>
        </w:rPr>
        <w:t>相关资料送发包人和监理人</w:t>
      </w:r>
      <w:r>
        <w:rPr>
          <w:rFonts w:hint="eastAsia" w:cs="Times New Roman"/>
          <w:sz w:val="21"/>
        </w:rPr>
        <w:t>备案</w:t>
      </w:r>
      <w:r>
        <w:rPr>
          <w:rFonts w:cs="Times New Roman"/>
          <w:sz w:val="21"/>
        </w:rPr>
        <w:t>。此审核并不免除承包人应承担的本合同</w:t>
      </w:r>
      <w:r>
        <w:rPr>
          <w:rFonts w:hint="eastAsia" w:cs="Times New Roman"/>
          <w:sz w:val="21"/>
        </w:rPr>
        <w:t>约定</w:t>
      </w:r>
      <w:r>
        <w:rPr>
          <w:rFonts w:cs="Times New Roman"/>
          <w:sz w:val="21"/>
        </w:rPr>
        <w:t>义务。</w:t>
      </w:r>
    </w:p>
    <w:p w14:paraId="439A23A5">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承包人将余泥渣土运输任务分包给不符合第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证件要求的专业运输单位，应按照</w:t>
      </w:r>
      <w:r>
        <w:rPr>
          <w:rFonts w:cs="Times New Roman"/>
          <w:b/>
          <w:i/>
          <w:sz w:val="21"/>
        </w:rPr>
        <w:t>专用条款</w:t>
      </w:r>
      <w:r>
        <w:rPr>
          <w:rFonts w:cs="Times New Roman"/>
          <w:sz w:val="21"/>
        </w:rPr>
        <w:t>的约定承担违约责任。同时，上述违约行为导致的工期延误和</w:t>
      </w:r>
      <w:r>
        <w:rPr>
          <w:rFonts w:hint="eastAsia" w:cs="Times New Roman"/>
          <w:sz w:val="21"/>
        </w:rPr>
        <w:t>(</w:t>
      </w:r>
      <w:r>
        <w:rPr>
          <w:rFonts w:cs="Times New Roman"/>
          <w:sz w:val="21"/>
        </w:rPr>
        <w:t>或</w:t>
      </w:r>
      <w:r>
        <w:rPr>
          <w:rFonts w:hint="eastAsia" w:cs="Times New Roman"/>
          <w:sz w:val="21"/>
        </w:rPr>
        <w:t>)</w:t>
      </w:r>
      <w:r>
        <w:rPr>
          <w:rFonts w:cs="Times New Roman"/>
          <w:sz w:val="21"/>
        </w:rPr>
        <w:t>费用增加，</w:t>
      </w:r>
      <w:r>
        <w:rPr>
          <w:rFonts w:hint="eastAsia" w:cs="Times New Roman"/>
          <w:sz w:val="21"/>
        </w:rPr>
        <w:t>由</w:t>
      </w:r>
      <w:r>
        <w:rPr>
          <w:rFonts w:cs="Times New Roman"/>
          <w:sz w:val="21"/>
        </w:rPr>
        <w:t>承包人</w:t>
      </w:r>
      <w:r>
        <w:rPr>
          <w:rFonts w:hint="eastAsia" w:cs="Times New Roman"/>
          <w:sz w:val="21"/>
        </w:rPr>
        <w:t>承担</w:t>
      </w:r>
      <w:r>
        <w:rPr>
          <w:rFonts w:cs="Times New Roman"/>
          <w:sz w:val="21"/>
        </w:rPr>
        <w:t>责任。</w:t>
      </w:r>
    </w:p>
    <w:p w14:paraId="7000358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余泥渣土运输</w:t>
      </w:r>
      <w:r>
        <w:rPr>
          <w:rFonts w:hint="eastAsia" w:cs="Times New Roman"/>
          <w:b/>
          <w:bCs/>
        </w:rPr>
        <w:t>车辆保险</w:t>
      </w:r>
    </w:p>
    <w:p w14:paraId="3368F9B3">
      <w:pPr>
        <w:widowControl w:val="0"/>
        <w:tabs>
          <w:tab w:val="left" w:pos="1620"/>
          <w:tab w:val="left" w:pos="2340"/>
        </w:tabs>
        <w:spacing w:after="156"/>
        <w:ind w:left="899"/>
        <w:rPr>
          <w:rFonts w:cs="Times New Roman"/>
          <w:sz w:val="21"/>
        </w:rPr>
      </w:pPr>
      <w:r>
        <w:rPr>
          <w:rFonts w:hint="eastAsia" w:cs="Times New Roman"/>
          <w:sz w:val="21"/>
        </w:rPr>
        <w:t>⑴承担本工程</w:t>
      </w:r>
      <w:r>
        <w:rPr>
          <w:rFonts w:cs="Times New Roman"/>
          <w:sz w:val="21"/>
        </w:rPr>
        <w:t>余泥渣土运输</w:t>
      </w:r>
      <w:r>
        <w:rPr>
          <w:rFonts w:hint="eastAsia" w:cs="Times New Roman"/>
          <w:sz w:val="21"/>
        </w:rPr>
        <w:t>任务的</w:t>
      </w:r>
      <w:r>
        <w:rPr>
          <w:rFonts w:cs="Times New Roman"/>
          <w:sz w:val="21"/>
        </w:rPr>
        <w:t>车辆</w:t>
      </w:r>
      <w:r>
        <w:rPr>
          <w:rFonts w:hint="eastAsia" w:cs="Times New Roman"/>
          <w:sz w:val="21"/>
        </w:rPr>
        <w:t>应当向有关保险公司投保，并取得车辆保险单。如因未投保的</w:t>
      </w:r>
      <w:r>
        <w:rPr>
          <w:rFonts w:cs="Times New Roman"/>
          <w:sz w:val="21"/>
        </w:rPr>
        <w:t>余泥渣土运输车辆</w:t>
      </w:r>
      <w:r>
        <w:rPr>
          <w:rFonts w:hint="eastAsia" w:cs="Times New Roman"/>
          <w:sz w:val="21"/>
        </w:rPr>
        <w:t>造成第三人财产损失和(或)人身伤亡，</w:t>
      </w:r>
      <w:r>
        <w:rPr>
          <w:rFonts w:cs="Times New Roman"/>
          <w:sz w:val="21"/>
        </w:rPr>
        <w:t>余泥渣土运输车辆</w:t>
      </w:r>
      <w:r>
        <w:rPr>
          <w:rFonts w:hint="eastAsia" w:cs="Times New Roman"/>
          <w:sz w:val="21"/>
        </w:rPr>
        <w:t>所属专业运输单位应承担连带责任。</w:t>
      </w:r>
    </w:p>
    <w:p w14:paraId="52CFEADD">
      <w:pPr>
        <w:widowControl w:val="0"/>
        <w:tabs>
          <w:tab w:val="left" w:pos="1620"/>
          <w:tab w:val="left" w:pos="2340"/>
        </w:tabs>
        <w:spacing w:after="156"/>
        <w:ind w:left="899"/>
        <w:rPr>
          <w:rFonts w:cs="Times New Roman"/>
          <w:sz w:val="21"/>
        </w:rPr>
      </w:pPr>
      <w:r>
        <w:rPr>
          <w:rFonts w:hint="eastAsia" w:cs="Times New Roman"/>
          <w:sz w:val="21"/>
        </w:rPr>
        <w:t>⑵承包人</w:t>
      </w:r>
      <w:r>
        <w:rPr>
          <w:rFonts w:cs="Times New Roman"/>
          <w:sz w:val="21"/>
        </w:rPr>
        <w:t>将余泥渣土运输任务分包</w:t>
      </w:r>
      <w:r>
        <w:rPr>
          <w:rFonts w:hint="eastAsia" w:cs="Times New Roman"/>
          <w:sz w:val="21"/>
        </w:rPr>
        <w:t>时</w:t>
      </w:r>
      <w:r>
        <w:rPr>
          <w:rFonts w:cs="Times New Roman"/>
          <w:sz w:val="21"/>
        </w:rPr>
        <w:t>，承包人和车辆运输分包人应在余泥渣土运输分包合同中明确</w:t>
      </w:r>
      <w:r>
        <w:rPr>
          <w:rFonts w:hint="eastAsia" w:cs="Times New Roman"/>
          <w:sz w:val="21"/>
        </w:rPr>
        <w:t>本款所述的连带责任</w:t>
      </w:r>
      <w:r>
        <w:rPr>
          <w:rFonts w:cs="Times New Roman"/>
          <w:sz w:val="21"/>
        </w:rPr>
        <w:t>。</w:t>
      </w:r>
    </w:p>
    <w:p w14:paraId="59127FD4">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余泥渣土运输车辆和</w:t>
      </w:r>
      <w:r>
        <w:rPr>
          <w:rFonts w:hint="eastAsia" w:cs="Times New Roman"/>
          <w:b/>
          <w:bCs/>
        </w:rPr>
        <w:t>驾驶员</w:t>
      </w:r>
    </w:p>
    <w:p w14:paraId="3873D40C">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承担本工程余泥渣土运输任务的车辆</w:t>
      </w:r>
      <w:r>
        <w:rPr>
          <w:rFonts w:hint="eastAsia" w:cs="Times New Roman"/>
          <w:sz w:val="21"/>
        </w:rPr>
        <w:t>和驾驶员</w:t>
      </w:r>
      <w:r>
        <w:rPr>
          <w:rFonts w:cs="Times New Roman"/>
          <w:sz w:val="21"/>
        </w:rPr>
        <w:t>应当符合第</w:t>
      </w:r>
      <w:r>
        <w:rPr>
          <w:rFonts w:hint="eastAsia" w:cs="Times New Roman"/>
          <w:sz w:val="21"/>
        </w:rPr>
        <w:t>18</w:t>
      </w:r>
      <w:r>
        <w:rPr>
          <w:rFonts w:cs="Times New Roman"/>
          <w:sz w:val="21"/>
        </w:rPr>
        <w:t>.1款</w:t>
      </w:r>
      <w:r>
        <w:rPr>
          <w:rFonts w:hint="eastAsia" w:cs="Times New Roman"/>
          <w:sz w:val="21"/>
        </w:rPr>
        <w:t>相关</w:t>
      </w:r>
      <w:r>
        <w:rPr>
          <w:rFonts w:cs="Times New Roman"/>
          <w:sz w:val="21"/>
        </w:rPr>
        <w:t>证件要求</w:t>
      </w:r>
      <w:r>
        <w:rPr>
          <w:rFonts w:hint="eastAsia" w:cs="Times New Roman"/>
          <w:sz w:val="21"/>
        </w:rPr>
        <w:t>，同时车辆还应具有第18.4⑴款所要求的车辆保险单。</w:t>
      </w:r>
    </w:p>
    <w:p w14:paraId="7ED66D14">
      <w:pPr>
        <w:widowControl w:val="0"/>
        <w:tabs>
          <w:tab w:val="left" w:pos="1620"/>
          <w:tab w:val="left" w:pos="2340"/>
        </w:tabs>
        <w:spacing w:after="156"/>
        <w:ind w:left="899"/>
        <w:rPr>
          <w:rFonts w:cs="Times New Roman"/>
          <w:sz w:val="21"/>
        </w:rPr>
      </w:pPr>
      <w:r>
        <w:rPr>
          <w:rFonts w:hint="eastAsia" w:cs="Times New Roman"/>
          <w:sz w:val="21"/>
        </w:rPr>
        <w:t>⑵承包人按18.2款自行完成</w:t>
      </w:r>
      <w:r>
        <w:rPr>
          <w:rFonts w:cs="Times New Roman"/>
          <w:sz w:val="21"/>
        </w:rPr>
        <w:t>余泥渣土运输任务</w:t>
      </w:r>
      <w:r>
        <w:rPr>
          <w:rFonts w:hint="eastAsia" w:cs="Times New Roman"/>
          <w:sz w:val="21"/>
        </w:rPr>
        <w:t>时</w:t>
      </w:r>
      <w:r>
        <w:rPr>
          <w:rFonts w:cs="Times New Roman"/>
          <w:sz w:val="21"/>
        </w:rPr>
        <w:t>，发包人和承包人应在</w:t>
      </w:r>
      <w:r>
        <w:rPr>
          <w:rFonts w:cs="Times New Roman"/>
          <w:b/>
          <w:i/>
          <w:sz w:val="21"/>
        </w:rPr>
        <w:t>专用条款</w:t>
      </w:r>
      <w:r>
        <w:rPr>
          <w:rFonts w:cs="Times New Roman"/>
          <w:sz w:val="21"/>
        </w:rPr>
        <w:t>中</w:t>
      </w:r>
      <w:r>
        <w:rPr>
          <w:rFonts w:hint="eastAsia" w:cs="Times New Roman"/>
          <w:sz w:val="21"/>
        </w:rPr>
        <w:t>载明所有参加本工程</w:t>
      </w:r>
      <w:r>
        <w:rPr>
          <w:rFonts w:cs="Times New Roman"/>
          <w:sz w:val="21"/>
        </w:rPr>
        <w:t>余泥渣土运输车辆</w:t>
      </w:r>
      <w:r>
        <w:rPr>
          <w:rFonts w:hint="eastAsia" w:cs="Times New Roman"/>
          <w:sz w:val="21"/>
        </w:rPr>
        <w:t>的数量、证件、车牌号码、驾驶员姓名、驾驶证件等信息</w:t>
      </w:r>
      <w:r>
        <w:rPr>
          <w:rFonts w:cs="Times New Roman"/>
          <w:sz w:val="21"/>
        </w:rPr>
        <w:t>。</w:t>
      </w:r>
    </w:p>
    <w:p w14:paraId="0FAC6EB6">
      <w:pPr>
        <w:widowControl w:val="0"/>
        <w:tabs>
          <w:tab w:val="left" w:pos="1620"/>
          <w:tab w:val="left" w:pos="2340"/>
        </w:tabs>
        <w:spacing w:after="156"/>
        <w:ind w:left="899"/>
        <w:rPr>
          <w:rFonts w:cs="Times New Roman"/>
          <w:sz w:val="21"/>
        </w:rPr>
      </w:pPr>
      <w:r>
        <w:rPr>
          <w:rFonts w:hint="eastAsia" w:cs="Times New Roman"/>
          <w:sz w:val="21"/>
        </w:rPr>
        <w:t>⑶承包人按18.3款</w:t>
      </w:r>
      <w:r>
        <w:rPr>
          <w:rFonts w:cs="Times New Roman"/>
          <w:sz w:val="21"/>
        </w:rPr>
        <w:t>将余泥渣土运输任务分包</w:t>
      </w:r>
      <w:r>
        <w:rPr>
          <w:rFonts w:hint="eastAsia" w:cs="Times New Roman"/>
          <w:sz w:val="21"/>
        </w:rPr>
        <w:t>时</w:t>
      </w:r>
      <w:r>
        <w:rPr>
          <w:rFonts w:cs="Times New Roman"/>
          <w:sz w:val="21"/>
        </w:rPr>
        <w:t>，承包人和运输分包人应在余泥渣土运输分包合同中</w:t>
      </w:r>
      <w:r>
        <w:rPr>
          <w:rFonts w:hint="eastAsia" w:cs="Times New Roman"/>
          <w:sz w:val="21"/>
        </w:rPr>
        <w:t>载明所有参加本工程</w:t>
      </w:r>
      <w:r>
        <w:rPr>
          <w:rFonts w:cs="Times New Roman"/>
          <w:sz w:val="21"/>
        </w:rPr>
        <w:t>余泥渣土运输车辆</w:t>
      </w:r>
      <w:r>
        <w:rPr>
          <w:rFonts w:hint="eastAsia" w:cs="Times New Roman"/>
          <w:sz w:val="21"/>
        </w:rPr>
        <w:t>的数量、证件、车牌号码、驾驶员姓名、驾驶证件等信息，并将名单报</w:t>
      </w:r>
      <w:r>
        <w:rPr>
          <w:rFonts w:cs="Times New Roman"/>
          <w:sz w:val="21"/>
        </w:rPr>
        <w:t>监理人</w:t>
      </w:r>
      <w:r>
        <w:rPr>
          <w:rFonts w:hint="eastAsia" w:cs="Times New Roman"/>
          <w:sz w:val="21"/>
        </w:rPr>
        <w:t>备案。</w:t>
      </w:r>
    </w:p>
    <w:p w14:paraId="735E2843">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对上述情形，如需改变已提交的车辆和驾驶员名单，承包人或运输分包人应在确定改变前7</w:t>
      </w:r>
      <w:r>
        <w:rPr>
          <w:rFonts w:hint="eastAsia" w:cs="Times New Roman"/>
          <w:sz w:val="21"/>
        </w:rPr>
        <w:t>天</w:t>
      </w:r>
      <w:r>
        <w:rPr>
          <w:rFonts w:cs="Times New Roman"/>
          <w:sz w:val="21"/>
        </w:rPr>
        <w:t>将拟改变的名单提交监理人审核确认。</w:t>
      </w:r>
    </w:p>
    <w:p w14:paraId="22DA2FFD">
      <w:pPr>
        <w:widowControl w:val="0"/>
        <w:tabs>
          <w:tab w:val="left" w:pos="1620"/>
          <w:tab w:val="left" w:pos="2340"/>
        </w:tabs>
        <w:spacing w:after="156"/>
        <w:ind w:left="899"/>
        <w:rPr>
          <w:rFonts w:cs="Times New Roman"/>
          <w:sz w:val="21"/>
        </w:rPr>
      </w:pPr>
      <w:r>
        <w:rPr>
          <w:rFonts w:hint="eastAsia" w:cs="Times New Roman"/>
          <w:sz w:val="21"/>
        </w:rPr>
        <w:t>⑸</w:t>
      </w:r>
      <w:r>
        <w:rPr>
          <w:rFonts w:cs="Times New Roman"/>
          <w:sz w:val="21"/>
        </w:rPr>
        <w:t>若承包人违反</w:t>
      </w:r>
      <w:r>
        <w:rPr>
          <w:rFonts w:hint="eastAsia" w:cs="Times New Roman"/>
          <w:sz w:val="21"/>
        </w:rPr>
        <w:t>本款</w:t>
      </w:r>
      <w:r>
        <w:rPr>
          <w:rFonts w:cs="Times New Roman"/>
          <w:sz w:val="21"/>
        </w:rPr>
        <w:t>规定，应承担</w:t>
      </w:r>
      <w:r>
        <w:rPr>
          <w:rFonts w:cs="Times New Roman"/>
          <w:b/>
          <w:i/>
          <w:sz w:val="21"/>
        </w:rPr>
        <w:t>专用条款</w:t>
      </w:r>
      <w:r>
        <w:rPr>
          <w:rFonts w:cs="Times New Roman"/>
          <w:sz w:val="21"/>
        </w:rPr>
        <w:t>中约定的违约责任；对于车辆运输分包人违反上述规定，承包人亦应在运输分包合同中约定此违约责任</w:t>
      </w:r>
      <w:r>
        <w:rPr>
          <w:rFonts w:hint="eastAsia" w:cs="Times New Roman"/>
          <w:sz w:val="21"/>
        </w:rPr>
        <w:t>，并承担连带责任</w:t>
      </w:r>
      <w:r>
        <w:rPr>
          <w:rFonts w:cs="Times New Roman"/>
          <w:sz w:val="21"/>
        </w:rPr>
        <w:t>。</w:t>
      </w:r>
    </w:p>
    <w:p w14:paraId="4BE7886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专职检查人员</w:t>
      </w:r>
    </w:p>
    <w:p w14:paraId="2C82B104">
      <w:pPr>
        <w:widowControl w:val="0"/>
        <w:tabs>
          <w:tab w:val="left" w:pos="1620"/>
          <w:tab w:val="left" w:pos="2340"/>
        </w:tabs>
        <w:spacing w:after="156"/>
        <w:ind w:left="899"/>
        <w:rPr>
          <w:rFonts w:cs="Times New Roman"/>
          <w:sz w:val="21"/>
        </w:rPr>
      </w:pPr>
      <w:r>
        <w:rPr>
          <w:rFonts w:cs="Times New Roman"/>
          <w:sz w:val="21"/>
        </w:rPr>
        <w:t>承包人应安排专职检查人员对余泥渣土运输车辆和专职驾驶员依</w:t>
      </w:r>
      <w:r>
        <w:rPr>
          <w:rFonts w:hint="eastAsia" w:cs="Times New Roman"/>
          <w:sz w:val="21"/>
        </w:rPr>
        <w:t>本</w:t>
      </w:r>
      <w:r>
        <w:rPr>
          <w:rFonts w:cs="Times New Roman"/>
          <w:sz w:val="21"/>
        </w:rPr>
        <w:t>合同约定的内容进行检查。对违反合同约定的检查结果，承包人应责令相关方限期整改。整改期间，整改所涉余泥渣土运输车辆不得承担本工程约定的运输任务。承包人安排的专职检查人员和检查内容在</w:t>
      </w:r>
      <w:r>
        <w:rPr>
          <w:rFonts w:cs="Times New Roman"/>
          <w:b/>
          <w:i/>
          <w:sz w:val="21"/>
        </w:rPr>
        <w:t>专用条款</w:t>
      </w:r>
      <w:r>
        <w:rPr>
          <w:rFonts w:cs="Times New Roman"/>
          <w:sz w:val="21"/>
        </w:rPr>
        <w:t>中明确。</w:t>
      </w:r>
    </w:p>
    <w:p w14:paraId="4597EB42">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余泥渣土</w:t>
      </w:r>
      <w:r>
        <w:rPr>
          <w:rFonts w:hint="eastAsia" w:cs="Times New Roman"/>
          <w:b/>
          <w:bCs/>
        </w:rPr>
        <w:t>安全文明运输</w:t>
      </w:r>
    </w:p>
    <w:p w14:paraId="217A78ED">
      <w:pPr>
        <w:widowControl w:val="0"/>
        <w:tabs>
          <w:tab w:val="left" w:pos="1620"/>
          <w:tab w:val="left" w:pos="2340"/>
        </w:tabs>
        <w:spacing w:after="156"/>
        <w:ind w:left="899"/>
        <w:rPr>
          <w:rFonts w:cs="Times New Roman"/>
          <w:sz w:val="21"/>
        </w:rPr>
      </w:pPr>
      <w:r>
        <w:rPr>
          <w:rFonts w:cs="Times New Roman"/>
          <w:sz w:val="21"/>
        </w:rPr>
        <w:t>承包人对余泥渣土运输车辆在离开施工现场前核查是否存在超载、车盖密封不严等违反城市道路管理、环境保护等相关规定及安全隐患的问题。如发现上述问题，承包人应指派专职检查人员责令相关方采取纠正措施至符合相关规定和(或)合同约定。对存在问题拒不纠正或纠正仍不符合相关规定和(或)合同约定的，该专职检查人员不得放行其离开施工现场，并立即通知项目经理和余泥渣土运输分包人(如有)。若承包人对本款发现的问题拒不履行合同义务，将承担</w:t>
      </w:r>
      <w:r>
        <w:rPr>
          <w:rFonts w:cs="Times New Roman"/>
          <w:b/>
          <w:i/>
          <w:sz w:val="21"/>
        </w:rPr>
        <w:t>专用条款</w:t>
      </w:r>
      <w:r>
        <w:rPr>
          <w:rFonts w:cs="Times New Roman"/>
          <w:sz w:val="21"/>
        </w:rPr>
        <w:t>约定的违约责任</w:t>
      </w:r>
      <w:r>
        <w:rPr>
          <w:rFonts w:hint="eastAsia" w:cs="Times New Roman"/>
          <w:sz w:val="21"/>
        </w:rPr>
        <w:t>。</w:t>
      </w:r>
    </w:p>
    <w:p w14:paraId="70FDF087">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检查纠正责任</w:t>
      </w:r>
    </w:p>
    <w:p w14:paraId="3880E510">
      <w:pPr>
        <w:widowControl w:val="0"/>
        <w:tabs>
          <w:tab w:val="left" w:pos="1620"/>
          <w:tab w:val="left" w:pos="2340"/>
        </w:tabs>
        <w:spacing w:after="156"/>
        <w:ind w:left="899"/>
        <w:rPr>
          <w:rFonts w:cs="Times New Roman"/>
          <w:sz w:val="21"/>
        </w:rPr>
      </w:pPr>
      <w:r>
        <w:rPr>
          <w:rFonts w:cs="Times New Roman"/>
          <w:sz w:val="21"/>
        </w:rPr>
        <w:t>承包人应对</w:t>
      </w:r>
      <w:r>
        <w:rPr>
          <w:rFonts w:hint="eastAsia" w:cs="Times New Roman"/>
          <w:sz w:val="21"/>
        </w:rPr>
        <w:t>18</w:t>
      </w:r>
      <w:r>
        <w:rPr>
          <w:rFonts w:cs="Times New Roman"/>
          <w:sz w:val="21"/>
        </w:rPr>
        <w:t>.</w:t>
      </w:r>
      <w:r>
        <w:rPr>
          <w:rFonts w:hint="eastAsia" w:cs="Times New Roman"/>
          <w:sz w:val="21"/>
        </w:rPr>
        <w:t>6</w:t>
      </w:r>
      <w:r>
        <w:rPr>
          <w:rFonts w:cs="Times New Roman"/>
          <w:sz w:val="21"/>
        </w:rPr>
        <w:t>款和</w:t>
      </w:r>
      <w:r>
        <w:rPr>
          <w:rFonts w:hint="eastAsia" w:cs="Times New Roman"/>
          <w:sz w:val="21"/>
        </w:rPr>
        <w:t>18</w:t>
      </w:r>
      <w:r>
        <w:rPr>
          <w:rFonts w:cs="Times New Roman"/>
          <w:sz w:val="21"/>
        </w:rPr>
        <w:t>.</w:t>
      </w:r>
      <w:r>
        <w:rPr>
          <w:rFonts w:hint="eastAsia" w:cs="Times New Roman"/>
          <w:sz w:val="21"/>
        </w:rPr>
        <w:t>7</w:t>
      </w:r>
      <w:r>
        <w:rPr>
          <w:rFonts w:cs="Times New Roman"/>
          <w:sz w:val="21"/>
        </w:rPr>
        <w:t>款约定的检查纠正工作制定专项工作程序，并监督和督促专职检查人员认真履行合同约定的职责。此项监督和督促并不免除承包人应承担的本合同义务。若承包人指定的专职检查人员</w:t>
      </w:r>
      <w:r>
        <w:rPr>
          <w:rFonts w:hint="eastAsia" w:cs="Times New Roman"/>
          <w:sz w:val="21"/>
        </w:rPr>
        <w:t>未履行</w:t>
      </w:r>
      <w:r>
        <w:rPr>
          <w:rFonts w:cs="Times New Roman"/>
          <w:sz w:val="21"/>
        </w:rPr>
        <w:t>合同约定的检查纠正职责，承包人应承担</w:t>
      </w:r>
      <w:r>
        <w:rPr>
          <w:rFonts w:cs="Times New Roman"/>
          <w:b/>
          <w:i/>
          <w:sz w:val="21"/>
        </w:rPr>
        <w:t>专用条款</w:t>
      </w:r>
      <w:r>
        <w:rPr>
          <w:rFonts w:cs="Times New Roman"/>
          <w:sz w:val="21"/>
        </w:rPr>
        <w:t>约定的违约责任。</w:t>
      </w:r>
    </w:p>
    <w:p w14:paraId="1B51ACC2">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工程的保护</w:t>
      </w:r>
    </w:p>
    <w:p w14:paraId="35C2303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工程的保护</w:t>
      </w:r>
    </w:p>
    <w:p w14:paraId="10453813">
      <w:pPr>
        <w:widowControl w:val="0"/>
        <w:tabs>
          <w:tab w:val="left" w:pos="1620"/>
          <w:tab w:val="left" w:pos="2340"/>
        </w:tabs>
        <w:spacing w:after="156"/>
        <w:ind w:left="899"/>
        <w:rPr>
          <w:rFonts w:cs="Times New Roman"/>
          <w:sz w:val="21"/>
        </w:rPr>
      </w:pPr>
      <w:r>
        <w:rPr>
          <w:rFonts w:hint="eastAsia" w:cs="Times New Roman"/>
          <w:sz w:val="21"/>
        </w:rPr>
        <w:t>⑴从开工之日起，承包人应全面负责照管本工程及将用于和安装在本工程中的材料、设备，直到本工程交接证书签发之日止。此后，上述照管责任即交给发包人。如在整个工程交接证书颁发前，已就其中任何单项工程颁发了交接证书，则从交接证书签发之日起承包人无须对该单项工程负责保护，而转由发包人负责。但是，承包人对其在缺陷责任期内承担的尚未完成的工程和将用于和安装在工程中的材料、设备的照管负责，直到该工程完工为止。</w:t>
      </w:r>
    </w:p>
    <w:p w14:paraId="4D6388B7">
      <w:pPr>
        <w:widowControl w:val="0"/>
        <w:tabs>
          <w:tab w:val="left" w:pos="1620"/>
          <w:tab w:val="left" w:pos="2340"/>
        </w:tabs>
        <w:spacing w:after="156"/>
        <w:ind w:left="899"/>
        <w:rPr>
          <w:rFonts w:cs="Times New Roman"/>
          <w:sz w:val="21"/>
        </w:rPr>
      </w:pPr>
      <w:r>
        <w:rPr>
          <w:rFonts w:hint="eastAsia" w:cs="Times New Roman"/>
          <w:sz w:val="21"/>
        </w:rPr>
        <w:t>⑵本款所述照管责任是指照管责任人应对因丢失、盗失、毁损等行为引起的材料、设备使用状态和存在状态不符合合同约定承担修复、赔偿、损失自担等责任。</w:t>
      </w:r>
    </w:p>
    <w:p w14:paraId="7C6F573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成品、半成品保护</w:t>
      </w:r>
    </w:p>
    <w:p w14:paraId="14E8A686">
      <w:pPr>
        <w:widowControl w:val="0"/>
        <w:tabs>
          <w:tab w:val="left" w:pos="1620"/>
          <w:tab w:val="left" w:pos="2340"/>
        </w:tabs>
        <w:spacing w:after="156"/>
        <w:ind w:left="899"/>
        <w:rPr>
          <w:rFonts w:cs="Times New Roman"/>
          <w:sz w:val="21"/>
        </w:rPr>
      </w:pPr>
      <w:r>
        <w:rPr>
          <w:rFonts w:hint="eastAsia" w:cs="Times New Roman"/>
          <w:sz w:val="21"/>
        </w:rPr>
        <w:t>对工程中分期完成的成品、半成品，在工程竣工移交前，承包人负保护责任，任何其他分包人对其使用或在其基础上施工，必须得到承包人的许可。对</w:t>
      </w:r>
      <w:r>
        <w:rPr>
          <w:rFonts w:cs="Times New Roman"/>
          <w:sz w:val="21"/>
        </w:rPr>
        <w:t>监理人</w:t>
      </w:r>
      <w:r>
        <w:rPr>
          <w:rFonts w:hint="eastAsia" w:cs="Times New Roman"/>
          <w:sz w:val="21"/>
        </w:rPr>
        <w:t>确认因承包人保护措施不当造成的损坏，由承包人负责修复；对分包人在施工过程中造成的损坏由责任人负责修复。</w:t>
      </w:r>
    </w:p>
    <w:p w14:paraId="4A8386B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工程的修复</w:t>
      </w:r>
    </w:p>
    <w:p w14:paraId="713C4446">
      <w:pPr>
        <w:widowControl w:val="0"/>
        <w:tabs>
          <w:tab w:val="left" w:pos="1620"/>
          <w:tab w:val="left" w:pos="2340"/>
        </w:tabs>
        <w:spacing w:after="156"/>
        <w:ind w:left="899"/>
        <w:rPr>
          <w:rFonts w:cs="Times New Roman"/>
          <w:sz w:val="21"/>
        </w:rPr>
      </w:pPr>
      <w:r>
        <w:rPr>
          <w:rFonts w:hint="eastAsia" w:cs="Times New Roman"/>
          <w:sz w:val="21"/>
        </w:rPr>
        <w:t>承包人在负责照管期间，如因承包人自身或(和)第三方原因造成本工程或其任何部分，以及材料、设备、装备、临时工程的毁损，承包人均应自费弥补上述损坏、损失或损伤，以使工程在各方面都符合合同约定的标准。</w:t>
      </w:r>
    </w:p>
    <w:p w14:paraId="585CDE1D">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合同价格的确定和调整</w:t>
      </w:r>
    </w:p>
    <w:p w14:paraId="2291CB19">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签约合同价的确定</w:t>
      </w:r>
    </w:p>
    <w:p w14:paraId="6B6E2094">
      <w:pPr>
        <w:widowControl w:val="0"/>
        <w:tabs>
          <w:tab w:val="left" w:pos="1620"/>
          <w:tab w:val="left" w:pos="2340"/>
        </w:tabs>
        <w:spacing w:after="156"/>
        <w:ind w:left="899"/>
        <w:rPr>
          <w:rFonts w:cs="Times New Roman"/>
          <w:sz w:val="21"/>
        </w:rPr>
      </w:pPr>
      <w:r>
        <w:rPr>
          <w:rFonts w:hint="eastAsia" w:cs="Times New Roman"/>
          <w:sz w:val="21"/>
        </w:rPr>
        <w:t>⑴本工程签约合同价由发包人和承包人依据中标通知书中的中标价(即承包人的投标报价)在本合同协议书中约定。签约合同价在本合同协议书中约定后，任何一方不得擅自改变。</w:t>
      </w:r>
    </w:p>
    <w:p w14:paraId="40C3ED2F">
      <w:pPr>
        <w:widowControl w:val="0"/>
        <w:tabs>
          <w:tab w:val="left" w:pos="1620"/>
          <w:tab w:val="left" w:pos="2340"/>
        </w:tabs>
        <w:spacing w:after="156"/>
        <w:ind w:left="899"/>
        <w:rPr>
          <w:rFonts w:cs="Times New Roman"/>
          <w:sz w:val="21"/>
        </w:rPr>
      </w:pPr>
      <w:r>
        <w:rPr>
          <w:rFonts w:hint="eastAsia" w:cs="Times New Roman"/>
          <w:sz w:val="21"/>
        </w:rPr>
        <w:t>⑵本合同采用</w:t>
      </w:r>
      <w:r>
        <w:rPr>
          <w:rFonts w:hint="eastAsia" w:cs="Times New Roman"/>
          <w:b/>
          <w:sz w:val="21"/>
        </w:rPr>
        <w:t>固定单价</w:t>
      </w:r>
      <w:r>
        <w:rPr>
          <w:rFonts w:hint="eastAsia" w:cs="Times New Roman"/>
          <w:sz w:val="21"/>
        </w:rPr>
        <w:t>的合同形式。承包人投标报价中的</w:t>
      </w:r>
      <w:r>
        <w:rPr>
          <w:rFonts w:hint="eastAsia" w:ascii="Times New Roman" w:hAnsi="Times New Roman" w:cs="Times New Roman"/>
          <w:kern w:val="2"/>
          <w:sz w:val="21"/>
          <w:szCs w:val="21"/>
        </w:rPr>
        <w:t>工程量清单项目单价</w:t>
      </w:r>
      <w:r>
        <w:rPr>
          <w:rFonts w:hint="eastAsia" w:cs="Times New Roman"/>
          <w:sz w:val="21"/>
        </w:rPr>
        <w:t>即为构成签约合同价的项目单价。除本合同另有约定，构成签约合同价的项目单价一经发包人和承包人签订合同确定后不作调整。</w:t>
      </w:r>
    </w:p>
    <w:p w14:paraId="46B3FC87">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承发包双方应在</w:t>
      </w:r>
      <w:r>
        <w:rPr>
          <w:rFonts w:cs="Times New Roman"/>
          <w:b/>
          <w:i/>
          <w:sz w:val="21"/>
        </w:rPr>
        <w:t>专用条款</w:t>
      </w:r>
      <w:r>
        <w:rPr>
          <w:rFonts w:cs="Times New Roman"/>
          <w:sz w:val="21"/>
        </w:rPr>
        <w:t>中约定综合单价包含的风险范围</w:t>
      </w:r>
      <w:r>
        <w:rPr>
          <w:rFonts w:hint="eastAsia" w:cs="Times New Roman"/>
          <w:sz w:val="21"/>
        </w:rPr>
        <w:t>。</w:t>
      </w:r>
    </w:p>
    <w:p w14:paraId="43579DF1">
      <w:pPr>
        <w:widowControl w:val="0"/>
        <w:tabs>
          <w:tab w:val="left" w:pos="1620"/>
          <w:tab w:val="left" w:pos="2340"/>
        </w:tabs>
        <w:spacing w:after="156"/>
        <w:ind w:left="899"/>
        <w:rPr>
          <w:rFonts w:cs="Times New Roman"/>
          <w:sz w:val="21"/>
        </w:rPr>
      </w:pPr>
      <w:r>
        <w:rPr>
          <w:rFonts w:hint="eastAsia" w:cs="Times New Roman"/>
          <w:sz w:val="21"/>
        </w:rPr>
        <w:t>⑷除合同另有约定以外，按照国家现行税法和有关部门现行规定，承包人或其分包人需缴纳的一切税金和费用，均应由承包人或其分包人承担并支付。</w:t>
      </w:r>
    </w:p>
    <w:p w14:paraId="0691F82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合同价格的调整</w:t>
      </w:r>
    </w:p>
    <w:p w14:paraId="6DEF1F00">
      <w:pPr>
        <w:widowControl w:val="0"/>
        <w:tabs>
          <w:tab w:val="left" w:pos="1620"/>
          <w:tab w:val="left" w:pos="2340"/>
        </w:tabs>
        <w:spacing w:before="156"/>
        <w:ind w:left="899"/>
        <w:rPr>
          <w:rFonts w:cs="Times New Roman"/>
          <w:sz w:val="21"/>
        </w:rPr>
      </w:pPr>
      <w:r>
        <w:rPr>
          <w:rFonts w:hint="eastAsia" w:cs="Times New Roman"/>
          <w:sz w:val="21"/>
        </w:rPr>
        <w:t>发生以下情形，合同价格可作调整：</w:t>
      </w:r>
    </w:p>
    <w:p w14:paraId="3388113C">
      <w:pPr>
        <w:widowControl w:val="0"/>
        <w:tabs>
          <w:tab w:val="left" w:pos="1620"/>
          <w:tab w:val="left" w:pos="2340"/>
        </w:tabs>
        <w:ind w:left="1079"/>
        <w:rPr>
          <w:rFonts w:cs="Times New Roman"/>
          <w:sz w:val="21"/>
        </w:rPr>
      </w:pPr>
      <w:r>
        <w:rPr>
          <w:rFonts w:hint="eastAsia" w:cs="Times New Roman"/>
          <w:sz w:val="21"/>
        </w:rPr>
        <w:t>⑴按照第</w:t>
      </w:r>
      <w:r>
        <w:rPr>
          <w:rFonts w:cs="Times New Roman"/>
          <w:sz w:val="21"/>
        </w:rPr>
        <w:t>13条确定的提前竣工、延期竣工及赶工补偿；</w:t>
      </w:r>
    </w:p>
    <w:p w14:paraId="6563D29F">
      <w:pPr>
        <w:widowControl w:val="0"/>
        <w:tabs>
          <w:tab w:val="left" w:pos="1620"/>
          <w:tab w:val="left" w:pos="2340"/>
        </w:tabs>
        <w:ind w:left="1079"/>
        <w:rPr>
          <w:rFonts w:cs="Times New Roman"/>
          <w:sz w:val="21"/>
        </w:rPr>
      </w:pPr>
      <w:r>
        <w:rPr>
          <w:rFonts w:hint="eastAsia" w:cs="Times New Roman"/>
          <w:sz w:val="21"/>
        </w:rPr>
        <w:t>⑵按照第</w:t>
      </w:r>
      <w:r>
        <w:rPr>
          <w:rFonts w:cs="Times New Roman"/>
          <w:sz w:val="21"/>
        </w:rPr>
        <w:t xml:space="preserve">20.3款确定的法律、法规的变化； </w:t>
      </w:r>
    </w:p>
    <w:p w14:paraId="68782D7E">
      <w:pPr>
        <w:widowControl w:val="0"/>
        <w:tabs>
          <w:tab w:val="left" w:pos="1620"/>
          <w:tab w:val="left" w:pos="2340"/>
        </w:tabs>
        <w:ind w:left="1079"/>
        <w:rPr>
          <w:rFonts w:cs="Times New Roman"/>
          <w:sz w:val="21"/>
        </w:rPr>
      </w:pPr>
      <w:r>
        <w:rPr>
          <w:rFonts w:hint="eastAsia" w:cs="Times New Roman"/>
          <w:sz w:val="21"/>
        </w:rPr>
        <w:t>⑶按照第</w:t>
      </w:r>
      <w:r>
        <w:rPr>
          <w:rFonts w:cs="Times New Roman"/>
          <w:sz w:val="21"/>
        </w:rPr>
        <w:t>20.4款确定</w:t>
      </w:r>
      <w:r>
        <w:rPr>
          <w:rFonts w:hint="eastAsia" w:cs="Times New Roman"/>
          <w:sz w:val="21"/>
        </w:rPr>
        <w:t>工料机调差；</w:t>
      </w:r>
    </w:p>
    <w:p w14:paraId="452C7443">
      <w:pPr>
        <w:widowControl w:val="0"/>
        <w:tabs>
          <w:tab w:val="left" w:pos="1620"/>
          <w:tab w:val="left" w:pos="2340"/>
        </w:tabs>
        <w:ind w:left="1079"/>
        <w:rPr>
          <w:rFonts w:cs="Times New Roman"/>
          <w:sz w:val="21"/>
        </w:rPr>
      </w:pPr>
      <w:r>
        <w:rPr>
          <w:rFonts w:hint="eastAsia" w:cs="Times New Roman"/>
          <w:sz w:val="21"/>
        </w:rPr>
        <w:t>⑷按照第</w:t>
      </w:r>
      <w:r>
        <w:rPr>
          <w:rFonts w:cs="Times New Roman"/>
          <w:sz w:val="21"/>
        </w:rPr>
        <w:t>21条确定的暂估价、暂列金额；</w:t>
      </w:r>
    </w:p>
    <w:p w14:paraId="2802E349">
      <w:pPr>
        <w:widowControl w:val="0"/>
        <w:tabs>
          <w:tab w:val="left" w:pos="1620"/>
          <w:tab w:val="left" w:pos="2340"/>
        </w:tabs>
        <w:ind w:left="1079"/>
        <w:rPr>
          <w:rFonts w:cs="Times New Roman"/>
          <w:sz w:val="21"/>
        </w:rPr>
      </w:pPr>
      <w:r>
        <w:rPr>
          <w:rFonts w:hint="eastAsia" w:cs="Times New Roman"/>
          <w:sz w:val="21"/>
        </w:rPr>
        <w:t>⑸按照第</w:t>
      </w:r>
      <w:r>
        <w:rPr>
          <w:rFonts w:cs="Times New Roman"/>
          <w:sz w:val="21"/>
        </w:rPr>
        <w:t>22条确定的工程量清单缺项、项目特征不符；</w:t>
      </w:r>
    </w:p>
    <w:p w14:paraId="0E951492">
      <w:pPr>
        <w:widowControl w:val="0"/>
        <w:tabs>
          <w:tab w:val="left" w:pos="1620"/>
          <w:tab w:val="left" w:pos="2340"/>
        </w:tabs>
        <w:ind w:left="1079"/>
        <w:rPr>
          <w:rFonts w:cs="Times New Roman"/>
          <w:sz w:val="21"/>
        </w:rPr>
      </w:pPr>
      <w:r>
        <w:rPr>
          <w:rFonts w:hint="eastAsia" w:cs="Times New Roman"/>
          <w:sz w:val="21"/>
        </w:rPr>
        <w:t>⑹按照第</w:t>
      </w:r>
      <w:r>
        <w:rPr>
          <w:rFonts w:cs="Times New Roman"/>
          <w:sz w:val="21"/>
        </w:rPr>
        <w:t>24、25条确定的工程变更、签证、工程量偏差以及价值工程费用或收益；</w:t>
      </w:r>
    </w:p>
    <w:p w14:paraId="182C03F3">
      <w:pPr>
        <w:widowControl w:val="0"/>
        <w:tabs>
          <w:tab w:val="left" w:pos="1620"/>
          <w:tab w:val="left" w:pos="2340"/>
        </w:tabs>
        <w:ind w:left="1079"/>
        <w:rPr>
          <w:rFonts w:cs="Times New Roman"/>
          <w:sz w:val="21"/>
        </w:rPr>
      </w:pPr>
      <w:r>
        <w:rPr>
          <w:rFonts w:hint="eastAsia" w:cs="Times New Roman"/>
          <w:sz w:val="21"/>
        </w:rPr>
        <w:t>⑺按照第</w:t>
      </w:r>
      <w:r>
        <w:rPr>
          <w:rFonts w:cs="Times New Roman"/>
          <w:sz w:val="21"/>
        </w:rPr>
        <w:t>29条及本合同其它条款中确定的违约责任；</w:t>
      </w:r>
    </w:p>
    <w:p w14:paraId="04A4FBFA">
      <w:pPr>
        <w:widowControl w:val="0"/>
        <w:tabs>
          <w:tab w:val="left" w:pos="1620"/>
          <w:tab w:val="left" w:pos="2340"/>
        </w:tabs>
        <w:ind w:left="1079"/>
        <w:rPr>
          <w:rFonts w:cs="Times New Roman"/>
          <w:sz w:val="21"/>
        </w:rPr>
      </w:pPr>
      <w:r>
        <w:rPr>
          <w:rFonts w:hint="eastAsia" w:cs="Times New Roman"/>
          <w:sz w:val="21"/>
        </w:rPr>
        <w:t>⑻按照第</w:t>
      </w:r>
      <w:r>
        <w:rPr>
          <w:rFonts w:cs="Times New Roman"/>
          <w:sz w:val="21"/>
        </w:rPr>
        <w:t>30条确定的费用索赔事件；</w:t>
      </w:r>
    </w:p>
    <w:p w14:paraId="6D5B16CD">
      <w:pPr>
        <w:widowControl w:val="0"/>
        <w:tabs>
          <w:tab w:val="left" w:pos="1620"/>
          <w:tab w:val="left" w:pos="2340"/>
        </w:tabs>
        <w:ind w:left="1079"/>
        <w:rPr>
          <w:rFonts w:cs="Times New Roman"/>
          <w:sz w:val="21"/>
        </w:rPr>
      </w:pPr>
      <w:r>
        <w:rPr>
          <w:rFonts w:hint="eastAsia" w:cs="Times New Roman"/>
          <w:sz w:val="21"/>
        </w:rPr>
        <w:t>⑼按照第</w:t>
      </w:r>
      <w:r>
        <w:rPr>
          <w:rFonts w:cs="Times New Roman"/>
          <w:sz w:val="21"/>
        </w:rPr>
        <w:t>33条确定的应由发包人承担的不可抗力损失费用；</w:t>
      </w:r>
    </w:p>
    <w:p w14:paraId="011F1414">
      <w:pPr>
        <w:widowControl w:val="0"/>
        <w:tabs>
          <w:tab w:val="left" w:pos="1620"/>
          <w:tab w:val="left" w:pos="2340"/>
        </w:tabs>
        <w:ind w:left="1079"/>
        <w:rPr>
          <w:rFonts w:cs="Times New Roman"/>
          <w:sz w:val="21"/>
        </w:rPr>
      </w:pPr>
      <w:r>
        <w:rPr>
          <w:rFonts w:hint="eastAsia" w:cs="Times New Roman"/>
          <w:sz w:val="21"/>
        </w:rPr>
        <w:t>⑽市</w:t>
      </w:r>
      <w:r>
        <w:rPr>
          <w:rFonts w:cs="Times New Roman"/>
          <w:sz w:val="21"/>
        </w:rPr>
        <w:t>工程造价管理机构</w:t>
      </w:r>
      <w:r>
        <w:rPr>
          <w:rFonts w:hint="eastAsia" w:cs="Times New Roman"/>
          <w:sz w:val="21"/>
        </w:rPr>
        <w:t>发布</w:t>
      </w:r>
      <w:r>
        <w:rPr>
          <w:rFonts w:cs="Times New Roman"/>
          <w:sz w:val="21"/>
        </w:rPr>
        <w:t>的</w:t>
      </w:r>
      <w:r>
        <w:rPr>
          <w:rFonts w:hint="eastAsia" w:cs="Times New Roman"/>
          <w:sz w:val="21"/>
        </w:rPr>
        <w:t>工程造价</w:t>
      </w:r>
      <w:r>
        <w:rPr>
          <w:rFonts w:cs="Times New Roman"/>
          <w:sz w:val="21"/>
        </w:rPr>
        <w:t>调整</w:t>
      </w:r>
      <w:r>
        <w:rPr>
          <w:rFonts w:hint="eastAsia" w:cs="Times New Roman"/>
          <w:sz w:val="21"/>
        </w:rPr>
        <w:t>政策；</w:t>
      </w:r>
    </w:p>
    <w:p w14:paraId="22F50D12">
      <w:pPr>
        <w:widowControl w:val="0"/>
        <w:tabs>
          <w:tab w:val="left" w:pos="1620"/>
          <w:tab w:val="left" w:pos="2340"/>
        </w:tabs>
        <w:ind w:left="1079"/>
        <w:rPr>
          <w:rFonts w:cs="Times New Roman"/>
          <w:sz w:val="21"/>
        </w:rPr>
      </w:pPr>
      <w:r>
        <w:rPr>
          <w:rFonts w:hint="eastAsia" w:cs="Times New Roman"/>
          <w:sz w:val="21"/>
        </w:rPr>
        <w:t>⑾本合同条款以及</w:t>
      </w:r>
      <w:r>
        <w:rPr>
          <w:rFonts w:hint="eastAsia" w:cs="Times New Roman"/>
          <w:b/>
          <w:i/>
          <w:sz w:val="21"/>
        </w:rPr>
        <w:t>专用条款</w:t>
      </w:r>
      <w:r>
        <w:rPr>
          <w:rFonts w:hint="eastAsia" w:cs="Times New Roman"/>
          <w:sz w:val="21"/>
        </w:rPr>
        <w:t>约定的其他调整因素。</w:t>
      </w:r>
    </w:p>
    <w:p w14:paraId="3578A197">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法律法规的改变</w:t>
      </w:r>
    </w:p>
    <w:p w14:paraId="6C0EC567">
      <w:pPr>
        <w:widowControl w:val="0"/>
        <w:tabs>
          <w:tab w:val="left" w:pos="1620"/>
          <w:tab w:val="left" w:pos="2340"/>
        </w:tabs>
        <w:spacing w:after="156"/>
        <w:ind w:left="899"/>
        <w:rPr>
          <w:rFonts w:cs="Times New Roman"/>
          <w:sz w:val="21"/>
        </w:rPr>
      </w:pPr>
      <w:r>
        <w:rPr>
          <w:rFonts w:hint="eastAsia" w:cs="Times New Roman"/>
          <w:sz w:val="21"/>
        </w:rPr>
        <w:t>⑴基准日期后</w:t>
      </w:r>
      <w:r>
        <w:rPr>
          <w:rFonts w:cs="Times New Roman"/>
          <w:sz w:val="21"/>
        </w:rPr>
        <w:t>，</w:t>
      </w:r>
      <w:r>
        <w:rPr>
          <w:rFonts w:hint="eastAsia" w:cs="Times New Roman"/>
          <w:sz w:val="21"/>
        </w:rPr>
        <w:t>因国家法律、法规、规章和政策的改变对合同价格产生影响的</w:t>
      </w:r>
      <w:r>
        <w:rPr>
          <w:rFonts w:cs="Times New Roman"/>
          <w:sz w:val="21"/>
        </w:rPr>
        <w:t>，</w:t>
      </w:r>
      <w:r>
        <w:rPr>
          <w:rFonts w:hint="eastAsia" w:cs="Times New Roman"/>
          <w:sz w:val="21"/>
        </w:rPr>
        <w:t>合同价格应作调整。发包人和承包人应根据法律法规改变造成的实际影响，按照市工程造价管理机构发布的相应办法进行调整。</w:t>
      </w:r>
    </w:p>
    <w:p w14:paraId="007C5AA2">
      <w:pPr>
        <w:widowControl w:val="0"/>
        <w:tabs>
          <w:tab w:val="left" w:pos="1620"/>
          <w:tab w:val="left" w:pos="2340"/>
        </w:tabs>
        <w:spacing w:after="156"/>
        <w:ind w:left="899"/>
        <w:rPr>
          <w:rFonts w:cs="Times New Roman"/>
          <w:sz w:val="21"/>
        </w:rPr>
      </w:pPr>
      <w:r>
        <w:rPr>
          <w:rFonts w:hint="eastAsia" w:cs="Times New Roman"/>
          <w:sz w:val="21"/>
        </w:rPr>
        <w:t>⑵按前款情形对合同价格进行调整时，因承包人原因导致工期延误的，在本合同约定竣工日期之后，合同价格调增的不予调整，合同价格调减的予以调整。</w:t>
      </w:r>
    </w:p>
    <w:p w14:paraId="4C125BB7">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因承包人原因造成工期延误，在工期延误期间出现法律变化的，由此增加的费用和（或）延误的工期由承包人承担。</w:t>
      </w:r>
    </w:p>
    <w:p w14:paraId="739F1551">
      <w:pPr>
        <w:widowControl w:val="0"/>
        <w:tabs>
          <w:tab w:val="left" w:pos="1620"/>
          <w:tab w:val="left" w:pos="2340"/>
        </w:tabs>
        <w:spacing w:after="156"/>
        <w:ind w:left="899"/>
        <w:rPr>
          <w:rFonts w:cs="Times New Roman"/>
          <w:sz w:val="21"/>
        </w:rPr>
      </w:pPr>
      <w:r>
        <w:rPr>
          <w:rFonts w:hint="eastAsia" w:cs="Times New Roman"/>
          <w:sz w:val="21"/>
        </w:rPr>
        <w:t>⑷因法律变化引起的合同价格和工期调整，承发包双方无法达成一致的，按第31条〔争议解决〕处理。</w:t>
      </w:r>
    </w:p>
    <w:p w14:paraId="6CF00F9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工料机调差</w:t>
      </w:r>
    </w:p>
    <w:p w14:paraId="31A0A9A9">
      <w:pPr>
        <w:widowControl w:val="0"/>
        <w:tabs>
          <w:tab w:val="left" w:pos="1620"/>
          <w:tab w:val="left" w:pos="2340"/>
        </w:tabs>
        <w:spacing w:after="156"/>
        <w:ind w:left="899"/>
        <w:rPr>
          <w:rFonts w:cs="Times New Roman"/>
          <w:sz w:val="21"/>
        </w:rPr>
      </w:pPr>
      <w:r>
        <w:rPr>
          <w:rFonts w:hint="eastAsia" w:cs="Times New Roman"/>
          <w:sz w:val="21"/>
        </w:rPr>
        <w:t>⑴承包人应充分考虑本工程施工期间因材料或劳务市场价格波动等任何有可能引起施工成本增加的风险(本合同约定可调差情形除外)，并不得据此提出索赔。</w:t>
      </w:r>
    </w:p>
    <w:p w14:paraId="46231094">
      <w:pPr>
        <w:widowControl w:val="0"/>
        <w:tabs>
          <w:tab w:val="left" w:pos="1620"/>
          <w:tab w:val="left" w:pos="2340"/>
        </w:tabs>
        <w:spacing w:after="156"/>
        <w:ind w:left="899"/>
        <w:rPr>
          <w:rFonts w:cs="Times New Roman"/>
          <w:sz w:val="21"/>
        </w:rPr>
      </w:pPr>
      <w:r>
        <w:rPr>
          <w:rFonts w:hint="eastAsia" w:cs="Times New Roman"/>
          <w:sz w:val="21"/>
        </w:rPr>
        <w:t>⑵除</w:t>
      </w:r>
      <w:r>
        <w:rPr>
          <w:rFonts w:hint="eastAsia" w:cs="Times New Roman"/>
          <w:b/>
          <w:i/>
          <w:sz w:val="21"/>
        </w:rPr>
        <w:t>专用条款</w:t>
      </w:r>
      <w:r>
        <w:rPr>
          <w:rFonts w:hint="eastAsia" w:cs="Times New Roman"/>
          <w:sz w:val="21"/>
        </w:rPr>
        <w:t>另有约定外，由于非承包人原因引起的用于本工程的人工、主要材料及机械使用的价格波动超过</w:t>
      </w:r>
      <w:r>
        <w:rPr>
          <w:rFonts w:hint="eastAsia" w:cs="Times New Roman"/>
          <w:b/>
          <w:sz w:val="21"/>
        </w:rPr>
        <w:t>±5%</w:t>
      </w:r>
      <w:r>
        <w:rPr>
          <w:rFonts w:hint="eastAsia" w:cs="Times New Roman"/>
          <w:sz w:val="21"/>
        </w:rPr>
        <w:t>时，其超过部分的合同价格应按20.5款、20.6款方法在与其相关的工程完工后一次性进行调整。</w:t>
      </w:r>
    </w:p>
    <w:p w14:paraId="7566B3EE">
      <w:pPr>
        <w:widowControl w:val="0"/>
        <w:tabs>
          <w:tab w:val="left" w:pos="1620"/>
          <w:tab w:val="left" w:pos="2340"/>
        </w:tabs>
        <w:spacing w:after="156"/>
        <w:ind w:left="899"/>
        <w:rPr>
          <w:rFonts w:cs="Times New Roman"/>
          <w:sz w:val="21"/>
        </w:rPr>
      </w:pPr>
      <w:r>
        <w:rPr>
          <w:rFonts w:hint="eastAsia" w:cs="Times New Roman"/>
          <w:sz w:val="21"/>
        </w:rPr>
        <w:t>⑶主要材料是指用于本工程的某种材料价格总额达到签约合同价</w:t>
      </w:r>
      <w:r>
        <w:rPr>
          <w:rFonts w:hint="eastAsia" w:cs="Times New Roman"/>
          <w:b/>
          <w:sz w:val="21"/>
        </w:rPr>
        <w:t>5%</w:t>
      </w:r>
      <w:r>
        <w:rPr>
          <w:rFonts w:hint="eastAsia" w:cs="Times New Roman"/>
          <w:sz w:val="21"/>
        </w:rPr>
        <w:t>或</w:t>
      </w:r>
      <w:r>
        <w:rPr>
          <w:rFonts w:hint="eastAsia" w:cs="Times New Roman"/>
          <w:b/>
          <w:i/>
          <w:sz w:val="21"/>
        </w:rPr>
        <w:t>专用条款</w:t>
      </w:r>
      <w:r>
        <w:rPr>
          <w:rFonts w:hint="eastAsia" w:cs="Times New Roman"/>
          <w:sz w:val="21"/>
        </w:rPr>
        <w:t>约定比例及以上的材料。</w:t>
      </w:r>
    </w:p>
    <w:p w14:paraId="4701F237">
      <w:pPr>
        <w:widowControl w:val="0"/>
        <w:tabs>
          <w:tab w:val="left" w:pos="1620"/>
          <w:tab w:val="left" w:pos="2340"/>
        </w:tabs>
        <w:spacing w:after="156"/>
        <w:ind w:left="899"/>
        <w:rPr>
          <w:rFonts w:cs="Times New Roman"/>
          <w:sz w:val="21"/>
        </w:rPr>
      </w:pPr>
      <w:r>
        <w:rPr>
          <w:rFonts w:hint="eastAsia" w:cs="Times New Roman"/>
          <w:sz w:val="21"/>
        </w:rPr>
        <w:t>⑷发包人和承包人可根据本工程的具体实际，在</w:t>
      </w:r>
      <w:r>
        <w:rPr>
          <w:rFonts w:hint="eastAsia" w:cs="Times New Roman"/>
          <w:b/>
          <w:i/>
          <w:sz w:val="21"/>
        </w:rPr>
        <w:t>专用条款</w:t>
      </w:r>
      <w:r>
        <w:rPr>
          <w:rFonts w:hint="eastAsia" w:cs="Times New Roman"/>
          <w:sz w:val="21"/>
        </w:rPr>
        <w:t>约定</w:t>
      </w:r>
      <w:r>
        <w:rPr>
          <w:rFonts w:hint="eastAsia" w:cs="Times New Roman"/>
          <w:kern w:val="2"/>
          <w:sz w:val="21"/>
        </w:rPr>
        <w:t>用于本工程的未达到20.4</w:t>
      </w:r>
      <w:r>
        <w:rPr>
          <w:rFonts w:hint="eastAsia" w:cs="Times New Roman"/>
          <w:sz w:val="21"/>
        </w:rPr>
        <w:t>⑶</w:t>
      </w:r>
      <w:r>
        <w:rPr>
          <w:rFonts w:hint="eastAsia" w:cs="Times New Roman"/>
          <w:kern w:val="2"/>
          <w:sz w:val="21"/>
        </w:rPr>
        <w:t>款约定比例的其它材料中</w:t>
      </w:r>
      <w:r>
        <w:rPr>
          <w:rFonts w:hint="eastAsia" w:cs="Times New Roman"/>
          <w:sz w:val="21"/>
        </w:rPr>
        <w:t>可调差的材料种类。</w:t>
      </w:r>
    </w:p>
    <w:p w14:paraId="0951C68F">
      <w:pPr>
        <w:widowControl w:val="0"/>
        <w:tabs>
          <w:tab w:val="left" w:pos="1620"/>
          <w:tab w:val="left" w:pos="2340"/>
        </w:tabs>
        <w:spacing w:before="156" w:after="156"/>
        <w:ind w:left="899"/>
        <w:rPr>
          <w:rFonts w:cs="Times New Roman"/>
          <w:sz w:val="21"/>
        </w:rPr>
      </w:pPr>
      <w:r>
        <w:rPr>
          <w:rFonts w:hint="eastAsia" w:cs="Times New Roman"/>
          <w:sz w:val="21"/>
        </w:rPr>
        <w:t>⑸工料机调差费用部分应按《深圳市建设工程计价规程》计取规费和税金，不计企业管理费和利润。工料机调差费用应按</w:t>
      </w:r>
      <w:r>
        <w:rPr>
          <w:rFonts w:hint="eastAsia" w:cs="Times New Roman"/>
          <w:b/>
          <w:i/>
          <w:sz w:val="21"/>
        </w:rPr>
        <w:t>专用条款</w:t>
      </w:r>
      <w:r>
        <w:rPr>
          <w:rFonts w:hint="eastAsia" w:cs="Times New Roman"/>
          <w:sz w:val="21"/>
        </w:rPr>
        <w:t>的约定进行计算和支付。</w:t>
      </w:r>
    </w:p>
    <w:p w14:paraId="5078D9C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材料调差方法</w:t>
      </w:r>
    </w:p>
    <w:p w14:paraId="3C21AD5F">
      <w:pPr>
        <w:widowControl w:val="0"/>
        <w:tabs>
          <w:tab w:val="left" w:pos="1620"/>
          <w:tab w:val="left" w:pos="2340"/>
        </w:tabs>
        <w:ind w:left="899"/>
        <w:rPr>
          <w:rFonts w:cs="Times New Roman"/>
          <w:sz w:val="21"/>
        </w:rPr>
      </w:pPr>
      <w:r>
        <w:rPr>
          <w:rFonts w:hint="eastAsia" w:cs="Times New Roman"/>
          <w:sz w:val="21"/>
        </w:rPr>
        <w:t>按照20.4⑶、⑷款确定的可调差材料发生价格波动时，可在</w:t>
      </w:r>
      <w:r>
        <w:rPr>
          <w:rFonts w:hint="eastAsia" w:cs="Times New Roman"/>
          <w:b/>
          <w:i/>
          <w:sz w:val="21"/>
        </w:rPr>
        <w:t>专用条款</w:t>
      </w:r>
      <w:r>
        <w:rPr>
          <w:rFonts w:hint="eastAsia" w:cs="Times New Roman"/>
          <w:sz w:val="21"/>
        </w:rPr>
        <w:t>中约定一种调差方式：</w:t>
      </w:r>
    </w:p>
    <w:p w14:paraId="756C4032">
      <w:pPr>
        <w:widowControl w:val="0"/>
        <w:tabs>
          <w:tab w:val="left" w:pos="1620"/>
          <w:tab w:val="left" w:pos="2340"/>
        </w:tabs>
        <w:snapToGrid w:val="0"/>
        <w:ind w:firstLine="1050" w:firstLineChars="500"/>
        <w:jc w:val="both"/>
        <w:rPr>
          <w:rFonts w:cs="Times New Roman"/>
          <w:kern w:val="2"/>
          <w:sz w:val="21"/>
        </w:rPr>
      </w:pPr>
      <w:r>
        <w:rPr>
          <w:rFonts w:hint="eastAsia" w:cs="Times New Roman"/>
          <w:kern w:val="2"/>
          <w:sz w:val="21"/>
        </w:rPr>
        <w:t>当</w:t>
      </w:r>
      <w:r>
        <w:rPr>
          <w:rFonts w:ascii="Symbol" w:hAnsi="Symbol" w:cs="Times New Roman"/>
          <w:i/>
          <w:kern w:val="2"/>
        </w:rPr>
        <w:sym w:font="Symbol" w:char="F060"/>
      </w:r>
      <w:r>
        <w:rPr>
          <w:rFonts w:ascii="Cambria" w:hAnsi="Cambria" w:cs="Times New Roman"/>
          <w:i/>
          <w:kern w:val="2"/>
        </w:rPr>
        <w:t>P</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sz w:val="21"/>
        </w:rPr>
        <w:t>时：</w:t>
      </w:r>
    </w:p>
    <w:p w14:paraId="5D63C8BE">
      <w:pPr>
        <w:widowControl w:val="0"/>
        <w:tabs>
          <w:tab w:val="left" w:pos="1620"/>
          <w:tab w:val="left" w:pos="2340"/>
        </w:tabs>
        <w:snapToGrid w:val="0"/>
        <w:ind w:firstLine="1200" w:firstLineChars="500"/>
        <w:jc w:val="both"/>
        <w:rPr>
          <w:rFonts w:cs="Times New Roman"/>
          <w:kern w:val="2"/>
          <w:sz w:val="21"/>
        </w:rPr>
      </w:pPr>
      <w:r>
        <w:rPr>
          <w:rFonts w:hint="eastAsia" w:ascii="Cambria" w:hAnsi="Cambria" w:cs="Times New Roman"/>
          <w:kern w:val="2"/>
        </w:rPr>
        <w:t>①</w:t>
      </w:r>
      <w:r>
        <w:rPr>
          <w:rFonts w:ascii="Cambria" w:hAnsi="Cambria" w:cs="Times New Roman"/>
          <w:i/>
          <w:kern w:val="2"/>
        </w:rPr>
        <w:t>P</w:t>
      </w:r>
      <w:r>
        <w:rPr>
          <w:rFonts w:ascii="Cambria" w:hAnsi="Cambria" w:cs="Times New Roman"/>
          <w:i/>
          <w:kern w:val="2"/>
          <w:vertAlign w:val="subscript"/>
        </w:rPr>
        <w:t>t</w:t>
      </w:r>
      <w:r>
        <w:rPr>
          <w:rFonts w:hint="eastAsia" w:ascii="Cambria" w:hAnsi="Cambria" w:cs="Times New Roman"/>
          <w:i/>
          <w:kern w:val="2"/>
        </w:rPr>
        <w:t>＜</w:t>
      </w:r>
      <w:r>
        <w:rPr>
          <w:rFonts w:ascii="Cambria" w:hAnsi="Cambria" w:cs="Times New Roman"/>
          <w:i/>
          <w:kern w:val="2"/>
        </w:rPr>
        <w:t>P</w:t>
      </w:r>
      <w:r>
        <w:rPr>
          <w:rFonts w:ascii="Cambria" w:hAnsi="Cambria" w:cs="Times New Roman"/>
          <w:i/>
          <w:kern w:val="2"/>
          <w:vertAlign w:val="subscript"/>
        </w:rPr>
        <w:t>0</w:t>
      </w:r>
      <w:r>
        <w:rPr>
          <w:rFonts w:hint="eastAsia" w:ascii="Cambria" w:hAnsi="Cambria" w:cs="Times New Roman"/>
          <w:i/>
          <w:kern w:val="2"/>
        </w:rPr>
        <w:t>，</w:t>
      </w:r>
      <w:r>
        <w:rPr>
          <w:rFonts w:hint="eastAsia" w:cs="Times New Roman"/>
          <w:kern w:val="2"/>
          <w:sz w:val="21"/>
        </w:rPr>
        <w:t>且</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rPr>
        <w:t>＞1.05</w:t>
      </w:r>
      <w:r>
        <w:rPr>
          <w:rFonts w:hint="eastAsia" w:cs="Times New Roman"/>
          <w:kern w:val="2"/>
          <w:sz w:val="21"/>
        </w:rPr>
        <w:t>，则：</w:t>
      </w:r>
    </w:p>
    <w:p w14:paraId="7381812F">
      <w:pPr>
        <w:widowControl w:val="0"/>
        <w:tabs>
          <w:tab w:val="left" w:pos="1620"/>
          <w:tab w:val="left" w:pos="2340"/>
        </w:tabs>
        <w:snapToGrid w:val="0"/>
        <w:ind w:firstLine="1200" w:firstLineChars="500"/>
        <w:jc w:val="both"/>
        <w:rPr>
          <w:rFonts w:cs="Times New Roman"/>
          <w:kern w:val="2"/>
        </w:rPr>
      </w:pPr>
      <w:r>
        <w:rPr>
          <w:rFonts w:hint="eastAsia" w:cs="Times New Roman"/>
          <w:kern w:val="2"/>
        </w:rPr>
        <w:t>C</w:t>
      </w:r>
      <w:r>
        <w:rPr>
          <w:rFonts w:hint="eastAsia" w:cs="Times New Roman"/>
          <w:kern w:val="2"/>
          <w:vertAlign w:val="subscript"/>
        </w:rPr>
        <w:t>增</w:t>
      </w:r>
      <w:r>
        <w:rPr>
          <w:rFonts w:hint="eastAsia" w:cs="Times New Roman"/>
          <w:kern w:val="2"/>
        </w:rPr>
        <w:t>=</w:t>
      </w:r>
      <w:r>
        <w:rPr>
          <w:rFonts w:ascii="Cambria" w:hAnsi="Cambria" w:cs="Times New Roman"/>
          <w:i/>
          <w:kern w:val="2"/>
        </w:rPr>
        <w:t>Q</w:t>
      </w:r>
      <w:r>
        <w:rPr>
          <w:rFonts w:hint="eastAsia" w:cs="Times New Roman"/>
          <w:kern w:val="2"/>
          <w:vertAlign w:val="subscript"/>
        </w:rPr>
        <w:t>总</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rPr>
        <w:t>－1.05)</w:t>
      </w:r>
    </w:p>
    <w:p w14:paraId="302947C2">
      <w:pPr>
        <w:widowControl w:val="0"/>
        <w:tabs>
          <w:tab w:val="left" w:pos="1620"/>
          <w:tab w:val="left" w:pos="2340"/>
        </w:tabs>
        <w:snapToGrid w:val="0"/>
        <w:ind w:firstLine="1200" w:firstLineChars="500"/>
        <w:jc w:val="both"/>
        <w:rPr>
          <w:rFonts w:cs="Times New Roman"/>
          <w:kern w:val="2"/>
          <w:sz w:val="21"/>
        </w:rPr>
      </w:pPr>
      <w:r>
        <w:rPr>
          <w:rFonts w:hint="eastAsia" w:ascii="Cambria" w:hAnsi="Cambria" w:cs="Times New Roman"/>
          <w:kern w:val="2"/>
        </w:rPr>
        <w:t>②</w:t>
      </w:r>
      <w:r>
        <w:rPr>
          <w:rFonts w:ascii="Cambria" w:hAnsi="Cambria" w:cs="Times New Roman"/>
          <w:i/>
          <w:kern w:val="2"/>
        </w:rPr>
        <w:t>P</w:t>
      </w:r>
      <w:r>
        <w:rPr>
          <w:rFonts w:ascii="Cambria" w:hAnsi="Cambria" w:cs="Times New Roman"/>
          <w:i/>
          <w:kern w:val="2"/>
          <w:vertAlign w:val="subscript"/>
        </w:rPr>
        <w:t>t</w:t>
      </w:r>
      <w:r>
        <w:rPr>
          <w:rFonts w:hint="eastAsia" w:ascii="Cambria" w:hAnsi="Cambria" w:cs="Times New Roman"/>
          <w:i/>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sz w:val="21"/>
        </w:rPr>
        <w:t>，且</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＞1.05</w:t>
      </w:r>
      <w:r>
        <w:rPr>
          <w:rFonts w:hint="eastAsia" w:cs="Times New Roman"/>
          <w:kern w:val="2"/>
          <w:sz w:val="21"/>
        </w:rPr>
        <w:t>，则：</w:t>
      </w:r>
    </w:p>
    <w:p w14:paraId="6D53F064">
      <w:pPr>
        <w:widowControl w:val="0"/>
        <w:tabs>
          <w:tab w:val="left" w:pos="1620"/>
          <w:tab w:val="left" w:pos="2340"/>
        </w:tabs>
        <w:snapToGrid w:val="0"/>
        <w:ind w:firstLine="1200" w:firstLineChars="500"/>
        <w:jc w:val="both"/>
        <w:rPr>
          <w:rFonts w:cs="Times New Roman"/>
          <w:kern w:val="2"/>
        </w:rPr>
      </w:pPr>
      <w:r>
        <w:rPr>
          <w:rFonts w:hint="eastAsia" w:cs="Times New Roman"/>
          <w:kern w:val="2"/>
        </w:rPr>
        <w:t>C</w:t>
      </w:r>
      <w:r>
        <w:rPr>
          <w:rFonts w:hint="eastAsia" w:cs="Times New Roman"/>
          <w:kern w:val="2"/>
          <w:vertAlign w:val="subscript"/>
        </w:rPr>
        <w:t>增</w:t>
      </w:r>
      <w:r>
        <w:rPr>
          <w:rFonts w:hint="eastAsia" w:cs="Times New Roman"/>
          <w:kern w:val="2"/>
        </w:rPr>
        <w:t>=Q</w:t>
      </w:r>
      <w:r>
        <w:rPr>
          <w:rFonts w:hint="eastAsia" w:cs="Times New Roman"/>
          <w:kern w:val="2"/>
          <w:vertAlign w:val="subscript"/>
        </w:rPr>
        <w:t>总</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－1.05)</w:t>
      </w:r>
    </w:p>
    <w:p w14:paraId="4F0A67B4">
      <w:pPr>
        <w:widowControl w:val="0"/>
        <w:tabs>
          <w:tab w:val="left" w:pos="1620"/>
          <w:tab w:val="left" w:pos="2340"/>
        </w:tabs>
        <w:snapToGrid w:val="0"/>
        <w:spacing w:before="156"/>
        <w:ind w:firstLine="1050" w:firstLineChars="500"/>
        <w:jc w:val="both"/>
        <w:rPr>
          <w:rFonts w:cs="Times New Roman"/>
          <w:kern w:val="2"/>
          <w:sz w:val="21"/>
        </w:rPr>
      </w:pPr>
      <w:r>
        <w:rPr>
          <w:rFonts w:hint="eastAsia" w:cs="Times New Roman"/>
          <w:kern w:val="2"/>
          <w:sz w:val="21"/>
        </w:rPr>
        <w:t>当</w:t>
      </w:r>
      <w:r>
        <w:rPr>
          <w:rFonts w:ascii="Symbol" w:hAnsi="Symbol" w:cs="Times New Roman"/>
          <w:i/>
          <w:kern w:val="2"/>
        </w:rPr>
        <w:sym w:font="Symbol" w:char="F060"/>
      </w:r>
      <w:r>
        <w:rPr>
          <w:rFonts w:ascii="Cambria" w:hAnsi="Cambria" w:cs="Times New Roman"/>
          <w:i/>
          <w:kern w:val="2"/>
        </w:rPr>
        <w:t>P</w:t>
      </w:r>
      <w:r>
        <w:rPr>
          <w:rFonts w:hint="eastAsia" w:ascii="Cambria" w:hAnsi="Cambria" w:cs="Times New Roman"/>
          <w:i/>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sz w:val="21"/>
        </w:rPr>
        <w:t>时：</w:t>
      </w:r>
    </w:p>
    <w:p w14:paraId="57555B92">
      <w:pPr>
        <w:widowControl w:val="0"/>
        <w:tabs>
          <w:tab w:val="left" w:pos="1620"/>
          <w:tab w:val="left" w:pos="2340"/>
        </w:tabs>
        <w:snapToGrid w:val="0"/>
        <w:ind w:firstLine="1200" w:firstLineChars="500"/>
        <w:jc w:val="both"/>
        <w:rPr>
          <w:rFonts w:cs="Times New Roman"/>
          <w:kern w:val="2"/>
          <w:sz w:val="21"/>
        </w:rPr>
      </w:pPr>
      <w:r>
        <w:rPr>
          <w:rFonts w:hint="eastAsia" w:ascii="Cambria" w:hAnsi="Cambria" w:cs="Times New Roman"/>
          <w:kern w:val="2"/>
        </w:rPr>
        <w:t>①</w:t>
      </w:r>
      <w:r>
        <w:rPr>
          <w:rFonts w:ascii="Cambria" w:hAnsi="Cambria" w:cs="Times New Roman"/>
          <w:i/>
          <w:kern w:val="2"/>
        </w:rPr>
        <w:t>P</w:t>
      </w:r>
      <w:r>
        <w:rPr>
          <w:rFonts w:ascii="Cambria" w:hAnsi="Cambria" w:cs="Times New Roman"/>
          <w:i/>
          <w:kern w:val="2"/>
          <w:vertAlign w:val="subscript"/>
        </w:rPr>
        <w:t>t</w:t>
      </w:r>
      <w:r>
        <w:rPr>
          <w:rFonts w:hint="eastAsia" w:ascii="Cambria" w:hAnsi="Cambria" w:cs="Times New Roman"/>
          <w:i/>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sz w:val="21"/>
        </w:rPr>
        <w:t>，且</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ascii="Cambria" w:hAnsi="Cambria" w:cs="Times New Roman"/>
          <w:kern w:val="2"/>
        </w:rPr>
        <w:t>＜</w:t>
      </w:r>
      <w:r>
        <w:rPr>
          <w:rFonts w:hint="eastAsia" w:cs="Times New Roman"/>
          <w:kern w:val="2"/>
        </w:rPr>
        <w:t>0.95</w:t>
      </w:r>
      <w:r>
        <w:rPr>
          <w:rFonts w:hint="eastAsia" w:cs="Times New Roman"/>
          <w:kern w:val="2"/>
          <w:sz w:val="21"/>
        </w:rPr>
        <w:t>，则：</w:t>
      </w:r>
    </w:p>
    <w:p w14:paraId="649FACAF">
      <w:pPr>
        <w:widowControl w:val="0"/>
        <w:tabs>
          <w:tab w:val="left" w:pos="1620"/>
          <w:tab w:val="left" w:pos="2340"/>
        </w:tabs>
        <w:snapToGrid w:val="0"/>
        <w:ind w:firstLine="1200" w:firstLineChars="500"/>
        <w:jc w:val="both"/>
        <w:rPr>
          <w:rFonts w:cs="Times New Roman"/>
          <w:kern w:val="2"/>
        </w:rPr>
      </w:pPr>
      <w:r>
        <w:rPr>
          <w:rFonts w:hint="eastAsia" w:cs="Times New Roman"/>
          <w:kern w:val="2"/>
        </w:rPr>
        <w:t>C</w:t>
      </w:r>
      <w:r>
        <w:rPr>
          <w:rFonts w:hint="eastAsia" w:cs="Times New Roman"/>
          <w:kern w:val="2"/>
          <w:vertAlign w:val="subscript"/>
        </w:rPr>
        <w:t>减</w:t>
      </w:r>
      <w:r>
        <w:rPr>
          <w:rFonts w:hint="eastAsia" w:cs="Times New Roman"/>
          <w:kern w:val="2"/>
        </w:rPr>
        <w:t>=</w:t>
      </w:r>
      <w:r>
        <w:rPr>
          <w:rFonts w:ascii="Cambria" w:hAnsi="Cambria" w:cs="Times New Roman"/>
          <w:i/>
          <w:kern w:val="2"/>
        </w:rPr>
        <w:t>Q</w:t>
      </w:r>
      <w:r>
        <w:rPr>
          <w:rFonts w:hint="eastAsia" w:cs="Times New Roman"/>
          <w:kern w:val="2"/>
          <w:vertAlign w:val="subscript"/>
        </w:rPr>
        <w:t>总</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×(0.95－</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w:t>
      </w:r>
    </w:p>
    <w:p w14:paraId="7AB9B1B3">
      <w:pPr>
        <w:widowControl w:val="0"/>
        <w:tabs>
          <w:tab w:val="left" w:pos="1620"/>
          <w:tab w:val="left" w:pos="2340"/>
        </w:tabs>
        <w:snapToGrid w:val="0"/>
        <w:ind w:firstLine="1200" w:firstLineChars="500"/>
        <w:jc w:val="both"/>
        <w:rPr>
          <w:rFonts w:cs="Times New Roman"/>
          <w:kern w:val="2"/>
          <w:sz w:val="21"/>
        </w:rPr>
      </w:pPr>
      <w:r>
        <w:rPr>
          <w:rFonts w:hint="eastAsia" w:ascii="Cambria" w:hAnsi="Cambria" w:cs="Times New Roman"/>
          <w:kern w:val="2"/>
        </w:rPr>
        <w:t>②</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sz w:val="21"/>
        </w:rPr>
        <w:t>，且</w:t>
      </w:r>
      <w:r>
        <w:rPr>
          <w:rFonts w:ascii="Symbol" w:hAnsi="Symbol" w:cs="Times New Roman"/>
          <w:i/>
          <w:kern w:val="2"/>
        </w:rPr>
        <w:sym w:font="Symbol" w:char="F060"/>
      </w:r>
      <w:r>
        <w:rPr>
          <w:rFonts w:ascii="Cambria" w:hAnsi="Cambria" w:cs="Times New Roman"/>
          <w:i/>
          <w:kern w:val="2"/>
        </w:rPr>
        <w:t>P</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ascii="Cambria" w:hAnsi="Cambria" w:cs="Times New Roman"/>
          <w:kern w:val="2"/>
        </w:rPr>
        <w:t>＜</w:t>
      </w:r>
      <w:r>
        <w:rPr>
          <w:rFonts w:cs="Times New Roman"/>
          <w:kern w:val="2"/>
        </w:rPr>
        <w:t>0.95</w:t>
      </w:r>
      <w:r>
        <w:rPr>
          <w:rFonts w:hint="eastAsia" w:cs="Times New Roman"/>
          <w:kern w:val="2"/>
          <w:sz w:val="21"/>
        </w:rPr>
        <w:t>，则：</w:t>
      </w:r>
    </w:p>
    <w:p w14:paraId="6223FB67">
      <w:pPr>
        <w:widowControl w:val="0"/>
        <w:tabs>
          <w:tab w:val="left" w:pos="1620"/>
          <w:tab w:val="left" w:pos="2340"/>
        </w:tabs>
        <w:snapToGrid w:val="0"/>
        <w:ind w:firstLine="1200" w:firstLineChars="500"/>
        <w:jc w:val="both"/>
        <w:rPr>
          <w:rFonts w:cs="Times New Roman"/>
          <w:kern w:val="2"/>
        </w:rPr>
      </w:pPr>
      <w:r>
        <w:rPr>
          <w:rFonts w:hint="eastAsia" w:cs="Times New Roman"/>
          <w:kern w:val="2"/>
        </w:rPr>
        <w:t>C</w:t>
      </w:r>
      <w:r>
        <w:rPr>
          <w:rFonts w:hint="eastAsia" w:cs="Times New Roman"/>
          <w:kern w:val="2"/>
          <w:vertAlign w:val="subscript"/>
        </w:rPr>
        <w:t>减</w:t>
      </w:r>
      <w:r>
        <w:rPr>
          <w:rFonts w:hint="eastAsia" w:cs="Times New Roman"/>
          <w:kern w:val="2"/>
        </w:rPr>
        <w:t>=</w:t>
      </w:r>
      <w:r>
        <w:rPr>
          <w:rFonts w:ascii="Cambria" w:hAnsi="Cambria" w:cs="Times New Roman"/>
          <w:i/>
          <w:kern w:val="2"/>
        </w:rPr>
        <w:t>Q</w:t>
      </w:r>
      <w:r>
        <w:rPr>
          <w:rFonts w:hint="eastAsia" w:cs="Times New Roman"/>
          <w:kern w:val="2"/>
          <w:vertAlign w:val="subscript"/>
        </w:rPr>
        <w:t>总</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t</w:t>
      </w:r>
      <w:r>
        <w:rPr>
          <w:rFonts w:hint="eastAsia" w:cs="Times New Roman"/>
          <w:kern w:val="2"/>
        </w:rPr>
        <w:t>×(0.95－</w:t>
      </w:r>
      <w:r>
        <w:rPr>
          <w:rFonts w:ascii="Symbol" w:hAnsi="Symbol" w:cs="Times New Roman"/>
          <w:i/>
          <w:kern w:val="2"/>
        </w:rPr>
        <w:sym w:font="Symbol" w:char="F060"/>
      </w:r>
      <w:r>
        <w:rPr>
          <w:rFonts w:ascii="Cambria" w:hAnsi="Cambria" w:cs="Times New Roman"/>
          <w:i/>
          <w:kern w:val="2"/>
        </w:rPr>
        <w:t xml:space="preserve">P </w:t>
      </w:r>
      <w:r>
        <w:rPr>
          <w:rFonts w:hint="eastAsia" w:cs="Times New Roman"/>
          <w:kern w:val="2"/>
        </w:rPr>
        <w:t>/</w:t>
      </w:r>
      <w:r>
        <w:rPr>
          <w:rFonts w:ascii="Cambria" w:hAnsi="Cambria" w:cs="Times New Roman"/>
          <w:i/>
          <w:kern w:val="2"/>
        </w:rPr>
        <w:t>P</w:t>
      </w:r>
      <w:r>
        <w:rPr>
          <w:rFonts w:ascii="Cambria" w:hAnsi="Cambria" w:cs="Times New Roman"/>
          <w:i/>
          <w:kern w:val="2"/>
          <w:vertAlign w:val="subscript"/>
        </w:rPr>
        <w:t>0</w:t>
      </w:r>
      <w:r>
        <w:rPr>
          <w:rFonts w:hint="eastAsia" w:cs="Times New Roman"/>
          <w:kern w:val="2"/>
        </w:rPr>
        <w:t>)</w:t>
      </w:r>
    </w:p>
    <w:p w14:paraId="1664BE12">
      <w:pPr>
        <w:widowControl w:val="0"/>
        <w:tabs>
          <w:tab w:val="left" w:pos="1620"/>
          <w:tab w:val="left" w:pos="2340"/>
        </w:tabs>
        <w:spacing w:before="156"/>
        <w:ind w:left="1260"/>
        <w:jc w:val="both"/>
        <w:rPr>
          <w:rFonts w:cs="Times New Roman"/>
          <w:kern w:val="2"/>
          <w:sz w:val="21"/>
        </w:rPr>
      </w:pPr>
      <w:r>
        <w:rPr>
          <w:rFonts w:hint="eastAsia" w:cs="Times New Roman"/>
          <w:kern w:val="2"/>
          <w:sz w:val="21"/>
        </w:rPr>
        <w:t>式中：</w:t>
      </w:r>
    </w:p>
    <w:p w14:paraId="21F570FC">
      <w:pPr>
        <w:widowControl w:val="0"/>
        <w:tabs>
          <w:tab w:val="left" w:pos="1620"/>
          <w:tab w:val="left" w:pos="2340"/>
        </w:tabs>
        <w:snapToGrid w:val="0"/>
        <w:ind w:left="1440"/>
        <w:jc w:val="both"/>
        <w:rPr>
          <w:rFonts w:cs="Times New Roman"/>
          <w:kern w:val="2"/>
          <w:sz w:val="21"/>
        </w:rPr>
      </w:pPr>
      <w:r>
        <w:rPr>
          <w:rFonts w:hint="eastAsia" w:cs="Times New Roman"/>
          <w:kern w:val="2"/>
        </w:rPr>
        <w:t>P</w:t>
      </w:r>
      <w:r>
        <w:rPr>
          <w:rFonts w:hint="eastAsia" w:cs="Times New Roman"/>
          <w:kern w:val="2"/>
          <w:vertAlign w:val="subscript"/>
        </w:rPr>
        <w:t>0</w:t>
      </w:r>
      <w:r>
        <w:rPr>
          <w:rFonts w:hint="eastAsia" w:cs="Times New Roman"/>
          <w:kern w:val="2"/>
          <w:sz w:val="21"/>
        </w:rPr>
        <w:t>－投标截止日期前35天的当月或</w:t>
      </w:r>
      <w:r>
        <w:rPr>
          <w:rFonts w:hint="eastAsia" w:cs="Times New Roman"/>
          <w:b/>
          <w:i/>
          <w:kern w:val="2"/>
          <w:sz w:val="21"/>
        </w:rPr>
        <w:t>专用条款</w:t>
      </w:r>
      <w:r>
        <w:rPr>
          <w:rFonts w:hint="eastAsia" w:cs="Times New Roman"/>
          <w:kern w:val="2"/>
          <w:sz w:val="21"/>
        </w:rPr>
        <w:t>约定月份《深圳建设工程价格信息》某材料价格。示例：投标截止日期如果是2018年5月5日，前35天为3月31日，则</w:t>
      </w:r>
      <w:r>
        <w:rPr>
          <w:rFonts w:hint="eastAsia" w:cs="Times New Roman"/>
          <w:kern w:val="2"/>
        </w:rPr>
        <w:t>P</w:t>
      </w:r>
      <w:r>
        <w:rPr>
          <w:rFonts w:hint="eastAsia" w:cs="Times New Roman"/>
          <w:kern w:val="2"/>
          <w:vertAlign w:val="subscript"/>
        </w:rPr>
        <w:t>0</w:t>
      </w:r>
      <w:r>
        <w:rPr>
          <w:rFonts w:hint="eastAsia" w:cs="Times New Roman"/>
          <w:kern w:val="2"/>
          <w:sz w:val="21"/>
        </w:rPr>
        <w:t>对应的信息价是指2018年3月《深圳建设工程价格信息》。投标截止日期如果是2018年5月6日，前35天为4月1日，则</w:t>
      </w:r>
      <w:r>
        <w:rPr>
          <w:rFonts w:hint="eastAsia" w:cs="Times New Roman"/>
          <w:kern w:val="2"/>
        </w:rPr>
        <w:t>P</w:t>
      </w:r>
      <w:r>
        <w:rPr>
          <w:rFonts w:hint="eastAsia" w:cs="Times New Roman"/>
          <w:kern w:val="2"/>
          <w:vertAlign w:val="subscript"/>
        </w:rPr>
        <w:t>0</w:t>
      </w:r>
      <w:r>
        <w:rPr>
          <w:rFonts w:hint="eastAsia" w:cs="Times New Roman"/>
          <w:kern w:val="2"/>
          <w:sz w:val="21"/>
        </w:rPr>
        <w:t>对应的信息价是指2018年4月《深圳建设工程价格信息》。</w:t>
      </w:r>
    </w:p>
    <w:p w14:paraId="64AA06EB">
      <w:pPr>
        <w:widowControl w:val="0"/>
        <w:tabs>
          <w:tab w:val="left" w:pos="1620"/>
          <w:tab w:val="left" w:pos="2340"/>
        </w:tabs>
        <w:snapToGrid w:val="0"/>
        <w:ind w:left="1440"/>
        <w:jc w:val="both"/>
        <w:rPr>
          <w:rFonts w:cs="Times New Roman"/>
          <w:kern w:val="2"/>
          <w:sz w:val="21"/>
        </w:rPr>
      </w:pPr>
      <w:r>
        <w:rPr>
          <w:rFonts w:hint="eastAsia" w:cs="Times New Roman"/>
          <w:kern w:val="2"/>
        </w:rPr>
        <w:t>P</w:t>
      </w:r>
      <w:r>
        <w:rPr>
          <w:rFonts w:hint="eastAsia" w:cs="Times New Roman"/>
          <w:kern w:val="2"/>
          <w:vertAlign w:val="subscript"/>
        </w:rPr>
        <w:t>t</w:t>
      </w:r>
      <w:r>
        <w:rPr>
          <w:rFonts w:hint="eastAsia" w:cs="Times New Roman"/>
          <w:kern w:val="2"/>
          <w:sz w:val="21"/>
        </w:rPr>
        <w:t>－承包人投标文件商务标书中某材料的投标单价，如投标报价中无法确认某材料的单价时，则P</w:t>
      </w:r>
      <w:r>
        <w:rPr>
          <w:rFonts w:hint="eastAsia" w:cs="Times New Roman"/>
          <w:kern w:val="2"/>
          <w:sz w:val="21"/>
          <w:vertAlign w:val="subscript"/>
        </w:rPr>
        <w:t>t</w:t>
      </w:r>
      <w:r>
        <w:rPr>
          <w:rFonts w:hint="eastAsia" w:cs="Times New Roman"/>
          <w:kern w:val="2"/>
          <w:sz w:val="21"/>
        </w:rPr>
        <w:t>取值为P</w:t>
      </w:r>
      <w:r>
        <w:rPr>
          <w:rFonts w:hint="eastAsia" w:cs="Times New Roman"/>
          <w:kern w:val="2"/>
          <w:sz w:val="21"/>
          <w:vertAlign w:val="subscript"/>
        </w:rPr>
        <w:t>0</w:t>
      </w:r>
      <w:r>
        <w:rPr>
          <w:rFonts w:hint="eastAsia" w:cs="Times New Roman"/>
          <w:kern w:val="2"/>
        </w:rPr>
        <w:t>×</w:t>
      </w:r>
      <w:r>
        <w:rPr>
          <w:rFonts w:hint="eastAsia" w:cs="Times New Roman"/>
          <w:kern w:val="2"/>
          <w:sz w:val="21"/>
        </w:rPr>
        <w:t>（1-中标净下浮率）；</w:t>
      </w:r>
    </w:p>
    <w:p w14:paraId="1D6B6F60">
      <w:pPr>
        <w:widowControl w:val="0"/>
        <w:tabs>
          <w:tab w:val="left" w:pos="1620"/>
          <w:tab w:val="left" w:pos="2340"/>
        </w:tabs>
        <w:snapToGrid w:val="0"/>
        <w:ind w:left="1440"/>
        <w:jc w:val="both"/>
        <w:rPr>
          <w:rFonts w:cs="Times New Roman"/>
          <w:kern w:val="2"/>
          <w:sz w:val="21"/>
        </w:rPr>
      </w:pPr>
      <w:r>
        <w:rPr>
          <w:rFonts w:hint="eastAsia" w:cs="Times New Roman"/>
          <w:kern w:val="2"/>
        </w:rPr>
        <w:t>C</w:t>
      </w:r>
      <w:r>
        <w:rPr>
          <w:rFonts w:hint="eastAsia" w:cs="Times New Roman"/>
          <w:kern w:val="2"/>
          <w:vertAlign w:val="subscript"/>
        </w:rPr>
        <w:t>增</w:t>
      </w:r>
      <w:r>
        <w:rPr>
          <w:rFonts w:hint="eastAsia" w:cs="Times New Roman"/>
          <w:kern w:val="2"/>
          <w:sz w:val="21"/>
        </w:rPr>
        <w:t>－调增合同价格；</w:t>
      </w:r>
    </w:p>
    <w:p w14:paraId="1AD07F2A">
      <w:pPr>
        <w:widowControl w:val="0"/>
        <w:tabs>
          <w:tab w:val="left" w:pos="1620"/>
          <w:tab w:val="left" w:pos="2340"/>
        </w:tabs>
        <w:snapToGrid w:val="0"/>
        <w:ind w:left="1440"/>
        <w:jc w:val="both"/>
        <w:rPr>
          <w:rFonts w:cs="Times New Roman"/>
          <w:kern w:val="2"/>
          <w:sz w:val="21"/>
        </w:rPr>
      </w:pPr>
      <w:r>
        <w:rPr>
          <w:rFonts w:hint="eastAsia" w:cs="Times New Roman"/>
          <w:kern w:val="2"/>
        </w:rPr>
        <w:t>C</w:t>
      </w:r>
      <w:r>
        <w:rPr>
          <w:rFonts w:hint="eastAsia" w:cs="Times New Roman"/>
          <w:kern w:val="2"/>
          <w:vertAlign w:val="subscript"/>
        </w:rPr>
        <w:t>减</w:t>
      </w:r>
      <w:r>
        <w:rPr>
          <w:rFonts w:hint="eastAsia" w:cs="Times New Roman"/>
          <w:kern w:val="2"/>
          <w:sz w:val="21"/>
        </w:rPr>
        <w:t>－调减合同价格；</w:t>
      </w:r>
    </w:p>
    <w:p w14:paraId="64B0BC2B">
      <w:pPr>
        <w:widowControl w:val="0"/>
        <w:tabs>
          <w:tab w:val="left" w:pos="1620"/>
          <w:tab w:val="left" w:pos="2340"/>
        </w:tabs>
        <w:snapToGrid w:val="0"/>
        <w:ind w:left="1440"/>
        <w:jc w:val="both"/>
        <w:rPr>
          <w:rFonts w:cs="Times New Roman"/>
          <w:kern w:val="2"/>
          <w:sz w:val="21"/>
        </w:rPr>
      </w:pPr>
      <w:r>
        <w:rPr>
          <w:rFonts w:hint="eastAsia" w:cs="Times New Roman"/>
          <w:kern w:val="2"/>
        </w:rPr>
        <w:t>Q</w:t>
      </w:r>
      <w:r>
        <w:rPr>
          <w:rFonts w:hint="eastAsia" w:cs="Times New Roman"/>
          <w:kern w:val="2"/>
          <w:vertAlign w:val="subscript"/>
        </w:rPr>
        <w:t>总</w:t>
      </w:r>
      <w:r>
        <w:rPr>
          <w:rFonts w:hint="eastAsia" w:cs="Times New Roman"/>
          <w:kern w:val="2"/>
          <w:sz w:val="21"/>
        </w:rPr>
        <w:t>－本项目已完工程合格产品的某材料总用量（其中消耗量因素在</w:t>
      </w:r>
      <w:r>
        <w:rPr>
          <w:rFonts w:hint="eastAsia" w:cs="Times New Roman"/>
          <w:b/>
          <w:i/>
          <w:kern w:val="2"/>
          <w:sz w:val="21"/>
        </w:rPr>
        <w:t>专用条款</w:t>
      </w:r>
      <w:r>
        <w:rPr>
          <w:rFonts w:hint="eastAsia" w:cs="Times New Roman"/>
          <w:kern w:val="2"/>
          <w:sz w:val="21"/>
        </w:rPr>
        <w:t>约定）。</w:t>
      </w:r>
    </w:p>
    <w:p w14:paraId="0AEF1E1B">
      <w:pPr>
        <w:widowControl w:val="0"/>
        <w:tabs>
          <w:tab w:val="left" w:pos="1620"/>
          <w:tab w:val="left" w:pos="2340"/>
        </w:tabs>
        <w:snapToGrid w:val="0"/>
        <w:spacing w:beforeLines="50"/>
        <w:ind w:firstLine="1440" w:firstLineChars="600"/>
        <w:jc w:val="both"/>
        <w:rPr>
          <w:rFonts w:cs="Times New Roman"/>
          <w:sz w:val="21"/>
        </w:rPr>
      </w:pPr>
      <w:r>
        <w:rPr>
          <w:rFonts w:ascii="Symbol" w:hAnsi="Symbol" w:cs="Times New Roman"/>
          <w:i/>
          <w:kern w:val="2"/>
        </w:rPr>
        <w:sym w:font="Symbol" w:char="F060"/>
      </w:r>
      <w:r>
        <w:rPr>
          <w:rFonts w:ascii="Cambria" w:hAnsi="Cambria" w:cs="Times New Roman"/>
          <w:i/>
          <w:kern w:val="2"/>
        </w:rPr>
        <w:t>P</w:t>
      </w:r>
      <w:r>
        <w:rPr>
          <w:rFonts w:hint="eastAsia" w:cs="Times New Roman"/>
          <w:kern w:val="2"/>
          <w:sz w:val="21"/>
        </w:rPr>
        <w:t>－</w:t>
      </w:r>
      <w:r>
        <w:rPr>
          <w:rFonts w:ascii="Times New Roman" w:hAnsi="Times New Roman" w:cs="Times New Roman"/>
          <w:kern w:val="2"/>
          <w:sz w:val="21"/>
        </w:rPr>
        <w:t>计算</w:t>
      </w:r>
      <w:r>
        <w:rPr>
          <w:rFonts w:hint="eastAsia" w:ascii="Times New Roman" w:hAnsi="Times New Roman" w:cs="Times New Roman"/>
          <w:kern w:val="2"/>
          <w:sz w:val="21"/>
        </w:rPr>
        <w:t>方式如下（或按</w:t>
      </w:r>
      <w:r>
        <w:rPr>
          <w:rFonts w:cs="Times New Roman"/>
          <w:b/>
          <w:i/>
          <w:kern w:val="2"/>
          <w:sz w:val="21"/>
        </w:rPr>
        <w:t>专用条款</w:t>
      </w:r>
      <w:r>
        <w:rPr>
          <w:rFonts w:ascii="Times New Roman" w:hAnsi="Times New Roman" w:cs="Times New Roman"/>
          <w:kern w:val="2"/>
          <w:sz w:val="21"/>
        </w:rPr>
        <w:t>中约定</w:t>
      </w:r>
      <w:r>
        <w:rPr>
          <w:rFonts w:hint="eastAsia" w:ascii="Times New Roman" w:hAnsi="Times New Roman" w:cs="Times New Roman"/>
          <w:kern w:val="2"/>
          <w:sz w:val="21"/>
        </w:rPr>
        <w:t>的</w:t>
      </w:r>
      <w:r>
        <w:rPr>
          <w:rFonts w:ascii="Times New Roman" w:hAnsi="Times New Roman" w:cs="Times New Roman"/>
          <w:kern w:val="2"/>
          <w:sz w:val="21"/>
        </w:rPr>
        <w:t>方法</w:t>
      </w:r>
      <w:r>
        <w:rPr>
          <w:rFonts w:hint="eastAsia" w:ascii="Times New Roman" w:hAnsi="Times New Roman" w:cs="Times New Roman"/>
          <w:kern w:val="2"/>
          <w:sz w:val="21"/>
        </w:rPr>
        <w:t>）</w:t>
      </w:r>
      <w:r>
        <w:rPr>
          <w:rFonts w:ascii="Times New Roman" w:hAnsi="Times New Roman" w:cs="Times New Roman"/>
          <w:kern w:val="2"/>
          <w:sz w:val="21"/>
        </w:rPr>
        <w:t>：</w:t>
      </w:r>
    </w:p>
    <w:p w14:paraId="56D79EE3">
      <w:pPr>
        <w:widowControl w:val="0"/>
        <w:tabs>
          <w:tab w:val="left" w:pos="1620"/>
          <w:tab w:val="left" w:pos="2340"/>
        </w:tabs>
        <w:snapToGrid w:val="0"/>
        <w:spacing w:beforeLines="50"/>
        <w:ind w:firstLine="1200" w:firstLineChars="500"/>
        <w:jc w:val="both"/>
        <w:rPr>
          <w:rFonts w:cs="Times New Roman"/>
          <w:sz w:val="21"/>
        </w:rPr>
      </w:pPr>
      <w:r>
        <w:rPr>
          <w:rFonts w:hint="eastAsia" w:ascii="Cambria" w:hAnsi="Cambria" w:cs="Times New Roman"/>
          <w:kern w:val="2"/>
        </w:rPr>
        <w:t>①</w:t>
      </w:r>
      <w:r>
        <w:rPr>
          <w:rFonts w:hint="eastAsia" w:cs="Times New Roman"/>
          <w:sz w:val="21"/>
        </w:rPr>
        <w:t>加权平均法：</w:t>
      </w:r>
    </w:p>
    <w:p w14:paraId="6F2DBF9E">
      <w:pPr>
        <w:widowControl w:val="0"/>
        <w:snapToGrid w:val="0"/>
        <w:ind w:left="1440"/>
        <w:jc w:val="both"/>
        <w:rPr>
          <w:rFonts w:cs="Times New Roman"/>
          <w:sz w:val="21"/>
        </w:rPr>
      </w:pPr>
      <w:r>
        <w:rPr>
          <w:rFonts w:ascii="Symbol" w:hAnsi="Symbol" w:cs="Times New Roman"/>
          <w:i/>
          <w:kern w:val="2"/>
        </w:rPr>
        <w:sym w:font="Symbol" w:char="F060"/>
      </w:r>
      <w:r>
        <w:rPr>
          <w:rFonts w:ascii="Cambria" w:hAnsi="Cambria" w:cs="Times New Roman"/>
          <w:i/>
          <w:kern w:val="2"/>
        </w:rPr>
        <w:t>P</w:t>
      </w:r>
      <w:r>
        <w:rPr>
          <w:rFonts w:hint="eastAsia" w:cs="Times New Roman"/>
          <w:kern w:val="2"/>
        </w:rPr>
        <w:t>-</w:t>
      </w:r>
      <w:r>
        <w:rPr>
          <w:rFonts w:hint="eastAsia" w:cs="Times New Roman"/>
          <w:kern w:val="2"/>
          <w:sz w:val="21"/>
        </w:rPr>
        <w:t>施工期加权平均价格，即</w:t>
      </w:r>
      <w:r>
        <w:rPr>
          <w:rFonts w:hint="eastAsia" w:cs="Times New Roman"/>
          <w:kern w:val="2"/>
        </w:rPr>
        <w:t>∑(Q</w:t>
      </w:r>
      <w:r>
        <w:rPr>
          <w:rFonts w:hint="eastAsia" w:cs="Times New Roman"/>
          <w:kern w:val="2"/>
          <w:vertAlign w:val="subscript"/>
        </w:rPr>
        <w:t>i</w:t>
      </w:r>
      <w:r>
        <w:rPr>
          <w:rFonts w:hint="eastAsia" w:cs="Times New Roman"/>
          <w:kern w:val="2"/>
        </w:rPr>
        <w:t>×P</w:t>
      </w:r>
      <w:r>
        <w:rPr>
          <w:rFonts w:hint="eastAsia" w:cs="Times New Roman"/>
          <w:kern w:val="2"/>
          <w:vertAlign w:val="subscript"/>
        </w:rPr>
        <w:t>i</w:t>
      </w:r>
      <w:r>
        <w:rPr>
          <w:rFonts w:hint="eastAsia" w:cs="Times New Roman"/>
          <w:kern w:val="2"/>
        </w:rPr>
        <w:t>)/Q</w:t>
      </w:r>
      <w:r>
        <w:rPr>
          <w:rFonts w:hint="eastAsia" w:cs="Times New Roman"/>
          <w:kern w:val="2"/>
          <w:vertAlign w:val="subscript"/>
        </w:rPr>
        <w:t>总</w:t>
      </w:r>
      <w:r>
        <w:rPr>
          <w:rFonts w:hint="eastAsia" w:cs="Times New Roman"/>
          <w:kern w:val="2"/>
        </w:rPr>
        <w:t>，其中Q</w:t>
      </w:r>
      <w:r>
        <w:rPr>
          <w:rFonts w:hint="eastAsia" w:cs="Times New Roman"/>
          <w:kern w:val="2"/>
          <w:vertAlign w:val="subscript"/>
        </w:rPr>
        <w:t>i</w:t>
      </w:r>
      <w:r>
        <w:rPr>
          <w:rFonts w:hint="eastAsia" w:cs="Times New Roman"/>
          <w:kern w:val="2"/>
          <w:sz w:val="21"/>
        </w:rPr>
        <w:t>为施工期第i个月某材料用量（消耗量因素在</w:t>
      </w:r>
      <w:r>
        <w:rPr>
          <w:rFonts w:hint="eastAsia" w:cs="Times New Roman"/>
          <w:b/>
          <w:i/>
          <w:kern w:val="2"/>
          <w:sz w:val="21"/>
        </w:rPr>
        <w:t>专用条款</w:t>
      </w:r>
      <w:r>
        <w:rPr>
          <w:rFonts w:hint="eastAsia" w:cs="Times New Roman"/>
          <w:kern w:val="2"/>
          <w:sz w:val="21"/>
        </w:rPr>
        <w:t>约定）；</w:t>
      </w:r>
      <w:r>
        <w:rPr>
          <w:rFonts w:hint="eastAsia" w:cs="Times New Roman"/>
          <w:kern w:val="2"/>
        </w:rPr>
        <w:t>P</w:t>
      </w:r>
      <w:r>
        <w:rPr>
          <w:rFonts w:hint="eastAsia" w:cs="Times New Roman"/>
          <w:kern w:val="2"/>
          <w:vertAlign w:val="subscript"/>
        </w:rPr>
        <w:t>i</w:t>
      </w:r>
      <w:r>
        <w:rPr>
          <w:rFonts w:hint="eastAsia" w:cs="Times New Roman"/>
          <w:kern w:val="2"/>
          <w:sz w:val="21"/>
        </w:rPr>
        <w:t>为施工期第i个月当月《深圳建设工程价格信息》某材料价格。例如施工期第i个月是2018年6月，则对应2018年6月《深圳建设工程价格信息》。</w:t>
      </w:r>
    </w:p>
    <w:p w14:paraId="1D10C982">
      <w:pPr>
        <w:widowControl w:val="0"/>
        <w:tabs>
          <w:tab w:val="left" w:pos="1620"/>
          <w:tab w:val="left" w:pos="2340"/>
        </w:tabs>
        <w:snapToGrid w:val="0"/>
        <w:spacing w:beforeLines="50"/>
        <w:ind w:firstLine="1200" w:firstLineChars="500"/>
        <w:jc w:val="both"/>
        <w:rPr>
          <w:rFonts w:cs="Times New Roman"/>
          <w:kern w:val="2"/>
          <w:sz w:val="21"/>
        </w:rPr>
      </w:pPr>
      <w:r>
        <w:rPr>
          <w:rFonts w:hint="eastAsia" w:ascii="Cambria" w:hAnsi="Cambria" w:cs="Times New Roman"/>
          <w:kern w:val="2"/>
        </w:rPr>
        <w:t>或者②</w:t>
      </w:r>
      <w:r>
        <w:rPr>
          <w:rFonts w:hint="eastAsia" w:cs="Times New Roman"/>
          <w:kern w:val="2"/>
          <w:sz w:val="21"/>
        </w:rPr>
        <w:t>算术平均法：</w:t>
      </w:r>
    </w:p>
    <w:p w14:paraId="6CB09FD6">
      <w:pPr>
        <w:widowControl w:val="0"/>
        <w:snapToGrid w:val="0"/>
        <w:ind w:left="1440"/>
        <w:jc w:val="both"/>
        <w:rPr>
          <w:rFonts w:cs="Times New Roman"/>
          <w:kern w:val="2"/>
          <w:sz w:val="21"/>
        </w:rPr>
      </w:pPr>
      <w:r>
        <w:rPr>
          <w:rFonts w:ascii="Symbol" w:hAnsi="Symbol" w:cs="Times New Roman"/>
          <w:i/>
          <w:kern w:val="2"/>
        </w:rPr>
        <w:sym w:font="Symbol" w:char="F060"/>
      </w:r>
      <w:r>
        <w:rPr>
          <w:rFonts w:ascii="Cambria" w:hAnsi="Cambria" w:cs="Times New Roman"/>
          <w:i/>
          <w:kern w:val="2"/>
        </w:rPr>
        <w:t>P</w:t>
      </w:r>
      <w:r>
        <w:rPr>
          <w:rFonts w:hint="eastAsia" w:cs="Times New Roman"/>
          <w:kern w:val="2"/>
        </w:rPr>
        <w:t>-</w:t>
      </w:r>
      <w:r>
        <w:rPr>
          <w:rFonts w:hint="eastAsia" w:cs="Times New Roman"/>
          <w:kern w:val="2"/>
          <w:sz w:val="21"/>
        </w:rPr>
        <w:t>本工程有某材料投入月份对应《深圳建设工程价格信息》某材料价格的算术平均值。例如有某材料投入月份是指2018年6月至8月，则对应2018年6月至8月《深圳建设工程价格信息》某材料价格之和除以3。</w:t>
      </w:r>
    </w:p>
    <w:p w14:paraId="64CDCCF7">
      <w:pPr>
        <w:widowControl w:val="0"/>
        <w:snapToGrid w:val="0"/>
        <w:ind w:left="1440"/>
        <w:jc w:val="both"/>
        <w:rPr>
          <w:rFonts w:cs="Times New Roman"/>
          <w:kern w:val="2"/>
          <w:sz w:val="21"/>
        </w:rPr>
      </w:pPr>
    </w:p>
    <w:p w14:paraId="4DD895B9">
      <w:pPr>
        <w:widowControl w:val="0"/>
        <w:snapToGrid w:val="0"/>
        <w:ind w:left="1440"/>
        <w:jc w:val="both"/>
        <w:rPr>
          <w:rFonts w:cs="Times New Roman"/>
          <w:kern w:val="2"/>
          <w:sz w:val="21"/>
        </w:rPr>
      </w:pPr>
      <w:r>
        <w:rPr>
          <w:rFonts w:hint="eastAsia" w:cs="Times New Roman"/>
          <w:kern w:val="2"/>
          <w:sz w:val="21"/>
        </w:rPr>
        <w:t>如按照本合同20.4⑶、⑷款确定的可调差材料价格在《深圳建设工程价格信息》未发布的，发包人和承包人应在</w:t>
      </w:r>
      <w:r>
        <w:rPr>
          <w:rFonts w:hint="eastAsia" w:cs="Times New Roman"/>
          <w:b/>
          <w:bCs/>
          <w:i/>
          <w:iCs/>
          <w:kern w:val="2"/>
          <w:sz w:val="21"/>
        </w:rPr>
        <w:t>专用条款</w:t>
      </w:r>
      <w:r>
        <w:rPr>
          <w:rFonts w:hint="eastAsia" w:cs="Times New Roman"/>
          <w:kern w:val="2"/>
          <w:sz w:val="21"/>
        </w:rPr>
        <w:t>明确调差方式。</w:t>
      </w:r>
    </w:p>
    <w:p w14:paraId="04A3E7A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人工、机械使用调差方法</w:t>
      </w:r>
    </w:p>
    <w:p w14:paraId="03E181B3">
      <w:pPr>
        <w:widowControl w:val="0"/>
        <w:tabs>
          <w:tab w:val="left" w:pos="1620"/>
          <w:tab w:val="left" w:pos="2340"/>
        </w:tabs>
        <w:spacing w:before="156" w:after="156"/>
        <w:ind w:left="899"/>
        <w:rPr>
          <w:rFonts w:cs="Times New Roman"/>
          <w:sz w:val="21"/>
        </w:rPr>
      </w:pPr>
      <w:r>
        <w:rPr>
          <w:rFonts w:hint="eastAsia" w:cs="Times New Roman"/>
          <w:sz w:val="21"/>
        </w:rPr>
        <w:t>⑴用于本工程的机械使用发生价格波动时，按照20.5款调差公式，将公式中的材料价格替换为机械使用价格，调整合同价格。</w:t>
      </w:r>
    </w:p>
    <w:p w14:paraId="33B66298">
      <w:pPr>
        <w:widowControl w:val="0"/>
        <w:tabs>
          <w:tab w:val="left" w:pos="1620"/>
          <w:tab w:val="left" w:pos="2340"/>
        </w:tabs>
        <w:spacing w:before="156" w:after="156"/>
        <w:ind w:left="899"/>
        <w:rPr>
          <w:rFonts w:cs="Times New Roman"/>
          <w:sz w:val="21"/>
        </w:rPr>
      </w:pPr>
      <w:r>
        <w:rPr>
          <w:rFonts w:hint="eastAsia" w:cs="Times New Roman"/>
          <w:sz w:val="21"/>
        </w:rPr>
        <w:t>⑵用于本工程的人工发生价格波动时，可在</w:t>
      </w:r>
      <w:r>
        <w:rPr>
          <w:rFonts w:hint="eastAsia" w:cs="Times New Roman"/>
          <w:b/>
          <w:i/>
          <w:sz w:val="21"/>
        </w:rPr>
        <w:t>专用条款</w:t>
      </w:r>
      <w:r>
        <w:rPr>
          <w:rFonts w:hint="eastAsia" w:cs="Times New Roman"/>
          <w:sz w:val="21"/>
        </w:rPr>
        <w:t>中约定一种调差方式：</w:t>
      </w:r>
    </w:p>
    <w:p w14:paraId="71E914DB">
      <w:pPr>
        <w:widowControl w:val="0"/>
        <w:tabs>
          <w:tab w:val="left" w:pos="1620"/>
          <w:tab w:val="left" w:pos="2340"/>
        </w:tabs>
        <w:spacing w:before="156" w:after="156"/>
        <w:ind w:left="899"/>
        <w:rPr>
          <w:rFonts w:cs="Times New Roman"/>
          <w:sz w:val="21"/>
        </w:rPr>
      </w:pPr>
      <w:r>
        <w:rPr>
          <w:rFonts w:hint="eastAsia" w:cs="Times New Roman"/>
          <w:sz w:val="21"/>
        </w:rPr>
        <w:t>①按照20.5款调差公式，将公式中的材料价格替换为人工价格，调整合同价格。其中，</w:t>
      </w:r>
      <w:r>
        <w:rPr>
          <w:rFonts w:hint="eastAsia" w:cs="Times New Roman"/>
          <w:kern w:val="2"/>
        </w:rPr>
        <w:t>P</w:t>
      </w:r>
      <w:r>
        <w:rPr>
          <w:rFonts w:hint="eastAsia" w:cs="Times New Roman"/>
          <w:kern w:val="2"/>
          <w:vertAlign w:val="subscript"/>
        </w:rPr>
        <w:t>0</w:t>
      </w:r>
      <w:r>
        <w:rPr>
          <w:rFonts w:hint="eastAsia" w:cs="Times New Roman"/>
          <w:sz w:val="21"/>
        </w:rPr>
        <w:t>为投标截止日期前35天的当月或专用条款约定月份《深圳建设工程价格信息》某人工定额工日价格；</w:t>
      </w:r>
      <w:r>
        <w:rPr>
          <w:rFonts w:hint="eastAsia" w:cs="Times New Roman"/>
          <w:kern w:val="2"/>
        </w:rPr>
        <w:t>P</w:t>
      </w:r>
      <w:r>
        <w:rPr>
          <w:rFonts w:hint="eastAsia" w:cs="Times New Roman"/>
          <w:kern w:val="2"/>
          <w:vertAlign w:val="subscript"/>
        </w:rPr>
        <w:t>i</w:t>
      </w:r>
      <w:r>
        <w:rPr>
          <w:rFonts w:hint="eastAsia" w:cs="Times New Roman"/>
          <w:sz w:val="21"/>
        </w:rPr>
        <w:t>为施工期第i个月《深圳建设工程价格信息》某人工定额工日价格。或；</w:t>
      </w:r>
    </w:p>
    <w:p w14:paraId="08FD89CA">
      <w:pPr>
        <w:widowControl w:val="0"/>
        <w:snapToGrid w:val="0"/>
        <w:ind w:firstLine="945" w:firstLineChars="450"/>
        <w:jc w:val="both"/>
        <w:rPr>
          <w:rFonts w:ascii="Calibri" w:hAnsi="Calibri" w:cs="Times New Roman"/>
          <w:kern w:val="2"/>
          <w:sz w:val="21"/>
          <w:szCs w:val="22"/>
        </w:rPr>
      </w:pPr>
      <w:r>
        <w:rPr>
          <w:rFonts w:hint="eastAsia" w:cs="Times New Roman"/>
          <w:kern w:val="2"/>
          <w:sz w:val="21"/>
          <w:szCs w:val="21"/>
        </w:rPr>
        <w:t>②按照人工费指数调差：</w:t>
      </w:r>
    </w:p>
    <w:p w14:paraId="3346CDA2">
      <w:pPr>
        <w:widowControl w:val="0"/>
        <w:snapToGrid w:val="0"/>
        <w:ind w:firstLine="945" w:firstLineChars="450"/>
        <w:jc w:val="both"/>
        <w:rPr>
          <w:rFonts w:cs="Times New Roman"/>
          <w:kern w:val="2"/>
          <w:sz w:val="21"/>
          <w:szCs w:val="21"/>
        </w:rPr>
      </w:pPr>
      <w:r>
        <w:rPr>
          <w:rFonts w:cs="Times New Roman"/>
          <w:kern w:val="2"/>
          <w:sz w:val="21"/>
          <w:szCs w:val="21"/>
        </w:rPr>
        <w:t>当</w:t>
      </w:r>
      <w:r>
        <w:rPr>
          <w:rFonts w:ascii="Symbol" w:hAnsi="Symbol" w:cs="Times New Roman"/>
          <w:kern w:val="2"/>
          <w:sz w:val="21"/>
          <w:szCs w:val="21"/>
        </w:rPr>
        <w:sym w:font="Symbol" w:char="F060"/>
      </w:r>
      <w:r>
        <w:rPr>
          <w:rFonts w:ascii="Cambria" w:hAnsi="Cambria" w:cs="Times New Roman"/>
          <w:i/>
          <w:kern w:val="2"/>
          <w:sz w:val="21"/>
          <w:szCs w:val="21"/>
        </w:rPr>
        <w:t>I</w:t>
      </w:r>
      <w:r>
        <w:rPr>
          <w:rFonts w:cs="Times New Roman"/>
          <w:kern w:val="2"/>
          <w:sz w:val="21"/>
          <w:szCs w:val="21"/>
        </w:rPr>
        <w:t>/I</w:t>
      </w:r>
      <w:r>
        <w:rPr>
          <w:rFonts w:cs="Times New Roman"/>
          <w:kern w:val="2"/>
          <w:sz w:val="21"/>
          <w:szCs w:val="21"/>
          <w:vertAlign w:val="subscript"/>
        </w:rPr>
        <w:t>o</w:t>
      </w:r>
      <w:r>
        <w:rPr>
          <w:rFonts w:cs="Times New Roman"/>
          <w:kern w:val="2"/>
          <w:sz w:val="21"/>
          <w:szCs w:val="21"/>
        </w:rPr>
        <w:t>﹥1.05时，则：C</w:t>
      </w:r>
      <w:r>
        <w:rPr>
          <w:rFonts w:cs="Times New Roman"/>
          <w:kern w:val="2"/>
          <w:sz w:val="21"/>
          <w:szCs w:val="21"/>
          <w:vertAlign w:val="subscript"/>
        </w:rPr>
        <w:t>增</w:t>
      </w:r>
      <w:r>
        <w:rPr>
          <w:rFonts w:cs="Times New Roman"/>
          <w:kern w:val="2"/>
          <w:sz w:val="21"/>
          <w:szCs w:val="21"/>
        </w:rPr>
        <w:t>=L</w:t>
      </w:r>
      <w:r>
        <w:rPr>
          <w:rFonts w:cs="Times New Roman"/>
          <w:kern w:val="2"/>
          <w:sz w:val="21"/>
          <w:szCs w:val="21"/>
          <w:vertAlign w:val="subscript"/>
        </w:rPr>
        <w:t>总</w:t>
      </w:r>
      <w:r>
        <w:rPr>
          <w:rFonts w:hint="eastAsia" w:cs="Times New Roman"/>
          <w:kern w:val="2"/>
          <w:sz w:val="21"/>
          <w:szCs w:val="21"/>
        </w:rPr>
        <w:t>×(</w:t>
      </w:r>
      <w:r>
        <w:rPr>
          <w:rFonts w:ascii="Symbol" w:hAnsi="Symbol" w:cs="Times New Roman"/>
          <w:kern w:val="2"/>
          <w:sz w:val="21"/>
          <w:szCs w:val="21"/>
        </w:rPr>
        <w:sym w:font="Symbol" w:char="F060"/>
      </w:r>
      <w:r>
        <w:rPr>
          <w:rFonts w:ascii="Cambria" w:hAnsi="Cambria" w:cs="Times New Roman"/>
          <w:i/>
          <w:kern w:val="2"/>
          <w:sz w:val="21"/>
          <w:szCs w:val="21"/>
        </w:rPr>
        <w:t>I</w:t>
      </w:r>
      <w:r>
        <w:rPr>
          <w:rFonts w:cs="Times New Roman"/>
          <w:kern w:val="2"/>
          <w:sz w:val="21"/>
          <w:szCs w:val="21"/>
        </w:rPr>
        <w:t>/I</w:t>
      </w:r>
      <w:r>
        <w:rPr>
          <w:rFonts w:cs="Times New Roman"/>
          <w:kern w:val="2"/>
          <w:sz w:val="21"/>
          <w:szCs w:val="21"/>
          <w:vertAlign w:val="subscript"/>
        </w:rPr>
        <w:t>o</w:t>
      </w:r>
      <w:r>
        <w:rPr>
          <w:rFonts w:cs="Times New Roman"/>
          <w:kern w:val="2"/>
          <w:sz w:val="21"/>
          <w:szCs w:val="21"/>
        </w:rPr>
        <w:t>-1.05</w:t>
      </w:r>
      <w:r>
        <w:rPr>
          <w:rFonts w:hint="eastAsia" w:cs="Times New Roman"/>
          <w:kern w:val="2"/>
          <w:sz w:val="21"/>
          <w:szCs w:val="21"/>
        </w:rPr>
        <w:t>)；</w:t>
      </w:r>
    </w:p>
    <w:p w14:paraId="047A5A19">
      <w:pPr>
        <w:widowControl w:val="0"/>
        <w:snapToGrid w:val="0"/>
        <w:ind w:firstLine="945" w:firstLineChars="450"/>
        <w:jc w:val="both"/>
        <w:rPr>
          <w:rFonts w:cs="Times New Roman"/>
          <w:kern w:val="2"/>
          <w:sz w:val="21"/>
          <w:szCs w:val="21"/>
        </w:rPr>
      </w:pPr>
      <w:r>
        <w:rPr>
          <w:rFonts w:cs="Times New Roman"/>
          <w:kern w:val="2"/>
          <w:sz w:val="21"/>
          <w:szCs w:val="21"/>
        </w:rPr>
        <w:t>当</w:t>
      </w:r>
      <w:r>
        <w:rPr>
          <w:rFonts w:ascii="Symbol" w:hAnsi="Symbol" w:cs="Times New Roman"/>
          <w:kern w:val="2"/>
          <w:sz w:val="21"/>
          <w:szCs w:val="21"/>
        </w:rPr>
        <w:sym w:font="Symbol" w:char="F060"/>
      </w:r>
      <w:r>
        <w:rPr>
          <w:rFonts w:ascii="Cambria" w:hAnsi="Cambria" w:cs="Times New Roman"/>
          <w:i/>
          <w:kern w:val="2"/>
          <w:sz w:val="21"/>
          <w:szCs w:val="21"/>
        </w:rPr>
        <w:t>I</w:t>
      </w:r>
      <w:r>
        <w:rPr>
          <w:rFonts w:cs="Times New Roman"/>
          <w:kern w:val="2"/>
          <w:sz w:val="21"/>
          <w:szCs w:val="21"/>
        </w:rPr>
        <w:t>/I</w:t>
      </w:r>
      <w:r>
        <w:rPr>
          <w:rFonts w:cs="Times New Roman"/>
          <w:kern w:val="2"/>
          <w:sz w:val="21"/>
          <w:szCs w:val="21"/>
          <w:vertAlign w:val="subscript"/>
        </w:rPr>
        <w:t>o</w:t>
      </w:r>
      <w:r>
        <w:rPr>
          <w:rFonts w:cs="Times New Roman"/>
          <w:kern w:val="2"/>
          <w:sz w:val="21"/>
          <w:szCs w:val="21"/>
        </w:rPr>
        <w:t>﹤0.95时，则：C</w:t>
      </w:r>
      <w:r>
        <w:rPr>
          <w:rFonts w:cs="Times New Roman"/>
          <w:kern w:val="2"/>
          <w:sz w:val="21"/>
          <w:szCs w:val="21"/>
          <w:vertAlign w:val="subscript"/>
        </w:rPr>
        <w:t>减</w:t>
      </w:r>
      <w:r>
        <w:rPr>
          <w:rFonts w:cs="Times New Roman"/>
          <w:kern w:val="2"/>
          <w:sz w:val="21"/>
          <w:szCs w:val="21"/>
        </w:rPr>
        <w:t>=L</w:t>
      </w:r>
      <w:r>
        <w:rPr>
          <w:rFonts w:cs="Times New Roman"/>
          <w:kern w:val="2"/>
          <w:sz w:val="21"/>
          <w:szCs w:val="21"/>
          <w:vertAlign w:val="subscript"/>
        </w:rPr>
        <w:t>总</w:t>
      </w:r>
      <w:r>
        <w:rPr>
          <w:rFonts w:hint="eastAsia" w:cs="Times New Roman"/>
          <w:kern w:val="2"/>
          <w:sz w:val="21"/>
          <w:szCs w:val="21"/>
        </w:rPr>
        <w:t>×(</w:t>
      </w:r>
      <w:r>
        <w:rPr>
          <w:rFonts w:cs="Times New Roman"/>
          <w:kern w:val="2"/>
          <w:sz w:val="21"/>
          <w:szCs w:val="21"/>
        </w:rPr>
        <w:t>0.95-</w:t>
      </w:r>
      <w:r>
        <w:rPr>
          <w:rFonts w:ascii="Symbol" w:hAnsi="Symbol" w:cs="Times New Roman"/>
          <w:kern w:val="2"/>
          <w:sz w:val="21"/>
          <w:szCs w:val="21"/>
        </w:rPr>
        <w:sym w:font="Symbol" w:char="F060"/>
      </w:r>
      <w:r>
        <w:rPr>
          <w:rFonts w:ascii="Cambria" w:hAnsi="Cambria" w:cs="Times New Roman"/>
          <w:i/>
          <w:kern w:val="2"/>
          <w:sz w:val="21"/>
          <w:szCs w:val="21"/>
        </w:rPr>
        <w:t>I</w:t>
      </w:r>
      <w:r>
        <w:rPr>
          <w:rFonts w:cs="Times New Roman"/>
          <w:kern w:val="2"/>
          <w:sz w:val="21"/>
          <w:szCs w:val="21"/>
        </w:rPr>
        <w:t>/I</w:t>
      </w:r>
      <w:r>
        <w:rPr>
          <w:rFonts w:cs="Times New Roman"/>
          <w:kern w:val="2"/>
          <w:sz w:val="21"/>
          <w:szCs w:val="21"/>
          <w:vertAlign w:val="subscript"/>
        </w:rPr>
        <w:t>o</w:t>
      </w:r>
      <w:r>
        <w:rPr>
          <w:rFonts w:hint="eastAsia" w:cs="Times New Roman"/>
          <w:kern w:val="2"/>
          <w:sz w:val="21"/>
          <w:szCs w:val="21"/>
        </w:rPr>
        <w:t>)</w:t>
      </w:r>
    </w:p>
    <w:p w14:paraId="065503DC">
      <w:pPr>
        <w:widowControl w:val="0"/>
        <w:ind w:firstLine="945" w:firstLineChars="450"/>
        <w:jc w:val="both"/>
        <w:rPr>
          <w:rFonts w:cs="Times New Roman"/>
          <w:kern w:val="2"/>
          <w:sz w:val="21"/>
          <w:szCs w:val="21"/>
        </w:rPr>
      </w:pPr>
      <w:r>
        <w:rPr>
          <w:rFonts w:hint="eastAsia" w:cs="Times New Roman"/>
          <w:kern w:val="2"/>
          <w:sz w:val="21"/>
          <w:szCs w:val="21"/>
        </w:rPr>
        <w:t>式中：</w:t>
      </w:r>
    </w:p>
    <w:p w14:paraId="5AEC9495">
      <w:pPr>
        <w:widowControl w:val="0"/>
        <w:snapToGrid w:val="0"/>
        <w:ind w:left="1200" w:leftChars="500"/>
        <w:jc w:val="both"/>
        <w:rPr>
          <w:rFonts w:cs="Times New Roman"/>
          <w:kern w:val="2"/>
          <w:sz w:val="21"/>
        </w:rPr>
      </w:pPr>
      <w:r>
        <w:rPr>
          <w:rFonts w:ascii="Symbol" w:hAnsi="Symbol" w:cs="Times New Roman"/>
          <w:kern w:val="2"/>
          <w:sz w:val="21"/>
          <w:szCs w:val="21"/>
        </w:rPr>
        <w:sym w:font="Symbol" w:char="F060"/>
      </w:r>
      <w:r>
        <w:rPr>
          <w:rFonts w:ascii="Cambria" w:hAnsi="Cambria" w:cs="Times New Roman"/>
          <w:i/>
          <w:kern w:val="2"/>
          <w:sz w:val="21"/>
          <w:szCs w:val="21"/>
        </w:rPr>
        <w:t>I</w:t>
      </w:r>
      <w:r>
        <w:rPr>
          <w:rFonts w:cs="Times New Roman"/>
          <w:kern w:val="2"/>
        </w:rPr>
        <w:fldChar w:fldCharType="begin"/>
      </w:r>
      <w:r>
        <w:rPr>
          <w:rFonts w:cs="Times New Roman"/>
          <w:kern w:val="2"/>
        </w:rPr>
        <w:instrText xml:space="preserve"> QUOTE </w:instrText>
      </w:r>
      <w:r>
        <w:rPr>
          <w:rFonts w:ascii="Times New Roman" w:hAnsi="Times New Roman" w:cs="Times New Roman"/>
          <w:kern w:val="2"/>
          <w:position w:val="-5"/>
          <w:sz w:val="21"/>
        </w:rPr>
        <w:pict>
          <v:shape id="_x0000_i1025" o:spt="75" type="#_x0000_t75" style="height:15pt;width:8.25pt;" filled="f" coordsize="21600,21600" equationxml="&lt;">
            <v:path/>
            <v:fill on="f" focussize="0,0"/>
            <v:stroke/>
            <v:imagedata r:id="rId9" chromakey="#FFFFFF" o:title=""/>
            <o:lock v:ext="edit" aspectratio="t"/>
            <w10:wrap type="none"/>
            <w10:anchorlock/>
          </v:shape>
        </w:pict>
      </w:r>
      <w:r>
        <w:rPr>
          <w:rFonts w:cs="Times New Roman"/>
          <w:kern w:val="2"/>
        </w:rPr>
        <w:fldChar w:fldCharType="end"/>
      </w:r>
      <w:r>
        <w:rPr>
          <w:rFonts w:hint="eastAsia" w:cs="Times New Roman"/>
          <w:kern w:val="2"/>
        </w:rPr>
        <w:t>-</w:t>
      </w:r>
      <w:r>
        <w:rPr>
          <w:rFonts w:hint="eastAsia" w:cs="Times New Roman"/>
          <w:kern w:val="2"/>
          <w:sz w:val="21"/>
        </w:rPr>
        <w:t>施工期平均定额人工费指数（即</w:t>
      </w:r>
      <w:r>
        <w:rPr>
          <w:rFonts w:hint="eastAsia" w:cs="Times New Roman"/>
          <w:kern w:val="2"/>
        </w:rPr>
        <w:t>∑</w:t>
      </w:r>
      <w:r>
        <w:rPr>
          <w:rFonts w:cs="Times New Roman"/>
          <w:kern w:val="2"/>
          <w:sz w:val="21"/>
          <w:szCs w:val="21"/>
        </w:rPr>
        <w:t>(L</w:t>
      </w:r>
      <w:r>
        <w:rPr>
          <w:rFonts w:cs="Times New Roman"/>
          <w:kern w:val="2"/>
          <w:sz w:val="21"/>
          <w:szCs w:val="21"/>
          <w:vertAlign w:val="subscript"/>
        </w:rPr>
        <w:t>i</w:t>
      </w:r>
      <w:r>
        <w:rPr>
          <w:rFonts w:hint="eastAsia" w:cs="Times New Roman"/>
          <w:kern w:val="2"/>
          <w:sz w:val="21"/>
          <w:szCs w:val="21"/>
        </w:rPr>
        <w:t>×</w:t>
      </w:r>
      <w:r>
        <w:rPr>
          <w:rFonts w:cs="Times New Roman"/>
          <w:kern w:val="2"/>
          <w:sz w:val="21"/>
          <w:szCs w:val="21"/>
        </w:rPr>
        <w:t>I</w:t>
      </w:r>
      <w:r>
        <w:rPr>
          <w:rFonts w:cs="Times New Roman"/>
          <w:kern w:val="2"/>
          <w:sz w:val="21"/>
          <w:szCs w:val="21"/>
          <w:vertAlign w:val="subscript"/>
        </w:rPr>
        <w:t>i</w:t>
      </w:r>
      <w:r>
        <w:rPr>
          <w:rFonts w:cs="Times New Roman"/>
          <w:kern w:val="2"/>
          <w:sz w:val="21"/>
          <w:szCs w:val="21"/>
        </w:rPr>
        <w:t>)/L</w:t>
      </w:r>
      <w:r>
        <w:rPr>
          <w:rFonts w:cs="Times New Roman"/>
          <w:kern w:val="2"/>
          <w:sz w:val="21"/>
          <w:szCs w:val="21"/>
          <w:vertAlign w:val="subscript"/>
        </w:rPr>
        <w:t>总</w:t>
      </w:r>
      <w:r>
        <w:rPr>
          <w:rFonts w:hint="eastAsia" w:cs="Times New Roman"/>
          <w:kern w:val="2"/>
          <w:sz w:val="21"/>
          <w:szCs w:val="21"/>
        </w:rPr>
        <w:t>，</w:t>
      </w:r>
      <w:r>
        <w:rPr>
          <w:rFonts w:cs="Times New Roman"/>
          <w:kern w:val="2"/>
          <w:sz w:val="21"/>
          <w:szCs w:val="21"/>
        </w:rPr>
        <w:t>L</w:t>
      </w:r>
      <w:r>
        <w:rPr>
          <w:rFonts w:cs="Times New Roman"/>
          <w:kern w:val="2"/>
          <w:sz w:val="21"/>
          <w:szCs w:val="21"/>
          <w:vertAlign w:val="subscript"/>
        </w:rPr>
        <w:t>i</w:t>
      </w:r>
      <w:r>
        <w:rPr>
          <w:rFonts w:hint="eastAsia" w:cs="Times New Roman"/>
          <w:kern w:val="2"/>
          <w:sz w:val="21"/>
          <w:szCs w:val="21"/>
        </w:rPr>
        <w:t>为施工期第</w:t>
      </w:r>
      <w:r>
        <w:rPr>
          <w:rFonts w:cs="Times New Roman"/>
          <w:kern w:val="2"/>
          <w:sz w:val="21"/>
          <w:szCs w:val="21"/>
        </w:rPr>
        <w:t>i</w:t>
      </w:r>
      <w:r>
        <w:rPr>
          <w:rFonts w:hint="eastAsia" w:cs="Times New Roman"/>
          <w:kern w:val="2"/>
          <w:sz w:val="21"/>
          <w:szCs w:val="21"/>
        </w:rPr>
        <w:t>个月某工种人工费</w:t>
      </w:r>
      <w:r>
        <w:rPr>
          <w:rFonts w:hint="eastAsia" w:cs="Times New Roman"/>
          <w:kern w:val="2"/>
        </w:rPr>
        <w:t>，</w:t>
      </w:r>
      <w:r>
        <w:rPr>
          <w:rFonts w:cs="Times New Roman"/>
          <w:kern w:val="2"/>
          <w:sz w:val="21"/>
          <w:szCs w:val="21"/>
        </w:rPr>
        <w:t>I</w:t>
      </w:r>
      <w:r>
        <w:rPr>
          <w:rFonts w:cs="Times New Roman"/>
          <w:kern w:val="2"/>
          <w:sz w:val="21"/>
          <w:szCs w:val="21"/>
          <w:vertAlign w:val="subscript"/>
        </w:rPr>
        <w:t>i</w:t>
      </w:r>
      <w:r>
        <w:rPr>
          <w:rFonts w:hint="eastAsia" w:cs="Times New Roman"/>
          <w:kern w:val="2"/>
          <w:sz w:val="21"/>
          <w:szCs w:val="21"/>
        </w:rPr>
        <w:t>为施工期第i个月当月《深圳建设工程价格信息》某工种定额人工费指数</w:t>
      </w:r>
      <w:r>
        <w:rPr>
          <w:rFonts w:hint="eastAsia" w:cs="Times New Roman"/>
          <w:kern w:val="2"/>
          <w:sz w:val="21"/>
        </w:rPr>
        <w:t>）；</w:t>
      </w:r>
    </w:p>
    <w:p w14:paraId="271AF5B9">
      <w:pPr>
        <w:widowControl w:val="0"/>
        <w:ind w:left="1200" w:leftChars="500"/>
        <w:jc w:val="both"/>
        <w:rPr>
          <w:rFonts w:cs="Times New Roman"/>
          <w:kern w:val="2"/>
          <w:sz w:val="21"/>
          <w:szCs w:val="21"/>
        </w:rPr>
      </w:pPr>
      <w:r>
        <w:rPr>
          <w:rFonts w:cs="Times New Roman"/>
          <w:kern w:val="2"/>
          <w:sz w:val="21"/>
          <w:szCs w:val="21"/>
        </w:rPr>
        <w:t>I</w:t>
      </w:r>
      <w:r>
        <w:rPr>
          <w:rFonts w:cs="Times New Roman"/>
          <w:kern w:val="2"/>
          <w:sz w:val="21"/>
          <w:szCs w:val="21"/>
          <w:vertAlign w:val="subscript"/>
        </w:rPr>
        <w:t>o</w:t>
      </w:r>
      <w:r>
        <w:rPr>
          <w:rFonts w:hint="eastAsia" w:cs="Times New Roman"/>
          <w:kern w:val="2"/>
          <w:sz w:val="21"/>
          <w:szCs w:val="21"/>
        </w:rPr>
        <w:t>─投标截止日期前35天的当月或</w:t>
      </w:r>
      <w:r>
        <w:rPr>
          <w:rFonts w:hint="eastAsia" w:cs="Times New Roman"/>
          <w:b/>
          <w:i/>
          <w:kern w:val="2"/>
          <w:sz w:val="21"/>
          <w:szCs w:val="21"/>
        </w:rPr>
        <w:t>专用条款</w:t>
      </w:r>
      <w:r>
        <w:rPr>
          <w:rFonts w:hint="eastAsia" w:cs="Times New Roman"/>
          <w:kern w:val="2"/>
          <w:sz w:val="21"/>
          <w:szCs w:val="21"/>
        </w:rPr>
        <w:t>约定月份《深圳建设工程价格信息》某工种定额人工费指数；</w:t>
      </w:r>
    </w:p>
    <w:p w14:paraId="5A44C6BE">
      <w:pPr>
        <w:widowControl w:val="0"/>
        <w:ind w:firstLine="1050" w:firstLineChars="500"/>
        <w:jc w:val="both"/>
        <w:rPr>
          <w:rFonts w:cs="Times New Roman"/>
          <w:kern w:val="2"/>
          <w:sz w:val="21"/>
          <w:szCs w:val="21"/>
        </w:rPr>
      </w:pPr>
      <w:r>
        <w:rPr>
          <w:rFonts w:cs="Times New Roman"/>
          <w:kern w:val="2"/>
          <w:sz w:val="21"/>
          <w:szCs w:val="21"/>
        </w:rPr>
        <w:t>C</w:t>
      </w:r>
      <w:r>
        <w:rPr>
          <w:rFonts w:hint="eastAsia" w:cs="Times New Roman"/>
          <w:kern w:val="2"/>
          <w:sz w:val="21"/>
          <w:szCs w:val="21"/>
          <w:vertAlign w:val="subscript"/>
        </w:rPr>
        <w:t>增</w:t>
      </w:r>
      <w:r>
        <w:rPr>
          <w:rFonts w:hint="eastAsia" w:cs="Times New Roman"/>
          <w:kern w:val="2"/>
          <w:sz w:val="21"/>
          <w:szCs w:val="21"/>
        </w:rPr>
        <w:t>─调增合同价格；</w:t>
      </w:r>
    </w:p>
    <w:p w14:paraId="3D5C0703">
      <w:pPr>
        <w:widowControl w:val="0"/>
        <w:ind w:firstLine="1050" w:firstLineChars="500"/>
        <w:jc w:val="both"/>
        <w:rPr>
          <w:rFonts w:cs="Times New Roman"/>
          <w:kern w:val="2"/>
          <w:sz w:val="21"/>
          <w:szCs w:val="21"/>
        </w:rPr>
      </w:pPr>
      <w:r>
        <w:rPr>
          <w:rFonts w:cs="Times New Roman"/>
          <w:kern w:val="2"/>
          <w:sz w:val="21"/>
          <w:szCs w:val="21"/>
        </w:rPr>
        <w:t>C</w:t>
      </w:r>
      <w:r>
        <w:rPr>
          <w:rFonts w:hint="eastAsia" w:cs="Times New Roman"/>
          <w:kern w:val="2"/>
          <w:sz w:val="21"/>
          <w:szCs w:val="21"/>
          <w:vertAlign w:val="subscript"/>
        </w:rPr>
        <w:t>减</w:t>
      </w:r>
      <w:r>
        <w:rPr>
          <w:rFonts w:hint="eastAsia" w:cs="Times New Roman"/>
          <w:kern w:val="2"/>
          <w:sz w:val="21"/>
          <w:szCs w:val="21"/>
        </w:rPr>
        <w:t>─调减合同价格；</w:t>
      </w:r>
    </w:p>
    <w:p w14:paraId="00E0E343">
      <w:pPr>
        <w:widowControl w:val="0"/>
        <w:tabs>
          <w:tab w:val="left" w:pos="1620"/>
          <w:tab w:val="left" w:pos="2340"/>
        </w:tabs>
        <w:spacing w:after="156"/>
        <w:ind w:firstLine="1050" w:firstLineChars="500"/>
        <w:rPr>
          <w:rFonts w:cs="Times New Roman"/>
          <w:kern w:val="2"/>
          <w:sz w:val="21"/>
          <w:szCs w:val="21"/>
        </w:rPr>
      </w:pPr>
      <w:r>
        <w:rPr>
          <w:rFonts w:cs="Times New Roman"/>
          <w:kern w:val="2"/>
          <w:sz w:val="21"/>
          <w:szCs w:val="21"/>
        </w:rPr>
        <w:t>L</w:t>
      </w:r>
      <w:r>
        <w:rPr>
          <w:rFonts w:hint="eastAsia" w:cs="Times New Roman"/>
          <w:kern w:val="2"/>
          <w:sz w:val="21"/>
          <w:szCs w:val="21"/>
          <w:vertAlign w:val="subscript"/>
        </w:rPr>
        <w:t>总</w:t>
      </w:r>
      <w:r>
        <w:rPr>
          <w:rFonts w:hint="eastAsia" w:cs="Times New Roman"/>
          <w:kern w:val="2"/>
          <w:sz w:val="21"/>
          <w:szCs w:val="21"/>
        </w:rPr>
        <w:t>─本工程某工种总人工费，具体在</w:t>
      </w:r>
      <w:r>
        <w:rPr>
          <w:rFonts w:hint="eastAsia" w:cs="Times New Roman"/>
          <w:b/>
          <w:i/>
          <w:kern w:val="2"/>
          <w:sz w:val="21"/>
          <w:szCs w:val="21"/>
        </w:rPr>
        <w:t>专用条款</w:t>
      </w:r>
      <w:r>
        <w:rPr>
          <w:rFonts w:hint="eastAsia" w:cs="Times New Roman"/>
          <w:kern w:val="2"/>
          <w:sz w:val="21"/>
          <w:szCs w:val="21"/>
        </w:rPr>
        <w:t>约定。</w:t>
      </w:r>
    </w:p>
    <w:p w14:paraId="290DABB1">
      <w:pPr>
        <w:widowControl w:val="0"/>
        <w:numPr>
          <w:ilvl w:val="1"/>
          <w:numId w:val="2"/>
        </w:numPr>
        <w:tabs>
          <w:tab w:val="left" w:pos="540"/>
          <w:tab w:val="left" w:pos="576"/>
          <w:tab w:val="left" w:pos="900"/>
        </w:tabs>
        <w:spacing w:before="120" w:after="156"/>
        <w:ind w:left="359" w:firstLine="0"/>
        <w:outlineLvl w:val="1"/>
        <w:rPr>
          <w:rFonts w:cs="Times New Roman"/>
          <w:b/>
          <w:bCs/>
          <w:szCs w:val="32"/>
        </w:rPr>
      </w:pPr>
      <w:r>
        <w:rPr>
          <w:rFonts w:hint="eastAsia" w:cs="Times New Roman"/>
          <w:b/>
          <w:bCs/>
          <w:szCs w:val="32"/>
        </w:rPr>
        <w:t>合同价格调整程序</w:t>
      </w:r>
    </w:p>
    <w:p w14:paraId="60156CA0">
      <w:pPr>
        <w:widowControl w:val="0"/>
        <w:tabs>
          <w:tab w:val="left" w:pos="1620"/>
          <w:tab w:val="left" w:pos="2340"/>
        </w:tabs>
        <w:spacing w:before="156" w:after="156"/>
        <w:ind w:left="899"/>
        <w:rPr>
          <w:rFonts w:cs="Times New Roman"/>
          <w:sz w:val="21"/>
        </w:rPr>
      </w:pPr>
      <w:r>
        <w:rPr>
          <w:rFonts w:hint="eastAsia" w:cs="Times New Roman"/>
          <w:sz w:val="21"/>
        </w:rPr>
        <w:t>⑴承包人应在20.2款约定的合同价格调整情况发生后14天内，将调整原因、金额书面提交给</w:t>
      </w:r>
      <w:r>
        <w:rPr>
          <w:rFonts w:cs="Times New Roman"/>
          <w:sz w:val="21"/>
        </w:rPr>
        <w:t>监理人</w:t>
      </w:r>
      <w:r>
        <w:rPr>
          <w:rFonts w:hint="eastAsia" w:cs="Times New Roman"/>
          <w:sz w:val="21"/>
        </w:rPr>
        <w:t>，</w:t>
      </w:r>
      <w:r>
        <w:rPr>
          <w:rFonts w:cs="Times New Roman"/>
          <w:sz w:val="21"/>
        </w:rPr>
        <w:t>监理人</w:t>
      </w:r>
      <w:r>
        <w:rPr>
          <w:rFonts w:hint="eastAsia" w:cs="Times New Roman"/>
          <w:sz w:val="21"/>
        </w:rPr>
        <w:t>审核调整金额，并报发包人确认后作为追加(减)合同价格，与工程进度款同期支付。发包人收到通知后14天内未确认也未提出异议的，视为已经同意该项合同价格调整。</w:t>
      </w:r>
    </w:p>
    <w:p w14:paraId="5800B966">
      <w:pPr>
        <w:widowControl w:val="0"/>
        <w:tabs>
          <w:tab w:val="left" w:pos="1620"/>
          <w:tab w:val="left" w:pos="2340"/>
        </w:tabs>
        <w:ind w:left="899"/>
        <w:rPr>
          <w:rFonts w:cs="Times New Roman"/>
          <w:sz w:val="21"/>
        </w:rPr>
      </w:pPr>
      <w:r>
        <w:rPr>
          <w:rFonts w:hint="eastAsia" w:cs="Times New Roman"/>
          <w:sz w:val="21"/>
        </w:rPr>
        <w:t>⑵当20.2款约定的合同价格调整情况持续进行时，承包人应阶段性向</w:t>
      </w:r>
      <w:r>
        <w:rPr>
          <w:rFonts w:cs="Times New Roman"/>
          <w:sz w:val="21"/>
        </w:rPr>
        <w:t>监理人</w:t>
      </w:r>
      <w:r>
        <w:rPr>
          <w:rFonts w:hint="eastAsia" w:cs="Times New Roman"/>
          <w:sz w:val="21"/>
        </w:rPr>
        <w:t>书面提交</w:t>
      </w:r>
      <w:r>
        <w:rPr>
          <w:rFonts w:cs="Times New Roman"/>
          <w:sz w:val="21"/>
        </w:rPr>
        <w:t>调整合同价格</w:t>
      </w:r>
      <w:r>
        <w:rPr>
          <w:rFonts w:hint="eastAsia" w:cs="Times New Roman"/>
          <w:sz w:val="21"/>
        </w:rPr>
        <w:t>报告，并在该情况终了后28天内，向监理人提交最终的</w:t>
      </w:r>
      <w:r>
        <w:rPr>
          <w:rFonts w:cs="Times New Roman"/>
          <w:sz w:val="21"/>
        </w:rPr>
        <w:t>调整合同价格</w:t>
      </w:r>
      <w:r>
        <w:rPr>
          <w:rFonts w:hint="eastAsia" w:cs="Times New Roman"/>
          <w:sz w:val="21"/>
        </w:rPr>
        <w:t>报告，</w:t>
      </w:r>
      <w:r>
        <w:rPr>
          <w:rFonts w:cs="Times New Roman"/>
          <w:sz w:val="21"/>
        </w:rPr>
        <w:t>监理人</w:t>
      </w:r>
      <w:r>
        <w:rPr>
          <w:rFonts w:hint="eastAsia" w:cs="Times New Roman"/>
          <w:sz w:val="21"/>
        </w:rPr>
        <w:t>审核和发包人确认程序与20.7⑴款约定相同。</w:t>
      </w:r>
    </w:p>
    <w:p w14:paraId="488727B0">
      <w:pPr>
        <w:widowControl w:val="0"/>
        <w:tabs>
          <w:tab w:val="left" w:pos="1620"/>
          <w:tab w:val="left" w:pos="2340"/>
        </w:tabs>
        <w:spacing w:before="156" w:after="156"/>
        <w:ind w:left="899"/>
        <w:rPr>
          <w:rFonts w:cs="Times New Roman"/>
          <w:sz w:val="21"/>
        </w:rPr>
      </w:pPr>
      <w:r>
        <w:rPr>
          <w:rFonts w:hint="eastAsia" w:cs="Times New Roman"/>
          <w:sz w:val="21"/>
        </w:rPr>
        <w:t>⑶当承包人未按20.7⑴、⑵款约定的时间内提出</w:t>
      </w:r>
      <w:r>
        <w:rPr>
          <w:rFonts w:cs="Times New Roman"/>
          <w:sz w:val="21"/>
        </w:rPr>
        <w:t>调整合同价格</w:t>
      </w:r>
      <w:r>
        <w:rPr>
          <w:rFonts w:hint="eastAsia" w:cs="Times New Roman"/>
          <w:sz w:val="21"/>
        </w:rPr>
        <w:t>报告的，发包人可自行决定是否</w:t>
      </w:r>
      <w:r>
        <w:rPr>
          <w:rFonts w:cs="Times New Roman"/>
          <w:sz w:val="21"/>
        </w:rPr>
        <w:t>调整合同价格</w:t>
      </w:r>
      <w:r>
        <w:rPr>
          <w:rFonts w:hint="eastAsia" w:cs="Times New Roman"/>
          <w:sz w:val="21"/>
        </w:rPr>
        <w:t>。发包人应在约定的</w:t>
      </w:r>
      <w:r>
        <w:rPr>
          <w:rFonts w:cs="Times New Roman"/>
          <w:sz w:val="21"/>
        </w:rPr>
        <w:t>合同价格调整</w:t>
      </w:r>
      <w:r>
        <w:rPr>
          <w:rFonts w:hint="eastAsia" w:cs="Times New Roman"/>
          <w:sz w:val="21"/>
        </w:rPr>
        <w:t>情况发生后28天内将不</w:t>
      </w:r>
      <w:r>
        <w:rPr>
          <w:rFonts w:cs="Times New Roman"/>
          <w:sz w:val="21"/>
        </w:rPr>
        <w:t>调整合同价格</w:t>
      </w:r>
      <w:r>
        <w:rPr>
          <w:rFonts w:hint="eastAsia" w:cs="Times New Roman"/>
          <w:sz w:val="21"/>
        </w:rPr>
        <w:t>的决定书面通知承包人；或将</w:t>
      </w:r>
      <w:r>
        <w:rPr>
          <w:rFonts w:cs="Times New Roman"/>
          <w:sz w:val="21"/>
        </w:rPr>
        <w:t>调整合同价格</w:t>
      </w:r>
      <w:r>
        <w:rPr>
          <w:rFonts w:hint="eastAsia" w:cs="Times New Roman"/>
          <w:sz w:val="21"/>
        </w:rPr>
        <w:t>报告提交给承包人确认。承包人收到报告14天内未确认也未提出异议的，视为已经同意该项</w:t>
      </w:r>
      <w:r>
        <w:rPr>
          <w:rFonts w:cs="Times New Roman"/>
          <w:sz w:val="21"/>
        </w:rPr>
        <w:t>合同价格调整</w:t>
      </w:r>
      <w:r>
        <w:rPr>
          <w:rFonts w:hint="eastAsia" w:cs="Times New Roman"/>
          <w:sz w:val="21"/>
        </w:rPr>
        <w:t>。</w:t>
      </w:r>
    </w:p>
    <w:p w14:paraId="7954C5D4">
      <w:pPr>
        <w:widowControl w:val="0"/>
        <w:tabs>
          <w:tab w:val="left" w:pos="1620"/>
          <w:tab w:val="left" w:pos="2340"/>
        </w:tabs>
        <w:spacing w:before="156" w:after="156"/>
        <w:ind w:left="899"/>
        <w:rPr>
          <w:rFonts w:cs="Times New Roman"/>
          <w:sz w:val="21"/>
        </w:rPr>
      </w:pPr>
      <w:r>
        <w:rPr>
          <w:rFonts w:hint="eastAsia" w:cs="Times New Roman"/>
          <w:sz w:val="21"/>
        </w:rPr>
        <w:t>⑷当约定的</w:t>
      </w:r>
      <w:r>
        <w:rPr>
          <w:rFonts w:cs="Times New Roman"/>
          <w:sz w:val="21"/>
        </w:rPr>
        <w:t>合同价格调整</w:t>
      </w:r>
      <w:r>
        <w:rPr>
          <w:rFonts w:hint="eastAsia" w:cs="Times New Roman"/>
          <w:sz w:val="21"/>
        </w:rPr>
        <w:t>情况发生后，发包人和承包人均未在前款约定时间内提出</w:t>
      </w:r>
      <w:r>
        <w:rPr>
          <w:rFonts w:cs="Times New Roman"/>
          <w:sz w:val="21"/>
        </w:rPr>
        <w:t>调整合同价格</w:t>
      </w:r>
      <w:r>
        <w:rPr>
          <w:rFonts w:hint="eastAsia" w:cs="Times New Roman"/>
          <w:sz w:val="21"/>
        </w:rPr>
        <w:t>意见，视为该调整情况的发生不涉及合同价格的调整。</w:t>
      </w:r>
    </w:p>
    <w:p w14:paraId="7EF214A5">
      <w:pPr>
        <w:widowControl w:val="0"/>
        <w:tabs>
          <w:tab w:val="left" w:pos="1620"/>
          <w:tab w:val="left" w:pos="2340"/>
        </w:tabs>
        <w:spacing w:before="156" w:after="156"/>
        <w:ind w:left="899"/>
        <w:rPr>
          <w:rFonts w:cs="Times New Roman"/>
          <w:sz w:val="21"/>
        </w:rPr>
      </w:pPr>
      <w:r>
        <w:rPr>
          <w:rFonts w:cs="Times New Roman"/>
          <w:sz w:val="21"/>
        </w:rPr>
        <w:t>⑸</w:t>
      </w:r>
      <w:r>
        <w:rPr>
          <w:rFonts w:hint="eastAsia" w:cs="Times New Roman"/>
          <w:sz w:val="21"/>
        </w:rPr>
        <w:t>上述</w:t>
      </w:r>
      <w:r>
        <w:rPr>
          <w:rFonts w:cs="Times New Roman"/>
          <w:sz w:val="21"/>
        </w:rPr>
        <w:t>合同价格调整</w:t>
      </w:r>
      <w:r>
        <w:rPr>
          <w:rFonts w:hint="eastAsia" w:cs="Times New Roman"/>
          <w:sz w:val="21"/>
        </w:rPr>
        <w:t>有关文件的编制和审核均须经注册造价工程师签字盖章确认。经发包人和承包人确认调整的合同价格，作为追加(减)合同价款，应与工程进度款同期支付。</w:t>
      </w:r>
    </w:p>
    <w:p w14:paraId="71D4C6D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中标净下浮率</w:t>
      </w:r>
    </w:p>
    <w:p w14:paraId="3B0A62DB">
      <w:pPr>
        <w:widowControl w:val="0"/>
        <w:tabs>
          <w:tab w:val="left" w:pos="1620"/>
          <w:tab w:val="left" w:pos="2340"/>
        </w:tabs>
        <w:spacing w:before="156" w:after="156"/>
        <w:ind w:left="899"/>
        <w:rPr>
          <w:rFonts w:cs="Times New Roman"/>
          <w:sz w:val="21"/>
        </w:rPr>
      </w:pPr>
      <w:r>
        <w:rPr>
          <w:rFonts w:hint="eastAsia" w:cs="Times New Roman"/>
          <w:sz w:val="21"/>
        </w:rPr>
        <w:t>中标净下浮率是指中标价相对招标控制价的下浮比例，即：中标净下浮率=(招标控制价-中标价)/招标控制价，其中应扣除安全文明措施费、材料设备暂估价、专业工程暂估价、暂列金额等不可竞争性费用。本工程中标净下浮率应在</w:t>
      </w:r>
      <w:r>
        <w:rPr>
          <w:rFonts w:hint="eastAsia" w:cs="Times New Roman"/>
          <w:b/>
          <w:i/>
          <w:sz w:val="21"/>
        </w:rPr>
        <w:t>专用条款</w:t>
      </w:r>
      <w:r>
        <w:rPr>
          <w:rFonts w:hint="eastAsia" w:cs="Times New Roman"/>
          <w:sz w:val="21"/>
        </w:rPr>
        <w:t>中明确。</w:t>
      </w:r>
    </w:p>
    <w:p w14:paraId="6560865F">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询价采购</w:t>
      </w:r>
    </w:p>
    <w:p w14:paraId="54F00B20">
      <w:pPr>
        <w:widowControl w:val="0"/>
        <w:tabs>
          <w:tab w:val="left" w:pos="1620"/>
          <w:tab w:val="left" w:pos="2340"/>
        </w:tabs>
        <w:spacing w:before="156" w:after="156"/>
        <w:ind w:left="899"/>
        <w:rPr>
          <w:rFonts w:cs="Times New Roman"/>
          <w:sz w:val="21"/>
        </w:rPr>
      </w:pPr>
      <w:r>
        <w:rPr>
          <w:rFonts w:hint="eastAsia" w:cs="Times New Roman"/>
          <w:sz w:val="21"/>
        </w:rPr>
        <w:t>⑴未经招标竞价的材料设备同时满足下列情形的，承包人应当进行询价采购：</w:t>
      </w:r>
    </w:p>
    <w:p w14:paraId="3787C0DD">
      <w:pPr>
        <w:widowControl w:val="0"/>
        <w:tabs>
          <w:tab w:val="left" w:pos="1620"/>
          <w:tab w:val="left" w:pos="2340"/>
        </w:tabs>
        <w:ind w:left="1079"/>
        <w:rPr>
          <w:rFonts w:cs="Times New Roman"/>
          <w:sz w:val="21"/>
        </w:rPr>
      </w:pPr>
      <w:r>
        <w:rPr>
          <w:rFonts w:hint="eastAsia" w:cs="Times New Roman"/>
          <w:sz w:val="21"/>
        </w:rPr>
        <w:t>①因工程变更而增加的材料设备、暂估价中包含的材料设备等依法不需要另行招标的；</w:t>
      </w:r>
    </w:p>
    <w:p w14:paraId="382DE74E">
      <w:pPr>
        <w:widowControl w:val="0"/>
        <w:tabs>
          <w:tab w:val="left" w:pos="1620"/>
          <w:tab w:val="left" w:pos="2340"/>
        </w:tabs>
        <w:ind w:left="1079"/>
        <w:rPr>
          <w:rFonts w:cs="Times New Roman"/>
          <w:sz w:val="21"/>
        </w:rPr>
      </w:pPr>
      <w:r>
        <w:rPr>
          <w:rFonts w:hint="eastAsia" w:cs="Times New Roman"/>
          <w:sz w:val="21"/>
        </w:rPr>
        <w:t>②采购期前一年内《深圳建设工程价格信息》上未刊登价格；</w:t>
      </w:r>
    </w:p>
    <w:p w14:paraId="39DA135B">
      <w:pPr>
        <w:widowControl w:val="0"/>
        <w:tabs>
          <w:tab w:val="left" w:pos="1620"/>
          <w:tab w:val="left" w:pos="2340"/>
        </w:tabs>
        <w:ind w:left="1079"/>
        <w:rPr>
          <w:rFonts w:cs="Times New Roman"/>
          <w:sz w:val="21"/>
        </w:rPr>
      </w:pPr>
      <w:r>
        <w:rPr>
          <w:rFonts w:hint="eastAsia" w:cs="Times New Roman"/>
          <w:sz w:val="21"/>
        </w:rPr>
        <w:t>③采购估算价超过二十万元。</w:t>
      </w:r>
    </w:p>
    <w:p w14:paraId="685C6972">
      <w:pPr>
        <w:widowControl w:val="0"/>
        <w:tabs>
          <w:tab w:val="left" w:pos="1620"/>
          <w:tab w:val="left" w:pos="2340"/>
        </w:tabs>
        <w:spacing w:before="156" w:after="156"/>
        <w:ind w:left="899"/>
        <w:rPr>
          <w:rFonts w:cs="Times New Roman"/>
          <w:sz w:val="21"/>
        </w:rPr>
      </w:pPr>
      <w:r>
        <w:rPr>
          <w:rFonts w:hint="eastAsia" w:cs="Times New Roman"/>
          <w:sz w:val="21"/>
        </w:rPr>
        <w:t>⑵承包人担任上述材料设备的采购人，采购活动在</w:t>
      </w:r>
      <w:r>
        <w:rPr>
          <w:rFonts w:hint="eastAsia" w:cs="Times New Roman"/>
          <w:b/>
          <w:i/>
          <w:sz w:val="21"/>
        </w:rPr>
        <w:t>专用条款</w:t>
      </w:r>
      <w:r>
        <w:rPr>
          <w:rFonts w:hint="eastAsia" w:cs="Times New Roman"/>
          <w:sz w:val="21"/>
        </w:rPr>
        <w:t>约定的询价采购网络服务平台进行。</w:t>
      </w:r>
    </w:p>
    <w:p w14:paraId="66675085">
      <w:pPr>
        <w:widowControl w:val="0"/>
        <w:tabs>
          <w:tab w:val="left" w:pos="1620"/>
          <w:tab w:val="left" w:pos="2340"/>
        </w:tabs>
        <w:spacing w:before="156" w:after="156"/>
        <w:ind w:left="899"/>
        <w:rPr>
          <w:rFonts w:cs="Times New Roman"/>
          <w:sz w:val="21"/>
        </w:rPr>
      </w:pPr>
      <w:r>
        <w:rPr>
          <w:rFonts w:hint="eastAsia" w:cs="Times New Roman"/>
          <w:sz w:val="21"/>
        </w:rPr>
        <w:t>⑶询价采购活动按以下程序进行，询价采购确定的成交价格可作为工程计价、造价审查及审计的依据。</w:t>
      </w:r>
    </w:p>
    <w:p w14:paraId="7A1A33DC">
      <w:pPr>
        <w:widowControl w:val="0"/>
        <w:tabs>
          <w:tab w:val="left" w:pos="1620"/>
          <w:tab w:val="left" w:pos="2340"/>
        </w:tabs>
        <w:ind w:left="1079"/>
        <w:rPr>
          <w:rFonts w:cs="Times New Roman"/>
          <w:sz w:val="21"/>
        </w:rPr>
      </w:pPr>
      <w:r>
        <w:rPr>
          <w:rFonts w:hint="eastAsia" w:cs="Times New Roman"/>
          <w:sz w:val="21"/>
        </w:rPr>
        <w:t>①询价采购前，采购人按</w:t>
      </w:r>
      <w:r>
        <w:rPr>
          <w:rFonts w:hint="eastAsia" w:cs="Times New Roman"/>
          <w:b/>
          <w:i/>
          <w:sz w:val="21"/>
        </w:rPr>
        <w:t>专用条款</w:t>
      </w:r>
      <w:r>
        <w:rPr>
          <w:rFonts w:hint="eastAsia" w:cs="Times New Roman"/>
          <w:sz w:val="21"/>
        </w:rPr>
        <w:t>约定成立询价采购小组，小组由五人以上单数组成，成员可从与询价采购活动相关的发包人、承包人、监理人、设计人、造价咨询单位中选取；</w:t>
      </w:r>
    </w:p>
    <w:p w14:paraId="24F6562D">
      <w:pPr>
        <w:widowControl w:val="0"/>
        <w:tabs>
          <w:tab w:val="left" w:pos="1620"/>
          <w:tab w:val="left" w:pos="2340"/>
        </w:tabs>
        <w:ind w:left="1079"/>
        <w:rPr>
          <w:rFonts w:cs="Times New Roman"/>
          <w:sz w:val="21"/>
        </w:rPr>
      </w:pPr>
      <w:r>
        <w:rPr>
          <w:rFonts w:hint="eastAsia" w:cs="Times New Roman"/>
          <w:sz w:val="21"/>
        </w:rPr>
        <w:t>②采购人按相关办法规定及</w:t>
      </w:r>
      <w:r>
        <w:rPr>
          <w:rFonts w:hint="eastAsia" w:cs="Times New Roman"/>
          <w:b/>
          <w:i/>
          <w:sz w:val="21"/>
        </w:rPr>
        <w:t>专用条款</w:t>
      </w:r>
      <w:r>
        <w:rPr>
          <w:rFonts w:hint="eastAsia" w:cs="Times New Roman"/>
          <w:sz w:val="21"/>
        </w:rPr>
        <w:t>约定编制询价采购文件，并在询价采购网络服务平台发布；</w:t>
      </w:r>
    </w:p>
    <w:p w14:paraId="5DA2212E">
      <w:pPr>
        <w:widowControl w:val="0"/>
        <w:tabs>
          <w:tab w:val="left" w:pos="1620"/>
          <w:tab w:val="left" w:pos="2340"/>
        </w:tabs>
        <w:ind w:left="1079"/>
        <w:rPr>
          <w:rFonts w:cs="Times New Roman"/>
          <w:sz w:val="21"/>
        </w:rPr>
      </w:pPr>
      <w:r>
        <w:rPr>
          <w:rFonts w:hint="eastAsia" w:cs="Times New Roman"/>
          <w:sz w:val="21"/>
        </w:rPr>
        <w:t>③符合询价采购文件要求的供应商在报价截止日期前，通过询价采购网络服务平台一次性报出不得更改的价格；</w:t>
      </w:r>
    </w:p>
    <w:p w14:paraId="70C27912">
      <w:pPr>
        <w:widowControl w:val="0"/>
        <w:tabs>
          <w:tab w:val="left" w:pos="1620"/>
          <w:tab w:val="left" w:pos="2340"/>
        </w:tabs>
        <w:ind w:left="1079"/>
        <w:rPr>
          <w:rFonts w:cs="Times New Roman"/>
          <w:sz w:val="21"/>
        </w:rPr>
      </w:pPr>
      <w:r>
        <w:rPr>
          <w:rFonts w:hint="eastAsia" w:cs="Times New Roman"/>
          <w:sz w:val="21"/>
        </w:rPr>
        <w:t>④询价采购小组在评审时间内统一评审报价文件，在满足询价采购文件各项要求的情况下，按照性价比最优原则推荐不少于三家供应商。评审完成后，询价采购小组向采购人提交评审报告；</w:t>
      </w:r>
    </w:p>
    <w:p w14:paraId="238527EA">
      <w:pPr>
        <w:widowControl w:val="0"/>
        <w:tabs>
          <w:tab w:val="left" w:pos="1620"/>
          <w:tab w:val="left" w:pos="2340"/>
        </w:tabs>
        <w:ind w:left="1079"/>
        <w:rPr>
          <w:rFonts w:cs="Times New Roman"/>
          <w:sz w:val="21"/>
        </w:rPr>
      </w:pPr>
      <w:r>
        <w:rPr>
          <w:rFonts w:hint="eastAsia" w:cs="Times New Roman"/>
          <w:sz w:val="21"/>
        </w:rPr>
        <w:t>⑤采购人根据询价采购小组意见及相关规定，确定供应商及成交价格；</w:t>
      </w:r>
    </w:p>
    <w:p w14:paraId="0423675A">
      <w:pPr>
        <w:widowControl w:val="0"/>
        <w:tabs>
          <w:tab w:val="left" w:pos="1620"/>
          <w:tab w:val="left" w:pos="2340"/>
        </w:tabs>
        <w:ind w:left="1079"/>
        <w:rPr>
          <w:rFonts w:cs="Times New Roman"/>
          <w:sz w:val="21"/>
        </w:rPr>
      </w:pPr>
      <w:r>
        <w:rPr>
          <w:rFonts w:hint="eastAsia" w:cs="Times New Roman"/>
          <w:sz w:val="21"/>
        </w:rPr>
        <w:t>⑥采购人按相关办法规定对询价采购结果在询价采购网络服务平台进行公示。</w:t>
      </w:r>
    </w:p>
    <w:p w14:paraId="2D51C42E">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暂估价和暂列金额</w:t>
      </w:r>
    </w:p>
    <w:p w14:paraId="26AFEDA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材料设备暂估价</w:t>
      </w:r>
    </w:p>
    <w:p w14:paraId="7B19B7CD">
      <w:pPr>
        <w:widowControl w:val="0"/>
        <w:tabs>
          <w:tab w:val="left" w:pos="1620"/>
          <w:tab w:val="left" w:pos="2340"/>
        </w:tabs>
        <w:spacing w:before="156" w:after="156"/>
        <w:ind w:left="899"/>
        <w:rPr>
          <w:rFonts w:cs="Times New Roman"/>
          <w:sz w:val="21"/>
        </w:rPr>
      </w:pPr>
      <w:r>
        <w:rPr>
          <w:rFonts w:hint="eastAsia" w:cs="Times New Roman"/>
          <w:sz w:val="21"/>
        </w:rPr>
        <w:t>⑴材料设备暂估价是发包人在工程量清单中提供的用于支付必然发生但暂时不能确定的材料设备的单价。发包人、承包人应在</w:t>
      </w:r>
      <w:r>
        <w:rPr>
          <w:rFonts w:hint="eastAsia" w:cs="Times New Roman"/>
          <w:b/>
          <w:i/>
          <w:sz w:val="21"/>
        </w:rPr>
        <w:t>专用条款</w:t>
      </w:r>
      <w:r>
        <w:rPr>
          <w:rFonts w:hint="eastAsia" w:cs="Times New Roman"/>
          <w:sz w:val="21"/>
        </w:rPr>
        <w:t>中就上述材料设备的名称、规格、单位和暂估单价进行约定。该材料设备暂估价不作为竣工结算依据。</w:t>
      </w:r>
    </w:p>
    <w:p w14:paraId="73F48C9F">
      <w:pPr>
        <w:widowControl w:val="0"/>
        <w:tabs>
          <w:tab w:val="left" w:pos="1620"/>
          <w:tab w:val="left" w:pos="2340"/>
        </w:tabs>
        <w:spacing w:before="156" w:after="156"/>
        <w:ind w:left="899"/>
        <w:rPr>
          <w:rFonts w:cs="Times New Roman"/>
          <w:sz w:val="21"/>
        </w:rPr>
      </w:pPr>
      <w:r>
        <w:rPr>
          <w:rFonts w:hint="eastAsia" w:cs="Times New Roman"/>
          <w:sz w:val="21"/>
        </w:rPr>
        <w:t>⑵如21.1⑴款所述暂估的材料设备属按规定必须招标的，应由发包人提出技术标准和最高限价，由承包人通过招标方式确定该材料设备单价。</w:t>
      </w:r>
    </w:p>
    <w:p w14:paraId="2544BDDB">
      <w:pPr>
        <w:widowControl w:val="0"/>
        <w:tabs>
          <w:tab w:val="left" w:pos="1620"/>
          <w:tab w:val="left" w:pos="2340"/>
        </w:tabs>
        <w:spacing w:before="156"/>
        <w:ind w:left="899"/>
        <w:rPr>
          <w:rFonts w:cs="Times New Roman"/>
          <w:sz w:val="21"/>
        </w:rPr>
      </w:pPr>
      <w:r>
        <w:rPr>
          <w:rFonts w:hint="eastAsia" w:cs="Times New Roman"/>
          <w:sz w:val="21"/>
        </w:rPr>
        <w:t>⑶如21.1⑴款所述暂估的材料设备不属于按规定必须招标的，由承发包双方按</w:t>
      </w:r>
      <w:r>
        <w:rPr>
          <w:rFonts w:hint="eastAsia" w:cs="Times New Roman"/>
          <w:b/>
          <w:i/>
          <w:sz w:val="21"/>
        </w:rPr>
        <w:t>专用条款</w:t>
      </w:r>
      <w:r>
        <w:rPr>
          <w:rFonts w:hint="eastAsia" w:cs="Times New Roman"/>
          <w:sz w:val="21"/>
        </w:rPr>
        <w:t>中约定的方式确定该材料设备单价。</w:t>
      </w:r>
    </w:p>
    <w:p w14:paraId="34C92E17">
      <w:pPr>
        <w:widowControl w:val="0"/>
        <w:tabs>
          <w:tab w:val="left" w:pos="1620"/>
          <w:tab w:val="left" w:pos="2340"/>
        </w:tabs>
        <w:spacing w:before="156" w:after="156"/>
        <w:ind w:left="899"/>
        <w:rPr>
          <w:rFonts w:cs="Times New Roman"/>
          <w:sz w:val="21"/>
        </w:rPr>
      </w:pPr>
      <w:r>
        <w:rPr>
          <w:rFonts w:hint="eastAsia" w:cs="Times New Roman"/>
          <w:sz w:val="21"/>
        </w:rPr>
        <w:t>⑷材料设备暂估价应按承发包双方最终确认的价格调整价差，价差调整部分不计利润。</w:t>
      </w:r>
    </w:p>
    <w:p w14:paraId="54CFDB9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专业工程暂估价</w:t>
      </w:r>
    </w:p>
    <w:p w14:paraId="313873F0">
      <w:pPr>
        <w:widowControl w:val="0"/>
        <w:tabs>
          <w:tab w:val="left" w:pos="1620"/>
          <w:tab w:val="left" w:pos="2340"/>
        </w:tabs>
        <w:spacing w:before="156" w:after="156"/>
        <w:ind w:left="899"/>
        <w:rPr>
          <w:rFonts w:cs="Times New Roman"/>
          <w:sz w:val="21"/>
        </w:rPr>
      </w:pPr>
      <w:r>
        <w:rPr>
          <w:rFonts w:hint="eastAsia" w:cs="Times New Roman"/>
          <w:sz w:val="21"/>
        </w:rPr>
        <w:t>⑴专业工程暂估价是发包人在工程量清单中提供的用于支付必然发生但暂时不能确定的专业工程金额。发包人、承包人应在</w:t>
      </w:r>
      <w:r>
        <w:rPr>
          <w:rFonts w:hint="eastAsia" w:cs="Times New Roman"/>
          <w:b/>
          <w:i/>
          <w:sz w:val="21"/>
        </w:rPr>
        <w:t>专用条款</w:t>
      </w:r>
      <w:r>
        <w:rPr>
          <w:rFonts w:hint="eastAsia" w:cs="Times New Roman"/>
          <w:sz w:val="21"/>
        </w:rPr>
        <w:t>中就上述专业工程的名称和暂估价款进行约定。该专业工程暂估价不作为结算依据。</w:t>
      </w:r>
    </w:p>
    <w:p w14:paraId="59C01188">
      <w:pPr>
        <w:widowControl w:val="0"/>
        <w:tabs>
          <w:tab w:val="left" w:pos="1620"/>
          <w:tab w:val="left" w:pos="2340"/>
        </w:tabs>
        <w:spacing w:before="156" w:after="156"/>
        <w:ind w:left="899"/>
        <w:rPr>
          <w:rFonts w:cs="Times New Roman"/>
          <w:sz w:val="21"/>
        </w:rPr>
      </w:pPr>
      <w:r>
        <w:rPr>
          <w:rFonts w:hint="eastAsia" w:cs="Times New Roman"/>
          <w:sz w:val="21"/>
        </w:rPr>
        <w:t>⑵如21.2⑴款所述暂估的专业工程属按规定必须招标的，应由发包人通过招标方式确定该专业工程结算价款。</w:t>
      </w:r>
    </w:p>
    <w:p w14:paraId="34CA3781">
      <w:pPr>
        <w:widowControl w:val="0"/>
        <w:tabs>
          <w:tab w:val="left" w:pos="1620"/>
          <w:tab w:val="left" w:pos="2340"/>
        </w:tabs>
        <w:spacing w:before="156" w:after="156"/>
        <w:ind w:left="899"/>
        <w:rPr>
          <w:rFonts w:cs="Times New Roman"/>
          <w:sz w:val="21"/>
        </w:rPr>
      </w:pPr>
      <w:r>
        <w:rPr>
          <w:rFonts w:hint="eastAsia" w:cs="Times New Roman"/>
          <w:sz w:val="21"/>
        </w:rPr>
        <w:t>⑶如21.2⑴款所述暂估的专业工程不属于按规定必须招标的，除</w:t>
      </w:r>
      <w:r>
        <w:rPr>
          <w:rFonts w:hint="eastAsia" w:cs="Times New Roman"/>
          <w:b/>
          <w:i/>
          <w:sz w:val="21"/>
        </w:rPr>
        <w:t>专用条款</w:t>
      </w:r>
      <w:r>
        <w:rPr>
          <w:rFonts w:hint="eastAsia" w:cs="Times New Roman"/>
          <w:sz w:val="21"/>
        </w:rPr>
        <w:t>另有约定外，发包人和承包人应按照本工程招标控制价的编制方法，根据专业工程施工图等计算，并按本工程净下浮率进行下浮调整确定该专业工程结算价款。</w:t>
      </w:r>
    </w:p>
    <w:p w14:paraId="64114180">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暂列金额</w:t>
      </w:r>
    </w:p>
    <w:p w14:paraId="5EFC5F5A">
      <w:pPr>
        <w:widowControl w:val="0"/>
        <w:tabs>
          <w:tab w:val="left" w:pos="1620"/>
          <w:tab w:val="left" w:pos="2340"/>
        </w:tabs>
        <w:spacing w:before="156"/>
        <w:ind w:left="899"/>
        <w:rPr>
          <w:rFonts w:cs="Times New Roman"/>
          <w:sz w:val="21"/>
        </w:rPr>
      </w:pPr>
      <w:r>
        <w:rPr>
          <w:rFonts w:hint="eastAsia" w:cs="Times New Roman"/>
          <w:sz w:val="21"/>
        </w:rPr>
        <w:t>⑴暂列金额是发包人在工程量清单中暂定并包括在签约合同价中的一笔款项，用于下列事项的费用支出：</w:t>
      </w:r>
    </w:p>
    <w:p w14:paraId="7D5A8A5F">
      <w:pPr>
        <w:widowControl w:val="0"/>
        <w:tabs>
          <w:tab w:val="left" w:pos="1620"/>
          <w:tab w:val="left" w:pos="2340"/>
        </w:tabs>
        <w:ind w:left="1079"/>
        <w:rPr>
          <w:rFonts w:cs="Times New Roman"/>
          <w:sz w:val="21"/>
        </w:rPr>
      </w:pPr>
      <w:r>
        <w:rPr>
          <w:rFonts w:hint="eastAsia" w:cs="Times New Roman"/>
          <w:sz w:val="21"/>
        </w:rPr>
        <w:t>①本合同签订时尚未确定或不可预见的所需材料、设备、服务的采购；</w:t>
      </w:r>
    </w:p>
    <w:p w14:paraId="3A9D92CB">
      <w:pPr>
        <w:widowControl w:val="0"/>
        <w:tabs>
          <w:tab w:val="left" w:pos="1620"/>
          <w:tab w:val="left" w:pos="2340"/>
        </w:tabs>
        <w:ind w:left="1079"/>
        <w:rPr>
          <w:rFonts w:cs="Times New Roman"/>
          <w:sz w:val="21"/>
        </w:rPr>
      </w:pPr>
      <w:r>
        <w:rPr>
          <w:rFonts w:hint="eastAsia" w:cs="Times New Roman"/>
          <w:sz w:val="21"/>
        </w:rPr>
        <w:t>②施工中可能发生的工程变更；</w:t>
      </w:r>
    </w:p>
    <w:p w14:paraId="1C764ADD">
      <w:pPr>
        <w:widowControl w:val="0"/>
        <w:tabs>
          <w:tab w:val="left" w:pos="1620"/>
          <w:tab w:val="left" w:pos="2340"/>
        </w:tabs>
        <w:ind w:left="1079"/>
        <w:rPr>
          <w:rFonts w:cs="Times New Roman"/>
          <w:sz w:val="21"/>
        </w:rPr>
      </w:pPr>
      <w:r>
        <w:rPr>
          <w:rFonts w:hint="eastAsia" w:cs="Times New Roman"/>
          <w:sz w:val="21"/>
        </w:rPr>
        <w:t>③合同约定调整因素出现时对合同价格所作的调整；</w:t>
      </w:r>
    </w:p>
    <w:p w14:paraId="402C4CAE">
      <w:pPr>
        <w:widowControl w:val="0"/>
        <w:tabs>
          <w:tab w:val="left" w:pos="1620"/>
          <w:tab w:val="left" w:pos="2340"/>
        </w:tabs>
        <w:ind w:left="1079"/>
        <w:rPr>
          <w:rFonts w:cs="Times New Roman"/>
          <w:sz w:val="21"/>
        </w:rPr>
      </w:pPr>
      <w:r>
        <w:rPr>
          <w:rFonts w:hint="eastAsia" w:cs="Times New Roman"/>
          <w:sz w:val="21"/>
        </w:rPr>
        <w:t>④索赔；</w:t>
      </w:r>
    </w:p>
    <w:p w14:paraId="2BCBFE71">
      <w:pPr>
        <w:widowControl w:val="0"/>
        <w:tabs>
          <w:tab w:val="left" w:pos="1620"/>
          <w:tab w:val="left" w:pos="2340"/>
        </w:tabs>
        <w:ind w:left="1079"/>
        <w:rPr>
          <w:rFonts w:cs="Times New Roman"/>
          <w:sz w:val="21"/>
        </w:rPr>
      </w:pPr>
      <w:r>
        <w:rPr>
          <w:rFonts w:hint="eastAsia" w:cs="Times New Roman"/>
          <w:sz w:val="21"/>
        </w:rPr>
        <w:t>⑤现场签证。</w:t>
      </w:r>
    </w:p>
    <w:p w14:paraId="731C031B">
      <w:pPr>
        <w:widowControl w:val="0"/>
        <w:tabs>
          <w:tab w:val="left" w:pos="1620"/>
          <w:tab w:val="left" w:pos="2340"/>
        </w:tabs>
        <w:spacing w:before="156" w:after="156"/>
        <w:ind w:left="899"/>
        <w:rPr>
          <w:rFonts w:cs="Times New Roman"/>
          <w:sz w:val="21"/>
        </w:rPr>
      </w:pPr>
      <w:r>
        <w:rPr>
          <w:rFonts w:hint="eastAsia" w:cs="Times New Roman"/>
          <w:sz w:val="21"/>
        </w:rPr>
        <w:t>⑵暂列金额是发包人为可能发生的费用而预留的金额，并非支付给承包人的实际费用。</w:t>
      </w:r>
      <w:r>
        <w:rPr>
          <w:rFonts w:cs="Times New Roman"/>
          <w:sz w:val="21"/>
        </w:rPr>
        <w:t>暂列金额应按照发包人的要求使用，发包人的要求应通过监理人发出。</w:t>
      </w:r>
      <w:r>
        <w:rPr>
          <w:rFonts w:hint="eastAsia" w:cs="Times New Roman"/>
          <w:sz w:val="21"/>
        </w:rPr>
        <w:t>暂列金额不作为结算的依据。暂列金额的最终确定按本合同有关21.3⑴款有关事项的具体条款执行。</w:t>
      </w:r>
    </w:p>
    <w:p w14:paraId="095AAEEF">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工程量计量</w:t>
      </w:r>
    </w:p>
    <w:p w14:paraId="6541146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工程量清单</w:t>
      </w:r>
    </w:p>
    <w:p w14:paraId="25548FED">
      <w:pPr>
        <w:widowControl w:val="0"/>
        <w:tabs>
          <w:tab w:val="left" w:pos="1620"/>
          <w:tab w:val="left" w:pos="2340"/>
        </w:tabs>
        <w:spacing w:before="156" w:after="156"/>
        <w:ind w:left="899"/>
        <w:rPr>
          <w:rFonts w:cs="Times New Roman"/>
          <w:sz w:val="21"/>
        </w:rPr>
      </w:pPr>
      <w:r>
        <w:rPr>
          <w:rFonts w:hint="eastAsia" w:cs="Times New Roman"/>
          <w:sz w:val="21"/>
        </w:rPr>
        <w:t>⑴发包人在本工程招标文件中提供的工程量清单所开列的工程量是根据本工程的设计图纸提供的预计工程量，不能作为承包人在履行合同义务过程中应予完成的实际和准确的工程量，不作为进度款支付、过程结算和竣工结算时确认工程量的依据。</w:t>
      </w:r>
    </w:p>
    <w:p w14:paraId="612CB209">
      <w:pPr>
        <w:widowControl w:val="0"/>
        <w:tabs>
          <w:tab w:val="left" w:pos="1620"/>
          <w:tab w:val="left" w:pos="2340"/>
        </w:tabs>
        <w:spacing w:before="156" w:after="156"/>
        <w:ind w:left="899"/>
        <w:rPr>
          <w:rFonts w:cs="Times New Roman"/>
          <w:sz w:val="21"/>
        </w:rPr>
      </w:pPr>
      <w:r>
        <w:rPr>
          <w:rFonts w:hint="eastAsia" w:cs="Times New Roman"/>
          <w:sz w:val="21"/>
        </w:rPr>
        <w:t>⑵承包人实际应予完成的工程量以本工程图纸和技术规范为准。进度款支付、过程结算和竣工结算时的结算工程量按第22</w:t>
      </w:r>
      <w:r>
        <w:rPr>
          <w:rFonts w:cs="Times New Roman"/>
          <w:sz w:val="21"/>
        </w:rPr>
        <w:t>.</w:t>
      </w:r>
      <w:r>
        <w:rPr>
          <w:rFonts w:hint="eastAsia" w:cs="Times New Roman"/>
          <w:sz w:val="21"/>
        </w:rPr>
        <w:t>5款有关工程量计量的结果确认。</w:t>
      </w:r>
    </w:p>
    <w:p w14:paraId="0ECE674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工程量清单缺项和项目特征不符</w:t>
      </w:r>
    </w:p>
    <w:p w14:paraId="6DD613BC">
      <w:pPr>
        <w:widowControl w:val="0"/>
        <w:tabs>
          <w:tab w:val="left" w:pos="1620"/>
          <w:tab w:val="left" w:pos="2340"/>
        </w:tabs>
        <w:spacing w:after="156"/>
        <w:ind w:left="899"/>
        <w:rPr>
          <w:rFonts w:cs="Times New Roman"/>
          <w:sz w:val="21"/>
        </w:rPr>
      </w:pPr>
      <w:r>
        <w:rPr>
          <w:rFonts w:hint="eastAsia" w:cs="Times New Roman"/>
          <w:sz w:val="21"/>
        </w:rPr>
        <w:t>⑴本合同签订后</w:t>
      </w:r>
      <w:r>
        <w:rPr>
          <w:rFonts w:hint="eastAsia" w:cs="Times New Roman"/>
          <w:b/>
          <w:sz w:val="21"/>
        </w:rPr>
        <w:t>56天</w:t>
      </w:r>
      <w:r>
        <w:rPr>
          <w:rFonts w:hint="eastAsia" w:cs="Times New Roman"/>
          <w:sz w:val="21"/>
        </w:rPr>
        <w:t>内，承包人应根据招标时发包人提供的图纸对发包人提供的工程量清单进行复核，复核结果报</w:t>
      </w:r>
      <w:r>
        <w:rPr>
          <w:rFonts w:cs="Times New Roman"/>
          <w:sz w:val="21"/>
        </w:rPr>
        <w:t>监理人</w:t>
      </w:r>
      <w:r>
        <w:rPr>
          <w:rFonts w:hint="eastAsia" w:cs="Times New Roman"/>
          <w:sz w:val="21"/>
        </w:rPr>
        <w:t>核对、发包人确认。</w:t>
      </w:r>
    </w:p>
    <w:p w14:paraId="580810F8">
      <w:pPr>
        <w:widowControl w:val="0"/>
        <w:tabs>
          <w:tab w:val="left" w:pos="1620"/>
          <w:tab w:val="left" w:pos="2340"/>
        </w:tabs>
        <w:spacing w:after="156"/>
        <w:ind w:left="899"/>
        <w:rPr>
          <w:rFonts w:cs="Times New Roman"/>
          <w:sz w:val="21"/>
        </w:rPr>
      </w:pPr>
      <w:r>
        <w:rPr>
          <w:rFonts w:hint="eastAsia" w:cs="Times New Roman"/>
          <w:sz w:val="21"/>
        </w:rPr>
        <w:t>⑵若发包人提供的工程量清单相比招标时发包人提供的图纸，出现缺项或项目特征描述与图纸不符时，发包人应对工程量清单进行补充或调整，补充或调整的工程量清单项目的综合单价按25.1款的约定确定。</w:t>
      </w:r>
    </w:p>
    <w:p w14:paraId="6ACD08CF">
      <w:pPr>
        <w:widowControl w:val="0"/>
        <w:tabs>
          <w:tab w:val="left" w:pos="1620"/>
          <w:tab w:val="left" w:pos="2340"/>
        </w:tabs>
        <w:spacing w:after="156"/>
        <w:ind w:left="899"/>
        <w:rPr>
          <w:rFonts w:cs="Times New Roman"/>
          <w:sz w:val="21"/>
        </w:rPr>
      </w:pPr>
      <w:r>
        <w:rPr>
          <w:rFonts w:hint="eastAsia" w:cs="Times New Roman"/>
          <w:sz w:val="21"/>
        </w:rPr>
        <w:t>⑶出现工程量清单中措施项目缺项的，或按前款补充分部分项工程清单项目后引起措施项目发生变化的，应当按25.1款的约定，在承包人提交的实施方案被发包人批准后对合同价格进行调整。</w:t>
      </w:r>
    </w:p>
    <w:p w14:paraId="0CF4C5B8">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工程量计算规则</w:t>
      </w:r>
    </w:p>
    <w:p w14:paraId="62595B22">
      <w:pPr>
        <w:widowControl w:val="0"/>
        <w:tabs>
          <w:tab w:val="left" w:pos="1620"/>
          <w:tab w:val="left" w:pos="2340"/>
        </w:tabs>
        <w:spacing w:before="156" w:after="156"/>
        <w:ind w:left="899"/>
        <w:rPr>
          <w:rFonts w:cs="Times New Roman"/>
          <w:sz w:val="21"/>
        </w:rPr>
      </w:pPr>
      <w:r>
        <w:rPr>
          <w:rFonts w:hint="eastAsia" w:cs="Times New Roman"/>
          <w:sz w:val="21"/>
        </w:rPr>
        <w:t>发包人和承包人应以</w:t>
      </w:r>
      <w:r>
        <w:rPr>
          <w:rFonts w:hint="eastAsia" w:cs="Times New Roman"/>
          <w:b/>
          <w:i/>
          <w:sz w:val="21"/>
        </w:rPr>
        <w:t>专用条款</w:t>
      </w:r>
      <w:r>
        <w:rPr>
          <w:rFonts w:hint="eastAsia" w:cs="Times New Roman"/>
          <w:sz w:val="21"/>
        </w:rPr>
        <w:t>中约定的工程量计算规则，作为本工程进度款支付、过程结算和竣工结算以及20.2款约定的</w:t>
      </w:r>
      <w:r>
        <w:rPr>
          <w:rFonts w:cs="Times New Roman"/>
          <w:sz w:val="21"/>
        </w:rPr>
        <w:t>合同价格调整</w:t>
      </w:r>
      <w:r>
        <w:rPr>
          <w:rFonts w:hint="eastAsia" w:cs="Times New Roman"/>
          <w:sz w:val="21"/>
        </w:rPr>
        <w:t>情形发生时涉及工程量的计算规则。</w:t>
      </w:r>
    </w:p>
    <w:p w14:paraId="061425F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工程量计量的程序</w:t>
      </w:r>
    </w:p>
    <w:p w14:paraId="3F789C67">
      <w:pPr>
        <w:widowControl w:val="0"/>
        <w:tabs>
          <w:tab w:val="left" w:pos="1620"/>
          <w:tab w:val="left" w:pos="2340"/>
        </w:tabs>
        <w:spacing w:before="156" w:after="156"/>
        <w:ind w:left="899"/>
        <w:rPr>
          <w:rFonts w:cs="Times New Roman"/>
          <w:sz w:val="21"/>
        </w:rPr>
      </w:pPr>
      <w:r>
        <w:rPr>
          <w:rFonts w:hint="eastAsia" w:cs="Times New Roman"/>
          <w:sz w:val="21"/>
        </w:rPr>
        <w:t>⑴承包人应按照23.2款约定的进度款支付时间间隔要求，根据本工程进展情况及时就已完工程量向</w:t>
      </w:r>
      <w:r>
        <w:rPr>
          <w:rFonts w:cs="Times New Roman"/>
          <w:sz w:val="21"/>
        </w:rPr>
        <w:t>监理人</w:t>
      </w:r>
      <w:r>
        <w:rPr>
          <w:rFonts w:hint="eastAsia" w:cs="Times New Roman"/>
          <w:sz w:val="21"/>
        </w:rPr>
        <w:t>提交计量报告，</w:t>
      </w:r>
      <w:r>
        <w:rPr>
          <w:rFonts w:cs="Times New Roman"/>
          <w:sz w:val="21"/>
        </w:rPr>
        <w:t>监理人</w:t>
      </w:r>
      <w:r>
        <w:rPr>
          <w:rFonts w:hint="eastAsia" w:cs="Times New Roman"/>
          <w:sz w:val="21"/>
        </w:rPr>
        <w:t>应在收到计量报告后7天内对承包人提出的工程量报表审核并报送发包人。</w:t>
      </w:r>
    </w:p>
    <w:p w14:paraId="30023B15">
      <w:pPr>
        <w:widowControl w:val="0"/>
        <w:tabs>
          <w:tab w:val="left" w:pos="1620"/>
          <w:tab w:val="left" w:pos="2340"/>
        </w:tabs>
        <w:spacing w:before="156" w:after="156"/>
        <w:ind w:left="899"/>
        <w:rPr>
          <w:rFonts w:cs="Times New Roman"/>
          <w:sz w:val="21"/>
        </w:rPr>
      </w:pPr>
      <w:r>
        <w:rPr>
          <w:rFonts w:hint="eastAsia" w:cs="Times New Roman"/>
          <w:sz w:val="21"/>
        </w:rPr>
        <w:t>⑵需要使用记录和图纸进行计量的工程，承包人应在工作过程中准备好该工程的记录和图纸，并提交给</w:t>
      </w:r>
      <w:r>
        <w:rPr>
          <w:rFonts w:cs="Times New Roman"/>
          <w:sz w:val="21"/>
        </w:rPr>
        <w:t>监理人</w:t>
      </w:r>
      <w:r>
        <w:rPr>
          <w:rFonts w:hint="eastAsia" w:cs="Times New Roman"/>
          <w:sz w:val="21"/>
        </w:rPr>
        <w:t>，</w:t>
      </w:r>
      <w:r>
        <w:rPr>
          <w:rFonts w:cs="Times New Roman"/>
          <w:sz w:val="21"/>
        </w:rPr>
        <w:t>监理人</w:t>
      </w:r>
      <w:r>
        <w:rPr>
          <w:rFonts w:hint="eastAsia" w:cs="Times New Roman"/>
          <w:sz w:val="21"/>
        </w:rPr>
        <w:t>应在收到计量报告后7天内对承包人提出的工程量报表及有关记录和图纸审核并报送发包人。</w:t>
      </w:r>
    </w:p>
    <w:p w14:paraId="06D44DA9">
      <w:pPr>
        <w:widowControl w:val="0"/>
        <w:tabs>
          <w:tab w:val="left" w:pos="1620"/>
          <w:tab w:val="left" w:pos="2340"/>
        </w:tabs>
        <w:spacing w:before="156" w:after="156"/>
        <w:ind w:left="899"/>
        <w:rPr>
          <w:rFonts w:cs="Times New Roman"/>
          <w:sz w:val="21"/>
        </w:rPr>
      </w:pPr>
      <w:r>
        <w:rPr>
          <w:rFonts w:hint="eastAsia" w:cs="Times New Roman"/>
          <w:sz w:val="21"/>
        </w:rPr>
        <w:t>⑶</w:t>
      </w:r>
      <w:r>
        <w:rPr>
          <w:rFonts w:cs="Times New Roman"/>
          <w:sz w:val="21"/>
        </w:rPr>
        <w:t>监理人对工程量有异议的，有权要求承包人进行共同复核或抽样复测。承包人应协助监理人进行复核或抽样复测，并按监理人要求提供补充计量资料。</w:t>
      </w:r>
    </w:p>
    <w:p w14:paraId="3B1449E8">
      <w:pPr>
        <w:widowControl w:val="0"/>
        <w:tabs>
          <w:tab w:val="left" w:pos="1620"/>
          <w:tab w:val="left" w:pos="2340"/>
        </w:tabs>
        <w:spacing w:before="156" w:after="156"/>
        <w:ind w:left="899"/>
        <w:rPr>
          <w:rFonts w:cs="Times New Roman"/>
          <w:sz w:val="21"/>
        </w:rPr>
      </w:pPr>
      <w:r>
        <w:rPr>
          <w:rFonts w:hint="eastAsia" w:cs="Times New Roman"/>
          <w:sz w:val="21"/>
        </w:rPr>
        <w:t>⑷有关工程量计量的文件的编制和审核均须经注册造价工程师签字盖章确认。</w:t>
      </w:r>
    </w:p>
    <w:p w14:paraId="51C32DD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工程量计量的结果</w:t>
      </w:r>
    </w:p>
    <w:p w14:paraId="32D0ACA7">
      <w:pPr>
        <w:widowControl w:val="0"/>
        <w:tabs>
          <w:tab w:val="left" w:pos="1620"/>
          <w:tab w:val="left" w:pos="2340"/>
        </w:tabs>
        <w:spacing w:before="156" w:after="156"/>
        <w:ind w:left="899"/>
        <w:rPr>
          <w:rFonts w:cs="Times New Roman"/>
          <w:sz w:val="21"/>
        </w:rPr>
      </w:pPr>
      <w:r>
        <w:rPr>
          <w:rFonts w:hint="eastAsia" w:cs="Times New Roman"/>
          <w:sz w:val="21"/>
        </w:rPr>
        <w:t>⑴如承包人未按22.4款的约定参加计量，则由</w:t>
      </w:r>
      <w:r>
        <w:rPr>
          <w:rFonts w:cs="Times New Roman"/>
          <w:sz w:val="21"/>
        </w:rPr>
        <w:t>监理人</w:t>
      </w:r>
      <w:r>
        <w:rPr>
          <w:rFonts w:hint="eastAsia" w:cs="Times New Roman"/>
          <w:sz w:val="21"/>
        </w:rPr>
        <w:t>所作的或由他批准的计量应认为是对工程的正确计量。</w:t>
      </w:r>
    </w:p>
    <w:p w14:paraId="07D925D1">
      <w:pPr>
        <w:widowControl w:val="0"/>
        <w:tabs>
          <w:tab w:val="left" w:pos="1620"/>
          <w:tab w:val="left" w:pos="2340"/>
        </w:tabs>
        <w:spacing w:before="156" w:after="156"/>
        <w:ind w:left="899"/>
        <w:rPr>
          <w:rFonts w:cs="Times New Roman"/>
          <w:sz w:val="21"/>
        </w:rPr>
      </w:pPr>
      <w:r>
        <w:rPr>
          <w:rFonts w:hint="eastAsia" w:cs="Times New Roman"/>
          <w:sz w:val="21"/>
        </w:rPr>
        <w:t>⑵如</w:t>
      </w:r>
      <w:r>
        <w:rPr>
          <w:rFonts w:cs="Times New Roman"/>
          <w:sz w:val="21"/>
        </w:rPr>
        <w:t>监理人</w:t>
      </w:r>
      <w:r>
        <w:rPr>
          <w:rFonts w:hint="eastAsia" w:cs="Times New Roman"/>
          <w:sz w:val="21"/>
        </w:rPr>
        <w:t>未在22.4款约定的时间内进行计量，则承包人提交的计量报告中所列工程量即视为被确认。</w:t>
      </w:r>
    </w:p>
    <w:p w14:paraId="09E0CDAB">
      <w:pPr>
        <w:widowControl w:val="0"/>
        <w:tabs>
          <w:tab w:val="left" w:pos="1620"/>
          <w:tab w:val="left" w:pos="2340"/>
        </w:tabs>
        <w:spacing w:before="156" w:after="156"/>
        <w:ind w:left="899"/>
        <w:rPr>
          <w:rFonts w:cs="Times New Roman"/>
          <w:sz w:val="21"/>
        </w:rPr>
      </w:pPr>
      <w:r>
        <w:rPr>
          <w:rFonts w:hint="eastAsia" w:cs="Times New Roman"/>
          <w:sz w:val="21"/>
        </w:rPr>
        <w:t>⑶如</w:t>
      </w:r>
      <w:r>
        <w:rPr>
          <w:rFonts w:cs="Times New Roman"/>
          <w:sz w:val="21"/>
        </w:rPr>
        <w:t>监理人</w:t>
      </w:r>
      <w:r>
        <w:rPr>
          <w:rFonts w:hint="eastAsia" w:cs="Times New Roman"/>
          <w:sz w:val="21"/>
        </w:rPr>
        <w:t>未按22.4款约定的时间内通知承包人，致使承包人未能参加计量，则由</w:t>
      </w:r>
      <w:r>
        <w:rPr>
          <w:rFonts w:cs="Times New Roman"/>
          <w:sz w:val="21"/>
        </w:rPr>
        <w:t>监理人</w:t>
      </w:r>
      <w:r>
        <w:rPr>
          <w:rFonts w:hint="eastAsia" w:cs="Times New Roman"/>
          <w:sz w:val="21"/>
        </w:rPr>
        <w:t>所作的或由他批准的计量结果无效。</w:t>
      </w:r>
    </w:p>
    <w:p w14:paraId="43C00838">
      <w:pPr>
        <w:widowControl w:val="0"/>
        <w:tabs>
          <w:tab w:val="left" w:pos="1620"/>
          <w:tab w:val="left" w:pos="2340"/>
        </w:tabs>
        <w:spacing w:before="156" w:after="156"/>
        <w:ind w:left="899"/>
        <w:rPr>
          <w:rFonts w:cs="Times New Roman"/>
          <w:sz w:val="21"/>
        </w:rPr>
      </w:pPr>
      <w:r>
        <w:rPr>
          <w:rFonts w:hint="eastAsia" w:cs="Times New Roman"/>
          <w:sz w:val="21"/>
        </w:rPr>
        <w:t>⑷对于因承包人原因造成的超出本合同工程承包范围的增加工程量及返工工程量，</w:t>
      </w:r>
      <w:r>
        <w:rPr>
          <w:rFonts w:cs="Times New Roman"/>
          <w:sz w:val="21"/>
        </w:rPr>
        <w:t>监理人</w:t>
      </w:r>
      <w:r>
        <w:rPr>
          <w:rFonts w:hint="eastAsia" w:cs="Times New Roman"/>
          <w:sz w:val="21"/>
        </w:rPr>
        <w:t>不予计量。</w:t>
      </w:r>
    </w:p>
    <w:p w14:paraId="3969B23C">
      <w:pPr>
        <w:widowControl w:val="0"/>
        <w:tabs>
          <w:tab w:val="left" w:pos="1620"/>
          <w:tab w:val="left" w:pos="2340"/>
        </w:tabs>
        <w:spacing w:before="156" w:after="156"/>
        <w:ind w:left="899"/>
        <w:rPr>
          <w:rFonts w:cs="Times New Roman"/>
          <w:sz w:val="21"/>
        </w:rPr>
      </w:pPr>
      <w:r>
        <w:rPr>
          <w:rFonts w:hint="eastAsia" w:cs="Times New Roman"/>
          <w:sz w:val="21"/>
        </w:rPr>
        <w:t>⑸如承包人不同意</w:t>
      </w:r>
      <w:r>
        <w:rPr>
          <w:rFonts w:cs="Times New Roman"/>
          <w:sz w:val="21"/>
        </w:rPr>
        <w:t>监理人</w:t>
      </w:r>
      <w:r>
        <w:rPr>
          <w:rFonts w:hint="eastAsia" w:cs="Times New Roman"/>
          <w:sz w:val="21"/>
        </w:rPr>
        <w:t>计量的结果，应在收到上述结果后7天内向</w:t>
      </w:r>
      <w:r>
        <w:rPr>
          <w:rFonts w:cs="Times New Roman"/>
          <w:sz w:val="21"/>
        </w:rPr>
        <w:t>监理人</w:t>
      </w:r>
      <w:r>
        <w:rPr>
          <w:rFonts w:hint="eastAsia" w:cs="Times New Roman"/>
          <w:sz w:val="21"/>
        </w:rPr>
        <w:t>提出书面意见，并附上其认为正确的计量结果和计算资料。</w:t>
      </w:r>
      <w:r>
        <w:rPr>
          <w:rFonts w:cs="Times New Roman"/>
          <w:sz w:val="21"/>
        </w:rPr>
        <w:t>监理人</w:t>
      </w:r>
      <w:r>
        <w:rPr>
          <w:rFonts w:hint="eastAsia" w:cs="Times New Roman"/>
          <w:sz w:val="21"/>
        </w:rPr>
        <w:t>收到上述书面意见后，应在7天内对承包人的计量结果进行复核后通知承包人。承包人对复核计量结果仍有异议的，按照合同约定的争议解决办法处理。</w:t>
      </w:r>
    </w:p>
    <w:p w14:paraId="3A59F24A">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工程款支付</w:t>
      </w:r>
    </w:p>
    <w:p w14:paraId="30301BD2">
      <w:pPr>
        <w:widowControl w:val="0"/>
        <w:tabs>
          <w:tab w:val="left" w:pos="1620"/>
          <w:tab w:val="left" w:pos="2340"/>
        </w:tabs>
        <w:spacing w:before="156" w:after="156"/>
        <w:ind w:left="899"/>
        <w:rPr>
          <w:rFonts w:cs="Times New Roman"/>
          <w:sz w:val="21"/>
        </w:rPr>
      </w:pPr>
      <w:r>
        <w:rPr>
          <w:rFonts w:hint="eastAsia" w:cs="Times New Roman"/>
          <w:sz w:val="21"/>
        </w:rPr>
        <w:t>本项目无须承包人带资施工，工程款按以下方式支付。</w:t>
      </w:r>
    </w:p>
    <w:p w14:paraId="0C342DA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工程预付款</w:t>
      </w:r>
    </w:p>
    <w:p w14:paraId="1E060829">
      <w:pPr>
        <w:widowControl w:val="0"/>
        <w:tabs>
          <w:tab w:val="left" w:pos="1620"/>
          <w:tab w:val="left" w:pos="2340"/>
        </w:tabs>
        <w:spacing w:after="156"/>
        <w:ind w:left="899"/>
        <w:rPr>
          <w:rFonts w:cs="Times New Roman"/>
          <w:sz w:val="21"/>
        </w:rPr>
      </w:pPr>
      <w:r>
        <w:rPr>
          <w:rFonts w:hint="eastAsia" w:cs="Times New Roman"/>
          <w:sz w:val="21"/>
        </w:rPr>
        <w:t>⑴发包人和承包人应在</w:t>
      </w:r>
      <w:r>
        <w:rPr>
          <w:rFonts w:hint="eastAsia" w:cs="Times New Roman"/>
          <w:b/>
          <w:i/>
          <w:sz w:val="21"/>
        </w:rPr>
        <w:t>专用条款</w:t>
      </w:r>
      <w:r>
        <w:rPr>
          <w:rFonts w:hint="eastAsia" w:cs="Times New Roman"/>
          <w:sz w:val="21"/>
        </w:rPr>
        <w:t>中约定一定比例的工程预付款，用于施工准备，金额一般为签约合同价的10</w:t>
      </w:r>
      <w:r>
        <w:rPr>
          <w:rFonts w:cs="Times New Roman"/>
          <w:sz w:val="21"/>
        </w:rPr>
        <w:t>～</w:t>
      </w:r>
      <w:r>
        <w:rPr>
          <w:rFonts w:hint="eastAsia" w:cs="Times New Roman"/>
          <w:sz w:val="21"/>
        </w:rPr>
        <w:t>30%。其中施工现场安全文明措施费预付款金额：合同工期在一年以内的，不得低于该费用总额的50%；合同工期在一年以上的(含一年)，不得低于该费用总额的30%。</w:t>
      </w:r>
    </w:p>
    <w:p w14:paraId="1094AF68">
      <w:pPr>
        <w:widowControl w:val="0"/>
        <w:tabs>
          <w:tab w:val="left" w:pos="1620"/>
          <w:tab w:val="left" w:pos="2340"/>
        </w:tabs>
        <w:spacing w:after="156"/>
        <w:ind w:left="899"/>
        <w:rPr>
          <w:rFonts w:cs="Times New Roman"/>
          <w:sz w:val="21"/>
        </w:rPr>
      </w:pPr>
      <w:r>
        <w:rPr>
          <w:rFonts w:hint="eastAsia" w:cs="Times New Roman"/>
          <w:sz w:val="21"/>
        </w:rPr>
        <w:t>⑵发包人应按</w:t>
      </w:r>
      <w:r>
        <w:rPr>
          <w:rFonts w:hint="eastAsia" w:cs="Times New Roman"/>
          <w:b/>
          <w:i/>
          <w:sz w:val="21"/>
        </w:rPr>
        <w:t>专用条款</w:t>
      </w:r>
      <w:r>
        <w:rPr>
          <w:rFonts w:hint="eastAsia" w:cs="Times New Roman"/>
          <w:sz w:val="21"/>
        </w:rPr>
        <w:t>约定的时间向承包人支付工程预付款，预付的时间应不迟于约定的开工日期前7天。但发包人支付预付款之前，还应具备</w:t>
      </w:r>
      <w:r>
        <w:rPr>
          <w:rFonts w:hint="eastAsia" w:cs="Times New Roman"/>
          <w:b/>
          <w:i/>
          <w:sz w:val="21"/>
        </w:rPr>
        <w:t>专用条款</w:t>
      </w:r>
      <w:r>
        <w:rPr>
          <w:rFonts w:hint="eastAsia" w:cs="Times New Roman"/>
          <w:sz w:val="21"/>
        </w:rPr>
        <w:t>约定的条件。发包人不按约定预付的，承包人应在约定预付时间到期后7天内向发包人发出要求预付的通知，发包人收到通知后仍不能按要求预付，承包人可在发出通知14天后停止施工，发包人应从约定应付之日起向承包人支付应付款的贷款利息，并承担违约责任。</w:t>
      </w:r>
    </w:p>
    <w:p w14:paraId="4604A406">
      <w:pPr>
        <w:widowControl w:val="0"/>
        <w:tabs>
          <w:tab w:val="left" w:pos="1620"/>
          <w:tab w:val="left" w:pos="2340"/>
        </w:tabs>
        <w:spacing w:after="156"/>
        <w:ind w:left="899"/>
        <w:rPr>
          <w:rFonts w:cs="Times New Roman"/>
          <w:sz w:val="21"/>
        </w:rPr>
      </w:pPr>
      <w:r>
        <w:rPr>
          <w:rFonts w:hint="eastAsia" w:cs="Times New Roman"/>
          <w:sz w:val="21"/>
        </w:rPr>
        <w:t>⑶发包人和承包人应在</w:t>
      </w:r>
      <w:r>
        <w:rPr>
          <w:rFonts w:hint="eastAsia" w:cs="Times New Roman"/>
          <w:b/>
          <w:i/>
          <w:sz w:val="21"/>
        </w:rPr>
        <w:t>专用条款</w:t>
      </w:r>
      <w:r>
        <w:rPr>
          <w:rFonts w:hint="eastAsia" w:cs="Times New Roman"/>
          <w:sz w:val="21"/>
        </w:rPr>
        <w:t>约定工程预付款扣回的起扣点和扣回比例。在未达到起扣点之前，预付款不予扣回；达到起扣点之后，预付款按约定比例根据工程进度分期从进度支付款和过程结算款中扣回。</w:t>
      </w:r>
    </w:p>
    <w:p w14:paraId="096DD633">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进度款支付周期</w:t>
      </w:r>
    </w:p>
    <w:p w14:paraId="6CD1118F">
      <w:pPr>
        <w:widowControl w:val="0"/>
        <w:tabs>
          <w:tab w:val="left" w:pos="1620"/>
          <w:tab w:val="left" w:pos="2340"/>
        </w:tabs>
        <w:spacing w:after="156"/>
        <w:ind w:left="899"/>
        <w:rPr>
          <w:rFonts w:cs="Times New Roman"/>
          <w:sz w:val="21"/>
        </w:rPr>
      </w:pPr>
      <w:r>
        <w:rPr>
          <w:rFonts w:hint="eastAsia" w:cs="Times New Roman"/>
          <w:sz w:val="21"/>
        </w:rPr>
        <w:t>⑴除</w:t>
      </w:r>
      <w:r>
        <w:rPr>
          <w:rFonts w:hint="eastAsia" w:cs="Times New Roman"/>
          <w:b/>
          <w:i/>
          <w:sz w:val="21"/>
        </w:rPr>
        <w:t>专用条款</w:t>
      </w:r>
      <w:r>
        <w:rPr>
          <w:rFonts w:hint="eastAsia" w:cs="Times New Roman"/>
          <w:sz w:val="21"/>
        </w:rPr>
        <w:t>另有约定外，发包人和承包人应按月办理进度款支付。其中，工人工资支付周期不得超过1个月，具体按23.5款约定执行。</w:t>
      </w:r>
    </w:p>
    <w:p w14:paraId="50795643">
      <w:pPr>
        <w:widowControl w:val="0"/>
        <w:tabs>
          <w:tab w:val="left" w:pos="1620"/>
          <w:tab w:val="left" w:pos="2340"/>
        </w:tabs>
        <w:spacing w:after="156"/>
        <w:ind w:left="899"/>
        <w:rPr>
          <w:rFonts w:cs="Times New Roman"/>
          <w:sz w:val="21"/>
        </w:rPr>
      </w:pPr>
      <w:r>
        <w:rPr>
          <w:rFonts w:hint="eastAsia" w:cs="Times New Roman"/>
          <w:sz w:val="21"/>
        </w:rPr>
        <w:t>⑵承包人应根据本期内工程实际完成情况，按照22条有关工程量计量的约定，计算本期完成工程量，结合合同价格构成中的工程量清单项目单价，编制进度款支付申请。</w:t>
      </w:r>
    </w:p>
    <w:p w14:paraId="19603097">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进度款支付申请的提交</w:t>
      </w:r>
    </w:p>
    <w:p w14:paraId="2379BE66">
      <w:pPr>
        <w:widowControl w:val="0"/>
        <w:tabs>
          <w:tab w:val="left" w:pos="1620"/>
          <w:tab w:val="left" w:pos="2340"/>
        </w:tabs>
        <w:ind w:left="899"/>
        <w:rPr>
          <w:rFonts w:cs="Times New Roman"/>
          <w:sz w:val="21"/>
        </w:rPr>
      </w:pPr>
      <w:r>
        <w:rPr>
          <w:rFonts w:hint="eastAsia" w:cs="Times New Roman"/>
          <w:sz w:val="21"/>
        </w:rPr>
        <w:t>承包人应按时向</w:t>
      </w:r>
      <w:r>
        <w:rPr>
          <w:rFonts w:cs="Times New Roman"/>
          <w:sz w:val="21"/>
        </w:rPr>
        <w:t>监理人</w:t>
      </w:r>
      <w:r>
        <w:rPr>
          <w:rFonts w:hint="eastAsia" w:cs="Times New Roman"/>
          <w:sz w:val="21"/>
        </w:rPr>
        <w:t>提交由其项目经理签署的进度款支付申请，进度款支付申请应包括以下内容：</w:t>
      </w:r>
    </w:p>
    <w:p w14:paraId="6F5C3B2A">
      <w:pPr>
        <w:widowControl w:val="0"/>
        <w:tabs>
          <w:tab w:val="left" w:pos="1620"/>
          <w:tab w:val="left" w:pos="2340"/>
        </w:tabs>
        <w:ind w:left="1079"/>
        <w:rPr>
          <w:rFonts w:cs="Times New Roman"/>
          <w:sz w:val="21"/>
        </w:rPr>
      </w:pPr>
      <w:r>
        <w:rPr>
          <w:rFonts w:hint="eastAsia" w:cs="Times New Roman"/>
          <w:sz w:val="21"/>
        </w:rPr>
        <w:t>⑴本期已完成工程的价款；</w:t>
      </w:r>
    </w:p>
    <w:p w14:paraId="54083191">
      <w:pPr>
        <w:widowControl w:val="0"/>
        <w:tabs>
          <w:tab w:val="left" w:pos="1620"/>
          <w:tab w:val="left" w:pos="2340"/>
        </w:tabs>
        <w:ind w:left="1079"/>
        <w:rPr>
          <w:rFonts w:cs="Times New Roman"/>
          <w:sz w:val="21"/>
        </w:rPr>
      </w:pPr>
      <w:r>
        <w:rPr>
          <w:rFonts w:hint="eastAsia" w:cs="Times New Roman"/>
          <w:sz w:val="21"/>
        </w:rPr>
        <w:t>⑵自开工截止本期末累计已完成(已实际结算)工程价款；</w:t>
      </w:r>
    </w:p>
    <w:p w14:paraId="66AB16A4">
      <w:pPr>
        <w:widowControl w:val="0"/>
        <w:tabs>
          <w:tab w:val="left" w:pos="1620"/>
          <w:tab w:val="left" w:pos="2340"/>
        </w:tabs>
        <w:ind w:left="1079"/>
        <w:rPr>
          <w:rFonts w:cs="Times New Roman"/>
          <w:sz w:val="21"/>
        </w:rPr>
      </w:pPr>
      <w:r>
        <w:rPr>
          <w:rFonts w:hint="eastAsia" w:cs="Times New Roman"/>
          <w:sz w:val="21"/>
        </w:rPr>
        <w:t>⑶自开工截止上期末累计已支付的工程价款；</w:t>
      </w:r>
    </w:p>
    <w:p w14:paraId="42AE15A2">
      <w:pPr>
        <w:widowControl w:val="0"/>
        <w:tabs>
          <w:tab w:val="left" w:pos="1620"/>
          <w:tab w:val="left" w:pos="2340"/>
        </w:tabs>
        <w:ind w:left="1079"/>
        <w:rPr>
          <w:rFonts w:cs="Times New Roman"/>
          <w:sz w:val="21"/>
        </w:rPr>
      </w:pPr>
      <w:r>
        <w:rPr>
          <w:rFonts w:hint="eastAsia" w:cs="Times New Roman"/>
          <w:sz w:val="21"/>
        </w:rPr>
        <w:t>⑷本期已完成的(按20.2款经确认的)</w:t>
      </w:r>
      <w:r>
        <w:rPr>
          <w:rFonts w:cs="Times New Roman"/>
          <w:sz w:val="21"/>
        </w:rPr>
        <w:t>调整</w:t>
      </w:r>
      <w:r>
        <w:rPr>
          <w:rFonts w:hint="eastAsia" w:cs="Times New Roman"/>
          <w:sz w:val="21"/>
        </w:rPr>
        <w:t>价款；</w:t>
      </w:r>
    </w:p>
    <w:p w14:paraId="77F5AA9D">
      <w:pPr>
        <w:widowControl w:val="0"/>
        <w:tabs>
          <w:tab w:val="left" w:pos="1620"/>
          <w:tab w:val="left" w:pos="2340"/>
        </w:tabs>
        <w:ind w:left="1079"/>
        <w:rPr>
          <w:rFonts w:cs="Times New Roman"/>
          <w:sz w:val="21"/>
        </w:rPr>
      </w:pPr>
      <w:r>
        <w:rPr>
          <w:rFonts w:hint="eastAsia" w:cs="Times New Roman"/>
          <w:sz w:val="21"/>
        </w:rPr>
        <w:t>⑸本期已完成的(按21.1、2款经确定的)材料设备、专业工程暂估价价款；</w:t>
      </w:r>
    </w:p>
    <w:p w14:paraId="20046CE1">
      <w:pPr>
        <w:widowControl w:val="0"/>
        <w:tabs>
          <w:tab w:val="left" w:pos="1620"/>
          <w:tab w:val="left" w:pos="2340"/>
        </w:tabs>
        <w:ind w:left="1079"/>
        <w:rPr>
          <w:rFonts w:cs="Times New Roman"/>
          <w:sz w:val="21"/>
        </w:rPr>
      </w:pPr>
      <w:r>
        <w:rPr>
          <w:rFonts w:hint="eastAsia" w:cs="Times New Roman"/>
          <w:sz w:val="21"/>
        </w:rPr>
        <w:t>⑹本期应抵扣的(按23.1款)工程预付款；</w:t>
      </w:r>
    </w:p>
    <w:p w14:paraId="4CE73EA1">
      <w:pPr>
        <w:widowControl w:val="0"/>
        <w:tabs>
          <w:tab w:val="left" w:pos="1620"/>
          <w:tab w:val="left" w:pos="2340"/>
        </w:tabs>
        <w:ind w:left="1079"/>
        <w:rPr>
          <w:rFonts w:cs="Times New Roman"/>
          <w:sz w:val="21"/>
        </w:rPr>
      </w:pPr>
      <w:r>
        <w:rPr>
          <w:rFonts w:hint="eastAsia" w:cs="Times New Roman"/>
          <w:sz w:val="21"/>
        </w:rPr>
        <w:t>⑺本期应扣减的(按32.3款)质量保证金；</w:t>
      </w:r>
    </w:p>
    <w:p w14:paraId="17E0528F">
      <w:pPr>
        <w:widowControl w:val="0"/>
        <w:tabs>
          <w:tab w:val="left" w:pos="1620"/>
          <w:tab w:val="left" w:pos="2340"/>
        </w:tabs>
        <w:ind w:left="1079"/>
        <w:rPr>
          <w:rFonts w:cs="Times New Roman"/>
          <w:sz w:val="21"/>
        </w:rPr>
      </w:pPr>
      <w:r>
        <w:rPr>
          <w:rFonts w:hint="eastAsia" w:cs="Times New Roman"/>
          <w:sz w:val="21"/>
        </w:rPr>
        <w:t>⑻</w:t>
      </w:r>
      <w:r>
        <w:rPr>
          <w:rFonts w:cs="Times New Roman"/>
          <w:sz w:val="21"/>
        </w:rPr>
        <w:t>对已签发的进度款支付证书中出现错误的修正，应在本次进度付款中支付或扣除的金额；</w:t>
      </w:r>
    </w:p>
    <w:p w14:paraId="5BD1C959">
      <w:pPr>
        <w:widowControl w:val="0"/>
        <w:tabs>
          <w:tab w:val="left" w:pos="1620"/>
          <w:tab w:val="left" w:pos="2340"/>
        </w:tabs>
        <w:ind w:left="1079"/>
        <w:rPr>
          <w:rFonts w:cs="Times New Roman"/>
          <w:sz w:val="21"/>
        </w:rPr>
      </w:pPr>
      <w:r>
        <w:rPr>
          <w:rFonts w:hint="eastAsia" w:cs="Times New Roman"/>
          <w:sz w:val="21"/>
        </w:rPr>
        <w:t>⑼本期根据合同应增加和扣减的其他金额；</w:t>
      </w:r>
    </w:p>
    <w:p w14:paraId="1813E037">
      <w:pPr>
        <w:widowControl w:val="0"/>
        <w:tabs>
          <w:tab w:val="left" w:pos="1620"/>
          <w:tab w:val="left" w:pos="2340"/>
        </w:tabs>
        <w:ind w:left="1079"/>
        <w:rPr>
          <w:rFonts w:cs="Times New Roman"/>
          <w:sz w:val="21"/>
        </w:rPr>
      </w:pPr>
      <w:r>
        <w:rPr>
          <w:rFonts w:cs="Times New Roman"/>
          <w:sz w:val="21"/>
        </w:rPr>
        <w:t>⑽</w:t>
      </w:r>
      <w:r>
        <w:rPr>
          <w:rFonts w:hint="eastAsia" w:cs="Times New Roman"/>
          <w:sz w:val="21"/>
        </w:rPr>
        <w:t>本期应支付的工程价款。</w:t>
      </w:r>
    </w:p>
    <w:p w14:paraId="73DD585B">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进度款支付</w:t>
      </w:r>
    </w:p>
    <w:p w14:paraId="39AD3E7F">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监理人</w:t>
      </w:r>
      <w:r>
        <w:rPr>
          <w:rFonts w:hint="eastAsia" w:cs="Times New Roman"/>
          <w:sz w:val="21"/>
        </w:rPr>
        <w:t>应在收到进度款支付申请后14天内签发进度款支付证书，签发时应写明到期应结算的价款及需要扣留和扣回的价款并报发包人批准。如该期应结算的价款经扣留和扣回后的价款少于</w:t>
      </w:r>
      <w:r>
        <w:rPr>
          <w:rFonts w:hint="eastAsia" w:cs="Times New Roman"/>
          <w:b/>
          <w:i/>
          <w:sz w:val="21"/>
        </w:rPr>
        <w:t>专用条款</w:t>
      </w:r>
      <w:r>
        <w:rPr>
          <w:rFonts w:hint="eastAsia" w:cs="Times New Roman"/>
          <w:sz w:val="21"/>
        </w:rPr>
        <w:t>约定的进度款支付的最低金额，则</w:t>
      </w:r>
      <w:r>
        <w:rPr>
          <w:rFonts w:cs="Times New Roman"/>
          <w:sz w:val="21"/>
        </w:rPr>
        <w:t>监理人</w:t>
      </w:r>
      <w:r>
        <w:rPr>
          <w:rFonts w:hint="eastAsia" w:cs="Times New Roman"/>
          <w:sz w:val="21"/>
        </w:rPr>
        <w:t>可不签发支付证书，该期工程价款将按期结转，直到累计应支付的价款达到</w:t>
      </w:r>
      <w:r>
        <w:rPr>
          <w:rFonts w:hint="eastAsia" w:cs="Times New Roman"/>
          <w:b/>
          <w:i/>
          <w:sz w:val="21"/>
        </w:rPr>
        <w:t>专用条款</w:t>
      </w:r>
      <w:r>
        <w:rPr>
          <w:rFonts w:hint="eastAsia" w:cs="Times New Roman"/>
          <w:sz w:val="21"/>
        </w:rPr>
        <w:t>约定的进度款支付的最低金额为止。累计进度款支付价款达到合同价格总额的90%或</w:t>
      </w:r>
      <w:r>
        <w:rPr>
          <w:rFonts w:hint="eastAsia" w:cs="Times New Roman"/>
          <w:b/>
          <w:i/>
          <w:sz w:val="21"/>
        </w:rPr>
        <w:t>专用条款</w:t>
      </w:r>
      <w:r>
        <w:rPr>
          <w:rFonts w:hint="eastAsia" w:cs="Times New Roman"/>
          <w:sz w:val="21"/>
        </w:rPr>
        <w:t>约定的支付比例时暂停支付。</w:t>
      </w:r>
    </w:p>
    <w:p w14:paraId="2409BB93">
      <w:pPr>
        <w:widowControl w:val="0"/>
        <w:tabs>
          <w:tab w:val="left" w:pos="1620"/>
          <w:tab w:val="left" w:pos="2340"/>
        </w:tabs>
        <w:spacing w:after="156"/>
        <w:ind w:left="899"/>
        <w:rPr>
          <w:rFonts w:cs="Times New Roman"/>
          <w:sz w:val="21"/>
        </w:rPr>
      </w:pPr>
      <w:r>
        <w:rPr>
          <w:rFonts w:hint="eastAsia" w:cs="Times New Roman"/>
          <w:sz w:val="21"/>
        </w:rPr>
        <w:t>⑵若承包人未按照23.2⑴款约定的时间提交进度款支付申请，</w:t>
      </w:r>
      <w:r>
        <w:rPr>
          <w:rFonts w:cs="Times New Roman"/>
          <w:sz w:val="21"/>
        </w:rPr>
        <w:t>监理人</w:t>
      </w:r>
      <w:r>
        <w:rPr>
          <w:rFonts w:hint="eastAsia" w:cs="Times New Roman"/>
          <w:sz w:val="21"/>
        </w:rPr>
        <w:t>可自行按照工程实际进度情况编制进度款支付申请，报发包人批准后签发进度款支付证书，承包人对此应予以认可。</w:t>
      </w:r>
    </w:p>
    <w:p w14:paraId="00F6F160">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发包人和监理人对承包人的</w:t>
      </w:r>
      <w:r>
        <w:rPr>
          <w:rFonts w:hint="eastAsia" w:cs="Times New Roman"/>
          <w:sz w:val="21"/>
        </w:rPr>
        <w:t>进度款支付申请</w:t>
      </w:r>
      <w:r>
        <w:rPr>
          <w:rFonts w:cs="Times New Roman"/>
          <w:sz w:val="21"/>
        </w:rPr>
        <w:t>有异议的，有权要求承包人修正和提供补充资料，承包人应提交修正后的</w:t>
      </w:r>
      <w:r>
        <w:rPr>
          <w:rFonts w:hint="eastAsia" w:cs="Times New Roman"/>
          <w:sz w:val="21"/>
        </w:rPr>
        <w:t>进度款支付申请</w:t>
      </w:r>
      <w:r>
        <w:rPr>
          <w:rFonts w:cs="Times New Roman"/>
          <w:sz w:val="21"/>
        </w:rPr>
        <w:t>。监理人应在收到承包人修正后的</w:t>
      </w:r>
      <w:r>
        <w:rPr>
          <w:rFonts w:hint="eastAsia" w:cs="Times New Roman"/>
          <w:sz w:val="21"/>
        </w:rPr>
        <w:t>进度款支付申请</w:t>
      </w:r>
      <w:r>
        <w:rPr>
          <w:rFonts w:cs="Times New Roman"/>
          <w:sz w:val="21"/>
        </w:rPr>
        <w:t>及相关资料后7天内完成审查并报送发包人，发包人应在收到监理人报送的</w:t>
      </w:r>
      <w:r>
        <w:rPr>
          <w:rFonts w:hint="eastAsia" w:cs="Times New Roman"/>
          <w:sz w:val="21"/>
        </w:rPr>
        <w:t>进度款支付申请</w:t>
      </w:r>
      <w:r>
        <w:rPr>
          <w:rFonts w:cs="Times New Roman"/>
          <w:sz w:val="21"/>
        </w:rPr>
        <w:t>及相关资料后7天内，向承包人签发无异议部分的支付证书。存在争议的部分，按照第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的约定处理。</w:t>
      </w:r>
    </w:p>
    <w:p w14:paraId="32374A0C">
      <w:pPr>
        <w:widowControl w:val="0"/>
        <w:tabs>
          <w:tab w:val="left" w:pos="1620"/>
          <w:tab w:val="left" w:pos="2340"/>
        </w:tabs>
        <w:spacing w:after="156"/>
        <w:ind w:left="899"/>
        <w:rPr>
          <w:rFonts w:cs="Times New Roman"/>
          <w:sz w:val="21"/>
        </w:rPr>
      </w:pPr>
      <w:r>
        <w:rPr>
          <w:rFonts w:hint="eastAsia" w:cs="Times New Roman"/>
          <w:sz w:val="21"/>
        </w:rPr>
        <w:t>⑷发包人应在进度款支付证书签发之日起7天内将进度款支付证书上列明的应付工程进度款支付给承包人。发包人超过约定的时间不支付，承包人可向发包人发出要求付款的通知。发包人收到通知后7天内仍不能付款，可与承包人协商签订延期付款协议，经承包人同意后可延期支付，发包人应从约定应付之日起按同期银行贷款利率向承包人支付拖欠工程进度款的贷款利息。</w:t>
      </w:r>
    </w:p>
    <w:p w14:paraId="7F3CAFF7">
      <w:pPr>
        <w:widowControl w:val="0"/>
        <w:tabs>
          <w:tab w:val="left" w:pos="1620"/>
          <w:tab w:val="left" w:pos="2340"/>
        </w:tabs>
        <w:spacing w:after="156"/>
        <w:ind w:left="899"/>
        <w:rPr>
          <w:rFonts w:cs="Times New Roman"/>
          <w:sz w:val="21"/>
        </w:rPr>
      </w:pPr>
      <w:r>
        <w:rPr>
          <w:rFonts w:hint="eastAsia" w:cs="Times New Roman"/>
          <w:sz w:val="21"/>
        </w:rPr>
        <w:t>⑸发包人不按约定时间足额支付工程进度款，双方又未达成延期付款协议，导致施工无法进行，承包人可停止施工，发包人应从约定应付之日起按同期银行贷款利率向承包人支付拖欠工程进度款的贷款利息以外，还应按第29.1款〔发包人违约〕承担违约责任。</w:t>
      </w:r>
    </w:p>
    <w:p w14:paraId="0AD51373">
      <w:pPr>
        <w:widowControl w:val="0"/>
        <w:tabs>
          <w:tab w:val="left" w:pos="1620"/>
          <w:tab w:val="left" w:pos="2340"/>
        </w:tabs>
        <w:spacing w:after="156"/>
        <w:ind w:left="899"/>
        <w:rPr>
          <w:rFonts w:cs="Times New Roman"/>
          <w:sz w:val="21"/>
        </w:rPr>
      </w:pPr>
      <w:r>
        <w:rPr>
          <w:rFonts w:hint="eastAsia" w:cs="Times New Roman"/>
          <w:sz w:val="21"/>
        </w:rPr>
        <w:t>⑹</w:t>
      </w:r>
      <w:r>
        <w:rPr>
          <w:rFonts w:cs="Times New Roman"/>
          <w:sz w:val="21"/>
        </w:rPr>
        <w:t>在对已签发的</w:t>
      </w:r>
      <w:r>
        <w:rPr>
          <w:rFonts w:hint="eastAsia" w:cs="Times New Roman"/>
          <w:sz w:val="21"/>
        </w:rPr>
        <w:t>进度款</w:t>
      </w:r>
      <w:r>
        <w:rPr>
          <w:rFonts w:cs="Times New Roman"/>
          <w:sz w:val="21"/>
        </w:rPr>
        <w:t>支付证书进行阶段汇总和复核中发现错误、遗漏或重复的，发包人和承包人均有权提出修正申请。经发包人和承包人同意的修正，应在下期进度付款中支付或扣除。</w:t>
      </w:r>
    </w:p>
    <w:p w14:paraId="3576A0C4">
      <w:pPr>
        <w:widowControl w:val="0"/>
        <w:tabs>
          <w:tab w:val="left" w:pos="1620"/>
          <w:tab w:val="left" w:pos="2340"/>
        </w:tabs>
        <w:spacing w:after="156"/>
        <w:ind w:left="899"/>
        <w:rPr>
          <w:rFonts w:cs="Times New Roman"/>
          <w:sz w:val="21"/>
        </w:rPr>
      </w:pPr>
      <w:r>
        <w:rPr>
          <w:rFonts w:hint="eastAsia" w:cs="Times New Roman"/>
          <w:sz w:val="21"/>
        </w:rPr>
        <w:t>⑺上述有关工程款支付的文件的编制和审核均须经注册造价工程师签字盖章确认。</w:t>
      </w:r>
    </w:p>
    <w:p w14:paraId="7EEBF56A">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工人工资支付</w:t>
      </w:r>
    </w:p>
    <w:p w14:paraId="38FEDBC8">
      <w:pPr>
        <w:widowControl w:val="0"/>
        <w:tabs>
          <w:tab w:val="left" w:pos="1620"/>
          <w:tab w:val="left" w:pos="2340"/>
        </w:tabs>
        <w:spacing w:after="156"/>
        <w:ind w:left="899"/>
        <w:rPr>
          <w:rFonts w:cs="Times New Roman"/>
          <w:sz w:val="21"/>
        </w:rPr>
      </w:pPr>
      <w:r>
        <w:rPr>
          <w:rFonts w:hint="eastAsia" w:cs="Times New Roman"/>
          <w:sz w:val="21"/>
        </w:rPr>
        <w:t>发包人和承包人应按照《保障农民工工资支付条例》《国务院关于解决农民工若干问题的意见》《建设领域农民工工资支付管理暂行办法》和深圳市建设行政主管部门的相关规定，实施用工实名制和分账制管理，在</w:t>
      </w:r>
      <w:r>
        <w:rPr>
          <w:rFonts w:hint="eastAsia" w:cs="Times New Roman"/>
          <w:b/>
          <w:i/>
          <w:sz w:val="21"/>
        </w:rPr>
        <w:t>专用条款</w:t>
      </w:r>
      <w:r>
        <w:rPr>
          <w:rFonts w:hint="eastAsia" w:cs="Times New Roman"/>
          <w:sz w:val="21"/>
        </w:rPr>
        <w:t>中约定工人工资支付方式，保障工人工资及时支付和足额发放。</w:t>
      </w:r>
    </w:p>
    <w:p w14:paraId="3BFAB02C">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工程款专款专用</w:t>
      </w:r>
    </w:p>
    <w:p w14:paraId="2F8246AA">
      <w:pPr>
        <w:widowControl w:val="0"/>
        <w:tabs>
          <w:tab w:val="left" w:pos="1620"/>
          <w:tab w:val="left" w:pos="2340"/>
        </w:tabs>
        <w:spacing w:after="156"/>
        <w:ind w:left="899"/>
        <w:rPr>
          <w:rFonts w:cs="Times New Roman"/>
          <w:sz w:val="21"/>
        </w:rPr>
      </w:pPr>
      <w:r>
        <w:rPr>
          <w:rFonts w:hint="eastAsia" w:cs="Times New Roman"/>
          <w:sz w:val="21"/>
        </w:rPr>
        <w:t>本工程发包人支付给承包人的工程款都应当专款专用，承包人不得擅自改变任何款项的使用性质。发包人有权检查承包人工程款的使用情况(包括但不限于工程预付款、材料款、分包工程款、劳务分包价款（工人工资）、安全文明措施费等款项)，发包人还可以采取</w:t>
      </w:r>
      <w:r>
        <w:rPr>
          <w:rFonts w:hint="eastAsia" w:cs="Times New Roman"/>
          <w:b/>
          <w:i/>
          <w:sz w:val="21"/>
        </w:rPr>
        <w:t>专用条款</w:t>
      </w:r>
      <w:r>
        <w:rPr>
          <w:rFonts w:hint="eastAsia" w:cs="Times New Roman"/>
          <w:sz w:val="21"/>
        </w:rPr>
        <w:t>约定的措施对承包人的工程款使用情况进行监管。</w:t>
      </w:r>
    </w:p>
    <w:p w14:paraId="4441C879">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工程变更</w:t>
      </w:r>
    </w:p>
    <w:p w14:paraId="50F667F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工程变更的范围</w:t>
      </w:r>
    </w:p>
    <w:p w14:paraId="7C3ADCD3">
      <w:pPr>
        <w:widowControl w:val="0"/>
        <w:tabs>
          <w:tab w:val="left" w:pos="1620"/>
          <w:tab w:val="left" w:pos="2340"/>
        </w:tabs>
        <w:ind w:left="899"/>
        <w:rPr>
          <w:rFonts w:cs="Times New Roman"/>
          <w:sz w:val="21"/>
        </w:rPr>
      </w:pPr>
      <w:r>
        <w:rPr>
          <w:rFonts w:hint="eastAsia" w:cs="Times New Roman"/>
          <w:sz w:val="21"/>
        </w:rPr>
        <w:t>在施工过程中，出现以下情况，视为工程变更：</w:t>
      </w:r>
    </w:p>
    <w:p w14:paraId="507CD3C5">
      <w:pPr>
        <w:widowControl w:val="0"/>
        <w:tabs>
          <w:tab w:val="left" w:pos="1620"/>
          <w:tab w:val="left" w:pos="2340"/>
        </w:tabs>
        <w:ind w:left="899"/>
        <w:rPr>
          <w:rFonts w:cs="Times New Roman"/>
          <w:sz w:val="21"/>
        </w:rPr>
      </w:pPr>
      <w:r>
        <w:rPr>
          <w:rFonts w:hint="eastAsia" w:cs="Times New Roman"/>
          <w:sz w:val="21"/>
        </w:rPr>
        <w:t>⑴本工程图纸包括的任何工作内容的数量、质量或其他特征的改变；</w:t>
      </w:r>
    </w:p>
    <w:p w14:paraId="70EDCD1A">
      <w:pPr>
        <w:widowControl w:val="0"/>
        <w:tabs>
          <w:tab w:val="left" w:pos="1620"/>
          <w:tab w:val="left" w:pos="2340"/>
        </w:tabs>
        <w:ind w:left="899"/>
        <w:rPr>
          <w:rFonts w:cs="Times New Roman"/>
          <w:sz w:val="21"/>
        </w:rPr>
      </w:pPr>
      <w:r>
        <w:rPr>
          <w:rFonts w:hint="eastAsia" w:cs="Times New Roman"/>
          <w:sz w:val="21"/>
        </w:rPr>
        <w:t>⑵本工程技术规范内容或要求的改变；</w:t>
      </w:r>
    </w:p>
    <w:p w14:paraId="142DB12C">
      <w:pPr>
        <w:widowControl w:val="0"/>
        <w:tabs>
          <w:tab w:val="left" w:pos="1620"/>
          <w:tab w:val="left" w:pos="2340"/>
        </w:tabs>
        <w:ind w:left="899"/>
        <w:rPr>
          <w:rFonts w:cs="Times New Roman"/>
          <w:sz w:val="21"/>
        </w:rPr>
      </w:pPr>
      <w:r>
        <w:rPr>
          <w:rFonts w:hint="eastAsia" w:cs="Times New Roman"/>
          <w:sz w:val="21"/>
        </w:rPr>
        <w:t>⑶本工程任何部分的标高、线形、位置和尺寸的改变；</w:t>
      </w:r>
    </w:p>
    <w:p w14:paraId="398D0362">
      <w:pPr>
        <w:widowControl w:val="0"/>
        <w:tabs>
          <w:tab w:val="left" w:pos="1620"/>
          <w:tab w:val="left" w:pos="2340"/>
        </w:tabs>
        <w:ind w:left="899"/>
        <w:rPr>
          <w:rFonts w:cs="Times New Roman"/>
          <w:sz w:val="21"/>
        </w:rPr>
      </w:pPr>
      <w:r>
        <w:rPr>
          <w:rFonts w:hint="eastAsia" w:cs="Times New Roman"/>
          <w:sz w:val="21"/>
        </w:rPr>
        <w:t>⑷本工程任何部分施工的约定顺序或时间安排的改变；</w:t>
      </w:r>
    </w:p>
    <w:p w14:paraId="495C7645">
      <w:pPr>
        <w:widowControl w:val="0"/>
        <w:tabs>
          <w:tab w:val="left" w:pos="1620"/>
          <w:tab w:val="left" w:pos="2340"/>
        </w:tabs>
        <w:ind w:left="899"/>
        <w:rPr>
          <w:rFonts w:cs="Times New Roman"/>
          <w:sz w:val="21"/>
        </w:rPr>
      </w:pPr>
      <w:r>
        <w:rPr>
          <w:rFonts w:hint="eastAsia" w:cs="Times New Roman"/>
          <w:sz w:val="21"/>
        </w:rPr>
        <w:t>⑸为进行工程变更需要的任何附加工作、材料或设备。</w:t>
      </w:r>
    </w:p>
    <w:p w14:paraId="11C2AD82">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变更权</w:t>
      </w:r>
    </w:p>
    <w:p w14:paraId="7ED9DF84">
      <w:pPr>
        <w:widowControl w:val="0"/>
        <w:tabs>
          <w:tab w:val="left" w:pos="1620"/>
          <w:tab w:val="left" w:pos="2340"/>
        </w:tabs>
        <w:ind w:left="899"/>
        <w:rPr>
          <w:rFonts w:cs="Times New Roman"/>
          <w:sz w:val="21"/>
        </w:rPr>
      </w:pPr>
      <w:r>
        <w:rPr>
          <w:rFonts w:hint="eastAsia" w:cs="Times New Roman"/>
          <w:sz w:val="21"/>
        </w:rPr>
        <w:t>⑴发包人和监理人均可提出变更。变更指令均通过监理人发出，监理人发出变更指令前应征得发包人同意。承包人收到经发包人签认的变更指令后，方可实施变更。未经许可，承包人不得擅自对工程的任何部分进行变更。</w:t>
      </w:r>
    </w:p>
    <w:p w14:paraId="2A8C6782">
      <w:pPr>
        <w:widowControl w:val="0"/>
        <w:tabs>
          <w:tab w:val="left" w:pos="1620"/>
          <w:tab w:val="left" w:pos="2340"/>
        </w:tabs>
        <w:ind w:left="899"/>
        <w:rPr>
          <w:rFonts w:cs="Times New Roman"/>
          <w:sz w:val="21"/>
        </w:rPr>
      </w:pPr>
      <w:r>
        <w:rPr>
          <w:rFonts w:hint="eastAsia" w:cs="Times New Roman"/>
          <w:sz w:val="21"/>
        </w:rPr>
        <w:t>⑵涉及设计变更的，应由设计人提供变更后的图纸和说明。</w:t>
      </w:r>
    </w:p>
    <w:p w14:paraId="4013952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工程变更程序</w:t>
      </w:r>
    </w:p>
    <w:p w14:paraId="6FD584C4">
      <w:pPr>
        <w:widowControl w:val="0"/>
        <w:tabs>
          <w:tab w:val="left" w:pos="1620"/>
          <w:tab w:val="left" w:pos="2340"/>
        </w:tabs>
        <w:ind w:left="899"/>
        <w:rPr>
          <w:rFonts w:cs="Times New Roman"/>
          <w:sz w:val="21"/>
        </w:rPr>
      </w:pPr>
      <w:r>
        <w:rPr>
          <w:rFonts w:hint="eastAsia" w:cs="Times New Roman"/>
          <w:sz w:val="21"/>
        </w:rPr>
        <w:t>工程变更应按以下程序及</w:t>
      </w:r>
      <w:r>
        <w:rPr>
          <w:rFonts w:hint="eastAsia" w:cs="Times New Roman"/>
          <w:b/>
          <w:i/>
          <w:sz w:val="21"/>
        </w:rPr>
        <w:t>专用条款</w:t>
      </w:r>
      <w:r>
        <w:rPr>
          <w:rFonts w:hint="eastAsia" w:cs="Times New Roman"/>
          <w:sz w:val="21"/>
        </w:rPr>
        <w:t>的约定办理，并由</w:t>
      </w:r>
      <w:r>
        <w:rPr>
          <w:rFonts w:cs="Times New Roman"/>
          <w:sz w:val="21"/>
        </w:rPr>
        <w:t>监理人</w:t>
      </w:r>
      <w:r>
        <w:rPr>
          <w:rFonts w:hint="eastAsia" w:cs="Times New Roman"/>
          <w:sz w:val="21"/>
        </w:rPr>
        <w:t>提前14天向承包人发出变更指令。</w:t>
      </w:r>
    </w:p>
    <w:p w14:paraId="4349C44A">
      <w:pPr>
        <w:widowControl w:val="0"/>
        <w:tabs>
          <w:tab w:val="left" w:pos="1620"/>
          <w:tab w:val="left" w:pos="2340"/>
        </w:tabs>
        <w:ind w:left="1079"/>
        <w:rPr>
          <w:rFonts w:cs="Times New Roman"/>
          <w:sz w:val="21"/>
        </w:rPr>
      </w:pPr>
      <w:r>
        <w:rPr>
          <w:rFonts w:hint="eastAsia" w:cs="Times New Roman"/>
          <w:sz w:val="21"/>
        </w:rPr>
        <w:t>⑴发包人提出变更建议，经</w:t>
      </w:r>
      <w:r>
        <w:rPr>
          <w:rFonts w:cs="Times New Roman"/>
          <w:sz w:val="21"/>
        </w:rPr>
        <w:t>监理人</w:t>
      </w:r>
      <w:r>
        <w:rPr>
          <w:rFonts w:hint="eastAsia" w:cs="Times New Roman"/>
          <w:sz w:val="21"/>
        </w:rPr>
        <w:t>审核，涉及施工图调整时应经</w:t>
      </w:r>
      <w:r>
        <w:rPr>
          <w:rFonts w:cs="Times New Roman"/>
          <w:sz w:val="21"/>
        </w:rPr>
        <w:t>设计人</w:t>
      </w:r>
      <w:r>
        <w:rPr>
          <w:rFonts w:hint="eastAsia" w:cs="Times New Roman"/>
          <w:sz w:val="21"/>
        </w:rPr>
        <w:t>同意并提交相应变更设计；</w:t>
      </w:r>
    </w:p>
    <w:p w14:paraId="35FA44A7">
      <w:pPr>
        <w:widowControl w:val="0"/>
        <w:tabs>
          <w:tab w:val="left" w:pos="1620"/>
          <w:tab w:val="left" w:pos="2340"/>
        </w:tabs>
        <w:ind w:left="1079"/>
        <w:rPr>
          <w:rFonts w:cs="Times New Roman"/>
          <w:sz w:val="21"/>
        </w:rPr>
      </w:pPr>
      <w:r>
        <w:rPr>
          <w:rFonts w:hint="eastAsia" w:cs="Times New Roman"/>
          <w:sz w:val="21"/>
        </w:rPr>
        <w:t>⑵</w:t>
      </w:r>
      <w:r>
        <w:rPr>
          <w:rFonts w:cs="Times New Roman"/>
          <w:sz w:val="21"/>
        </w:rPr>
        <w:t>设计人</w:t>
      </w:r>
      <w:r>
        <w:rPr>
          <w:rFonts w:hint="eastAsia" w:cs="Times New Roman"/>
          <w:sz w:val="21"/>
        </w:rPr>
        <w:t>提出变更建议，涉及施工图调整时应提交相应变更设计，经</w:t>
      </w:r>
      <w:r>
        <w:rPr>
          <w:rFonts w:cs="Times New Roman"/>
          <w:sz w:val="21"/>
        </w:rPr>
        <w:t>监理人</w:t>
      </w:r>
      <w:r>
        <w:rPr>
          <w:rFonts w:hint="eastAsia" w:cs="Times New Roman"/>
          <w:sz w:val="21"/>
        </w:rPr>
        <w:t>审核并报发包人同意；</w:t>
      </w:r>
    </w:p>
    <w:p w14:paraId="2D8321CB">
      <w:pPr>
        <w:widowControl w:val="0"/>
        <w:tabs>
          <w:tab w:val="left" w:pos="1620"/>
          <w:tab w:val="left" w:pos="2340"/>
        </w:tabs>
        <w:ind w:left="1079"/>
        <w:rPr>
          <w:rFonts w:cs="Times New Roman"/>
          <w:sz w:val="21"/>
        </w:rPr>
      </w:pPr>
      <w:r>
        <w:rPr>
          <w:rFonts w:hint="eastAsia" w:cs="Times New Roman"/>
          <w:sz w:val="21"/>
        </w:rPr>
        <w:t>⑶</w:t>
      </w:r>
      <w:r>
        <w:rPr>
          <w:rFonts w:cs="Times New Roman"/>
          <w:sz w:val="21"/>
        </w:rPr>
        <w:t>监理人</w:t>
      </w:r>
      <w:r>
        <w:rPr>
          <w:rFonts w:hint="eastAsia" w:cs="Times New Roman"/>
          <w:sz w:val="21"/>
        </w:rPr>
        <w:t>提出变更建议，涉及施工图调整时应经</w:t>
      </w:r>
      <w:r>
        <w:rPr>
          <w:rFonts w:cs="Times New Roman"/>
          <w:sz w:val="21"/>
        </w:rPr>
        <w:t>设计人</w:t>
      </w:r>
      <w:r>
        <w:rPr>
          <w:rFonts w:hint="eastAsia" w:cs="Times New Roman"/>
          <w:sz w:val="21"/>
        </w:rPr>
        <w:t>同意并提交相应变更设计，报发包人同意；</w:t>
      </w:r>
    </w:p>
    <w:p w14:paraId="0556C380">
      <w:pPr>
        <w:widowControl w:val="0"/>
        <w:tabs>
          <w:tab w:val="left" w:pos="1620"/>
          <w:tab w:val="left" w:pos="2340"/>
        </w:tabs>
        <w:ind w:left="1079"/>
        <w:rPr>
          <w:rFonts w:cs="Times New Roman"/>
          <w:sz w:val="21"/>
        </w:rPr>
      </w:pPr>
      <w:r>
        <w:rPr>
          <w:rFonts w:hint="eastAsia" w:cs="Times New Roman"/>
          <w:sz w:val="21"/>
        </w:rPr>
        <w:t>⑷承包人提出变更建议，涉及施工图调整时应经</w:t>
      </w:r>
      <w:r>
        <w:rPr>
          <w:rFonts w:cs="Times New Roman"/>
          <w:sz w:val="21"/>
        </w:rPr>
        <w:t>设计人</w:t>
      </w:r>
      <w:r>
        <w:rPr>
          <w:rFonts w:hint="eastAsia" w:cs="Times New Roman"/>
          <w:sz w:val="21"/>
        </w:rPr>
        <w:t>同意并提交相应变更设计，经</w:t>
      </w:r>
      <w:r>
        <w:rPr>
          <w:rFonts w:cs="Times New Roman"/>
          <w:sz w:val="21"/>
        </w:rPr>
        <w:t>监理人</w:t>
      </w:r>
      <w:r>
        <w:rPr>
          <w:rFonts w:hint="eastAsia" w:cs="Times New Roman"/>
          <w:sz w:val="21"/>
        </w:rPr>
        <w:t>审核并报发包人同意；</w:t>
      </w:r>
    </w:p>
    <w:p w14:paraId="17DB302C">
      <w:pPr>
        <w:widowControl w:val="0"/>
        <w:tabs>
          <w:tab w:val="left" w:pos="1620"/>
          <w:tab w:val="left" w:pos="2340"/>
        </w:tabs>
        <w:ind w:left="1079"/>
        <w:rPr>
          <w:rFonts w:cs="Times New Roman"/>
          <w:sz w:val="21"/>
        </w:rPr>
      </w:pPr>
      <w:r>
        <w:rPr>
          <w:rFonts w:hint="eastAsia" w:cs="Times New Roman"/>
          <w:sz w:val="21"/>
        </w:rPr>
        <w:t>⑸以上变更建议涉及到结构、外墙等影响本工程及公众安全的，必须经</w:t>
      </w:r>
      <w:r>
        <w:rPr>
          <w:rFonts w:cs="Times New Roman"/>
          <w:sz w:val="21"/>
        </w:rPr>
        <w:t>设计人</w:t>
      </w:r>
      <w:r>
        <w:rPr>
          <w:rFonts w:hint="eastAsia" w:cs="Times New Roman"/>
          <w:sz w:val="21"/>
        </w:rPr>
        <w:t>同意并提交相应变更设计；</w:t>
      </w:r>
    </w:p>
    <w:p w14:paraId="43033AA1">
      <w:pPr>
        <w:widowControl w:val="0"/>
        <w:tabs>
          <w:tab w:val="left" w:pos="1620"/>
          <w:tab w:val="left" w:pos="2340"/>
        </w:tabs>
        <w:ind w:left="1079"/>
        <w:rPr>
          <w:rFonts w:cs="Times New Roman"/>
          <w:sz w:val="21"/>
        </w:rPr>
      </w:pPr>
      <w:r>
        <w:rPr>
          <w:rFonts w:hint="eastAsia" w:cs="Times New Roman"/>
          <w:sz w:val="21"/>
        </w:rPr>
        <w:t>⑹以上变更超过原设计标准或批准的建设规模需要有关部门审批时，发包人应在</w:t>
      </w:r>
      <w:r>
        <w:rPr>
          <w:rFonts w:hint="eastAsia" w:cs="Times New Roman"/>
          <w:b/>
          <w:i/>
          <w:sz w:val="21"/>
        </w:rPr>
        <w:t>专用条款</w:t>
      </w:r>
      <w:r>
        <w:rPr>
          <w:rFonts w:hint="eastAsia" w:cs="Times New Roman"/>
          <w:sz w:val="21"/>
        </w:rPr>
        <w:t>约定期限内报规划管理部门和其他有关部门重新审查批准，并提供由</w:t>
      </w:r>
      <w:r>
        <w:rPr>
          <w:rFonts w:cs="Times New Roman"/>
          <w:sz w:val="21"/>
        </w:rPr>
        <w:t>设计人</w:t>
      </w:r>
      <w:r>
        <w:rPr>
          <w:rFonts w:hint="eastAsia" w:cs="Times New Roman"/>
          <w:sz w:val="21"/>
        </w:rPr>
        <w:t>出具的相应变更设计。</w:t>
      </w:r>
    </w:p>
    <w:p w14:paraId="5B95EF35">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其他变更</w:t>
      </w:r>
    </w:p>
    <w:p w14:paraId="4B7D7BC0">
      <w:pPr>
        <w:widowControl w:val="0"/>
        <w:tabs>
          <w:tab w:val="left" w:pos="1620"/>
          <w:tab w:val="left" w:pos="2340"/>
        </w:tabs>
        <w:spacing w:after="156"/>
        <w:ind w:left="899"/>
        <w:rPr>
          <w:rFonts w:cs="Times New Roman"/>
          <w:sz w:val="21"/>
        </w:rPr>
      </w:pPr>
      <w:r>
        <w:rPr>
          <w:rFonts w:hint="eastAsia" w:cs="Times New Roman"/>
          <w:sz w:val="21"/>
        </w:rPr>
        <w:t>⑴如发出本工程变更指令是因为承包人过错、承包人违反本合同等造成的，则由此引起的任何额外费用由承包人承担。</w:t>
      </w:r>
    </w:p>
    <w:p w14:paraId="00E1A366">
      <w:pPr>
        <w:widowControl w:val="0"/>
        <w:tabs>
          <w:tab w:val="left" w:pos="1620"/>
          <w:tab w:val="left" w:pos="2340"/>
        </w:tabs>
        <w:spacing w:after="156"/>
        <w:ind w:left="899"/>
        <w:rPr>
          <w:rFonts w:cs="Times New Roman"/>
          <w:sz w:val="21"/>
        </w:rPr>
      </w:pPr>
      <w:r>
        <w:rPr>
          <w:rFonts w:hint="eastAsia" w:cs="Times New Roman"/>
          <w:sz w:val="21"/>
        </w:rPr>
        <w:t>⑵如承包人为了便于组织施工，或为了施工安全、避免干扰等原因需采取相应的技术措施而提出的局部变更设计，除须得到</w:t>
      </w:r>
      <w:r>
        <w:rPr>
          <w:rFonts w:cs="Times New Roman"/>
          <w:sz w:val="21"/>
        </w:rPr>
        <w:t>监理人</w:t>
      </w:r>
      <w:r>
        <w:rPr>
          <w:rFonts w:hint="eastAsia" w:cs="Times New Roman"/>
          <w:sz w:val="21"/>
        </w:rPr>
        <w:t>的批准外，由此而增加的费用由承包人自行负担。因承包人擅自变更设计发生的费用和由此导致发包人的直接损失，由承包人承担，延误的工期不予顺延。</w:t>
      </w:r>
    </w:p>
    <w:p w14:paraId="1BE8127E">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计日工现场签证</w:t>
      </w:r>
    </w:p>
    <w:p w14:paraId="24A0EC64">
      <w:pPr>
        <w:widowControl w:val="0"/>
        <w:tabs>
          <w:tab w:val="left" w:pos="1620"/>
          <w:tab w:val="left" w:pos="2340"/>
        </w:tabs>
        <w:spacing w:after="156"/>
        <w:ind w:left="899"/>
        <w:rPr>
          <w:rFonts w:cs="Times New Roman"/>
          <w:sz w:val="21"/>
        </w:rPr>
      </w:pPr>
      <w:r>
        <w:rPr>
          <w:rFonts w:hint="eastAsia" w:cs="Times New Roman"/>
          <w:sz w:val="21"/>
        </w:rPr>
        <w:t>⑴在本工程施工过程中，承包人完成发包人或</w:t>
      </w:r>
      <w:r>
        <w:rPr>
          <w:rFonts w:cs="Times New Roman"/>
          <w:sz w:val="21"/>
        </w:rPr>
        <w:t>监理人</w:t>
      </w:r>
      <w:r>
        <w:rPr>
          <w:rFonts w:hint="eastAsia" w:cs="Times New Roman"/>
          <w:sz w:val="21"/>
        </w:rPr>
        <w:t>提出的施工图以外的零星项目或工作，</w:t>
      </w:r>
      <w:r>
        <w:rPr>
          <w:rFonts w:cs="Times New Roman"/>
          <w:sz w:val="21"/>
        </w:rPr>
        <w:t>其价款按列入已标价工程量清单或预算书中的计日工计价项目及其单价进行计算；已标价工程量清单或预算书中无相应的计日工单价的，按照合理的成本与利润构成的原则，由承发包双方</w:t>
      </w:r>
      <w:r>
        <w:rPr>
          <w:rFonts w:hint="eastAsia" w:cs="Times New Roman"/>
          <w:sz w:val="21"/>
        </w:rPr>
        <w:t>协商</w:t>
      </w:r>
      <w:r>
        <w:rPr>
          <w:rFonts w:cs="Times New Roman"/>
          <w:sz w:val="21"/>
        </w:rPr>
        <w:t>确定变更工作的单价</w:t>
      </w:r>
      <w:r>
        <w:rPr>
          <w:rFonts w:hint="eastAsia" w:cs="Times New Roman"/>
          <w:sz w:val="21"/>
        </w:rPr>
        <w:t>，协商不成的，按第31条〔争议解决〕的约定处理。</w:t>
      </w:r>
    </w:p>
    <w:p w14:paraId="4287A2EA">
      <w:pPr>
        <w:widowControl w:val="0"/>
        <w:tabs>
          <w:tab w:val="left" w:pos="1620"/>
          <w:tab w:val="left" w:pos="2340"/>
        </w:tabs>
        <w:spacing w:after="156"/>
        <w:ind w:left="899"/>
        <w:rPr>
          <w:rFonts w:cs="Times New Roman"/>
          <w:sz w:val="21"/>
        </w:rPr>
      </w:pPr>
      <w:r>
        <w:rPr>
          <w:rFonts w:hint="eastAsia" w:cs="Times New Roman"/>
          <w:sz w:val="21"/>
        </w:rPr>
        <w:t>⑵发包人或</w:t>
      </w:r>
      <w:r>
        <w:rPr>
          <w:rFonts w:cs="Times New Roman"/>
          <w:sz w:val="21"/>
        </w:rPr>
        <w:t>监理人</w:t>
      </w:r>
      <w:r>
        <w:rPr>
          <w:rFonts w:hint="eastAsia" w:cs="Times New Roman"/>
          <w:sz w:val="21"/>
        </w:rPr>
        <w:t>如认为必要时，可以指令承包人按计日工完成工作。对所有按计日工方式施工的工程，承包人应在该工程持续进行过程中，每天向</w:t>
      </w:r>
      <w:r>
        <w:rPr>
          <w:rFonts w:cs="Times New Roman"/>
          <w:sz w:val="21"/>
        </w:rPr>
        <w:t>监理人</w:t>
      </w:r>
      <w:r>
        <w:rPr>
          <w:rFonts w:hint="eastAsia" w:cs="Times New Roman"/>
          <w:sz w:val="21"/>
        </w:rPr>
        <w:t>提交以下报表及有关凭证一式两份，经</w:t>
      </w:r>
      <w:r>
        <w:rPr>
          <w:rFonts w:cs="Times New Roman"/>
          <w:sz w:val="21"/>
        </w:rPr>
        <w:t>监理人</w:t>
      </w:r>
      <w:r>
        <w:rPr>
          <w:rFonts w:hint="eastAsia" w:cs="Times New Roman"/>
          <w:sz w:val="21"/>
        </w:rPr>
        <w:t>确认签字后，退还其中一份给承包人。</w:t>
      </w:r>
    </w:p>
    <w:p w14:paraId="39BE8998">
      <w:pPr>
        <w:widowControl w:val="0"/>
        <w:tabs>
          <w:tab w:val="left" w:pos="1620"/>
          <w:tab w:val="left" w:pos="2340"/>
        </w:tabs>
        <w:ind w:left="1079"/>
        <w:rPr>
          <w:rFonts w:cs="Times New Roman"/>
          <w:sz w:val="21"/>
        </w:rPr>
      </w:pPr>
      <w:r>
        <w:rPr>
          <w:rFonts w:hint="eastAsia" w:cs="Times New Roman"/>
          <w:sz w:val="21"/>
        </w:rPr>
        <w:t>①</w:t>
      </w:r>
      <w:r>
        <w:rPr>
          <w:rFonts w:cs="Times New Roman"/>
          <w:sz w:val="21"/>
        </w:rPr>
        <w:t>工作名称、内容和数量；</w:t>
      </w:r>
    </w:p>
    <w:p w14:paraId="1FEE3CAC">
      <w:pPr>
        <w:widowControl w:val="0"/>
        <w:tabs>
          <w:tab w:val="left" w:pos="1620"/>
          <w:tab w:val="left" w:pos="2340"/>
        </w:tabs>
        <w:ind w:left="1079"/>
        <w:rPr>
          <w:rFonts w:cs="Times New Roman"/>
          <w:sz w:val="21"/>
        </w:rPr>
      </w:pPr>
      <w:r>
        <w:rPr>
          <w:rFonts w:hint="eastAsia" w:cs="Times New Roman"/>
          <w:sz w:val="21"/>
        </w:rPr>
        <w:t>②</w:t>
      </w:r>
      <w:r>
        <w:rPr>
          <w:rFonts w:cs="Times New Roman"/>
          <w:sz w:val="21"/>
        </w:rPr>
        <w:t>投入该工作的所有人员的姓名、专业、工种、级别和耗用工时；</w:t>
      </w:r>
    </w:p>
    <w:p w14:paraId="79C58C76">
      <w:pPr>
        <w:widowControl w:val="0"/>
        <w:tabs>
          <w:tab w:val="left" w:pos="1620"/>
          <w:tab w:val="left" w:pos="2340"/>
        </w:tabs>
        <w:ind w:left="1079"/>
        <w:rPr>
          <w:rFonts w:cs="Times New Roman"/>
          <w:sz w:val="21"/>
        </w:rPr>
      </w:pPr>
      <w:r>
        <w:rPr>
          <w:rFonts w:hint="eastAsia" w:cs="Times New Roman"/>
          <w:sz w:val="21"/>
        </w:rPr>
        <w:t>③</w:t>
      </w:r>
      <w:r>
        <w:rPr>
          <w:rFonts w:cs="Times New Roman"/>
          <w:sz w:val="21"/>
        </w:rPr>
        <w:t>投入该工作的材料类别和数量；</w:t>
      </w:r>
    </w:p>
    <w:p w14:paraId="4540B596">
      <w:pPr>
        <w:widowControl w:val="0"/>
        <w:tabs>
          <w:tab w:val="left" w:pos="1620"/>
          <w:tab w:val="left" w:pos="2340"/>
        </w:tabs>
        <w:ind w:left="1079"/>
        <w:rPr>
          <w:rFonts w:cs="Times New Roman"/>
          <w:sz w:val="21"/>
        </w:rPr>
      </w:pPr>
      <w:r>
        <w:rPr>
          <w:rFonts w:hint="eastAsia" w:cs="Times New Roman"/>
          <w:sz w:val="21"/>
        </w:rPr>
        <w:t>④</w:t>
      </w:r>
      <w:r>
        <w:rPr>
          <w:rFonts w:cs="Times New Roman"/>
          <w:sz w:val="21"/>
        </w:rPr>
        <w:t>投入该工作的施工设备型号和耗用</w:t>
      </w:r>
      <w:r>
        <w:rPr>
          <w:rFonts w:hint="eastAsia" w:cs="Times New Roman"/>
          <w:sz w:val="21"/>
        </w:rPr>
        <w:t>台班</w:t>
      </w:r>
      <w:r>
        <w:rPr>
          <w:rFonts w:cs="Times New Roman"/>
          <w:sz w:val="21"/>
        </w:rPr>
        <w:t>；</w:t>
      </w:r>
    </w:p>
    <w:p w14:paraId="4B17056E">
      <w:pPr>
        <w:widowControl w:val="0"/>
        <w:tabs>
          <w:tab w:val="left" w:pos="1620"/>
          <w:tab w:val="left" w:pos="2340"/>
        </w:tabs>
        <w:ind w:left="1079"/>
        <w:rPr>
          <w:rFonts w:cs="Times New Roman"/>
          <w:sz w:val="21"/>
        </w:rPr>
      </w:pPr>
      <w:r>
        <w:rPr>
          <w:rFonts w:hint="eastAsia" w:cs="Times New Roman"/>
          <w:sz w:val="21"/>
        </w:rPr>
        <w:t>⑤</w:t>
      </w:r>
      <w:r>
        <w:rPr>
          <w:rFonts w:cs="Times New Roman"/>
          <w:sz w:val="21"/>
        </w:rPr>
        <w:t>其他有关资料和凭证。</w:t>
      </w:r>
    </w:p>
    <w:p w14:paraId="267CAACB">
      <w:pPr>
        <w:widowControl w:val="0"/>
        <w:tabs>
          <w:tab w:val="left" w:pos="1620"/>
          <w:tab w:val="left" w:pos="2340"/>
        </w:tabs>
        <w:spacing w:after="156"/>
        <w:ind w:left="899"/>
        <w:rPr>
          <w:rFonts w:cs="Times New Roman"/>
          <w:sz w:val="21"/>
        </w:rPr>
      </w:pPr>
      <w:r>
        <w:rPr>
          <w:rFonts w:hint="eastAsia" w:cs="Times New Roman"/>
          <w:sz w:val="21"/>
        </w:rPr>
        <w:t>⑶在进度款支付的同时，承包人应按照</w:t>
      </w:r>
      <w:r>
        <w:rPr>
          <w:rFonts w:cs="Times New Roman"/>
          <w:sz w:val="21"/>
        </w:rPr>
        <w:t>监理人</w:t>
      </w:r>
      <w:r>
        <w:rPr>
          <w:rFonts w:hint="eastAsia" w:cs="Times New Roman"/>
          <w:sz w:val="21"/>
        </w:rPr>
        <w:t>确认的本期累计所用劳务、材料和承包人装备的数量，向</w:t>
      </w:r>
      <w:r>
        <w:rPr>
          <w:rFonts w:cs="Times New Roman"/>
          <w:sz w:val="21"/>
        </w:rPr>
        <w:t>监理人</w:t>
      </w:r>
      <w:r>
        <w:rPr>
          <w:rFonts w:hint="eastAsia" w:cs="Times New Roman"/>
          <w:sz w:val="21"/>
        </w:rPr>
        <w:t>申报本期所用计日工费用，经</w:t>
      </w:r>
      <w:r>
        <w:rPr>
          <w:rFonts w:cs="Times New Roman"/>
          <w:sz w:val="21"/>
        </w:rPr>
        <w:t>监理人</w:t>
      </w:r>
      <w:r>
        <w:rPr>
          <w:rFonts w:hint="eastAsia" w:cs="Times New Roman"/>
          <w:sz w:val="21"/>
        </w:rPr>
        <w:t>审核并报发包人确认后，与进度款支付同期支付。</w:t>
      </w:r>
    </w:p>
    <w:p w14:paraId="152096D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价值工程</w:t>
      </w:r>
    </w:p>
    <w:p w14:paraId="6CF8646B">
      <w:pPr>
        <w:widowControl w:val="0"/>
        <w:tabs>
          <w:tab w:val="left" w:pos="1620"/>
          <w:tab w:val="left" w:pos="2340"/>
        </w:tabs>
        <w:ind w:left="899"/>
        <w:rPr>
          <w:rFonts w:cs="Times New Roman"/>
          <w:sz w:val="21"/>
        </w:rPr>
      </w:pPr>
      <w:r>
        <w:rPr>
          <w:rFonts w:hint="eastAsia" w:cs="Times New Roman"/>
          <w:sz w:val="21"/>
        </w:rPr>
        <w:t>⑴施工过程中承包人可随时提出其认为可满足下列要求的合理化建议：</w:t>
      </w:r>
    </w:p>
    <w:p w14:paraId="6EC33A8B">
      <w:pPr>
        <w:widowControl w:val="0"/>
        <w:tabs>
          <w:tab w:val="left" w:pos="1620"/>
          <w:tab w:val="left" w:pos="2340"/>
        </w:tabs>
        <w:ind w:left="1079"/>
        <w:rPr>
          <w:rFonts w:cs="Times New Roman"/>
          <w:sz w:val="21"/>
        </w:rPr>
      </w:pPr>
      <w:r>
        <w:rPr>
          <w:rFonts w:hint="eastAsia" w:cs="Times New Roman"/>
          <w:sz w:val="21"/>
        </w:rPr>
        <w:t>①使本工程提前竣工；</w:t>
      </w:r>
    </w:p>
    <w:p w14:paraId="4B18820E">
      <w:pPr>
        <w:widowControl w:val="0"/>
        <w:tabs>
          <w:tab w:val="left" w:pos="1620"/>
          <w:tab w:val="left" w:pos="2340"/>
        </w:tabs>
        <w:ind w:left="1079"/>
        <w:rPr>
          <w:rFonts w:cs="Times New Roman"/>
          <w:sz w:val="21"/>
        </w:rPr>
      </w:pPr>
      <w:r>
        <w:rPr>
          <w:rFonts w:hint="eastAsia" w:cs="Times New Roman"/>
          <w:sz w:val="21"/>
        </w:rPr>
        <w:t>②降低发包人的工程施工、维护或运营的费用；</w:t>
      </w:r>
    </w:p>
    <w:p w14:paraId="050AE2A7">
      <w:pPr>
        <w:widowControl w:val="0"/>
        <w:tabs>
          <w:tab w:val="left" w:pos="1620"/>
          <w:tab w:val="left" w:pos="2340"/>
        </w:tabs>
        <w:ind w:left="1079"/>
        <w:rPr>
          <w:rFonts w:cs="Times New Roman"/>
          <w:sz w:val="21"/>
        </w:rPr>
      </w:pPr>
      <w:r>
        <w:rPr>
          <w:rFonts w:hint="eastAsia" w:cs="Times New Roman"/>
          <w:sz w:val="21"/>
        </w:rPr>
        <w:t>③提高本工程的价值；</w:t>
      </w:r>
    </w:p>
    <w:p w14:paraId="71E0F66B">
      <w:pPr>
        <w:widowControl w:val="0"/>
        <w:tabs>
          <w:tab w:val="left" w:pos="1620"/>
          <w:tab w:val="left" w:pos="2340"/>
        </w:tabs>
        <w:ind w:left="1079"/>
        <w:rPr>
          <w:rFonts w:cs="Times New Roman"/>
          <w:sz w:val="21"/>
        </w:rPr>
      </w:pPr>
      <w:r>
        <w:rPr>
          <w:rFonts w:hint="eastAsia" w:cs="Times New Roman"/>
          <w:sz w:val="21"/>
        </w:rPr>
        <w:t>④为发包人带来其它利益。</w:t>
      </w:r>
    </w:p>
    <w:p w14:paraId="3DB56ADA">
      <w:pPr>
        <w:widowControl w:val="0"/>
        <w:tabs>
          <w:tab w:val="left" w:pos="1620"/>
          <w:tab w:val="left" w:pos="2340"/>
        </w:tabs>
        <w:spacing w:before="156"/>
        <w:ind w:left="899"/>
        <w:rPr>
          <w:rFonts w:cs="Times New Roman"/>
          <w:sz w:val="21"/>
        </w:rPr>
      </w:pPr>
      <w:r>
        <w:rPr>
          <w:rFonts w:hint="eastAsia" w:cs="Times New Roman"/>
          <w:sz w:val="21"/>
        </w:rPr>
        <w:t>⑵</w:t>
      </w:r>
      <w:r>
        <w:rPr>
          <w:rFonts w:cs="Times New Roman"/>
          <w:sz w:val="21"/>
        </w:rPr>
        <w:t>监理人</w:t>
      </w:r>
      <w:r>
        <w:rPr>
          <w:rFonts w:hint="eastAsia" w:cs="Times New Roman"/>
          <w:sz w:val="21"/>
        </w:rPr>
        <w:t>收到此类建议后，应尽快提出针对性的回复，在此期间，承包人应继续按照本合同约定进行相应工作。若该合理化建议涉及到对设计图纸或施工组织设计的更改及对材料、设备的换用，须经</w:t>
      </w:r>
      <w:r>
        <w:rPr>
          <w:rFonts w:cs="Times New Roman"/>
          <w:sz w:val="21"/>
        </w:rPr>
        <w:t>监理人</w:t>
      </w:r>
      <w:r>
        <w:rPr>
          <w:rFonts w:hint="eastAsia" w:cs="Times New Roman"/>
          <w:sz w:val="21"/>
        </w:rPr>
        <w:t>审查并报经发包人批准。未经批准擅自更改或换用时，承包人承担由此发生的费用，并赔偿发包人的有关损失，延误的工期不予顺延。</w:t>
      </w:r>
    </w:p>
    <w:p w14:paraId="64F3CD6C">
      <w:pPr>
        <w:widowControl w:val="0"/>
        <w:tabs>
          <w:tab w:val="left" w:pos="1620"/>
          <w:tab w:val="left" w:pos="2340"/>
        </w:tabs>
        <w:spacing w:before="156"/>
        <w:ind w:left="899"/>
        <w:rPr>
          <w:rFonts w:cs="Times New Roman"/>
          <w:sz w:val="21"/>
        </w:rPr>
      </w:pPr>
      <w:r>
        <w:rPr>
          <w:rFonts w:hint="eastAsia" w:cs="Times New Roman"/>
          <w:sz w:val="21"/>
        </w:rPr>
        <w:t>⑶若发包人同意采用承包人合理化建议，所发生的费用和获得的收益，发包人和承包人按</w:t>
      </w:r>
      <w:r>
        <w:rPr>
          <w:rFonts w:hint="eastAsia" w:cs="Times New Roman"/>
          <w:b/>
          <w:i/>
          <w:sz w:val="21"/>
        </w:rPr>
        <w:t>专用条款</w:t>
      </w:r>
      <w:r>
        <w:rPr>
          <w:rFonts w:hint="eastAsia" w:cs="Times New Roman"/>
          <w:sz w:val="21"/>
        </w:rPr>
        <w:t>的约定分担或分享。</w:t>
      </w:r>
    </w:p>
    <w:p w14:paraId="7FC6CEDD">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cs="Times New Roman"/>
          <w:b/>
          <w:bCs/>
        </w:rPr>
        <w:t xml:space="preserve">变更引起的工期调整   </w:t>
      </w:r>
    </w:p>
    <w:p w14:paraId="57E3C7F6">
      <w:pPr>
        <w:widowControl w:val="0"/>
        <w:tabs>
          <w:tab w:val="left" w:pos="1620"/>
          <w:tab w:val="left" w:pos="2340"/>
        </w:tabs>
        <w:spacing w:before="156"/>
        <w:ind w:left="899"/>
        <w:rPr>
          <w:rFonts w:cs="Times New Roman"/>
          <w:sz w:val="21"/>
        </w:rPr>
      </w:pPr>
      <w:r>
        <w:rPr>
          <w:rFonts w:cs="Times New Roman"/>
          <w:sz w:val="21"/>
        </w:rPr>
        <w:t>因变更引起工期变化的，承发包双方均可要求调整合同工期，由承发包双方参考工期定额标准</w:t>
      </w:r>
      <w:r>
        <w:rPr>
          <w:rFonts w:hint="eastAsia" w:cs="Times New Roman"/>
          <w:sz w:val="21"/>
        </w:rPr>
        <w:t>协商</w:t>
      </w:r>
      <w:r>
        <w:rPr>
          <w:rFonts w:cs="Times New Roman"/>
          <w:sz w:val="21"/>
        </w:rPr>
        <w:t>确定增减工期天数。</w:t>
      </w:r>
    </w:p>
    <w:p w14:paraId="07A6E686">
      <w:pPr>
        <w:widowControl w:val="0"/>
        <w:numPr>
          <w:ilvl w:val="0"/>
          <w:numId w:val="2"/>
        </w:numPr>
        <w:tabs>
          <w:tab w:val="left" w:pos="720"/>
          <w:tab w:val="left" w:pos="1620"/>
          <w:tab w:val="left" w:pos="2340"/>
          <w:tab w:val="left"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工程变更价款</w:t>
      </w:r>
    </w:p>
    <w:p w14:paraId="46D0FC34">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工程变更价款的确定方法</w:t>
      </w:r>
    </w:p>
    <w:p w14:paraId="4046E581">
      <w:pPr>
        <w:widowControl w:val="0"/>
        <w:tabs>
          <w:tab w:val="left" w:pos="1620"/>
          <w:tab w:val="left" w:pos="2340"/>
        </w:tabs>
        <w:spacing w:after="156"/>
        <w:ind w:left="899"/>
        <w:rPr>
          <w:rFonts w:cs="Times New Roman"/>
          <w:sz w:val="21"/>
        </w:rPr>
      </w:pPr>
      <w:r>
        <w:rPr>
          <w:rFonts w:hint="eastAsia" w:cs="Times New Roman"/>
          <w:sz w:val="21"/>
        </w:rPr>
        <w:t>⑴合同价格构成中的工程量清单项目单价中已有适用于变更工程的工程量清单项目单价，按已有的工程量清单项目单价确定变更价款。</w:t>
      </w:r>
    </w:p>
    <w:p w14:paraId="78BCA65B">
      <w:pPr>
        <w:widowControl w:val="0"/>
        <w:tabs>
          <w:tab w:val="left" w:pos="1620"/>
          <w:tab w:val="left" w:pos="2340"/>
        </w:tabs>
        <w:spacing w:after="156"/>
        <w:ind w:left="899"/>
        <w:rPr>
          <w:rFonts w:cs="Times New Roman"/>
          <w:sz w:val="21"/>
        </w:rPr>
      </w:pPr>
      <w:r>
        <w:rPr>
          <w:rFonts w:hint="eastAsia" w:cs="Times New Roman"/>
          <w:sz w:val="21"/>
        </w:rPr>
        <w:t>⑵除</w:t>
      </w:r>
      <w:r>
        <w:rPr>
          <w:rFonts w:hint="eastAsia" w:cs="Times New Roman"/>
          <w:b/>
          <w:i/>
          <w:sz w:val="21"/>
        </w:rPr>
        <w:t>专用条款</w:t>
      </w:r>
      <w:r>
        <w:rPr>
          <w:rFonts w:hint="eastAsia" w:cs="Times New Roman"/>
          <w:sz w:val="21"/>
        </w:rPr>
        <w:t>另有约定外，合同价格构成中的工程量清单项目单价中只有类似于变更工程的工程量清单项目单价，可以参照类似项目工程量清单项目单价确定变更价款，类似项目是指采用的材料、施工工艺和方法基本相似，不增加关键线路上工程的施工时间的项目。</w:t>
      </w:r>
    </w:p>
    <w:p w14:paraId="4DCB1459">
      <w:pPr>
        <w:widowControl w:val="0"/>
        <w:tabs>
          <w:tab w:val="left" w:pos="1620"/>
          <w:tab w:val="left" w:pos="2340"/>
        </w:tabs>
        <w:spacing w:after="156"/>
        <w:ind w:left="899"/>
        <w:rPr>
          <w:rFonts w:cs="Times New Roman"/>
          <w:sz w:val="21"/>
        </w:rPr>
      </w:pPr>
      <w:r>
        <w:rPr>
          <w:rFonts w:hint="eastAsia" w:cs="Times New Roman"/>
          <w:sz w:val="21"/>
        </w:rPr>
        <w:t>⑶合同价格构成中的工程量清单项目单价中没有适用或类似于变更工程的工程量清单项目单价，除</w:t>
      </w:r>
      <w:r>
        <w:rPr>
          <w:rFonts w:hint="eastAsia" w:cs="Times New Roman"/>
          <w:b/>
          <w:i/>
          <w:sz w:val="21"/>
        </w:rPr>
        <w:t>专用条款</w:t>
      </w:r>
      <w:r>
        <w:rPr>
          <w:rFonts w:hint="eastAsia" w:cs="Times New Roman"/>
          <w:sz w:val="21"/>
        </w:rPr>
        <w:t>另有约定外，发包人和承包人应按照本工程招标控制价的编制方法，根据工程变更资料计算，并按本工程净下浮率进行下浮调整确定该工程变更价款。</w:t>
      </w:r>
    </w:p>
    <w:p w14:paraId="3BDB4D7C">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如工程变更造成工程量清单中某项目的工程量增减超过</w:t>
      </w:r>
      <w:r>
        <w:rPr>
          <w:rFonts w:hint="eastAsia" w:cs="Times New Roman"/>
          <w:sz w:val="21"/>
        </w:rPr>
        <w:t>15</w:t>
      </w:r>
      <w:r>
        <w:rPr>
          <w:rFonts w:cs="Times New Roman"/>
          <w:sz w:val="21"/>
        </w:rPr>
        <w:t>%或</w:t>
      </w:r>
      <w:r>
        <w:rPr>
          <w:rFonts w:hint="eastAsia" w:cs="Times New Roman"/>
          <w:sz w:val="21"/>
        </w:rPr>
        <w:t>承发包双方</w:t>
      </w:r>
      <w:r>
        <w:rPr>
          <w:rFonts w:cs="Times New Roman"/>
          <w:sz w:val="21"/>
        </w:rPr>
        <w:t>在</w:t>
      </w:r>
      <w:r>
        <w:rPr>
          <w:rFonts w:cs="Times New Roman"/>
          <w:b/>
          <w:i/>
          <w:sz w:val="21"/>
        </w:rPr>
        <w:t>专用条款</w:t>
      </w:r>
      <w:r>
        <w:rPr>
          <w:rFonts w:cs="Times New Roman"/>
          <w:sz w:val="21"/>
        </w:rPr>
        <w:t>中约定的幅度</w:t>
      </w:r>
      <w:r>
        <w:rPr>
          <w:rFonts w:hint="eastAsia" w:cs="Times New Roman"/>
          <w:sz w:val="21"/>
        </w:rPr>
        <w:t>时</w:t>
      </w:r>
      <w:r>
        <w:rPr>
          <w:rFonts w:cs="Times New Roman"/>
          <w:sz w:val="21"/>
        </w:rPr>
        <w:t>，</w:t>
      </w:r>
      <w:r>
        <w:rPr>
          <w:rFonts w:hint="eastAsia" w:cs="Times New Roman"/>
          <w:sz w:val="21"/>
        </w:rPr>
        <w:t>其工程量清单</w:t>
      </w:r>
      <w:r>
        <w:rPr>
          <w:rFonts w:cs="Times New Roman"/>
          <w:sz w:val="21"/>
        </w:rPr>
        <w:t>项目</w:t>
      </w:r>
      <w:r>
        <w:rPr>
          <w:rFonts w:hint="eastAsia" w:cs="Times New Roman"/>
          <w:sz w:val="21"/>
        </w:rPr>
        <w:t>单价按第25.4款执行</w:t>
      </w:r>
      <w:r>
        <w:rPr>
          <w:rFonts w:cs="Times New Roman"/>
          <w:sz w:val="21"/>
        </w:rPr>
        <w:t>。</w:t>
      </w:r>
    </w:p>
    <w:p w14:paraId="2D24C071">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工程变更引起措施项目的调整</w:t>
      </w:r>
    </w:p>
    <w:p w14:paraId="3435D980">
      <w:pPr>
        <w:widowControl w:val="0"/>
        <w:tabs>
          <w:tab w:val="left" w:pos="1620"/>
          <w:tab w:val="left" w:pos="2340"/>
        </w:tabs>
        <w:spacing w:after="156"/>
        <w:ind w:left="899"/>
        <w:rPr>
          <w:rFonts w:cs="Times New Roman"/>
          <w:sz w:val="21"/>
        </w:rPr>
      </w:pPr>
      <w:r>
        <w:rPr>
          <w:rFonts w:hint="eastAsia" w:cs="Times New Roman"/>
          <w:sz w:val="21"/>
        </w:rPr>
        <w:t>⑴当工程变更引起措施项目发生变化，造成施工组织设计或施工方案变更时，承包人有权提出调整措施项目费。</w:t>
      </w:r>
    </w:p>
    <w:p w14:paraId="0075D8CB">
      <w:pPr>
        <w:widowControl w:val="0"/>
        <w:tabs>
          <w:tab w:val="left" w:pos="1620"/>
          <w:tab w:val="left" w:pos="2340"/>
        </w:tabs>
        <w:spacing w:after="156"/>
        <w:ind w:left="899"/>
        <w:rPr>
          <w:rFonts w:cs="Times New Roman"/>
          <w:sz w:val="21"/>
        </w:rPr>
      </w:pPr>
      <w:r>
        <w:rPr>
          <w:rFonts w:hint="eastAsia" w:cs="Times New Roman"/>
          <w:sz w:val="21"/>
        </w:rPr>
        <w:t>⑵承包人提出调整措施项目费的，应事先将拟实施的方案提交</w:t>
      </w:r>
      <w:r>
        <w:rPr>
          <w:rFonts w:cs="Times New Roman"/>
          <w:sz w:val="21"/>
        </w:rPr>
        <w:t>监理人</w:t>
      </w:r>
      <w:r>
        <w:rPr>
          <w:rFonts w:hint="eastAsia" w:cs="Times New Roman"/>
          <w:sz w:val="21"/>
        </w:rPr>
        <w:t>确认，并详细说明与原方案措施项目的变化情况。拟实施的方案经</w:t>
      </w:r>
      <w:r>
        <w:rPr>
          <w:rFonts w:cs="Times New Roman"/>
          <w:sz w:val="21"/>
        </w:rPr>
        <w:t>监理人</w:t>
      </w:r>
      <w:r>
        <w:rPr>
          <w:rFonts w:hint="eastAsia" w:cs="Times New Roman"/>
          <w:sz w:val="21"/>
        </w:rPr>
        <w:t>认可，并报发包人批准后执行。</w:t>
      </w:r>
    </w:p>
    <w:p w14:paraId="10F10977">
      <w:pPr>
        <w:widowControl w:val="0"/>
        <w:tabs>
          <w:tab w:val="left" w:pos="1620"/>
          <w:tab w:val="left" w:pos="2340"/>
        </w:tabs>
        <w:ind w:left="899"/>
        <w:rPr>
          <w:rFonts w:cs="Times New Roman"/>
          <w:sz w:val="21"/>
        </w:rPr>
      </w:pPr>
      <w:r>
        <w:rPr>
          <w:rFonts w:hint="eastAsia" w:cs="Times New Roman"/>
          <w:sz w:val="21"/>
        </w:rPr>
        <w:t>⑶除</w:t>
      </w:r>
      <w:r>
        <w:rPr>
          <w:rFonts w:hint="eastAsia" w:cs="Times New Roman"/>
          <w:b/>
          <w:i/>
          <w:sz w:val="21"/>
        </w:rPr>
        <w:t>专用条款</w:t>
      </w:r>
      <w:r>
        <w:rPr>
          <w:rFonts w:hint="eastAsia" w:cs="Times New Roman"/>
          <w:sz w:val="21"/>
        </w:rPr>
        <w:t>另有约定外，工程变更引起的措施项目费调整的计算方法为：</w:t>
      </w:r>
    </w:p>
    <w:p w14:paraId="39E3F953">
      <w:pPr>
        <w:widowControl w:val="0"/>
        <w:tabs>
          <w:tab w:val="left" w:pos="1620"/>
          <w:tab w:val="left" w:pos="2340"/>
        </w:tabs>
        <w:ind w:left="1134"/>
        <w:rPr>
          <w:rFonts w:cs="Times New Roman"/>
          <w:sz w:val="21"/>
        </w:rPr>
      </w:pPr>
      <w:r>
        <w:rPr>
          <w:rFonts w:hint="eastAsia" w:cs="Times New Roman"/>
          <w:sz w:val="21"/>
        </w:rPr>
        <w:t>①采用单价计算的措施项目费，按照实际发生变化的措施项目，按第25.1款〔工程变更价款的确定方法〕约定的方法确定单价；</w:t>
      </w:r>
    </w:p>
    <w:p w14:paraId="20A4656E">
      <w:pPr>
        <w:widowControl w:val="0"/>
        <w:tabs>
          <w:tab w:val="left" w:pos="1620"/>
          <w:tab w:val="left" w:pos="2340"/>
        </w:tabs>
        <w:ind w:left="1134"/>
        <w:rPr>
          <w:rFonts w:cs="Times New Roman"/>
          <w:sz w:val="21"/>
        </w:rPr>
      </w:pPr>
      <w:r>
        <w:rPr>
          <w:rFonts w:hint="eastAsia" w:cs="Times New Roman"/>
          <w:sz w:val="21"/>
        </w:rPr>
        <w:t>②除安全文明施工措施费外，采用以“项”计量计价的措施项目费，按照实际发生变化的措施项目以原措施费的组价方法调整；</w:t>
      </w:r>
    </w:p>
    <w:p w14:paraId="6C95975D">
      <w:pPr>
        <w:widowControl w:val="0"/>
        <w:tabs>
          <w:tab w:val="left" w:pos="1620"/>
          <w:tab w:val="left" w:pos="2340"/>
        </w:tabs>
        <w:ind w:left="1134"/>
        <w:rPr>
          <w:rFonts w:cs="Times New Roman"/>
          <w:sz w:val="21"/>
        </w:rPr>
      </w:pPr>
      <w:r>
        <w:rPr>
          <w:rFonts w:hint="eastAsia" w:cs="Times New Roman"/>
          <w:sz w:val="21"/>
        </w:rPr>
        <w:t>③安全文明施工措施费计算基数发生</w:t>
      </w:r>
      <w:r>
        <w:rPr>
          <w:rFonts w:hint="eastAsia" w:cs="Times New Roman"/>
          <w:b/>
          <w:i/>
          <w:sz w:val="21"/>
        </w:rPr>
        <w:t>专用条款</w:t>
      </w:r>
      <w:r>
        <w:rPr>
          <w:rFonts w:hint="eastAsia" w:cs="Times New Roman"/>
          <w:bCs/>
          <w:iCs/>
          <w:sz w:val="21"/>
        </w:rPr>
        <w:t>约定</w:t>
      </w:r>
      <w:r>
        <w:rPr>
          <w:rFonts w:hint="eastAsia" w:cs="Times New Roman"/>
          <w:sz w:val="21"/>
        </w:rPr>
        <w:t>变化</w:t>
      </w:r>
      <w:r>
        <w:rPr>
          <w:rFonts w:hint="eastAsia" w:cs="Times New Roman"/>
          <w:bCs/>
          <w:iCs/>
          <w:sz w:val="21"/>
        </w:rPr>
        <w:t>幅度</w:t>
      </w:r>
      <w:r>
        <w:rPr>
          <w:rFonts w:hint="eastAsia" w:cs="Times New Roman"/>
          <w:sz w:val="21"/>
        </w:rPr>
        <w:t>的，按照</w:t>
      </w:r>
      <w:r>
        <w:rPr>
          <w:rFonts w:hint="eastAsia" w:cs="Times New Roman"/>
          <w:b/>
          <w:i/>
          <w:sz w:val="21"/>
        </w:rPr>
        <w:t>专用条款</w:t>
      </w:r>
      <w:r>
        <w:rPr>
          <w:rFonts w:hint="eastAsia" w:cs="Times New Roman"/>
          <w:bCs/>
          <w:iCs/>
          <w:sz w:val="21"/>
        </w:rPr>
        <w:t>约定</w:t>
      </w:r>
      <w:r>
        <w:rPr>
          <w:rFonts w:hint="eastAsia" w:cs="Times New Roman"/>
          <w:sz w:val="21"/>
        </w:rPr>
        <w:t>的计算方法进行调整。</w:t>
      </w:r>
    </w:p>
    <w:p w14:paraId="185B7557">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工程变更价款的确定程序</w:t>
      </w:r>
    </w:p>
    <w:p w14:paraId="44AE603E">
      <w:pPr>
        <w:widowControl w:val="0"/>
        <w:tabs>
          <w:tab w:val="left" w:pos="1620"/>
          <w:tab w:val="left" w:pos="2340"/>
        </w:tabs>
        <w:ind w:left="899"/>
        <w:rPr>
          <w:rFonts w:cs="Times New Roman"/>
          <w:sz w:val="21"/>
        </w:rPr>
      </w:pPr>
      <w:r>
        <w:rPr>
          <w:rFonts w:hint="eastAsia" w:cs="Times New Roman"/>
          <w:sz w:val="21"/>
        </w:rPr>
        <w:t>除</w:t>
      </w:r>
      <w:r>
        <w:rPr>
          <w:rFonts w:hint="eastAsia" w:cs="Times New Roman"/>
          <w:b/>
          <w:i/>
          <w:sz w:val="21"/>
        </w:rPr>
        <w:t>专用条款</w:t>
      </w:r>
      <w:r>
        <w:rPr>
          <w:rFonts w:hint="eastAsia" w:cs="Times New Roman"/>
          <w:sz w:val="21"/>
        </w:rPr>
        <w:t>另有约定外，发包人和承包人应按以下程序确认工程变更价款：</w:t>
      </w:r>
    </w:p>
    <w:p w14:paraId="6B64C712">
      <w:pPr>
        <w:widowControl w:val="0"/>
        <w:tabs>
          <w:tab w:val="left" w:pos="1620"/>
          <w:tab w:val="left" w:pos="2340"/>
        </w:tabs>
        <w:ind w:left="1079"/>
        <w:rPr>
          <w:rFonts w:cs="Times New Roman"/>
          <w:sz w:val="21"/>
        </w:rPr>
      </w:pPr>
      <w:r>
        <w:rPr>
          <w:rFonts w:hint="eastAsia" w:cs="Times New Roman"/>
          <w:sz w:val="21"/>
        </w:rPr>
        <w:t>⑴承包人应在收到工程变更指令后14天内将变更工程价款和(或)调整工期报告提交给</w:t>
      </w:r>
      <w:r>
        <w:rPr>
          <w:rFonts w:cs="Times New Roman"/>
          <w:sz w:val="21"/>
        </w:rPr>
        <w:t>监理人</w:t>
      </w:r>
      <w:r>
        <w:rPr>
          <w:rFonts w:hint="eastAsia" w:cs="Times New Roman"/>
          <w:sz w:val="21"/>
        </w:rPr>
        <w:t>，</w:t>
      </w:r>
      <w:r>
        <w:rPr>
          <w:rFonts w:cs="Times New Roman"/>
          <w:sz w:val="21"/>
        </w:rPr>
        <w:t>监理人</w:t>
      </w:r>
      <w:r>
        <w:rPr>
          <w:rFonts w:hint="eastAsia" w:cs="Times New Roman"/>
          <w:sz w:val="21"/>
        </w:rPr>
        <w:t>应及时予以确认，并报发包人批准。</w:t>
      </w:r>
      <w:r>
        <w:rPr>
          <w:rFonts w:cs="Times New Roman"/>
          <w:sz w:val="21"/>
        </w:rPr>
        <w:t>监理人</w:t>
      </w:r>
      <w:r>
        <w:rPr>
          <w:rFonts w:hint="eastAsia" w:cs="Times New Roman"/>
          <w:sz w:val="21"/>
        </w:rPr>
        <w:t>收到报告后14天内未确认也未提出异议的，视为该报告已被确认。</w:t>
      </w:r>
    </w:p>
    <w:p w14:paraId="60229BE9">
      <w:pPr>
        <w:widowControl w:val="0"/>
        <w:tabs>
          <w:tab w:val="left" w:pos="1620"/>
          <w:tab w:val="left" w:pos="2340"/>
        </w:tabs>
        <w:ind w:left="1079"/>
        <w:rPr>
          <w:rFonts w:cs="Times New Roman"/>
          <w:sz w:val="21"/>
        </w:rPr>
      </w:pPr>
      <w:r>
        <w:rPr>
          <w:rFonts w:hint="eastAsia" w:cs="Times New Roman"/>
          <w:sz w:val="21"/>
        </w:rPr>
        <w:t>⑵承包人在收到工程变更指令后14天内不向</w:t>
      </w:r>
      <w:r>
        <w:rPr>
          <w:rFonts w:cs="Times New Roman"/>
          <w:sz w:val="21"/>
        </w:rPr>
        <w:t>监理人</w:t>
      </w:r>
      <w:r>
        <w:rPr>
          <w:rFonts w:hint="eastAsia" w:cs="Times New Roman"/>
          <w:sz w:val="21"/>
        </w:rPr>
        <w:t>提出报告的，发包人可自行决定是否变更工程价款和(或)顺延工期。发包人应在发出变更指令28天内将不变更工程价款和(或)调整工期的决定书面通知承包人；或将变更工程价款和(或)调整工期报告提交给承包人确认。承包人收到报告14天内未确认也未提出异议的，视为该报告已被确认。</w:t>
      </w:r>
    </w:p>
    <w:p w14:paraId="2570C564">
      <w:pPr>
        <w:widowControl w:val="0"/>
        <w:tabs>
          <w:tab w:val="left" w:pos="1620"/>
          <w:tab w:val="left" w:pos="2340"/>
        </w:tabs>
        <w:ind w:left="1079"/>
        <w:rPr>
          <w:rFonts w:cs="Times New Roman"/>
          <w:sz w:val="21"/>
        </w:rPr>
      </w:pPr>
      <w:r>
        <w:rPr>
          <w:rFonts w:hint="eastAsia" w:cs="Times New Roman"/>
          <w:sz w:val="21"/>
        </w:rPr>
        <w:t>⑶工程变更指令发出后，发包人与承包人均未在约定时间内提出变更工程价款和(或)顺延工期报告的，视为该项工程变更不涉及合同价格和(或)工期的调整。</w:t>
      </w:r>
    </w:p>
    <w:p w14:paraId="02D1F7A3">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工程量变化调整项目单价</w:t>
      </w:r>
    </w:p>
    <w:p w14:paraId="0F01B80A">
      <w:pPr>
        <w:widowControl w:val="0"/>
        <w:tabs>
          <w:tab w:val="left" w:pos="1620"/>
          <w:tab w:val="left" w:pos="2340"/>
        </w:tabs>
        <w:spacing w:after="156"/>
        <w:ind w:left="899"/>
        <w:rPr>
          <w:rFonts w:cs="Times New Roman"/>
          <w:sz w:val="21"/>
        </w:rPr>
      </w:pPr>
      <w:r>
        <w:rPr>
          <w:rFonts w:hint="eastAsia" w:cs="Times New Roman"/>
          <w:sz w:val="21"/>
        </w:rPr>
        <w:t>由于工程变更或按第22条工程量计量结果造成工程量清单中某项目的工程量增减超过15%或发、承包人在</w:t>
      </w:r>
      <w:r>
        <w:rPr>
          <w:rFonts w:hint="eastAsia" w:cs="Times New Roman"/>
          <w:b/>
          <w:i/>
          <w:sz w:val="21"/>
        </w:rPr>
        <w:t>专用条款</w:t>
      </w:r>
      <w:r>
        <w:rPr>
          <w:rFonts w:hint="eastAsia" w:cs="Times New Roman"/>
          <w:sz w:val="21"/>
        </w:rPr>
        <w:t>中约定的幅度时，除</w:t>
      </w:r>
      <w:r>
        <w:rPr>
          <w:rFonts w:hint="eastAsia" w:cs="Times New Roman"/>
          <w:b/>
          <w:i/>
          <w:sz w:val="21"/>
        </w:rPr>
        <w:t>专用条款</w:t>
      </w:r>
      <w:r>
        <w:rPr>
          <w:rFonts w:hint="eastAsia" w:cs="Times New Roman"/>
          <w:sz w:val="21"/>
        </w:rPr>
        <w:t>另有约定外，发包人和承包人应按照本工程招标控制价的编制方法，并按本工程中标净下浮率进行下浮调整确定该清单项目增加部分或减少后剩余部分工程量的项目单价。</w:t>
      </w:r>
    </w:p>
    <w:p w14:paraId="61864296">
      <w:pPr>
        <w:widowControl w:val="0"/>
        <w:numPr>
          <w:ilvl w:val="1"/>
          <w:numId w:val="2"/>
        </w:numPr>
        <w:tabs>
          <w:tab w:val="left" w:pos="540"/>
          <w:tab w:val="left" w:pos="576"/>
          <w:tab w:val="left" w:pos="900"/>
        </w:tabs>
        <w:spacing w:before="120" w:after="156"/>
        <w:ind w:left="359" w:firstLine="0"/>
        <w:outlineLvl w:val="1"/>
        <w:rPr>
          <w:rFonts w:cs="Times New Roman"/>
          <w:b/>
          <w:bCs/>
        </w:rPr>
      </w:pPr>
      <w:r>
        <w:rPr>
          <w:rFonts w:hint="eastAsia" w:cs="Times New Roman"/>
          <w:b/>
          <w:bCs/>
        </w:rPr>
        <w:t>工程变更价款支付</w:t>
      </w:r>
    </w:p>
    <w:p w14:paraId="2A37BF1B">
      <w:pPr>
        <w:widowControl w:val="0"/>
        <w:tabs>
          <w:tab w:val="left" w:pos="1620"/>
          <w:tab w:val="left" w:pos="2340"/>
        </w:tabs>
        <w:spacing w:after="156"/>
        <w:ind w:left="899"/>
        <w:rPr>
          <w:rFonts w:cs="Times New Roman"/>
          <w:sz w:val="21"/>
        </w:rPr>
      </w:pPr>
      <w:r>
        <w:rPr>
          <w:rFonts w:hint="eastAsia" w:cs="Times New Roman"/>
          <w:sz w:val="21"/>
        </w:rPr>
        <w:t>⑴按第25.1、25.2款确认的增(减)工程变更价款作为追加(减)合同价款，与工程进度款同期同比例支付，达到追加</w:t>
      </w:r>
      <w:r>
        <w:rPr>
          <w:rFonts w:cs="Times New Roman"/>
          <w:sz w:val="21"/>
        </w:rPr>
        <w:t>(</w:t>
      </w:r>
      <w:r>
        <w:rPr>
          <w:rFonts w:hint="eastAsia" w:cs="Times New Roman"/>
          <w:sz w:val="21"/>
        </w:rPr>
        <w:t>减</w:t>
      </w:r>
      <w:r>
        <w:rPr>
          <w:rFonts w:cs="Times New Roman"/>
          <w:sz w:val="21"/>
        </w:rPr>
        <w:t>)</w:t>
      </w:r>
      <w:r>
        <w:rPr>
          <w:rFonts w:hint="eastAsia" w:cs="Times New Roman"/>
          <w:sz w:val="21"/>
        </w:rPr>
        <w:t>合同价款的一定比例时暂停支付，该比例在合同</w:t>
      </w:r>
      <w:r>
        <w:rPr>
          <w:rFonts w:hint="eastAsia" w:cs="Times New Roman"/>
          <w:b/>
          <w:i/>
          <w:sz w:val="21"/>
        </w:rPr>
        <w:t>专用条款</w:t>
      </w:r>
      <w:r>
        <w:rPr>
          <w:rFonts w:hint="eastAsia" w:cs="Times New Roman"/>
          <w:sz w:val="21"/>
        </w:rPr>
        <w:t>中明确。</w:t>
      </w:r>
    </w:p>
    <w:p w14:paraId="0180BE52">
      <w:pPr>
        <w:widowControl w:val="0"/>
        <w:tabs>
          <w:tab w:val="left" w:pos="1620"/>
          <w:tab w:val="left" w:pos="2340"/>
        </w:tabs>
        <w:spacing w:after="156"/>
        <w:ind w:left="899"/>
        <w:rPr>
          <w:rFonts w:cs="Times New Roman"/>
          <w:sz w:val="21"/>
        </w:rPr>
      </w:pPr>
      <w:r>
        <w:rPr>
          <w:rFonts w:hint="eastAsia" w:cs="Times New Roman"/>
          <w:sz w:val="21"/>
        </w:rPr>
        <w:t>⑵有关工程变更价款的文件的编制和审核均须经注册造价工程师签字盖章确认。</w:t>
      </w:r>
    </w:p>
    <w:p w14:paraId="75083BB9">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 xml:space="preserve">删减工作或工程的补偿                                                                                      </w:t>
      </w:r>
    </w:p>
    <w:p w14:paraId="08536B58">
      <w:pPr>
        <w:widowControl w:val="0"/>
        <w:tabs>
          <w:tab w:val="left" w:pos="1620"/>
          <w:tab w:val="left" w:pos="2340"/>
        </w:tabs>
        <w:spacing w:after="156"/>
        <w:ind w:left="899"/>
        <w:rPr>
          <w:rFonts w:cs="Times New Roman"/>
          <w:sz w:val="21"/>
        </w:rPr>
      </w:pPr>
      <w:r>
        <w:rPr>
          <w:rFonts w:hint="eastAsia" w:cs="Times New Roman"/>
          <w:sz w:val="21"/>
        </w:rPr>
        <w:t>由于非承包人原因删减了本合同中的某项原定工作或工程，致使承包人发生的费用或(和)预期收益不能被包括在其他已支付或应支付的项目中，也未包含在任何替代的工作或工程中，发包人应按照</w:t>
      </w:r>
      <w:r>
        <w:rPr>
          <w:rFonts w:hint="eastAsia" w:cs="Times New Roman"/>
          <w:b/>
          <w:i/>
          <w:sz w:val="21"/>
        </w:rPr>
        <w:t>专用条款</w:t>
      </w:r>
      <w:r>
        <w:rPr>
          <w:rFonts w:hint="eastAsia" w:cs="Times New Roman"/>
          <w:sz w:val="21"/>
        </w:rPr>
        <w:t>约定的方法给予承包人补偿。</w:t>
      </w:r>
    </w:p>
    <w:p w14:paraId="2F6F0E94">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过程结算</w:t>
      </w:r>
    </w:p>
    <w:p w14:paraId="51FA0A4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过程结算周期及验收要求</w:t>
      </w:r>
    </w:p>
    <w:p w14:paraId="7B8EC93C">
      <w:pPr>
        <w:widowControl w:val="0"/>
        <w:tabs>
          <w:tab w:val="left" w:pos="1620"/>
          <w:tab w:val="left" w:pos="2340"/>
        </w:tabs>
        <w:ind w:left="899"/>
        <w:jc w:val="both"/>
        <w:rPr>
          <w:rFonts w:cs="Times New Roman"/>
          <w:sz w:val="21"/>
        </w:rPr>
      </w:pPr>
      <w:r>
        <w:rPr>
          <w:rFonts w:cs="Times New Roman"/>
          <w:sz w:val="21"/>
        </w:rPr>
        <w:t>发承包双方开展过程结算的，应根据工程特点、工期长短及分部（工程）验收需要等，在</w:t>
      </w:r>
      <w:r>
        <w:rPr>
          <w:rFonts w:cs="Times New Roman"/>
          <w:b/>
          <w:bCs/>
          <w:i/>
          <w:iCs/>
          <w:sz w:val="21"/>
        </w:rPr>
        <w:t>专用条款</w:t>
      </w:r>
      <w:r>
        <w:rPr>
          <w:rFonts w:cs="Times New Roman"/>
          <w:sz w:val="21"/>
        </w:rPr>
        <w:t>中按时间节点或工程进度节点</w:t>
      </w:r>
      <w:r>
        <w:rPr>
          <w:rFonts w:hint="eastAsia" w:cs="Times New Roman"/>
          <w:sz w:val="21"/>
        </w:rPr>
        <w:t>约定</w:t>
      </w:r>
      <w:r>
        <w:rPr>
          <w:rFonts w:cs="Times New Roman"/>
          <w:sz w:val="21"/>
        </w:rPr>
        <w:t>过程结算周期，并在</w:t>
      </w:r>
      <w:r>
        <w:rPr>
          <w:rFonts w:cs="Times New Roman"/>
          <w:b/>
          <w:bCs/>
          <w:i/>
          <w:iCs/>
          <w:sz w:val="21"/>
        </w:rPr>
        <w:t>专用条款</w:t>
      </w:r>
      <w:r>
        <w:rPr>
          <w:rFonts w:cs="Times New Roman"/>
          <w:sz w:val="21"/>
        </w:rPr>
        <w:t>中明确过程结算的验收要求。</w:t>
      </w:r>
    </w:p>
    <w:p w14:paraId="1FFC4394">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过程结算报告的编制和提交</w:t>
      </w:r>
    </w:p>
    <w:p w14:paraId="728D0C18">
      <w:pPr>
        <w:widowControl w:val="0"/>
        <w:tabs>
          <w:tab w:val="left" w:pos="1620"/>
          <w:tab w:val="left" w:pos="2340"/>
        </w:tabs>
        <w:spacing w:after="156"/>
        <w:ind w:left="899"/>
        <w:rPr>
          <w:rFonts w:cs="Times New Roman"/>
          <w:sz w:val="21"/>
        </w:rPr>
      </w:pPr>
      <w:r>
        <w:rPr>
          <w:rFonts w:hint="eastAsia" w:cs="Times New Roman"/>
          <w:sz w:val="21"/>
        </w:rPr>
        <w:t>⑴发承包双方应在线签订施工合同及其补充协议的，应将过程结算所需资料即时上传至在线签订合同平台，作为过程结算的依据。过程结算的资料一般包括施工合同、工程竣工图纸及资料、双方确认的工程量、双方确认追加(减)的合同价格、双方确认的索赔和现场签证事项及价款、招标文件、投标文件、工程量清单报价单或施工图预算书等与过程结算有关的资料。</w:t>
      </w:r>
    </w:p>
    <w:p w14:paraId="1098C454">
      <w:pPr>
        <w:widowControl w:val="0"/>
        <w:tabs>
          <w:tab w:val="left" w:pos="1620"/>
          <w:tab w:val="left" w:pos="2340"/>
        </w:tabs>
        <w:spacing w:after="156"/>
        <w:ind w:left="899"/>
        <w:rPr>
          <w:rFonts w:cs="Times New Roman"/>
          <w:sz w:val="21"/>
        </w:rPr>
      </w:pPr>
      <w:r>
        <w:rPr>
          <w:rFonts w:hint="eastAsia" w:cs="Times New Roman"/>
          <w:sz w:val="21"/>
        </w:rPr>
        <w:t>⑵承包人应按本合同第20条〔合同价格的确定和调整〕、第22条〔工程量计量〕及第26.1款过程结算周期的约定计算过程结算价款，编制过程结算报告，并在</w:t>
      </w:r>
      <w:r>
        <w:rPr>
          <w:rFonts w:hint="eastAsia" w:cs="Times New Roman"/>
          <w:b/>
          <w:bCs/>
          <w:i/>
          <w:iCs/>
          <w:sz w:val="21"/>
        </w:rPr>
        <w:t>专用条款</w:t>
      </w:r>
      <w:r>
        <w:rPr>
          <w:rFonts w:hint="eastAsia" w:cs="Times New Roman"/>
          <w:sz w:val="21"/>
        </w:rPr>
        <w:t>约定的时间内向发包人提交过程结算报告。</w:t>
      </w:r>
    </w:p>
    <w:p w14:paraId="2F105CF0">
      <w:pPr>
        <w:widowControl w:val="0"/>
        <w:tabs>
          <w:tab w:val="left" w:pos="1620"/>
          <w:tab w:val="left" w:pos="2340"/>
        </w:tabs>
        <w:ind w:left="899"/>
        <w:rPr>
          <w:rFonts w:cs="Times New Roman"/>
          <w:sz w:val="21"/>
        </w:rPr>
      </w:pPr>
      <w:r>
        <w:rPr>
          <w:rFonts w:hint="eastAsia" w:cs="Times New Roman"/>
          <w:sz w:val="21"/>
        </w:rPr>
        <w:t>⑶经发承包双方确认的过程结算文件将作为竣工结算资料的组成部分。</w:t>
      </w:r>
    </w:p>
    <w:p w14:paraId="647CA8ED">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过程结算报告的核对和修改</w:t>
      </w:r>
    </w:p>
    <w:p w14:paraId="04AF2176">
      <w:pPr>
        <w:widowControl w:val="0"/>
        <w:tabs>
          <w:tab w:val="left" w:pos="1620"/>
          <w:tab w:val="left" w:pos="2340"/>
        </w:tabs>
        <w:ind w:left="901"/>
        <w:rPr>
          <w:rFonts w:cs="Times New Roman"/>
          <w:sz w:val="21"/>
        </w:rPr>
      </w:pPr>
      <w:r>
        <w:rPr>
          <w:rFonts w:hint="eastAsia" w:cs="Times New Roman"/>
          <w:sz w:val="21"/>
        </w:rPr>
        <w:t>⑴发包人应在收到承包人提交的过程结算报告后28天或</w:t>
      </w:r>
      <w:r>
        <w:rPr>
          <w:rFonts w:hint="eastAsia" w:cs="Times New Roman"/>
          <w:b/>
          <w:bCs/>
          <w:i/>
          <w:iCs/>
          <w:sz w:val="21"/>
        </w:rPr>
        <w:t>专用条款</w:t>
      </w:r>
      <w:r>
        <w:rPr>
          <w:rFonts w:hint="eastAsia" w:cs="Times New Roman"/>
          <w:sz w:val="21"/>
        </w:rPr>
        <w:t>约定的时间内，对承包人提交的过程结算报告进行核对。</w:t>
      </w:r>
    </w:p>
    <w:p w14:paraId="2B429547">
      <w:pPr>
        <w:widowControl w:val="0"/>
        <w:tabs>
          <w:tab w:val="left" w:pos="1620"/>
          <w:tab w:val="left" w:pos="2340"/>
        </w:tabs>
        <w:ind w:left="899"/>
        <w:rPr>
          <w:rFonts w:cs="Times New Roman"/>
          <w:sz w:val="21"/>
        </w:rPr>
      </w:pPr>
      <w:r>
        <w:rPr>
          <w:rFonts w:hint="eastAsia" w:cs="Times New Roman"/>
          <w:sz w:val="21"/>
        </w:rPr>
        <w:t>①发包人认可承包人提交的过程结算报告的，应据此确认过程结算价款。</w:t>
      </w:r>
    </w:p>
    <w:p w14:paraId="338AABE8">
      <w:pPr>
        <w:widowControl w:val="0"/>
        <w:tabs>
          <w:tab w:val="left" w:pos="1620"/>
          <w:tab w:val="left" w:pos="2340"/>
        </w:tabs>
        <w:spacing w:after="156"/>
        <w:ind w:left="901"/>
        <w:rPr>
          <w:rFonts w:cs="Times New Roman"/>
          <w:sz w:val="21"/>
        </w:rPr>
      </w:pPr>
      <w:r>
        <w:rPr>
          <w:rFonts w:hint="eastAsia" w:cs="Times New Roman"/>
          <w:sz w:val="21"/>
        </w:rPr>
        <w:t>②发包人提出核对意见或要求补充结算资料的，则承包人应在收到发包人相关书面通知后14天或</w:t>
      </w:r>
      <w:r>
        <w:rPr>
          <w:rFonts w:hint="eastAsia" w:cs="Times New Roman"/>
          <w:b/>
          <w:bCs/>
          <w:i/>
          <w:iCs/>
          <w:sz w:val="21"/>
        </w:rPr>
        <w:t>专用条款</w:t>
      </w:r>
      <w:r>
        <w:rPr>
          <w:rFonts w:hint="eastAsia" w:cs="Times New Roman"/>
          <w:sz w:val="21"/>
        </w:rPr>
        <w:t>约定的时间内，向发包人提交经修改的过程结算报告或按要求补充结算资料，发包人应在收到承包人相关书面资料后14天或</w:t>
      </w:r>
      <w:r>
        <w:rPr>
          <w:rFonts w:hint="eastAsia" w:cs="Times New Roman"/>
          <w:b/>
          <w:bCs/>
          <w:i/>
          <w:iCs/>
          <w:sz w:val="21"/>
        </w:rPr>
        <w:t>专用条款</w:t>
      </w:r>
      <w:r>
        <w:rPr>
          <w:rFonts w:hint="eastAsia" w:cs="Times New Roman"/>
          <w:sz w:val="21"/>
        </w:rPr>
        <w:t>约定的时间内进行核对，经与承包人协商达成一致意见后确认过程结算价款。</w:t>
      </w:r>
    </w:p>
    <w:p w14:paraId="3C1854A7">
      <w:pPr>
        <w:widowControl w:val="0"/>
        <w:tabs>
          <w:tab w:val="left" w:pos="1620"/>
          <w:tab w:val="left" w:pos="2340"/>
        </w:tabs>
        <w:ind w:left="899"/>
        <w:rPr>
          <w:rFonts w:cs="Times New Roman"/>
          <w:sz w:val="21"/>
        </w:rPr>
      </w:pPr>
      <w:r>
        <w:rPr>
          <w:rFonts w:hint="eastAsia" w:cs="Times New Roman"/>
          <w:sz w:val="21"/>
        </w:rPr>
        <w:t>⑵承包人在收到发包人提出的核对意见后，在合同约定的时间内，未提出异议或没有明确答复的，视为承包人认可且接受发包人的核对意见，应据此确认过程结算价款。</w:t>
      </w:r>
    </w:p>
    <w:p w14:paraId="2CAF8D1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承包人不提交过程结算报告</w:t>
      </w:r>
    </w:p>
    <w:p w14:paraId="0378000D">
      <w:pPr>
        <w:widowControl w:val="0"/>
        <w:tabs>
          <w:tab w:val="left" w:pos="1620"/>
          <w:tab w:val="left" w:pos="2340"/>
        </w:tabs>
        <w:ind w:left="899"/>
        <w:jc w:val="both"/>
        <w:rPr>
          <w:rFonts w:cs="Times New Roman"/>
          <w:sz w:val="21"/>
        </w:rPr>
      </w:pPr>
      <w:r>
        <w:rPr>
          <w:rFonts w:cs="Times New Roman"/>
          <w:sz w:val="21"/>
        </w:rPr>
        <w:t>承包人未按</w:t>
      </w:r>
      <w:r>
        <w:rPr>
          <w:rFonts w:hint="eastAsia" w:cs="Times New Roman"/>
          <w:sz w:val="21"/>
        </w:rPr>
        <w:t>本合同第26.2⑵项</w:t>
      </w:r>
      <w:r>
        <w:rPr>
          <w:rFonts w:cs="Times New Roman"/>
          <w:sz w:val="21"/>
        </w:rPr>
        <w:t>约定时间提交过程结算报告的，</w:t>
      </w:r>
      <w:r>
        <w:rPr>
          <w:rFonts w:hint="eastAsia" w:cs="Times New Roman"/>
          <w:sz w:val="21"/>
        </w:rPr>
        <w:t>发包人</w:t>
      </w:r>
      <w:r>
        <w:rPr>
          <w:rFonts w:cs="Times New Roman"/>
          <w:sz w:val="21"/>
        </w:rPr>
        <w:t>应通知其提交，通知后14天内仍不提交的或没有明确答复的，发包人可以依据已有资料自行开展施工过程结算活动。</w:t>
      </w:r>
    </w:p>
    <w:p w14:paraId="556D7F73">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发包人逾期不过程结算</w:t>
      </w:r>
    </w:p>
    <w:p w14:paraId="3E2BF6C1">
      <w:pPr>
        <w:widowControl w:val="0"/>
        <w:tabs>
          <w:tab w:val="left" w:pos="1620"/>
          <w:tab w:val="left" w:pos="2340"/>
        </w:tabs>
        <w:ind w:left="899"/>
        <w:rPr>
          <w:rFonts w:cs="Times New Roman"/>
          <w:sz w:val="21"/>
        </w:rPr>
      </w:pPr>
      <w:r>
        <w:rPr>
          <w:rFonts w:cs="Times New Roman"/>
          <w:sz w:val="21"/>
        </w:rPr>
        <w:t>发包人收到过程结算报告后，或在收到经修改的过程结算报告或补充结算资料后</w:t>
      </w:r>
      <w:r>
        <w:rPr>
          <w:rFonts w:hint="eastAsia" w:cs="Times New Roman"/>
          <w:sz w:val="21"/>
        </w:rPr>
        <w:t>，在合同</w:t>
      </w:r>
      <w:r>
        <w:rPr>
          <w:rFonts w:cs="Times New Roman"/>
          <w:sz w:val="21"/>
        </w:rPr>
        <w:t>约定的时间内，既不认可承包人提交的过程结算报告</w:t>
      </w:r>
      <w:r>
        <w:rPr>
          <w:rFonts w:hint="eastAsia" w:cs="Times New Roman"/>
          <w:sz w:val="21"/>
        </w:rPr>
        <w:t>（包括经修改的</w:t>
      </w:r>
      <w:r>
        <w:rPr>
          <w:rFonts w:cs="Times New Roman"/>
          <w:sz w:val="21"/>
        </w:rPr>
        <w:t>过程结算报告</w:t>
      </w:r>
      <w:r>
        <w:rPr>
          <w:rFonts w:hint="eastAsia" w:cs="Times New Roman"/>
          <w:sz w:val="21"/>
        </w:rPr>
        <w:t>）</w:t>
      </w:r>
      <w:r>
        <w:rPr>
          <w:rFonts w:cs="Times New Roman"/>
          <w:sz w:val="21"/>
        </w:rPr>
        <w:t>，又不提出异议的，视</w:t>
      </w:r>
      <w:r>
        <w:rPr>
          <w:rFonts w:hint="eastAsia" w:cs="Times New Roman"/>
          <w:sz w:val="21"/>
        </w:rPr>
        <w:t>为发包人</w:t>
      </w:r>
      <w:r>
        <w:rPr>
          <w:rFonts w:cs="Times New Roman"/>
          <w:sz w:val="21"/>
        </w:rPr>
        <w:t>认可</w:t>
      </w:r>
      <w:r>
        <w:rPr>
          <w:rFonts w:hint="eastAsia" w:cs="Times New Roman"/>
          <w:sz w:val="21"/>
        </w:rPr>
        <w:t>且接受</w:t>
      </w:r>
      <w:r>
        <w:rPr>
          <w:rFonts w:cs="Times New Roman"/>
          <w:sz w:val="21"/>
        </w:rPr>
        <w:t>承包人提交的过程结算报告</w:t>
      </w:r>
      <w:r>
        <w:rPr>
          <w:rFonts w:hint="eastAsia" w:cs="Times New Roman"/>
          <w:sz w:val="21"/>
        </w:rPr>
        <w:t>（包括经修改的</w:t>
      </w:r>
      <w:r>
        <w:rPr>
          <w:rFonts w:cs="Times New Roman"/>
          <w:sz w:val="21"/>
        </w:rPr>
        <w:t>过程结算报告</w:t>
      </w:r>
      <w:r>
        <w:rPr>
          <w:rFonts w:hint="eastAsia" w:cs="Times New Roman"/>
          <w:sz w:val="21"/>
        </w:rPr>
        <w:t>），应据此确认过程结算价款</w:t>
      </w:r>
      <w:r>
        <w:rPr>
          <w:rFonts w:cs="Times New Roman"/>
          <w:sz w:val="21"/>
        </w:rPr>
        <w:t>。</w:t>
      </w:r>
    </w:p>
    <w:p w14:paraId="259A44B3">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过程结算支付</w:t>
      </w:r>
    </w:p>
    <w:p w14:paraId="1B0072E6">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发承包双方确认过程结算价款后7天内，监理人应签发过程结算支付证书，报发包人批准后送交承包人。</w:t>
      </w:r>
    </w:p>
    <w:p w14:paraId="67B54881">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发包人应在确认过程结算支付证书后14天内向承包人支付过程结算价款。发包人在确认过程结算价款后14天内无正当理由不</w:t>
      </w:r>
      <w:r>
        <w:rPr>
          <w:rFonts w:hint="eastAsia" w:cs="Times New Roman"/>
          <w:sz w:val="21"/>
        </w:rPr>
        <w:t>予</w:t>
      </w:r>
      <w:r>
        <w:rPr>
          <w:rFonts w:cs="Times New Roman"/>
          <w:sz w:val="21"/>
        </w:rPr>
        <w:t>支付</w:t>
      </w:r>
      <w:r>
        <w:rPr>
          <w:rFonts w:hint="eastAsia" w:cs="Times New Roman"/>
          <w:sz w:val="21"/>
        </w:rPr>
        <w:t>的</w:t>
      </w:r>
      <w:r>
        <w:rPr>
          <w:rFonts w:cs="Times New Roman"/>
          <w:sz w:val="21"/>
        </w:rPr>
        <w:t>，从第15天起按同期银行贷款利率支付拖欠过程结算价款的贷款利息，并承担第2</w:t>
      </w:r>
      <w:r>
        <w:rPr>
          <w:rFonts w:hint="eastAsia" w:cs="Times New Roman"/>
          <w:sz w:val="21"/>
        </w:rPr>
        <w:t>9</w:t>
      </w:r>
      <w:r>
        <w:rPr>
          <w:rFonts w:cs="Times New Roman"/>
          <w:sz w:val="21"/>
        </w:rPr>
        <w:t>.1</w:t>
      </w:r>
      <w:r>
        <w:rPr>
          <w:rFonts w:hint="eastAsia" w:cs="Times New Roman"/>
          <w:sz w:val="21"/>
        </w:rPr>
        <w:t>⑵</w:t>
      </w:r>
      <w:r>
        <w:rPr>
          <w:rFonts w:cs="Times New Roman"/>
          <w:sz w:val="21"/>
        </w:rPr>
        <w:t>项约定的违约责任。</w:t>
      </w:r>
    </w:p>
    <w:p w14:paraId="607BD087">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已签发的过程结算支付证书有错漏或重复的，发承包双方应</w:t>
      </w:r>
      <w:r>
        <w:rPr>
          <w:rFonts w:hint="eastAsia" w:cs="Times New Roman"/>
          <w:sz w:val="21"/>
        </w:rPr>
        <w:t>在</w:t>
      </w:r>
      <w:r>
        <w:rPr>
          <w:rFonts w:cs="Times New Roman"/>
          <w:b/>
          <w:bCs/>
          <w:i/>
          <w:iCs/>
          <w:sz w:val="21"/>
        </w:rPr>
        <w:t>专用条款</w:t>
      </w:r>
      <w:r>
        <w:rPr>
          <w:rFonts w:cs="Times New Roman"/>
          <w:sz w:val="21"/>
        </w:rPr>
        <w:t>约定的时间内配合予以修正；经发承包双方复核并同意修正的，应在当期的过程结算中补充修正内容。</w:t>
      </w:r>
    </w:p>
    <w:p w14:paraId="0FE07538">
      <w:pPr>
        <w:widowControl w:val="0"/>
        <w:tabs>
          <w:tab w:val="left" w:pos="1620"/>
          <w:tab w:val="left" w:pos="2340"/>
        </w:tabs>
        <w:spacing w:after="156"/>
        <w:ind w:left="899"/>
        <w:jc w:val="both"/>
        <w:rPr>
          <w:rFonts w:cs="Times New Roman"/>
          <w:sz w:val="21"/>
        </w:rPr>
      </w:pPr>
      <w:r>
        <w:rPr>
          <w:rFonts w:hint="eastAsia" w:cs="Times New Roman"/>
          <w:sz w:val="21"/>
        </w:rPr>
        <w:t>⑷</w:t>
      </w:r>
      <w:r>
        <w:rPr>
          <w:rFonts w:cs="Times New Roman"/>
          <w:sz w:val="21"/>
        </w:rPr>
        <w:t>过程结算价款累计</w:t>
      </w:r>
      <w:r>
        <w:rPr>
          <w:rFonts w:hint="eastAsia" w:cs="Times New Roman"/>
          <w:sz w:val="21"/>
        </w:rPr>
        <w:t>支付</w:t>
      </w:r>
      <w:r>
        <w:rPr>
          <w:rFonts w:cs="Times New Roman"/>
          <w:sz w:val="21"/>
        </w:rPr>
        <w:t>总额达到合同价格的一定比例时，暂停支付。发承包双方应在</w:t>
      </w:r>
      <w:r>
        <w:rPr>
          <w:rFonts w:cs="Times New Roman"/>
          <w:b/>
          <w:bCs/>
          <w:i/>
          <w:iCs/>
          <w:sz w:val="21"/>
        </w:rPr>
        <w:t>专用条款</w:t>
      </w:r>
      <w:r>
        <w:rPr>
          <w:rFonts w:cs="Times New Roman"/>
          <w:sz w:val="21"/>
        </w:rPr>
        <w:t>中约定具体比例。</w:t>
      </w:r>
    </w:p>
    <w:p w14:paraId="3EA2255F">
      <w:pPr>
        <w:widowControl w:val="0"/>
        <w:tabs>
          <w:tab w:val="left" w:pos="1620"/>
          <w:tab w:val="left" w:pos="2340"/>
        </w:tabs>
        <w:ind w:left="899"/>
        <w:rPr>
          <w:rFonts w:cs="Times New Roman"/>
          <w:sz w:val="21"/>
        </w:rPr>
      </w:pPr>
      <w:r>
        <w:rPr>
          <w:rFonts w:hint="eastAsia" w:cs="Times New Roman"/>
          <w:sz w:val="21"/>
        </w:rPr>
        <w:t>⑸有关过程结算文件的编制和审核均须经注册造价工程师签字盖章确认。</w:t>
      </w:r>
    </w:p>
    <w:p w14:paraId="1F923E71">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过程结算暂定意见</w:t>
      </w:r>
    </w:p>
    <w:p w14:paraId="29CE816C">
      <w:pPr>
        <w:widowControl w:val="0"/>
        <w:tabs>
          <w:tab w:val="left" w:pos="1620"/>
          <w:tab w:val="left" w:pos="2340"/>
        </w:tabs>
        <w:ind w:left="899"/>
        <w:rPr>
          <w:rFonts w:cs="Times New Roman"/>
          <w:sz w:val="21"/>
        </w:rPr>
      </w:pPr>
      <w:r>
        <w:rPr>
          <w:rFonts w:cs="Times New Roman"/>
          <w:sz w:val="21"/>
        </w:rPr>
        <w:t>发承包双方对过程结算不能达成一致意见的，双方可委托</w:t>
      </w:r>
      <w:r>
        <w:rPr>
          <w:rFonts w:cs="Times New Roman"/>
          <w:b/>
          <w:bCs/>
          <w:i/>
          <w:iCs/>
          <w:sz w:val="21"/>
        </w:rPr>
        <w:t>专用条款</w:t>
      </w:r>
      <w:r>
        <w:rPr>
          <w:rFonts w:cs="Times New Roman"/>
          <w:sz w:val="21"/>
        </w:rPr>
        <w:t>约定的第三方提出暂定结算意见。发承包双方在收到第三方暂定结算意见后，</w:t>
      </w:r>
      <w:r>
        <w:rPr>
          <w:rFonts w:hint="eastAsia" w:cs="Times New Roman"/>
          <w:sz w:val="21"/>
        </w:rPr>
        <w:t>应</w:t>
      </w:r>
      <w:r>
        <w:rPr>
          <w:rFonts w:cs="Times New Roman"/>
          <w:sz w:val="21"/>
        </w:rPr>
        <w:t>在</w:t>
      </w:r>
      <w:r>
        <w:rPr>
          <w:rFonts w:cs="Times New Roman"/>
          <w:b/>
          <w:bCs/>
          <w:i/>
          <w:iCs/>
          <w:sz w:val="21"/>
        </w:rPr>
        <w:t>专用条款</w:t>
      </w:r>
      <w:r>
        <w:rPr>
          <w:rFonts w:cs="Times New Roman"/>
          <w:sz w:val="21"/>
        </w:rPr>
        <w:t>约定时间内，对暂定结算意见予以确认或提出异议。发承包双方同意暂定结算意见的，应以书面形式确认。</w:t>
      </w:r>
      <w:r>
        <w:rPr>
          <w:rFonts w:hint="eastAsia" w:cs="Times New Roman"/>
          <w:sz w:val="21"/>
        </w:rPr>
        <w:t>经</w:t>
      </w:r>
      <w:r>
        <w:rPr>
          <w:rFonts w:cs="Times New Roman"/>
          <w:sz w:val="21"/>
        </w:rPr>
        <w:t>发承包双方同意的暂定结算意见</w:t>
      </w:r>
      <w:r>
        <w:rPr>
          <w:rFonts w:hint="eastAsia" w:cs="Times New Roman"/>
          <w:sz w:val="21"/>
        </w:rPr>
        <w:t>将</w:t>
      </w:r>
      <w:r>
        <w:rPr>
          <w:rFonts w:cs="Times New Roman"/>
          <w:sz w:val="21"/>
        </w:rPr>
        <w:t>作为过程结算依据，对发承包双方都有约束力，直到其被改变为止。如发承包双方或一方不同意暂定结算意见的，应以书面形式向合同约定的第三方提出，同时抄送另一方。暂定结算意见应在竣工结算前被最终确认或修改，并在被确认或修改的当期调整</w:t>
      </w:r>
      <w:r>
        <w:rPr>
          <w:rFonts w:hint="eastAsia" w:cs="Times New Roman"/>
          <w:sz w:val="21"/>
        </w:rPr>
        <w:t>过程</w:t>
      </w:r>
      <w:r>
        <w:rPr>
          <w:rFonts w:cs="Times New Roman"/>
          <w:sz w:val="21"/>
        </w:rPr>
        <w:t>结算价款。</w:t>
      </w:r>
    </w:p>
    <w:p w14:paraId="7ADC03CC">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竣工验收</w:t>
      </w:r>
    </w:p>
    <w:p w14:paraId="63AF9074">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竣工验收</w:t>
      </w:r>
    </w:p>
    <w:p w14:paraId="72DE0052">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工程具备以下条件的，承包人可以申请竣工验收：</w:t>
      </w:r>
    </w:p>
    <w:p w14:paraId="6C7681D5">
      <w:pPr>
        <w:widowControl w:val="0"/>
        <w:tabs>
          <w:tab w:val="left" w:pos="1620"/>
          <w:tab w:val="left" w:pos="2340"/>
        </w:tabs>
        <w:ind w:left="1134"/>
        <w:rPr>
          <w:rFonts w:cs="Times New Roman"/>
          <w:sz w:val="21"/>
        </w:rPr>
      </w:pPr>
      <w:r>
        <w:rPr>
          <w:rFonts w:hint="eastAsia" w:cs="Times New Roman"/>
          <w:sz w:val="21"/>
        </w:rPr>
        <w:t>①</w:t>
      </w:r>
      <w:r>
        <w:rPr>
          <w:rFonts w:cs="Times New Roman"/>
          <w:sz w:val="21"/>
        </w:rPr>
        <w:t>除发包人同意的甩项</w:t>
      </w:r>
      <w:r>
        <w:rPr>
          <w:rFonts w:hint="eastAsia" w:cs="Times New Roman"/>
          <w:sz w:val="21"/>
        </w:rPr>
        <w:t>工作</w:t>
      </w:r>
      <w:r>
        <w:rPr>
          <w:rFonts w:cs="Times New Roman"/>
          <w:sz w:val="21"/>
        </w:rPr>
        <w:t>和缺陷修补工作外，合同范围内的全部工程以及有关工作，包括合同要求的试验、试运行以及检验均已完成，并符合合同要求；</w:t>
      </w:r>
    </w:p>
    <w:p w14:paraId="09D99206">
      <w:pPr>
        <w:widowControl w:val="0"/>
        <w:tabs>
          <w:tab w:val="left" w:pos="1620"/>
          <w:tab w:val="left" w:pos="2340"/>
        </w:tabs>
        <w:ind w:left="1134"/>
        <w:rPr>
          <w:rFonts w:cs="Times New Roman"/>
          <w:sz w:val="21"/>
        </w:rPr>
      </w:pPr>
      <w:r>
        <w:rPr>
          <w:rFonts w:hint="eastAsia" w:cs="Times New Roman"/>
          <w:sz w:val="21"/>
        </w:rPr>
        <w:t>②</w:t>
      </w:r>
      <w:r>
        <w:rPr>
          <w:rFonts w:cs="Times New Roman"/>
          <w:sz w:val="21"/>
        </w:rPr>
        <w:t>已按合同约定编制了甩项</w:t>
      </w:r>
      <w:r>
        <w:rPr>
          <w:rFonts w:hint="eastAsia" w:cs="Times New Roman"/>
          <w:sz w:val="21"/>
        </w:rPr>
        <w:t>工作</w:t>
      </w:r>
      <w:r>
        <w:rPr>
          <w:rFonts w:cs="Times New Roman"/>
          <w:sz w:val="21"/>
        </w:rPr>
        <w:t>和缺陷修补工作清单以及相应的施工计划；</w:t>
      </w:r>
    </w:p>
    <w:p w14:paraId="4D1AFF44">
      <w:pPr>
        <w:widowControl w:val="0"/>
        <w:tabs>
          <w:tab w:val="left" w:pos="1620"/>
          <w:tab w:val="left" w:pos="2340"/>
        </w:tabs>
        <w:ind w:left="1134"/>
        <w:rPr>
          <w:rFonts w:cs="Times New Roman"/>
          <w:sz w:val="21"/>
        </w:rPr>
      </w:pPr>
      <w:r>
        <w:rPr>
          <w:rFonts w:hint="eastAsia" w:cs="Times New Roman"/>
          <w:sz w:val="21"/>
        </w:rPr>
        <w:t>③</w:t>
      </w:r>
      <w:r>
        <w:rPr>
          <w:rFonts w:cs="Times New Roman"/>
          <w:sz w:val="21"/>
        </w:rPr>
        <w:t>已按合同约定的内容和份数备齐竣工资料。</w:t>
      </w:r>
    </w:p>
    <w:p w14:paraId="21D3F5C6">
      <w:pPr>
        <w:widowControl w:val="0"/>
        <w:tabs>
          <w:tab w:val="left" w:pos="1620"/>
          <w:tab w:val="left" w:pos="2340"/>
        </w:tabs>
        <w:spacing w:after="156"/>
        <w:ind w:left="899"/>
        <w:rPr>
          <w:rFonts w:cs="Times New Roman"/>
          <w:sz w:val="21"/>
        </w:rPr>
      </w:pPr>
      <w:r>
        <w:rPr>
          <w:rFonts w:hint="eastAsia" w:cs="Times New Roman"/>
          <w:sz w:val="21"/>
        </w:rPr>
        <w:t>⑵工程具备竣工验收条件后21天内，承包人应按工程竣工验收的有关规定和</w:t>
      </w:r>
      <w:r>
        <w:rPr>
          <w:rFonts w:hint="eastAsia" w:cs="Times New Roman"/>
          <w:b/>
          <w:i/>
          <w:sz w:val="21"/>
        </w:rPr>
        <w:t>专用条款</w:t>
      </w:r>
      <w:r>
        <w:rPr>
          <w:rFonts w:hint="eastAsia" w:cs="Times New Roman"/>
          <w:sz w:val="21"/>
        </w:rPr>
        <w:t>的约定向</w:t>
      </w:r>
      <w:r>
        <w:rPr>
          <w:rFonts w:cs="Times New Roman"/>
          <w:sz w:val="21"/>
        </w:rPr>
        <w:t>监理人</w:t>
      </w:r>
      <w:r>
        <w:rPr>
          <w:rFonts w:hint="eastAsia" w:cs="Times New Roman"/>
          <w:sz w:val="21"/>
        </w:rPr>
        <w:t>申请竣工验收并提供竣工资料(如项目经理任命通知书、施工组织设计方案、施工质量技术交底、施工日志、各种验收记录表和检测报告、工程变更资料、工程质量事故处理报告、竣工图纸等)。</w:t>
      </w:r>
    </w:p>
    <w:p w14:paraId="2C9994C4">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监理人审查后认为尚不具备验收条件的，应通知承包人在竣工验收前承包人还需完成的工作内容，承包人应在完成监理人通知的全部工作内容后，再次提交竣工验收申请报告。</w:t>
      </w:r>
    </w:p>
    <w:p w14:paraId="4CF8E72D">
      <w:pPr>
        <w:widowControl w:val="0"/>
        <w:tabs>
          <w:tab w:val="left" w:pos="1620"/>
          <w:tab w:val="left" w:pos="2340"/>
        </w:tabs>
        <w:spacing w:after="156"/>
        <w:ind w:left="899"/>
        <w:rPr>
          <w:rFonts w:cs="Times New Roman"/>
          <w:sz w:val="21"/>
        </w:rPr>
      </w:pPr>
      <w:r>
        <w:rPr>
          <w:rFonts w:hint="eastAsia" w:cs="Times New Roman"/>
          <w:sz w:val="21"/>
        </w:rPr>
        <w:t>⑷</w:t>
      </w:r>
      <w:r>
        <w:rPr>
          <w:rFonts w:cs="Times New Roman"/>
          <w:sz w:val="21"/>
        </w:rPr>
        <w:t>监理人审查后认为已具备竣工验收条件的，应将竣工验收申请报告提交发包人，发包人应在收到</w:t>
      </w:r>
      <w:r>
        <w:rPr>
          <w:rFonts w:hint="eastAsia" w:cs="Times New Roman"/>
          <w:sz w:val="21"/>
        </w:rPr>
        <w:t>经</w:t>
      </w:r>
      <w:r>
        <w:rPr>
          <w:rFonts w:cs="Times New Roman"/>
          <w:sz w:val="21"/>
        </w:rPr>
        <w:t>监理人审核的竣工验收申请报告后28天内</w:t>
      </w:r>
      <w:r>
        <w:rPr>
          <w:rFonts w:hint="eastAsia" w:cs="Times New Roman"/>
          <w:sz w:val="21"/>
        </w:rPr>
        <w:t>审批</w:t>
      </w:r>
      <w:r>
        <w:rPr>
          <w:rFonts w:cs="Times New Roman"/>
          <w:sz w:val="21"/>
        </w:rPr>
        <w:t>完毕并组织监理人、承包人、设计人等相关单位完成竣工验收。</w:t>
      </w:r>
    </w:p>
    <w:p w14:paraId="6AAFF543">
      <w:pPr>
        <w:widowControl w:val="0"/>
        <w:tabs>
          <w:tab w:val="left" w:pos="1620"/>
          <w:tab w:val="left" w:pos="2340"/>
        </w:tabs>
        <w:spacing w:after="156"/>
        <w:ind w:left="899"/>
        <w:rPr>
          <w:rFonts w:cs="Times New Roman"/>
          <w:sz w:val="21"/>
        </w:rPr>
      </w:pPr>
      <w:r>
        <w:rPr>
          <w:rFonts w:hint="eastAsia" w:cs="Times New Roman"/>
          <w:sz w:val="21"/>
        </w:rPr>
        <w:t>⑸发包人收到承包人提交的竣工验收申请后21天内不组织竣工验收，或竣工验收工作完毕后7天内不提出修改意见，均视为本工程通过竣工验收。发包人应承担此后本工程的一切保管责任。</w:t>
      </w:r>
    </w:p>
    <w:p w14:paraId="28F47252">
      <w:pPr>
        <w:widowControl w:val="0"/>
        <w:tabs>
          <w:tab w:val="left" w:pos="1620"/>
          <w:tab w:val="left" w:pos="2340"/>
        </w:tabs>
        <w:spacing w:after="156"/>
        <w:ind w:left="899"/>
        <w:rPr>
          <w:rFonts w:cs="Times New Roman"/>
          <w:sz w:val="21"/>
        </w:rPr>
      </w:pPr>
      <w:r>
        <w:rPr>
          <w:rFonts w:hint="eastAsia" w:cs="Times New Roman"/>
          <w:sz w:val="21"/>
        </w:rPr>
        <w:t>⑹本工程未经竣工验收或竣工验收未通过的，发包人不得使用。如发包人擅自使用，由此发生的质量问题及其他问题，由发包人承担责任，并承担此后本工程的一切保管责任。</w:t>
      </w:r>
    </w:p>
    <w:p w14:paraId="3488422C">
      <w:pPr>
        <w:widowControl w:val="0"/>
        <w:tabs>
          <w:tab w:val="left" w:pos="1620"/>
          <w:tab w:val="left" w:pos="2340"/>
        </w:tabs>
        <w:spacing w:after="156"/>
        <w:ind w:left="899"/>
        <w:rPr>
          <w:rFonts w:cs="Times New Roman"/>
          <w:sz w:val="21"/>
        </w:rPr>
      </w:pPr>
      <w:r>
        <w:rPr>
          <w:rFonts w:hint="eastAsia" w:cs="Times New Roman"/>
          <w:sz w:val="21"/>
        </w:rPr>
        <w:t>⑺根据</w:t>
      </w:r>
      <w:r>
        <w:rPr>
          <w:rFonts w:hint="eastAsia" w:cs="Times New Roman"/>
          <w:b/>
          <w:i/>
          <w:sz w:val="21"/>
        </w:rPr>
        <w:t>专用条款</w:t>
      </w:r>
      <w:r>
        <w:rPr>
          <w:rFonts w:hint="eastAsia" w:cs="Times New Roman"/>
          <w:sz w:val="21"/>
        </w:rPr>
        <w:t>的约定，本工程中某单项工程须单独进行竣工验收的，按本条有关竣工验收规定办理。</w:t>
      </w:r>
    </w:p>
    <w:p w14:paraId="3D1899D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竣工验收合格后的移交和清理</w:t>
      </w:r>
    </w:p>
    <w:p w14:paraId="777F22E1">
      <w:pPr>
        <w:widowControl w:val="0"/>
        <w:tabs>
          <w:tab w:val="left" w:pos="1620"/>
          <w:tab w:val="left" w:pos="2340"/>
        </w:tabs>
        <w:spacing w:after="156"/>
        <w:ind w:left="899"/>
        <w:rPr>
          <w:rFonts w:cs="Times New Roman"/>
          <w:sz w:val="21"/>
        </w:rPr>
      </w:pPr>
      <w:r>
        <w:rPr>
          <w:rFonts w:hint="eastAsia" w:cs="Times New Roman"/>
          <w:sz w:val="21"/>
        </w:rPr>
        <w:t>⑴工程竣工验收通过，发包人应在验收工作完毕后7天内向承包人签发交接证书，同时办理工程的移交工作。交接证书上应写明本工程的实际竣工日期(即竣工验收合格之日)。交接证书签发后，承包人应将工程交付给发包人，承包人不再承担对工程的照管责任。</w:t>
      </w:r>
      <w:r>
        <w:rPr>
          <w:rFonts w:cs="Times New Roman"/>
          <w:sz w:val="21"/>
        </w:rPr>
        <w:t>承包人无正当理由不移交工程的，</w:t>
      </w:r>
      <w:r>
        <w:rPr>
          <w:rFonts w:hint="eastAsia" w:cs="Times New Roman"/>
          <w:sz w:val="21"/>
        </w:rPr>
        <w:t>承包人应承担</w:t>
      </w:r>
      <w:r>
        <w:rPr>
          <w:rFonts w:cs="Times New Roman"/>
          <w:sz w:val="21"/>
        </w:rPr>
        <w:t>工程照管、成品保护、保管等与工程有关的各项费用</w:t>
      </w:r>
      <w:r>
        <w:rPr>
          <w:rFonts w:hint="eastAsia" w:cs="Times New Roman"/>
          <w:sz w:val="21"/>
        </w:rPr>
        <w:t>，承发包双方可以在</w:t>
      </w:r>
      <w:r>
        <w:rPr>
          <w:rFonts w:hint="eastAsia" w:cs="Times New Roman"/>
          <w:b/>
          <w:i/>
          <w:sz w:val="21"/>
        </w:rPr>
        <w:t>专用条款</w:t>
      </w:r>
      <w:r>
        <w:rPr>
          <w:rFonts w:hint="eastAsia" w:cs="Times New Roman"/>
          <w:sz w:val="21"/>
        </w:rPr>
        <w:t>中另行约定承包人无正当理由不移交工程的违约责任</w:t>
      </w:r>
      <w:r>
        <w:rPr>
          <w:rFonts w:cs="Times New Roman"/>
          <w:sz w:val="21"/>
        </w:rPr>
        <w:t>。</w:t>
      </w:r>
    </w:p>
    <w:p w14:paraId="2AF09E2E">
      <w:pPr>
        <w:widowControl w:val="0"/>
        <w:tabs>
          <w:tab w:val="left" w:pos="1620"/>
          <w:tab w:val="left" w:pos="2340"/>
        </w:tabs>
        <w:ind w:left="899"/>
        <w:rPr>
          <w:rFonts w:cs="Times New Roman"/>
          <w:sz w:val="21"/>
        </w:rPr>
      </w:pPr>
      <w:r>
        <w:rPr>
          <w:rFonts w:hint="eastAsia" w:cs="Times New Roman"/>
          <w:sz w:val="21"/>
        </w:rPr>
        <w:t>⑵在签发交接证书后，承包人应从施工现场清理并运出承包人装备、剩余材料设备、垃圾和各种临时工程，保持整个现场及工程整洁，达到竣工使用状态。如承包人未在发包人或</w:t>
      </w:r>
      <w:r>
        <w:rPr>
          <w:rFonts w:cs="Times New Roman"/>
          <w:sz w:val="21"/>
        </w:rPr>
        <w:t>监理人</w:t>
      </w:r>
      <w:r>
        <w:rPr>
          <w:rFonts w:hint="eastAsia" w:cs="Times New Roman"/>
          <w:sz w:val="21"/>
        </w:rPr>
        <w:t>允许的合理时间内把所有的承包人装备、剩余材料设备、垃圾及各种临时工程运走，则发包人可以：</w:t>
      </w:r>
    </w:p>
    <w:p w14:paraId="4F729D57">
      <w:pPr>
        <w:widowControl w:val="0"/>
        <w:tabs>
          <w:tab w:val="left" w:pos="1620"/>
          <w:tab w:val="left" w:pos="2340"/>
        </w:tabs>
        <w:ind w:left="899" w:firstLine="181"/>
        <w:rPr>
          <w:rFonts w:cs="Times New Roman"/>
          <w:sz w:val="21"/>
        </w:rPr>
      </w:pPr>
      <w:r>
        <w:rPr>
          <w:rFonts w:hint="eastAsia" w:cs="Times New Roman"/>
          <w:sz w:val="21"/>
        </w:rPr>
        <w:t>①委托他人将承包人装备、剩余材料及承包人的其他财产觅地存放；</w:t>
      </w:r>
    </w:p>
    <w:p w14:paraId="3A29C607">
      <w:pPr>
        <w:widowControl w:val="0"/>
        <w:tabs>
          <w:tab w:val="left" w:pos="1620"/>
          <w:tab w:val="left" w:pos="2340"/>
        </w:tabs>
        <w:ind w:left="899" w:firstLine="181"/>
        <w:rPr>
          <w:rFonts w:cs="Times New Roman"/>
          <w:sz w:val="21"/>
        </w:rPr>
      </w:pPr>
      <w:r>
        <w:rPr>
          <w:rFonts w:hint="eastAsia" w:cs="Times New Roman"/>
          <w:sz w:val="21"/>
        </w:rPr>
        <w:t>②委托他人清除并运走垃圾、废料。</w:t>
      </w:r>
    </w:p>
    <w:p w14:paraId="50FACA05">
      <w:pPr>
        <w:widowControl w:val="0"/>
        <w:tabs>
          <w:tab w:val="left" w:pos="1620"/>
          <w:tab w:val="left" w:pos="2340"/>
        </w:tabs>
        <w:ind w:left="899"/>
        <w:rPr>
          <w:rFonts w:cs="Times New Roman"/>
          <w:sz w:val="21"/>
        </w:rPr>
      </w:pPr>
      <w:r>
        <w:rPr>
          <w:rFonts w:hint="eastAsia" w:cs="Times New Roman"/>
          <w:sz w:val="21"/>
        </w:rPr>
        <w:t>因上述工作而发生的费用由承包人承担，发包人可从应付承包人的任何款项内扣除。</w:t>
      </w:r>
    </w:p>
    <w:p w14:paraId="1DB5868A">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发包人无正当理由不接收工程的，发包人自</w:t>
      </w:r>
      <w:r>
        <w:rPr>
          <w:rFonts w:hint="eastAsia" w:cs="Times New Roman"/>
          <w:sz w:val="21"/>
        </w:rPr>
        <w:t>应当接收工程</w:t>
      </w:r>
      <w:r>
        <w:rPr>
          <w:rFonts w:cs="Times New Roman"/>
          <w:sz w:val="21"/>
        </w:rPr>
        <w:t>之日起，承担工程照管、成品保护、保管等与工程有关的各项费用</w:t>
      </w:r>
      <w:r>
        <w:rPr>
          <w:rFonts w:hint="eastAsia" w:cs="Times New Roman"/>
          <w:sz w:val="21"/>
        </w:rPr>
        <w:t>，承发包双方可以在</w:t>
      </w:r>
      <w:r>
        <w:rPr>
          <w:rFonts w:hint="eastAsia" w:cs="Times New Roman"/>
          <w:b/>
          <w:i/>
          <w:sz w:val="21"/>
        </w:rPr>
        <w:t>专用条款</w:t>
      </w:r>
      <w:r>
        <w:rPr>
          <w:rFonts w:hint="eastAsia" w:cs="Times New Roman"/>
          <w:sz w:val="21"/>
        </w:rPr>
        <w:t>中另行约定发包人逾期接收工程的违约责任</w:t>
      </w:r>
      <w:r>
        <w:rPr>
          <w:rFonts w:cs="Times New Roman"/>
          <w:sz w:val="21"/>
        </w:rPr>
        <w:t>。</w:t>
      </w:r>
    </w:p>
    <w:p w14:paraId="17E05E7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竣工验收质量不合格和重新验收</w:t>
      </w:r>
    </w:p>
    <w:p w14:paraId="72878730">
      <w:pPr>
        <w:widowControl w:val="0"/>
        <w:tabs>
          <w:tab w:val="left" w:pos="1620"/>
          <w:tab w:val="left" w:pos="2340"/>
        </w:tabs>
        <w:spacing w:after="156"/>
        <w:ind w:left="899"/>
        <w:rPr>
          <w:rFonts w:cs="Times New Roman"/>
          <w:sz w:val="21"/>
        </w:rPr>
      </w:pPr>
      <w:r>
        <w:rPr>
          <w:rFonts w:hint="eastAsia" w:cs="Times New Roman"/>
          <w:sz w:val="21"/>
        </w:rPr>
        <w:t>⑴如本工程竣工验收质量未达到合同约定的标准，承包人应按</w:t>
      </w:r>
      <w:r>
        <w:rPr>
          <w:rFonts w:hint="eastAsia" w:cs="Times New Roman"/>
          <w:b/>
          <w:i/>
          <w:sz w:val="21"/>
        </w:rPr>
        <w:t>专用条款</w:t>
      </w:r>
      <w:r>
        <w:rPr>
          <w:rFonts w:hint="eastAsia" w:cs="Times New Roman"/>
          <w:sz w:val="21"/>
        </w:rPr>
        <w:t>的约定承担违约责任。</w:t>
      </w:r>
    </w:p>
    <w:p w14:paraId="5D586854">
      <w:pPr>
        <w:widowControl w:val="0"/>
        <w:tabs>
          <w:tab w:val="left" w:pos="1620"/>
          <w:tab w:val="left" w:pos="2340"/>
        </w:tabs>
        <w:spacing w:after="156"/>
        <w:ind w:left="899"/>
        <w:rPr>
          <w:rFonts w:cs="Times New Roman"/>
          <w:sz w:val="21"/>
        </w:rPr>
      </w:pPr>
      <w:r>
        <w:rPr>
          <w:rFonts w:hint="eastAsia" w:cs="Times New Roman"/>
          <w:sz w:val="21"/>
        </w:rPr>
        <w:t>⑵如本工程竣工验收质量未达到合同约定的标准，</w:t>
      </w:r>
      <w:r>
        <w:rPr>
          <w:rFonts w:cs="Times New Roman"/>
          <w:sz w:val="21"/>
        </w:rPr>
        <w:t>监理人</w:t>
      </w:r>
      <w:r>
        <w:rPr>
          <w:rFonts w:hint="eastAsia" w:cs="Times New Roman"/>
          <w:sz w:val="21"/>
        </w:rPr>
        <w:t>应在验收工作完毕后7天内向承包人发出不予验收的指令，要求承包人对达不到合同约定标准的工程返工或修复。承包人在完成上述工作后，应重新提出竣工验收申请。发包人应按照第27.1款的约定重新组织竣工验收。竣工验收通过，发包人应按第27.2款的约定签发交接证书。交接证书中写明的实际竣工日期应为重新验收合格之日。</w:t>
      </w:r>
    </w:p>
    <w:p w14:paraId="373700B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竣工日期</w:t>
      </w:r>
    </w:p>
    <w:p w14:paraId="3F530C04">
      <w:pPr>
        <w:widowControl w:val="0"/>
        <w:tabs>
          <w:tab w:val="left" w:pos="1620"/>
          <w:tab w:val="left" w:pos="2340"/>
        </w:tabs>
        <w:spacing w:after="156"/>
        <w:ind w:left="899"/>
        <w:rPr>
          <w:rFonts w:cs="Times New Roman"/>
          <w:sz w:val="21"/>
        </w:rPr>
      </w:pPr>
      <w:r>
        <w:rPr>
          <w:rFonts w:cs="Times New Roman"/>
          <w:sz w:val="21"/>
        </w:rPr>
        <w:t>工程经竣工验收合格的，以</w:t>
      </w:r>
      <w:r>
        <w:rPr>
          <w:rFonts w:hint="eastAsia" w:cs="Times New Roman"/>
          <w:sz w:val="21"/>
        </w:rPr>
        <w:t>竣工验收合格</w:t>
      </w:r>
      <w:r>
        <w:rPr>
          <w:rFonts w:cs="Times New Roman"/>
          <w:sz w:val="21"/>
        </w:rPr>
        <w:t>之日为实际竣工日期，并在工程接收证书中载明；因发包人原因，未在监理人收到承包人提交的竣工验收申请报告42天内完成</w:t>
      </w:r>
      <w:r>
        <w:rPr>
          <w:rFonts w:hint="eastAsia" w:cs="Times New Roman"/>
          <w:sz w:val="21"/>
        </w:rPr>
        <w:t>竣工</w:t>
      </w:r>
      <w:r>
        <w:rPr>
          <w:rFonts w:cs="Times New Roman"/>
          <w:sz w:val="21"/>
        </w:rPr>
        <w:t>验收</w:t>
      </w:r>
      <w:r>
        <w:rPr>
          <w:rFonts w:hint="eastAsia" w:cs="Times New Roman"/>
          <w:sz w:val="21"/>
        </w:rPr>
        <w:t>，或完成竣工验收不予签发工程接收证书</w:t>
      </w:r>
      <w:r>
        <w:rPr>
          <w:rFonts w:cs="Times New Roman"/>
          <w:sz w:val="21"/>
        </w:rPr>
        <w:t>的，以提交竣工验收申请报告的日期为实际竣工日期；工程未经竣工验收，发包人擅自使用的，以转移占有工程之日为实际竣工日期。</w:t>
      </w:r>
    </w:p>
    <w:p w14:paraId="5DC250FE">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拒绝接收全部或部分工程</w:t>
      </w:r>
    </w:p>
    <w:p w14:paraId="3A355F9E">
      <w:pPr>
        <w:widowControl w:val="0"/>
        <w:tabs>
          <w:tab w:val="left" w:pos="1620"/>
          <w:tab w:val="left" w:pos="2340"/>
        </w:tabs>
        <w:spacing w:after="156"/>
        <w:ind w:left="899"/>
        <w:rPr>
          <w:rFonts w:cs="Times New Roman"/>
          <w:sz w:val="21"/>
        </w:rPr>
      </w:pPr>
      <w:r>
        <w:rPr>
          <w:rFonts w:cs="Times New Roman"/>
          <w:sz w:val="21"/>
        </w:rPr>
        <w:t>对于竣工验收不合格的工程，承包人完成整改后，</w:t>
      </w:r>
      <w:r>
        <w:rPr>
          <w:rFonts w:hint="eastAsia" w:cs="Times New Roman"/>
          <w:sz w:val="21"/>
        </w:rPr>
        <w:t>应当</w:t>
      </w:r>
      <w:r>
        <w:rPr>
          <w:rFonts w:cs="Times New Roman"/>
          <w:sz w:val="21"/>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23ED3F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竣工验收工程质量争议处理</w:t>
      </w:r>
    </w:p>
    <w:p w14:paraId="23E94A73">
      <w:pPr>
        <w:widowControl w:val="0"/>
        <w:tabs>
          <w:tab w:val="left" w:pos="1620"/>
          <w:tab w:val="left" w:pos="2340"/>
        </w:tabs>
        <w:spacing w:after="156"/>
        <w:ind w:left="899"/>
        <w:rPr>
          <w:rFonts w:cs="Times New Roman"/>
          <w:sz w:val="21"/>
        </w:rPr>
      </w:pPr>
      <w:r>
        <w:rPr>
          <w:rFonts w:hint="eastAsia" w:cs="Times New Roman"/>
          <w:sz w:val="21"/>
        </w:rPr>
        <w:t>除发包人同意降低合同约定的质量标准接收工程(但不得低于国家强制性质量标准)外，发包人对工程质量有异议，拒不签发工程交接证书的，发包人与承包人应将此质量争议共同委托</w:t>
      </w:r>
      <w:r>
        <w:rPr>
          <w:rFonts w:hint="eastAsia" w:cs="Times New Roman"/>
          <w:b/>
          <w:i/>
          <w:sz w:val="21"/>
        </w:rPr>
        <w:t>专用条款</w:t>
      </w:r>
      <w:r>
        <w:rPr>
          <w:rFonts w:hint="eastAsia" w:cs="Times New Roman"/>
          <w:sz w:val="21"/>
        </w:rPr>
        <w:t>约定的有资质的质量检测鉴定机构进行检测。若质量检测合格，检测费用由发包人承担；若质量检测不合格，检测费用由承包人承担，并同时负责无偿修复此质量缺陷。</w:t>
      </w:r>
    </w:p>
    <w:p w14:paraId="2F846EF3">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履约评价与优质优价</w:t>
      </w:r>
    </w:p>
    <w:p w14:paraId="477CD5DD">
      <w:pPr>
        <w:widowControl w:val="0"/>
        <w:tabs>
          <w:tab w:val="left" w:pos="1620"/>
          <w:tab w:val="left" w:pos="2340"/>
        </w:tabs>
        <w:spacing w:after="156"/>
        <w:ind w:left="899"/>
        <w:rPr>
          <w:rFonts w:cs="Times New Roman"/>
          <w:sz w:val="21"/>
        </w:rPr>
      </w:pPr>
      <w:r>
        <w:rPr>
          <w:rFonts w:hint="eastAsia" w:cs="Times New Roman"/>
          <w:sz w:val="21"/>
        </w:rPr>
        <w:t>⑴发包人应按照</w:t>
      </w:r>
      <w:r>
        <w:rPr>
          <w:rFonts w:hint="eastAsia" w:cs="Times New Roman"/>
          <w:b/>
          <w:i/>
          <w:sz w:val="21"/>
        </w:rPr>
        <w:t>专用条款</w:t>
      </w:r>
      <w:r>
        <w:rPr>
          <w:rFonts w:hint="eastAsia" w:cs="Times New Roman"/>
          <w:sz w:val="21"/>
        </w:rPr>
        <w:t>中的约定对承包人进行履约评价。</w:t>
      </w:r>
    </w:p>
    <w:p w14:paraId="5A780F0E">
      <w:pPr>
        <w:widowControl w:val="0"/>
        <w:tabs>
          <w:tab w:val="left" w:pos="1620"/>
          <w:tab w:val="left" w:pos="2340"/>
        </w:tabs>
        <w:spacing w:after="156"/>
        <w:ind w:left="899"/>
        <w:rPr>
          <w:rFonts w:cs="Times New Roman"/>
          <w:sz w:val="21"/>
        </w:rPr>
      </w:pPr>
      <w:r>
        <w:rPr>
          <w:rFonts w:hint="eastAsia" w:cs="Times New Roman"/>
          <w:sz w:val="21"/>
        </w:rPr>
        <w:t>⑵本工程实行优质优价，发包人与承包人应在</w:t>
      </w:r>
      <w:r>
        <w:rPr>
          <w:rFonts w:hint="eastAsia" w:cs="Times New Roman"/>
          <w:b/>
          <w:i/>
          <w:sz w:val="21"/>
        </w:rPr>
        <w:t>专用条款</w:t>
      </w:r>
      <w:r>
        <w:rPr>
          <w:rFonts w:hint="eastAsia" w:cs="Times New Roman"/>
          <w:sz w:val="21"/>
        </w:rPr>
        <w:t>中约定履约评价奖励及工程创优的奖励办法。</w:t>
      </w:r>
    </w:p>
    <w:p w14:paraId="776FB6C4">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竣工结算</w:t>
      </w:r>
    </w:p>
    <w:p w14:paraId="343276F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竣工结算书的编制和提交</w:t>
      </w:r>
    </w:p>
    <w:p w14:paraId="536E5B05">
      <w:pPr>
        <w:widowControl w:val="0"/>
        <w:tabs>
          <w:tab w:val="left" w:pos="1620"/>
          <w:tab w:val="left" w:pos="2340"/>
        </w:tabs>
        <w:spacing w:after="156"/>
        <w:ind w:left="899"/>
        <w:rPr>
          <w:rFonts w:cs="Times New Roman"/>
          <w:sz w:val="21"/>
        </w:rPr>
      </w:pPr>
      <w:r>
        <w:rPr>
          <w:rFonts w:hint="eastAsia" w:cs="Times New Roman"/>
          <w:sz w:val="21"/>
        </w:rPr>
        <w:t>⑴承包人应按照第20.1款约定的签约合同价和第20.2款约定的</w:t>
      </w:r>
      <w:r>
        <w:rPr>
          <w:rFonts w:cs="Times New Roman"/>
          <w:sz w:val="21"/>
        </w:rPr>
        <w:t>合同价格调整</w:t>
      </w:r>
      <w:r>
        <w:rPr>
          <w:rFonts w:hint="eastAsia" w:cs="Times New Roman"/>
          <w:sz w:val="21"/>
        </w:rPr>
        <w:t>内容计算竣工结算价款，编制竣工结算书，并汇总竣工结算资料。竣工结算资料一般包括施工合同、工程竣工图纸及资料、双方确认的工程量、双方确认追加(减)的合同价格、双方确认的索赔和现场签证事项及价款、招标文件、投标文件、工程量清单报价单或施工图预算书等与竣工结算有关的资料。</w:t>
      </w:r>
    </w:p>
    <w:p w14:paraId="18587C66">
      <w:pPr>
        <w:widowControl w:val="0"/>
        <w:tabs>
          <w:tab w:val="left" w:pos="1620"/>
          <w:tab w:val="left" w:pos="2340"/>
        </w:tabs>
        <w:spacing w:after="156"/>
        <w:ind w:left="899"/>
        <w:rPr>
          <w:rFonts w:cs="Times New Roman"/>
          <w:sz w:val="21"/>
        </w:rPr>
      </w:pPr>
      <w:r>
        <w:rPr>
          <w:rFonts w:hint="eastAsia" w:cs="Times New Roman"/>
          <w:sz w:val="21"/>
        </w:rPr>
        <w:t>⑵工程竣工验收合格后，在</w:t>
      </w:r>
      <w:r>
        <w:rPr>
          <w:rFonts w:hint="eastAsia" w:cs="Times New Roman"/>
          <w:b/>
          <w:i/>
          <w:sz w:val="21"/>
        </w:rPr>
        <w:t>专用条款</w:t>
      </w:r>
      <w:r>
        <w:rPr>
          <w:rFonts w:hint="eastAsia" w:cs="Times New Roman"/>
          <w:sz w:val="21"/>
        </w:rPr>
        <w:t>约定的时间内，承包人应向发包人提交竣工结算书及完整的结算资料。政府投资项目应按《深圳经济特区政府投资项目管理条例》等相关规定执行。</w:t>
      </w:r>
    </w:p>
    <w:p w14:paraId="2978766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竣工结算书的核对和修改</w:t>
      </w:r>
    </w:p>
    <w:p w14:paraId="33BA2EF4">
      <w:pPr>
        <w:widowControl w:val="0"/>
        <w:tabs>
          <w:tab w:val="left" w:pos="1620"/>
          <w:tab w:val="left" w:pos="2340"/>
        </w:tabs>
        <w:ind w:left="899"/>
        <w:rPr>
          <w:rFonts w:cs="Times New Roman"/>
          <w:sz w:val="21"/>
        </w:rPr>
      </w:pPr>
      <w:r>
        <w:rPr>
          <w:rFonts w:cs="Times New Roman"/>
          <w:sz w:val="21"/>
        </w:rPr>
        <w:t>⑴</w:t>
      </w:r>
      <w:r>
        <w:rPr>
          <w:rFonts w:hint="eastAsia" w:cs="Times New Roman"/>
          <w:sz w:val="21"/>
        </w:rPr>
        <w:t>发包人在收到承包人提交的竣工结算书及结算资料后28天或</w:t>
      </w:r>
      <w:r>
        <w:rPr>
          <w:rFonts w:hint="eastAsia" w:cs="Times New Roman"/>
          <w:b/>
          <w:i/>
          <w:sz w:val="21"/>
        </w:rPr>
        <w:t>专用条款</w:t>
      </w:r>
      <w:r>
        <w:rPr>
          <w:rFonts w:hint="eastAsia" w:cs="Times New Roman"/>
          <w:sz w:val="21"/>
        </w:rPr>
        <w:t>约定的时间内，应按合同的有关约定，依据结算资料，在</w:t>
      </w:r>
      <w:r>
        <w:rPr>
          <w:rFonts w:cs="Times New Roman"/>
          <w:sz w:val="21"/>
        </w:rPr>
        <w:t>监理人</w:t>
      </w:r>
      <w:r>
        <w:rPr>
          <w:rFonts w:hint="eastAsia" w:cs="Times New Roman"/>
          <w:sz w:val="21"/>
        </w:rPr>
        <w:t>的协助下，对承包人提交的竣工结算书进行核对：</w:t>
      </w:r>
    </w:p>
    <w:p w14:paraId="2C375112">
      <w:pPr>
        <w:widowControl w:val="0"/>
        <w:tabs>
          <w:tab w:val="left" w:pos="1620"/>
          <w:tab w:val="left" w:pos="2340"/>
        </w:tabs>
        <w:ind w:left="899" w:firstLine="181"/>
        <w:rPr>
          <w:rFonts w:cs="Times New Roman"/>
          <w:sz w:val="21"/>
        </w:rPr>
      </w:pPr>
      <w:r>
        <w:rPr>
          <w:rFonts w:hint="eastAsia" w:cs="Times New Roman"/>
          <w:sz w:val="21"/>
        </w:rPr>
        <w:t>①认可承包人提交的竣工结算书，并确认工程竣工结算价款；或</w:t>
      </w:r>
    </w:p>
    <w:p w14:paraId="5D4012FF">
      <w:pPr>
        <w:widowControl w:val="0"/>
        <w:tabs>
          <w:tab w:val="left" w:pos="1620"/>
          <w:tab w:val="left" w:pos="2340"/>
        </w:tabs>
        <w:ind w:left="899" w:firstLine="181"/>
        <w:rPr>
          <w:rFonts w:cs="Times New Roman"/>
          <w:sz w:val="21"/>
        </w:rPr>
      </w:pPr>
      <w:r>
        <w:rPr>
          <w:rFonts w:hint="eastAsia" w:cs="Times New Roman"/>
          <w:sz w:val="21"/>
        </w:rPr>
        <w:t>②提出核对意见或要求补充结算资料。</w:t>
      </w:r>
    </w:p>
    <w:p w14:paraId="384EBBBA">
      <w:pPr>
        <w:widowControl w:val="0"/>
        <w:tabs>
          <w:tab w:val="left" w:pos="1620"/>
          <w:tab w:val="left" w:pos="2340"/>
        </w:tabs>
        <w:spacing w:before="156" w:after="156"/>
        <w:ind w:left="899"/>
        <w:rPr>
          <w:rFonts w:cs="Times New Roman"/>
          <w:sz w:val="21"/>
        </w:rPr>
      </w:pPr>
      <w:r>
        <w:rPr>
          <w:rFonts w:hint="eastAsia" w:cs="Times New Roman"/>
          <w:sz w:val="21"/>
        </w:rPr>
        <w:t>⑵承包人应在收到发包人提出的核对意见后14天或</w:t>
      </w:r>
      <w:r>
        <w:rPr>
          <w:rFonts w:hint="eastAsia" w:cs="Times New Roman"/>
          <w:b/>
          <w:i/>
          <w:sz w:val="21"/>
        </w:rPr>
        <w:t>专用条款</w:t>
      </w:r>
      <w:r>
        <w:rPr>
          <w:rFonts w:hint="eastAsia" w:cs="Times New Roman"/>
          <w:sz w:val="21"/>
        </w:rPr>
        <w:t>约定的时间内，向发包人提交经修改的竣工结算书或补充结算资料。发包人应在收到后14天或</w:t>
      </w:r>
      <w:r>
        <w:rPr>
          <w:rFonts w:hint="eastAsia" w:cs="Times New Roman"/>
          <w:b/>
          <w:i/>
          <w:sz w:val="21"/>
        </w:rPr>
        <w:t>专用条款</w:t>
      </w:r>
      <w:r>
        <w:rPr>
          <w:rFonts w:hint="eastAsia" w:cs="Times New Roman"/>
          <w:sz w:val="21"/>
        </w:rPr>
        <w:t>约定的时间内，进行核对，经与承包人协商达成一致意见后确认工程竣工结算价款。</w:t>
      </w:r>
    </w:p>
    <w:p w14:paraId="57B28748">
      <w:pPr>
        <w:widowControl w:val="0"/>
        <w:tabs>
          <w:tab w:val="left" w:pos="1620"/>
          <w:tab w:val="left" w:pos="2340"/>
        </w:tabs>
        <w:spacing w:before="156" w:after="156"/>
        <w:ind w:left="899"/>
        <w:rPr>
          <w:rFonts w:cs="Times New Roman"/>
          <w:sz w:val="21"/>
        </w:rPr>
      </w:pPr>
      <w:r>
        <w:rPr>
          <w:rFonts w:hint="eastAsia" w:cs="Times New Roman"/>
          <w:sz w:val="21"/>
        </w:rPr>
        <w:t>⑶承包人在收到发包人提出的核对意见后，在合同约定的时间内，未提出异议或没有明确答复的，视为发包人的核对意见被承包人认可且接受，竣工结算至此办理完毕。</w:t>
      </w:r>
    </w:p>
    <w:p w14:paraId="71CB3B58">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竣工结算书核对次数</w:t>
      </w:r>
    </w:p>
    <w:p w14:paraId="5F329A67">
      <w:pPr>
        <w:widowControl w:val="0"/>
        <w:tabs>
          <w:tab w:val="left" w:pos="1620"/>
          <w:tab w:val="left" w:pos="2340"/>
        </w:tabs>
        <w:spacing w:before="156" w:after="156"/>
        <w:ind w:left="899"/>
        <w:rPr>
          <w:rFonts w:cs="Times New Roman"/>
          <w:sz w:val="21"/>
        </w:rPr>
      </w:pPr>
      <w:r>
        <w:rPr>
          <w:rFonts w:cs="Times New Roman"/>
          <w:sz w:val="21"/>
        </w:rPr>
        <w:t>⑴</w:t>
      </w:r>
      <w:r>
        <w:rPr>
          <w:rFonts w:hint="eastAsia" w:cs="Times New Roman"/>
          <w:sz w:val="21"/>
        </w:rPr>
        <w:t>除</w:t>
      </w:r>
      <w:r>
        <w:rPr>
          <w:rFonts w:hint="eastAsia" w:cs="Times New Roman"/>
          <w:b/>
          <w:i/>
          <w:sz w:val="21"/>
        </w:rPr>
        <w:t>专用条款</w:t>
      </w:r>
      <w:r>
        <w:rPr>
          <w:rFonts w:hint="eastAsia" w:cs="Times New Roman"/>
          <w:sz w:val="21"/>
        </w:rPr>
        <w:t>明确约定核对人及核对次数，发包人、承包人双方对竣工结算仅需核对一次，但承包人依据发包人提出的核对意见后修改重新提交核对的除外。本工程竣工结算核对完成，发包人、承包人双方签字确认后，发包人不应要求承包人与另一个或多个工程造价咨询机构重复核对发包人和承包人已确认的竣工结算。</w:t>
      </w:r>
    </w:p>
    <w:p w14:paraId="5D8CD08B">
      <w:pPr>
        <w:widowControl w:val="0"/>
        <w:tabs>
          <w:tab w:val="left" w:pos="1620"/>
          <w:tab w:val="left" w:pos="2340"/>
        </w:tabs>
        <w:spacing w:before="156" w:after="156"/>
        <w:ind w:left="899"/>
        <w:rPr>
          <w:rFonts w:cs="Times New Roman"/>
          <w:sz w:val="21"/>
        </w:rPr>
      </w:pPr>
      <w:r>
        <w:rPr>
          <w:rFonts w:hint="eastAsia" w:cs="Times New Roman"/>
          <w:sz w:val="21"/>
        </w:rPr>
        <w:t>⑵依据相关法律、法规、规章，要求使用国有资金和集体所有资金等投资建设工程的竣工结算需向政府指定机构提交审计或审核的，该审计或审核行为不视为第28.3</w:t>
      </w:r>
      <w:r>
        <w:rPr>
          <w:rFonts w:cs="Times New Roman"/>
          <w:sz w:val="21"/>
        </w:rPr>
        <w:t>⑴</w:t>
      </w:r>
      <w:r>
        <w:rPr>
          <w:rFonts w:hint="eastAsia" w:cs="Times New Roman"/>
          <w:sz w:val="21"/>
        </w:rPr>
        <w:t>款所述核对。</w:t>
      </w:r>
    </w:p>
    <w:p w14:paraId="2258AC5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承包人不提交竣工结算书</w:t>
      </w:r>
    </w:p>
    <w:p w14:paraId="71E61D8E">
      <w:pPr>
        <w:widowControl w:val="0"/>
        <w:tabs>
          <w:tab w:val="left" w:pos="1620"/>
          <w:tab w:val="left" w:pos="2340"/>
        </w:tabs>
        <w:spacing w:before="156" w:after="156"/>
        <w:ind w:left="899"/>
        <w:rPr>
          <w:rFonts w:cs="Times New Roman"/>
          <w:sz w:val="21"/>
        </w:rPr>
      </w:pPr>
      <w:r>
        <w:rPr>
          <w:rFonts w:hint="eastAsia" w:cs="Times New Roman"/>
          <w:sz w:val="21"/>
        </w:rPr>
        <w:t>在本合同约定期限内，承包人未提交竣工结算书及结算资料(包括经修改的竣工结算书或补充结算资料)，</w:t>
      </w:r>
      <w:r>
        <w:rPr>
          <w:rFonts w:cs="Times New Roman"/>
          <w:sz w:val="21"/>
        </w:rPr>
        <w:t>监理人</w:t>
      </w:r>
      <w:r>
        <w:rPr>
          <w:rFonts w:hint="eastAsia" w:cs="Times New Roman"/>
          <w:sz w:val="21"/>
        </w:rPr>
        <w:t>应通知其要求提交，通知后14天内仍不提交的</w:t>
      </w:r>
      <w:r>
        <w:rPr>
          <w:rFonts w:cs="Times New Roman"/>
          <w:sz w:val="21"/>
        </w:rPr>
        <w:t>或没有明确答复</w:t>
      </w:r>
      <w:r>
        <w:rPr>
          <w:rFonts w:hint="eastAsia" w:cs="Times New Roman"/>
          <w:sz w:val="21"/>
        </w:rPr>
        <w:t>的</w:t>
      </w:r>
      <w:r>
        <w:rPr>
          <w:rFonts w:cs="Times New Roman"/>
          <w:sz w:val="21"/>
        </w:rPr>
        <w:t>，</w:t>
      </w:r>
      <w:r>
        <w:rPr>
          <w:rFonts w:hint="eastAsia" w:cs="Times New Roman"/>
          <w:sz w:val="21"/>
        </w:rPr>
        <w:t>发包人可在</w:t>
      </w:r>
      <w:r>
        <w:rPr>
          <w:rFonts w:hint="eastAsia" w:cs="Times New Roman"/>
          <w:b/>
          <w:i/>
          <w:sz w:val="21"/>
        </w:rPr>
        <w:t>专用条款</w:t>
      </w:r>
      <w:r>
        <w:rPr>
          <w:rFonts w:hint="eastAsia" w:cs="Times New Roman"/>
          <w:sz w:val="21"/>
        </w:rPr>
        <w:t>中约定按以下方式进行处理：</w:t>
      </w:r>
    </w:p>
    <w:p w14:paraId="6D76EB75">
      <w:pPr>
        <w:widowControl w:val="0"/>
        <w:tabs>
          <w:tab w:val="left" w:pos="1620"/>
          <w:tab w:val="left" w:pos="2340"/>
        </w:tabs>
        <w:ind w:left="1079"/>
        <w:rPr>
          <w:rFonts w:cs="Times New Roman"/>
          <w:sz w:val="21"/>
        </w:rPr>
      </w:pPr>
      <w:r>
        <w:rPr>
          <w:rFonts w:hint="eastAsia" w:cs="Times New Roman"/>
          <w:sz w:val="21"/>
        </w:rPr>
        <w:t>⑴依据已有资料进行审查、核实，并确定工程竣工结算价款，书面提交承包人，并以此作为竣工结算价款支付依据。若承包人不予接受的，按第31条〔争议解决〕的约定处理。</w:t>
      </w:r>
    </w:p>
    <w:p w14:paraId="04BA6182">
      <w:pPr>
        <w:widowControl w:val="0"/>
        <w:tabs>
          <w:tab w:val="left" w:pos="1620"/>
          <w:tab w:val="left" w:pos="2340"/>
        </w:tabs>
        <w:ind w:left="1079"/>
        <w:rPr>
          <w:rFonts w:cs="Times New Roman"/>
          <w:sz w:val="21"/>
        </w:rPr>
      </w:pPr>
      <w:r>
        <w:rPr>
          <w:rFonts w:hint="eastAsia" w:cs="Times New Roman"/>
          <w:sz w:val="21"/>
        </w:rPr>
        <w:t>⑵按</w:t>
      </w:r>
      <w:r>
        <w:rPr>
          <w:rFonts w:hint="eastAsia" w:cs="Times New Roman"/>
          <w:b/>
          <w:i/>
          <w:sz w:val="21"/>
        </w:rPr>
        <w:t>专用条款</w:t>
      </w:r>
      <w:r>
        <w:rPr>
          <w:rFonts w:hint="eastAsia" w:cs="Times New Roman"/>
          <w:sz w:val="21"/>
        </w:rPr>
        <w:t>的约定对承包人进行处罚。</w:t>
      </w:r>
    </w:p>
    <w:p w14:paraId="0F149F4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发包人逾期不结算</w:t>
      </w:r>
    </w:p>
    <w:p w14:paraId="5D547868">
      <w:pPr>
        <w:widowControl w:val="0"/>
        <w:tabs>
          <w:tab w:val="left" w:pos="1620"/>
          <w:tab w:val="left" w:pos="2340"/>
        </w:tabs>
        <w:spacing w:before="156" w:after="156"/>
        <w:ind w:left="899"/>
        <w:rPr>
          <w:rFonts w:cs="Times New Roman"/>
          <w:sz w:val="21"/>
        </w:rPr>
      </w:pPr>
      <w:r>
        <w:rPr>
          <w:rFonts w:hint="eastAsia" w:cs="Times New Roman"/>
          <w:sz w:val="21"/>
        </w:rPr>
        <w:t>发包人收到竣工结算书及结算资料后，或在收到经修改的竣工结算书或补充结算资料后，在合同约定的时间内，既不认可承包人提交的竣工结算书(包括经修改的竣工结算书)，又不提出异议的，视同认可承包人提交的竣工结算书(包括经修改的竣工结算书)。承包人依此向发包人申请支付，发包人拒不支付的，按第31条〔争议解决〕的约定处理。</w:t>
      </w:r>
    </w:p>
    <w:p w14:paraId="58D3CB4E">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竣工结算审计或审核</w:t>
      </w:r>
    </w:p>
    <w:p w14:paraId="31B8C6B0">
      <w:pPr>
        <w:widowControl w:val="0"/>
        <w:tabs>
          <w:tab w:val="left" w:pos="1620"/>
          <w:tab w:val="left" w:pos="2340"/>
        </w:tabs>
        <w:spacing w:before="156" w:after="156"/>
        <w:ind w:left="899"/>
        <w:rPr>
          <w:rFonts w:cs="Times New Roman"/>
          <w:sz w:val="21"/>
        </w:rPr>
      </w:pPr>
      <w:r>
        <w:rPr>
          <w:rFonts w:hint="eastAsia" w:cs="Times New Roman"/>
          <w:sz w:val="21"/>
        </w:rPr>
        <w:t>⑴在发包人和承包人确认竣工结算价款后7天内，发包人应当将经发包人和承包人共同确认的竣工结算书按规定报政府指定机构审计或审核。在</w:t>
      </w:r>
      <w:r>
        <w:rPr>
          <w:rFonts w:hint="eastAsia" w:cs="Times New Roman"/>
          <w:b/>
          <w:i/>
          <w:sz w:val="21"/>
        </w:rPr>
        <w:t>专用条款</w:t>
      </w:r>
      <w:r>
        <w:rPr>
          <w:rFonts w:hint="eastAsia" w:cs="Times New Roman"/>
          <w:sz w:val="21"/>
        </w:rPr>
        <w:t>约定的特殊情况下，发包人可启动强制结算机制，将其单方编制的结算文件送审计或审核。</w:t>
      </w:r>
    </w:p>
    <w:p w14:paraId="02FC3C10">
      <w:pPr>
        <w:widowControl w:val="0"/>
        <w:tabs>
          <w:tab w:val="left" w:pos="1620"/>
          <w:tab w:val="left" w:pos="2340"/>
        </w:tabs>
        <w:spacing w:before="156" w:after="156"/>
        <w:ind w:left="899"/>
        <w:rPr>
          <w:rFonts w:cs="Times New Roman"/>
          <w:sz w:val="21"/>
        </w:rPr>
      </w:pPr>
      <w:r>
        <w:rPr>
          <w:rFonts w:hint="eastAsia" w:cs="Times New Roman"/>
          <w:sz w:val="21"/>
        </w:rPr>
        <w:t>⑵</w:t>
      </w:r>
      <w:r>
        <w:rPr>
          <w:rFonts w:cs="Times New Roman"/>
          <w:sz w:val="21"/>
        </w:rPr>
        <w:t>本合同的任何</w:t>
      </w:r>
      <w:r>
        <w:rPr>
          <w:rFonts w:hint="eastAsia" w:cs="Times New Roman"/>
          <w:sz w:val="21"/>
        </w:rPr>
        <w:t>工程</w:t>
      </w:r>
      <w:r>
        <w:rPr>
          <w:rFonts w:cs="Times New Roman"/>
          <w:sz w:val="21"/>
        </w:rPr>
        <w:t>变更、索赔、</w:t>
      </w:r>
      <w:r>
        <w:rPr>
          <w:rFonts w:hint="eastAsia" w:cs="Times New Roman"/>
          <w:sz w:val="21"/>
        </w:rPr>
        <w:t>签证</w:t>
      </w:r>
      <w:r>
        <w:rPr>
          <w:rFonts w:cs="Times New Roman"/>
          <w:sz w:val="21"/>
        </w:rPr>
        <w:t>和竣工结算以及补充协议</w:t>
      </w:r>
      <w:r>
        <w:rPr>
          <w:rFonts w:hint="eastAsia" w:cs="Times New Roman"/>
          <w:sz w:val="21"/>
        </w:rPr>
        <w:t>(</w:t>
      </w:r>
      <w:r>
        <w:rPr>
          <w:rFonts w:cs="Times New Roman"/>
          <w:sz w:val="21"/>
        </w:rPr>
        <w:t>如果有</w:t>
      </w:r>
      <w:r>
        <w:rPr>
          <w:rFonts w:hint="eastAsia" w:cs="Times New Roman"/>
          <w:sz w:val="21"/>
        </w:rPr>
        <w:t>)应按规定</w:t>
      </w:r>
      <w:r>
        <w:rPr>
          <w:rFonts w:cs="Times New Roman"/>
          <w:sz w:val="21"/>
        </w:rPr>
        <w:t>经过</w:t>
      </w:r>
      <w:r>
        <w:rPr>
          <w:rFonts w:hint="eastAsia" w:cs="Times New Roman"/>
          <w:sz w:val="21"/>
        </w:rPr>
        <w:t>政府指定机构</w:t>
      </w:r>
      <w:r>
        <w:rPr>
          <w:rFonts w:cs="Times New Roman"/>
          <w:sz w:val="21"/>
        </w:rPr>
        <w:t>审</w:t>
      </w:r>
      <w:r>
        <w:rPr>
          <w:rFonts w:hint="eastAsia" w:cs="Times New Roman"/>
          <w:sz w:val="21"/>
        </w:rPr>
        <w:t>计或审核</w:t>
      </w:r>
      <w:r>
        <w:rPr>
          <w:rFonts w:cs="Times New Roman"/>
          <w:sz w:val="21"/>
        </w:rPr>
        <w:t>。</w:t>
      </w:r>
      <w:r>
        <w:rPr>
          <w:rFonts w:hint="eastAsia" w:cs="Times New Roman"/>
          <w:sz w:val="21"/>
        </w:rPr>
        <w:t>最终的竣工结算和支付依据按</w:t>
      </w:r>
      <w:r>
        <w:rPr>
          <w:rFonts w:hint="eastAsia" w:cs="Times New Roman"/>
          <w:b/>
          <w:i/>
          <w:sz w:val="21"/>
        </w:rPr>
        <w:t>专用条款</w:t>
      </w:r>
      <w:r>
        <w:rPr>
          <w:rFonts w:hint="eastAsia" w:cs="Times New Roman"/>
          <w:sz w:val="21"/>
        </w:rPr>
        <w:t>约定执行。</w:t>
      </w:r>
    </w:p>
    <w:p w14:paraId="3AC53DDD">
      <w:pPr>
        <w:widowControl w:val="0"/>
        <w:tabs>
          <w:tab w:val="left" w:pos="1620"/>
          <w:tab w:val="left" w:pos="2340"/>
        </w:tabs>
        <w:spacing w:before="156" w:after="156"/>
        <w:ind w:left="899"/>
        <w:rPr>
          <w:rFonts w:cs="Times New Roman"/>
          <w:sz w:val="21"/>
        </w:rPr>
      </w:pPr>
      <w:r>
        <w:rPr>
          <w:rFonts w:hint="eastAsia" w:cs="Times New Roman"/>
          <w:sz w:val="21"/>
        </w:rPr>
        <w:t>⑶政府指定机构的</w:t>
      </w:r>
      <w:r>
        <w:rPr>
          <w:rFonts w:cs="Times New Roman"/>
          <w:sz w:val="21"/>
        </w:rPr>
        <w:t>审</w:t>
      </w:r>
      <w:r>
        <w:rPr>
          <w:rFonts w:hint="eastAsia" w:cs="Times New Roman"/>
          <w:sz w:val="21"/>
        </w:rPr>
        <w:t>计或审核</w:t>
      </w:r>
      <w:r>
        <w:rPr>
          <w:rFonts w:cs="Times New Roman"/>
          <w:sz w:val="21"/>
        </w:rPr>
        <w:t>包括合同履行期间的过程审计</w:t>
      </w:r>
      <w:r>
        <w:rPr>
          <w:rFonts w:hint="eastAsia" w:cs="Times New Roman"/>
          <w:sz w:val="21"/>
        </w:rPr>
        <w:t>或审核、工程完工后的</w:t>
      </w:r>
      <w:r>
        <w:rPr>
          <w:rFonts w:cs="Times New Roman"/>
          <w:sz w:val="21"/>
        </w:rPr>
        <w:t>竣工结算审计</w:t>
      </w:r>
      <w:r>
        <w:rPr>
          <w:rFonts w:hint="eastAsia" w:cs="Times New Roman"/>
          <w:sz w:val="21"/>
        </w:rPr>
        <w:t>或审核</w:t>
      </w:r>
      <w:r>
        <w:rPr>
          <w:rFonts w:cs="Times New Roman"/>
          <w:sz w:val="21"/>
        </w:rPr>
        <w:t>。</w:t>
      </w:r>
      <w:r>
        <w:rPr>
          <w:rFonts w:hint="eastAsia" w:cs="Times New Roman"/>
          <w:sz w:val="21"/>
        </w:rPr>
        <w:t>发包人和</w:t>
      </w:r>
      <w:r>
        <w:rPr>
          <w:rFonts w:cs="Times New Roman"/>
          <w:sz w:val="21"/>
        </w:rPr>
        <w:t>承包人</w:t>
      </w:r>
      <w:r>
        <w:rPr>
          <w:rFonts w:hint="eastAsia" w:cs="Times New Roman"/>
          <w:sz w:val="21"/>
        </w:rPr>
        <w:t>均</w:t>
      </w:r>
      <w:r>
        <w:rPr>
          <w:rFonts w:cs="Times New Roman"/>
          <w:sz w:val="21"/>
        </w:rPr>
        <w:t>不得拒绝</w:t>
      </w:r>
      <w:r>
        <w:rPr>
          <w:rFonts w:hint="eastAsia" w:cs="Times New Roman"/>
          <w:sz w:val="21"/>
        </w:rPr>
        <w:t>政府指定机构的任何监管</w:t>
      </w:r>
      <w:r>
        <w:rPr>
          <w:rFonts w:cs="Times New Roman"/>
          <w:sz w:val="21"/>
        </w:rPr>
        <w:t>，必须充分配合</w:t>
      </w:r>
      <w:r>
        <w:rPr>
          <w:rFonts w:hint="eastAsia" w:cs="Times New Roman"/>
          <w:sz w:val="21"/>
        </w:rPr>
        <w:t>审计或审核</w:t>
      </w:r>
      <w:r>
        <w:rPr>
          <w:rFonts w:cs="Times New Roman"/>
          <w:sz w:val="21"/>
        </w:rPr>
        <w:t>，不得拖延。</w:t>
      </w:r>
    </w:p>
    <w:p w14:paraId="280BFFE6">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竣工结算支付</w:t>
      </w:r>
    </w:p>
    <w:p w14:paraId="4F89F8B6">
      <w:pPr>
        <w:widowControl w:val="0"/>
        <w:tabs>
          <w:tab w:val="left" w:pos="1620"/>
          <w:tab w:val="left" w:pos="2340"/>
        </w:tabs>
        <w:spacing w:before="156" w:after="156"/>
        <w:ind w:left="899"/>
        <w:rPr>
          <w:rFonts w:cs="Times New Roman"/>
          <w:sz w:val="21"/>
        </w:rPr>
      </w:pPr>
      <w:r>
        <w:rPr>
          <w:rFonts w:hint="eastAsia" w:cs="Times New Roman"/>
          <w:sz w:val="21"/>
        </w:rPr>
        <w:t>⑴在按28.6款竣工结算</w:t>
      </w:r>
      <w:r>
        <w:rPr>
          <w:rFonts w:cs="Times New Roman"/>
          <w:sz w:val="21"/>
        </w:rPr>
        <w:t>审计</w:t>
      </w:r>
      <w:r>
        <w:rPr>
          <w:rFonts w:hint="eastAsia" w:cs="Times New Roman"/>
          <w:sz w:val="21"/>
        </w:rPr>
        <w:t>或审核完毕后7天内，</w:t>
      </w:r>
      <w:r>
        <w:rPr>
          <w:rFonts w:cs="Times New Roman"/>
          <w:sz w:val="21"/>
        </w:rPr>
        <w:t>监理人</w:t>
      </w:r>
      <w:r>
        <w:rPr>
          <w:rFonts w:hint="eastAsia" w:cs="Times New Roman"/>
          <w:sz w:val="21"/>
        </w:rPr>
        <w:t>应签发竣工支付证书，报发包人批准后送交承包人。竣工支付证书中应载明按照经确认的工程竣工结算价款及根据合同约定最后应支付给承包人的价款。</w:t>
      </w:r>
    </w:p>
    <w:p w14:paraId="1F9737F2">
      <w:pPr>
        <w:widowControl w:val="0"/>
        <w:tabs>
          <w:tab w:val="left" w:pos="1620"/>
          <w:tab w:val="left" w:pos="2340"/>
        </w:tabs>
        <w:spacing w:before="156" w:after="156"/>
        <w:ind w:left="899"/>
        <w:rPr>
          <w:rFonts w:cs="Times New Roman"/>
          <w:sz w:val="21"/>
        </w:rPr>
      </w:pPr>
      <w:r>
        <w:rPr>
          <w:rFonts w:hint="eastAsia" w:cs="Times New Roman"/>
          <w:sz w:val="21"/>
        </w:rPr>
        <w:t>⑵发包人应在确认竣工支付证书后14天内向承包人支付除按本合同附件《工程质量保修书》约定扣留的质量保证金以外的本工程竣工结算价款。</w:t>
      </w:r>
    </w:p>
    <w:p w14:paraId="6FB6339D">
      <w:pPr>
        <w:widowControl w:val="0"/>
        <w:tabs>
          <w:tab w:val="left" w:pos="1620"/>
          <w:tab w:val="left" w:pos="2340"/>
        </w:tabs>
        <w:spacing w:before="156" w:after="156"/>
        <w:ind w:left="899"/>
        <w:rPr>
          <w:rFonts w:cs="Times New Roman"/>
          <w:sz w:val="21"/>
        </w:rPr>
      </w:pPr>
      <w:r>
        <w:rPr>
          <w:rFonts w:hint="eastAsia" w:cs="Times New Roman"/>
          <w:sz w:val="21"/>
        </w:rPr>
        <w:t>⑶发包人在确认竣工结算价款后14天内无正当理由不支付工程竣工结算价款，从第15天起按同期银行贷款利率支付拖欠工程价款的贷款利息，并承担第29.1⑵项约定的违约责任。承包人可以催告发包人支付结算价款，如双方达成延期支付协议，发包人应按同期银行贷款利率支付拖欠工程价款的利息。如双方未达成延期支付协议，发包人在收到催告后14天内仍不支付的，承包人可以对留置的标的物进行处理；或者向保证人提出支付担保索赔；或者与发包人协议将该工程折价或拍卖，承包人就该工程折价或拍卖的价款优先受偿。</w:t>
      </w:r>
    </w:p>
    <w:p w14:paraId="7A857C63">
      <w:pPr>
        <w:widowControl w:val="0"/>
        <w:tabs>
          <w:tab w:val="left" w:pos="1620"/>
          <w:tab w:val="left" w:pos="2340"/>
        </w:tabs>
        <w:spacing w:before="156" w:after="156"/>
        <w:ind w:left="899"/>
        <w:rPr>
          <w:rFonts w:cs="Times New Roman"/>
          <w:sz w:val="21"/>
        </w:rPr>
      </w:pPr>
      <w:r>
        <w:rPr>
          <w:rFonts w:hint="eastAsia" w:cs="Times New Roman"/>
          <w:sz w:val="21"/>
        </w:rPr>
        <w:t>⑷有关本工程竣工结算的文件的编制和审核均须经注册造价工程师签字盖章确认。</w:t>
      </w:r>
    </w:p>
    <w:p w14:paraId="7252A96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最终结清申请</w:t>
      </w:r>
    </w:p>
    <w:p w14:paraId="6AD22B5E">
      <w:pPr>
        <w:widowControl w:val="0"/>
        <w:tabs>
          <w:tab w:val="left" w:pos="1620"/>
          <w:tab w:val="left" w:pos="2340"/>
        </w:tabs>
        <w:spacing w:before="156" w:after="156"/>
        <w:ind w:left="899"/>
        <w:rPr>
          <w:rFonts w:cs="Times New Roman"/>
          <w:sz w:val="21"/>
        </w:rPr>
      </w:pPr>
      <w:r>
        <w:rPr>
          <w:rFonts w:hint="eastAsia" w:cs="Times New Roman"/>
          <w:sz w:val="21"/>
        </w:rPr>
        <w:t>⑴</w:t>
      </w:r>
      <w:r>
        <w:rPr>
          <w:rFonts w:cs="Times New Roman"/>
          <w:sz w:val="21"/>
        </w:rPr>
        <w:t>除</w:t>
      </w:r>
      <w:r>
        <w:rPr>
          <w:rFonts w:cs="Times New Roman"/>
          <w:b/>
          <w:i/>
          <w:sz w:val="21"/>
        </w:rPr>
        <w:t>专用条款</w:t>
      </w:r>
      <w:r>
        <w:rPr>
          <w:rFonts w:cs="Times New Roman"/>
          <w:sz w:val="21"/>
        </w:rPr>
        <w:t>另有约定外，承包人应在缺陷责任期终止证书颁发后7天内，按</w:t>
      </w:r>
      <w:r>
        <w:rPr>
          <w:rFonts w:cs="Times New Roman"/>
          <w:b/>
          <w:i/>
          <w:sz w:val="21"/>
        </w:rPr>
        <w:t>专用条款</w:t>
      </w:r>
      <w:r>
        <w:rPr>
          <w:rFonts w:cs="Times New Roman"/>
          <w:sz w:val="21"/>
        </w:rPr>
        <w:t>约定的份数向发包人提交最终结清申请单，并提供相关证明材料。</w:t>
      </w:r>
    </w:p>
    <w:p w14:paraId="54577409">
      <w:pPr>
        <w:widowControl w:val="0"/>
        <w:tabs>
          <w:tab w:val="left" w:pos="1620"/>
          <w:tab w:val="left" w:pos="2340"/>
        </w:tabs>
        <w:spacing w:before="156" w:after="156"/>
        <w:ind w:left="899"/>
        <w:rPr>
          <w:rFonts w:cs="Times New Roman"/>
          <w:sz w:val="21"/>
        </w:rPr>
      </w:pPr>
      <w:r>
        <w:rPr>
          <w:rFonts w:cs="Times New Roman"/>
          <w:sz w:val="21"/>
        </w:rPr>
        <w:t>除</w:t>
      </w:r>
      <w:r>
        <w:rPr>
          <w:rFonts w:cs="Times New Roman"/>
          <w:b/>
          <w:i/>
          <w:sz w:val="21"/>
        </w:rPr>
        <w:t>专用条款</w:t>
      </w:r>
      <w:r>
        <w:rPr>
          <w:rFonts w:cs="Times New Roman"/>
          <w:sz w:val="21"/>
        </w:rPr>
        <w:t>另有约定外，最终结清申请单应列明质量保证金、应扣除的质量保证金、缺陷责任期内发生的增减费用。</w:t>
      </w:r>
    </w:p>
    <w:p w14:paraId="117A89FF">
      <w:pPr>
        <w:widowControl w:val="0"/>
        <w:tabs>
          <w:tab w:val="left" w:pos="1620"/>
          <w:tab w:val="left" w:pos="2340"/>
        </w:tabs>
        <w:spacing w:before="156" w:after="156"/>
        <w:ind w:left="899"/>
        <w:rPr>
          <w:rFonts w:cs="Times New Roman"/>
          <w:sz w:val="21"/>
        </w:rPr>
      </w:pPr>
      <w:r>
        <w:rPr>
          <w:rFonts w:hint="eastAsia" w:cs="Times New Roman"/>
          <w:sz w:val="21"/>
        </w:rPr>
        <w:t>⑵</w:t>
      </w:r>
      <w:r>
        <w:rPr>
          <w:rFonts w:cs="Times New Roman"/>
          <w:sz w:val="21"/>
        </w:rPr>
        <w:t>发包人对最终结清申请单内容有异议的，有权要求承包人进行修正和提供补充资料，承包人应向发包人提交修正后的最终结清申请单。</w:t>
      </w:r>
    </w:p>
    <w:p w14:paraId="32FCF119">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最终结清证书和支付</w:t>
      </w:r>
    </w:p>
    <w:p w14:paraId="1440913D">
      <w:pPr>
        <w:widowControl w:val="0"/>
        <w:tabs>
          <w:tab w:val="left" w:pos="1620"/>
          <w:tab w:val="left" w:pos="2340"/>
        </w:tabs>
        <w:spacing w:before="156" w:after="156"/>
        <w:ind w:left="899"/>
        <w:rPr>
          <w:rFonts w:cs="Times New Roman"/>
          <w:sz w:val="21"/>
        </w:rPr>
      </w:pPr>
      <w:r>
        <w:rPr>
          <w:rFonts w:hint="eastAsia" w:cs="Times New Roman"/>
          <w:sz w:val="21"/>
        </w:rPr>
        <w:t>⑴</w:t>
      </w:r>
      <w:r>
        <w:rPr>
          <w:rFonts w:cs="Times New Roman"/>
          <w:sz w:val="21"/>
        </w:rPr>
        <w:t>除</w:t>
      </w:r>
      <w:r>
        <w:rPr>
          <w:rFonts w:cs="Times New Roman"/>
          <w:b/>
          <w:i/>
          <w:sz w:val="21"/>
        </w:rPr>
        <w:t>专用条款</w:t>
      </w:r>
      <w:r>
        <w:rPr>
          <w:rFonts w:cs="Times New Roman"/>
          <w:sz w:val="21"/>
        </w:rPr>
        <w:t>另有约定外，发包人应在收到承包人提交的最终结清申请单后14天内完成审批并向承包人颁发最终结清证书。发包人逾期未完成</w:t>
      </w:r>
      <w:r>
        <w:rPr>
          <w:rFonts w:hint="eastAsia" w:cs="Times New Roman"/>
          <w:sz w:val="21"/>
        </w:rPr>
        <w:t>审批</w:t>
      </w:r>
      <w:r>
        <w:rPr>
          <w:rFonts w:cs="Times New Roman"/>
          <w:sz w:val="21"/>
        </w:rPr>
        <w:t>，又未提出修改意见的，视为发包人同意承包人提交的最终结清申请单，且自发包人收到承包人提交的最终结清申请单后15天起视为已颁发最终结清证书。</w:t>
      </w:r>
    </w:p>
    <w:p w14:paraId="7F182E89">
      <w:pPr>
        <w:widowControl w:val="0"/>
        <w:tabs>
          <w:tab w:val="left" w:pos="1620"/>
          <w:tab w:val="left" w:pos="2340"/>
        </w:tabs>
        <w:spacing w:before="156" w:after="156"/>
        <w:ind w:left="899"/>
        <w:rPr>
          <w:rFonts w:cs="Times New Roman"/>
          <w:sz w:val="21"/>
        </w:rPr>
      </w:pPr>
      <w:r>
        <w:rPr>
          <w:rFonts w:hint="eastAsia" w:cs="Times New Roman"/>
          <w:sz w:val="21"/>
        </w:rPr>
        <w:t>⑵</w:t>
      </w:r>
      <w:r>
        <w:rPr>
          <w:rFonts w:cs="Times New Roman"/>
          <w:sz w:val="21"/>
        </w:rPr>
        <w:t>除</w:t>
      </w:r>
      <w:r>
        <w:rPr>
          <w:rFonts w:cs="Times New Roman"/>
          <w:b/>
          <w:i/>
          <w:sz w:val="21"/>
        </w:rPr>
        <w:t>专用条款</w:t>
      </w:r>
      <w:r>
        <w:rPr>
          <w:rFonts w:cs="Times New Roman"/>
          <w:sz w:val="21"/>
        </w:rPr>
        <w:t>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75A8D12">
      <w:pPr>
        <w:widowControl w:val="0"/>
        <w:tabs>
          <w:tab w:val="left" w:pos="1620"/>
          <w:tab w:val="left" w:pos="2340"/>
        </w:tabs>
        <w:spacing w:before="156" w:after="156"/>
        <w:ind w:left="899"/>
        <w:rPr>
          <w:rFonts w:cs="Times New Roman"/>
          <w:sz w:val="21"/>
        </w:rPr>
      </w:pPr>
      <w:r>
        <w:rPr>
          <w:rFonts w:hint="eastAsia" w:cs="Times New Roman"/>
          <w:sz w:val="21"/>
        </w:rPr>
        <w:t>⑶</w:t>
      </w:r>
      <w:r>
        <w:rPr>
          <w:rFonts w:cs="Times New Roman"/>
          <w:sz w:val="21"/>
        </w:rPr>
        <w:t>承包人对发包人颁发的最终结清证书有异议的，按第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的约定办理。</w:t>
      </w:r>
    </w:p>
    <w:p w14:paraId="725AEEEF">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违约</w:t>
      </w:r>
    </w:p>
    <w:p w14:paraId="0F03B326">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发包人违约</w:t>
      </w:r>
    </w:p>
    <w:p w14:paraId="59F4407F">
      <w:pPr>
        <w:widowControl w:val="0"/>
        <w:tabs>
          <w:tab w:val="left" w:pos="1620"/>
          <w:tab w:val="left" w:pos="2340"/>
        </w:tabs>
        <w:ind w:left="899"/>
        <w:rPr>
          <w:rFonts w:cs="Times New Roman"/>
          <w:sz w:val="21"/>
        </w:rPr>
      </w:pPr>
      <w:r>
        <w:rPr>
          <w:rFonts w:hint="eastAsia" w:cs="Times New Roman"/>
          <w:sz w:val="21"/>
        </w:rPr>
        <w:t>发包人不履行合同义务或不按合同约定履行义务，应承担违约责任，赔偿因其违约给承包人造成的损失，顺延延误的工期。当发生下列情况时，发包人应根据</w:t>
      </w:r>
      <w:r>
        <w:rPr>
          <w:rFonts w:hint="eastAsia" w:cs="Times New Roman"/>
          <w:b/>
          <w:i/>
          <w:sz w:val="21"/>
        </w:rPr>
        <w:t>专用条款</w:t>
      </w:r>
      <w:r>
        <w:rPr>
          <w:rFonts w:hint="eastAsia" w:cs="Times New Roman"/>
          <w:sz w:val="21"/>
        </w:rPr>
        <w:t>的约定承担违约责任。</w:t>
      </w:r>
    </w:p>
    <w:p w14:paraId="6D564006">
      <w:pPr>
        <w:widowControl w:val="0"/>
        <w:tabs>
          <w:tab w:val="left" w:pos="1620"/>
          <w:tab w:val="left" w:pos="2340"/>
        </w:tabs>
        <w:ind w:left="1079"/>
        <w:rPr>
          <w:rFonts w:cs="Times New Roman"/>
          <w:sz w:val="21"/>
        </w:rPr>
      </w:pPr>
      <w:r>
        <w:rPr>
          <w:rFonts w:hint="eastAsia" w:cs="Times New Roman"/>
          <w:sz w:val="21"/>
        </w:rPr>
        <w:t>⑴</w:t>
      </w:r>
      <w:r>
        <w:rPr>
          <w:rFonts w:cs="Times New Roman"/>
          <w:sz w:val="21"/>
        </w:rPr>
        <w:t>因发包人原因未能在计划开工日期前7天内下达开工通知的；</w:t>
      </w:r>
    </w:p>
    <w:p w14:paraId="139272B5">
      <w:pPr>
        <w:widowControl w:val="0"/>
        <w:tabs>
          <w:tab w:val="left" w:pos="1620"/>
          <w:tab w:val="left" w:pos="2340"/>
        </w:tabs>
        <w:ind w:left="1079"/>
        <w:rPr>
          <w:rFonts w:cs="Times New Roman"/>
          <w:sz w:val="21"/>
        </w:rPr>
      </w:pPr>
      <w:r>
        <w:rPr>
          <w:rFonts w:hint="eastAsia" w:cs="Times New Roman"/>
          <w:sz w:val="21"/>
        </w:rPr>
        <w:t>⑵发包人不按时支付工程预付款、工程进度款、工程过程结算款、工程竣工结算款；</w:t>
      </w:r>
    </w:p>
    <w:p w14:paraId="54EB451F">
      <w:pPr>
        <w:widowControl w:val="0"/>
        <w:tabs>
          <w:tab w:val="left" w:pos="1620"/>
          <w:tab w:val="left" w:pos="2340"/>
        </w:tabs>
        <w:ind w:left="1079"/>
        <w:rPr>
          <w:rFonts w:cs="Times New Roman"/>
          <w:sz w:val="21"/>
        </w:rPr>
      </w:pPr>
      <w:r>
        <w:rPr>
          <w:rFonts w:hint="eastAsia" w:cs="Times New Roman"/>
          <w:sz w:val="21"/>
        </w:rPr>
        <w:t>⑶</w:t>
      </w:r>
      <w:r>
        <w:rPr>
          <w:rFonts w:cs="Times New Roman"/>
          <w:sz w:val="21"/>
        </w:rPr>
        <w:t>发包人提供的材料、工程设备的规格、数量或质量不符合合同约定，或因发包人原因导致交货日期延误或交货地点变更等情况的；</w:t>
      </w:r>
    </w:p>
    <w:p w14:paraId="26C53A76">
      <w:pPr>
        <w:widowControl w:val="0"/>
        <w:tabs>
          <w:tab w:val="left" w:pos="1620"/>
          <w:tab w:val="left" w:pos="2340"/>
        </w:tabs>
        <w:ind w:left="1079"/>
        <w:rPr>
          <w:rFonts w:cs="Times New Roman"/>
          <w:sz w:val="21"/>
        </w:rPr>
      </w:pPr>
      <w:r>
        <w:rPr>
          <w:rFonts w:hint="eastAsia" w:cs="Times New Roman"/>
          <w:sz w:val="21"/>
        </w:rPr>
        <w:t>⑷</w:t>
      </w:r>
      <w:r>
        <w:rPr>
          <w:rFonts w:cs="Times New Roman"/>
          <w:sz w:val="21"/>
        </w:rPr>
        <w:t>因发包人违反合同约定造成暂停施工的；</w:t>
      </w:r>
    </w:p>
    <w:p w14:paraId="1EB26471">
      <w:pPr>
        <w:widowControl w:val="0"/>
        <w:tabs>
          <w:tab w:val="left" w:pos="1620"/>
          <w:tab w:val="left" w:pos="2340"/>
        </w:tabs>
        <w:ind w:left="1079"/>
        <w:rPr>
          <w:rFonts w:cs="Times New Roman"/>
          <w:sz w:val="21"/>
        </w:rPr>
      </w:pPr>
      <w:r>
        <w:rPr>
          <w:rFonts w:hint="eastAsia" w:cs="Times New Roman"/>
          <w:sz w:val="21"/>
        </w:rPr>
        <w:t>⑸</w:t>
      </w:r>
      <w:r>
        <w:rPr>
          <w:rFonts w:cs="Times New Roman"/>
          <w:sz w:val="21"/>
        </w:rPr>
        <w:t>发包人无正当理由没有在约定期限内发出复工指示，导致承包人无法复工的；</w:t>
      </w:r>
    </w:p>
    <w:p w14:paraId="446F6C09">
      <w:pPr>
        <w:widowControl w:val="0"/>
        <w:tabs>
          <w:tab w:val="left" w:pos="1620"/>
          <w:tab w:val="left" w:pos="2340"/>
        </w:tabs>
        <w:ind w:left="1079"/>
        <w:rPr>
          <w:rFonts w:cs="Times New Roman"/>
          <w:sz w:val="21"/>
        </w:rPr>
      </w:pPr>
      <w:r>
        <w:rPr>
          <w:rFonts w:hint="eastAsia" w:cs="Times New Roman"/>
          <w:sz w:val="21"/>
        </w:rPr>
        <w:t>⑹</w:t>
      </w:r>
      <w:r>
        <w:rPr>
          <w:rFonts w:cs="Times New Roman"/>
          <w:sz w:val="21"/>
        </w:rPr>
        <w:t>发包人明确表示或者以其行为表明不履行合同主要义务的；</w:t>
      </w:r>
    </w:p>
    <w:p w14:paraId="7DC1D257">
      <w:pPr>
        <w:widowControl w:val="0"/>
        <w:tabs>
          <w:tab w:val="left" w:pos="1620"/>
          <w:tab w:val="left" w:pos="2340"/>
        </w:tabs>
        <w:ind w:left="1079"/>
        <w:rPr>
          <w:rFonts w:cs="Times New Roman"/>
          <w:sz w:val="21"/>
        </w:rPr>
      </w:pPr>
      <w:r>
        <w:rPr>
          <w:rFonts w:hint="eastAsia" w:cs="Times New Roman"/>
          <w:sz w:val="21"/>
        </w:rPr>
        <w:t>⑺</w:t>
      </w:r>
      <w:r>
        <w:rPr>
          <w:rFonts w:cs="Times New Roman"/>
          <w:sz w:val="21"/>
        </w:rPr>
        <w:t>发包人未能按照合同约定履行其他义务的。</w:t>
      </w:r>
    </w:p>
    <w:p w14:paraId="2FC72BC5">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承包人违约</w:t>
      </w:r>
    </w:p>
    <w:p w14:paraId="719402E5">
      <w:pPr>
        <w:widowControl w:val="0"/>
        <w:tabs>
          <w:tab w:val="left" w:pos="1620"/>
          <w:tab w:val="left" w:pos="2340"/>
        </w:tabs>
        <w:ind w:left="899"/>
        <w:rPr>
          <w:rFonts w:cs="Times New Roman"/>
          <w:sz w:val="21"/>
        </w:rPr>
      </w:pPr>
      <w:r>
        <w:rPr>
          <w:rFonts w:hint="eastAsia" w:cs="Times New Roman"/>
          <w:sz w:val="21"/>
        </w:rPr>
        <w:t>承包人不履行合同义务或不按合同约定履行义务，应承担违约责任，赔偿因其违约给发包人造成的损失。当发生下列情况时，承包人应根据</w:t>
      </w:r>
      <w:r>
        <w:rPr>
          <w:rFonts w:hint="eastAsia" w:cs="Times New Roman"/>
          <w:b/>
          <w:i/>
          <w:sz w:val="21"/>
        </w:rPr>
        <w:t>专用条款</w:t>
      </w:r>
      <w:r>
        <w:rPr>
          <w:rFonts w:hint="eastAsia" w:cs="Times New Roman"/>
          <w:sz w:val="21"/>
        </w:rPr>
        <w:t>的约定承担违约责任。</w:t>
      </w:r>
    </w:p>
    <w:p w14:paraId="5DC960AD">
      <w:pPr>
        <w:widowControl w:val="0"/>
        <w:tabs>
          <w:tab w:val="left" w:pos="1620"/>
          <w:tab w:val="left" w:pos="2340"/>
        </w:tabs>
        <w:ind w:left="1079"/>
        <w:rPr>
          <w:rFonts w:cs="Times New Roman"/>
          <w:bCs/>
          <w:kern w:val="2"/>
          <w:sz w:val="21"/>
        </w:rPr>
      </w:pPr>
      <w:r>
        <w:rPr>
          <w:rFonts w:hint="eastAsia" w:cs="Times New Roman"/>
          <w:sz w:val="21"/>
        </w:rPr>
        <w:t>⑴</w:t>
      </w:r>
      <w:r>
        <w:rPr>
          <w:rFonts w:cs="Times New Roman"/>
          <w:bCs/>
          <w:kern w:val="2"/>
          <w:sz w:val="21"/>
        </w:rPr>
        <w:t>承包人违反合同约定进行转包或违法分包的；</w:t>
      </w:r>
    </w:p>
    <w:p w14:paraId="2F232803">
      <w:pPr>
        <w:widowControl w:val="0"/>
        <w:tabs>
          <w:tab w:val="left" w:pos="1620"/>
          <w:tab w:val="left" w:pos="2340"/>
        </w:tabs>
        <w:ind w:left="1079"/>
        <w:rPr>
          <w:rFonts w:cs="Times New Roman"/>
          <w:bCs/>
          <w:kern w:val="2"/>
          <w:sz w:val="21"/>
        </w:rPr>
      </w:pPr>
      <w:r>
        <w:rPr>
          <w:rFonts w:hint="eastAsia" w:cs="Times New Roman"/>
          <w:sz w:val="21"/>
        </w:rPr>
        <w:t>⑵</w:t>
      </w:r>
      <w:r>
        <w:rPr>
          <w:rFonts w:cs="Times New Roman"/>
          <w:bCs/>
          <w:kern w:val="2"/>
          <w:sz w:val="21"/>
        </w:rPr>
        <w:t>承包人违反合同约定采购和使用不合格的材料和工程设备的；</w:t>
      </w:r>
    </w:p>
    <w:p w14:paraId="03B9D126">
      <w:pPr>
        <w:widowControl w:val="0"/>
        <w:tabs>
          <w:tab w:val="left" w:pos="1620"/>
          <w:tab w:val="left" w:pos="2340"/>
        </w:tabs>
        <w:ind w:left="1079"/>
        <w:rPr>
          <w:rFonts w:cs="Times New Roman"/>
          <w:bCs/>
          <w:kern w:val="2"/>
          <w:sz w:val="21"/>
        </w:rPr>
      </w:pPr>
      <w:r>
        <w:rPr>
          <w:rFonts w:hint="eastAsia" w:cs="Times New Roman"/>
          <w:sz w:val="21"/>
        </w:rPr>
        <w:t>⑶</w:t>
      </w:r>
      <w:r>
        <w:rPr>
          <w:rFonts w:cs="Times New Roman"/>
          <w:bCs/>
          <w:kern w:val="2"/>
          <w:sz w:val="21"/>
        </w:rPr>
        <w:t xml:space="preserve">因承包人原因导致工程质量不符合合同要求的； </w:t>
      </w:r>
    </w:p>
    <w:p w14:paraId="70FA94A8">
      <w:pPr>
        <w:widowControl w:val="0"/>
        <w:tabs>
          <w:tab w:val="left" w:pos="1620"/>
          <w:tab w:val="left" w:pos="2340"/>
        </w:tabs>
        <w:ind w:left="1079"/>
        <w:rPr>
          <w:rFonts w:cs="Times New Roman"/>
          <w:bCs/>
          <w:kern w:val="2"/>
          <w:sz w:val="21"/>
        </w:rPr>
      </w:pPr>
      <w:r>
        <w:rPr>
          <w:rFonts w:hint="eastAsia" w:cs="Times New Roman"/>
          <w:sz w:val="21"/>
        </w:rPr>
        <w:t>⑷</w:t>
      </w:r>
      <w:r>
        <w:rPr>
          <w:rFonts w:cs="Times New Roman"/>
          <w:bCs/>
          <w:kern w:val="2"/>
          <w:sz w:val="21"/>
        </w:rPr>
        <w:t>承包人未经批准，私自将已按照合同约定进入施工现场的材料或设备撤离施工现场的；</w:t>
      </w:r>
    </w:p>
    <w:p w14:paraId="552FB3E4">
      <w:pPr>
        <w:widowControl w:val="0"/>
        <w:tabs>
          <w:tab w:val="left" w:pos="1620"/>
          <w:tab w:val="left" w:pos="2340"/>
        </w:tabs>
        <w:ind w:left="1079"/>
        <w:rPr>
          <w:rFonts w:cs="Times New Roman"/>
          <w:bCs/>
          <w:kern w:val="2"/>
          <w:sz w:val="21"/>
        </w:rPr>
      </w:pPr>
      <w:r>
        <w:rPr>
          <w:rFonts w:hint="eastAsia" w:cs="Times New Roman"/>
          <w:sz w:val="21"/>
        </w:rPr>
        <w:t>⑸</w:t>
      </w:r>
      <w:r>
        <w:rPr>
          <w:rFonts w:cs="Times New Roman"/>
          <w:bCs/>
          <w:kern w:val="2"/>
          <w:sz w:val="21"/>
        </w:rPr>
        <w:t>承包人未能按施工进度计划及时完成合同约定的工作，造成工期延误的；</w:t>
      </w:r>
    </w:p>
    <w:p w14:paraId="24654E54">
      <w:pPr>
        <w:widowControl w:val="0"/>
        <w:tabs>
          <w:tab w:val="left" w:pos="1620"/>
          <w:tab w:val="left" w:pos="2340"/>
        </w:tabs>
        <w:ind w:left="1079"/>
        <w:rPr>
          <w:rFonts w:cs="Times New Roman"/>
          <w:bCs/>
          <w:kern w:val="2"/>
          <w:sz w:val="21"/>
        </w:rPr>
      </w:pPr>
      <w:r>
        <w:rPr>
          <w:rFonts w:hint="eastAsia" w:cs="Times New Roman"/>
          <w:sz w:val="21"/>
        </w:rPr>
        <w:t>⑹</w:t>
      </w:r>
      <w:r>
        <w:rPr>
          <w:rFonts w:cs="Times New Roman"/>
          <w:bCs/>
          <w:kern w:val="2"/>
          <w:sz w:val="21"/>
        </w:rPr>
        <w:t>承包人在缺陷责任期及保修期内，未能在合理期限对工程缺陷进行修复，或拒绝按发包人要求进行修复的；</w:t>
      </w:r>
    </w:p>
    <w:p w14:paraId="5E7D0088">
      <w:pPr>
        <w:widowControl w:val="0"/>
        <w:tabs>
          <w:tab w:val="left" w:pos="1620"/>
          <w:tab w:val="left" w:pos="2340"/>
        </w:tabs>
        <w:ind w:left="1079"/>
        <w:rPr>
          <w:rFonts w:cs="Times New Roman"/>
          <w:bCs/>
          <w:kern w:val="2"/>
          <w:sz w:val="21"/>
        </w:rPr>
      </w:pPr>
      <w:r>
        <w:rPr>
          <w:rFonts w:hint="eastAsia" w:cs="Times New Roman"/>
          <w:sz w:val="21"/>
        </w:rPr>
        <w:t>⑺</w:t>
      </w:r>
      <w:r>
        <w:rPr>
          <w:rFonts w:hint="eastAsia" w:cs="Times New Roman"/>
          <w:bCs/>
          <w:kern w:val="2"/>
          <w:sz w:val="21"/>
        </w:rPr>
        <w:t>因承包人原因导致BIM实施应用不符合合同要求的；</w:t>
      </w:r>
    </w:p>
    <w:p w14:paraId="0BF35E33">
      <w:pPr>
        <w:widowControl w:val="0"/>
        <w:tabs>
          <w:tab w:val="left" w:pos="1620"/>
          <w:tab w:val="left" w:pos="2340"/>
        </w:tabs>
        <w:ind w:left="1079"/>
        <w:rPr>
          <w:rFonts w:cs="Times New Roman"/>
          <w:bCs/>
          <w:kern w:val="2"/>
          <w:sz w:val="21"/>
        </w:rPr>
      </w:pPr>
      <w:r>
        <w:rPr>
          <w:rFonts w:hint="eastAsia" w:cs="Times New Roman"/>
          <w:sz w:val="21"/>
        </w:rPr>
        <w:t>⑻</w:t>
      </w:r>
      <w:r>
        <w:rPr>
          <w:rFonts w:cs="Times New Roman"/>
          <w:bCs/>
          <w:kern w:val="2"/>
          <w:sz w:val="21"/>
        </w:rPr>
        <w:t>承包人明确表示或者以其行为表明不履行合同主要义务的；</w:t>
      </w:r>
    </w:p>
    <w:p w14:paraId="7E50AD50">
      <w:pPr>
        <w:widowControl w:val="0"/>
        <w:tabs>
          <w:tab w:val="left" w:pos="1620"/>
          <w:tab w:val="left" w:pos="2340"/>
        </w:tabs>
        <w:ind w:left="1079"/>
        <w:rPr>
          <w:rFonts w:cs="Times New Roman"/>
          <w:bCs/>
          <w:kern w:val="2"/>
          <w:sz w:val="21"/>
        </w:rPr>
      </w:pPr>
      <w:r>
        <w:rPr>
          <w:rFonts w:hint="eastAsia" w:cs="Times New Roman"/>
          <w:sz w:val="21"/>
        </w:rPr>
        <w:t>⑼承</w:t>
      </w:r>
      <w:r>
        <w:rPr>
          <w:rFonts w:cs="Times New Roman"/>
          <w:bCs/>
          <w:kern w:val="2"/>
          <w:sz w:val="21"/>
        </w:rPr>
        <w:t>包人未能按照合同约定履行其他义务的。</w:t>
      </w:r>
    </w:p>
    <w:p w14:paraId="30AA3485">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第三人造成的违约</w:t>
      </w:r>
    </w:p>
    <w:p w14:paraId="10898A21">
      <w:pPr>
        <w:widowControl w:val="0"/>
        <w:tabs>
          <w:tab w:val="left" w:pos="1620"/>
          <w:tab w:val="left" w:pos="2340"/>
        </w:tabs>
        <w:ind w:left="899"/>
        <w:rPr>
          <w:rFonts w:cs="Times New Roman"/>
          <w:sz w:val="21"/>
        </w:rPr>
      </w:pPr>
      <w:r>
        <w:rPr>
          <w:rFonts w:cs="Times New Roman"/>
          <w:sz w:val="21"/>
        </w:rPr>
        <w:t>在履行合同过程中，</w:t>
      </w:r>
      <w:r>
        <w:rPr>
          <w:rFonts w:hint="eastAsia" w:cs="Times New Roman"/>
          <w:sz w:val="21"/>
        </w:rPr>
        <w:t>发包人或承包人</w:t>
      </w:r>
      <w:r>
        <w:rPr>
          <w:rFonts w:cs="Times New Roman"/>
          <w:sz w:val="21"/>
        </w:rPr>
        <w:t>一方因第三人的原因造成违约的，应当向对方承担违约责任。</w:t>
      </w:r>
      <w:r>
        <w:rPr>
          <w:rFonts w:hint="eastAsia" w:cs="Times New Roman"/>
          <w:sz w:val="21"/>
        </w:rPr>
        <w:t>发包人或承包人</w:t>
      </w:r>
      <w:r>
        <w:rPr>
          <w:rFonts w:cs="Times New Roman"/>
          <w:sz w:val="21"/>
        </w:rPr>
        <w:t>一方和第三人之间的纠纷，依照</w:t>
      </w:r>
      <w:r>
        <w:rPr>
          <w:rFonts w:hint="eastAsia" w:cs="Times New Roman"/>
          <w:sz w:val="21"/>
        </w:rPr>
        <w:t>相关</w:t>
      </w:r>
      <w:r>
        <w:rPr>
          <w:rFonts w:cs="Times New Roman"/>
          <w:sz w:val="21"/>
        </w:rPr>
        <w:t>法律规定解决。</w:t>
      </w:r>
    </w:p>
    <w:p w14:paraId="72F5F17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继续履行合同</w:t>
      </w:r>
    </w:p>
    <w:p w14:paraId="71D6A883">
      <w:pPr>
        <w:widowControl w:val="0"/>
        <w:tabs>
          <w:tab w:val="left" w:pos="1620"/>
          <w:tab w:val="left" w:pos="2340"/>
        </w:tabs>
        <w:ind w:left="899"/>
        <w:rPr>
          <w:rFonts w:cs="Times New Roman"/>
          <w:sz w:val="21"/>
        </w:rPr>
      </w:pPr>
      <w:r>
        <w:rPr>
          <w:rFonts w:hint="eastAsia" w:cs="Times New Roman"/>
          <w:sz w:val="21"/>
        </w:rPr>
        <w:t>除非另有约定，发包人和承包人一方违约后，另一方要求违约方继续履行本合同时，违约方承担上述违约责任后仍应继续履行合同。</w:t>
      </w:r>
    </w:p>
    <w:p w14:paraId="129E7F7C">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索赔</w:t>
      </w:r>
    </w:p>
    <w:p w14:paraId="02D5D981">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索赔理由与记录</w:t>
      </w:r>
    </w:p>
    <w:p w14:paraId="30E431F8">
      <w:pPr>
        <w:widowControl w:val="0"/>
        <w:tabs>
          <w:tab w:val="left" w:pos="1620"/>
          <w:tab w:val="left" w:pos="2340"/>
        </w:tabs>
        <w:spacing w:after="156"/>
        <w:ind w:left="899"/>
        <w:rPr>
          <w:rFonts w:cs="Times New Roman"/>
          <w:sz w:val="21"/>
        </w:rPr>
      </w:pPr>
      <w:r>
        <w:rPr>
          <w:rFonts w:hint="eastAsia" w:cs="Times New Roman"/>
          <w:sz w:val="21"/>
        </w:rPr>
        <w:t>⑴发包人和承包人双方中，当一方向另一方提出索赔时，要有合理的索赔理由，且有其要求索赔的事件发生时的有效证据。</w:t>
      </w:r>
    </w:p>
    <w:p w14:paraId="46EB3908">
      <w:pPr>
        <w:widowControl w:val="0"/>
        <w:tabs>
          <w:tab w:val="left" w:pos="1620"/>
          <w:tab w:val="left" w:pos="2340"/>
        </w:tabs>
        <w:spacing w:after="156"/>
        <w:ind w:left="899"/>
        <w:rPr>
          <w:rFonts w:cs="Times New Roman"/>
          <w:sz w:val="21"/>
        </w:rPr>
      </w:pPr>
      <w:r>
        <w:rPr>
          <w:rFonts w:hint="eastAsia" w:cs="Times New Roman"/>
          <w:sz w:val="21"/>
        </w:rPr>
        <w:t>⑵提出索赔的一方在其要求索赔的事件发生时，应保存好必要的记录，以便证明提出的索赔，并应允许另一方或</w:t>
      </w:r>
      <w:r>
        <w:rPr>
          <w:rFonts w:cs="Times New Roman"/>
          <w:sz w:val="21"/>
        </w:rPr>
        <w:t>监理人</w:t>
      </w:r>
      <w:r>
        <w:rPr>
          <w:rFonts w:hint="eastAsia" w:cs="Times New Roman"/>
          <w:sz w:val="21"/>
        </w:rPr>
        <w:t>查阅全部记录。</w:t>
      </w:r>
    </w:p>
    <w:p w14:paraId="45119EE9">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索赔内容</w:t>
      </w:r>
    </w:p>
    <w:p w14:paraId="1B058AFE">
      <w:pPr>
        <w:widowControl w:val="0"/>
        <w:tabs>
          <w:tab w:val="left" w:pos="1620"/>
          <w:tab w:val="left" w:pos="2340"/>
        </w:tabs>
        <w:spacing w:before="156"/>
        <w:ind w:left="899"/>
        <w:rPr>
          <w:rFonts w:cs="Times New Roman"/>
          <w:sz w:val="21"/>
        </w:rPr>
      </w:pPr>
      <w:r>
        <w:rPr>
          <w:rFonts w:hint="eastAsia" w:cs="Times New Roman"/>
          <w:sz w:val="21"/>
        </w:rPr>
        <w:t>⑴发包人提出索赔时，可选择下列一项或几项方式获得赔偿：</w:t>
      </w:r>
    </w:p>
    <w:p w14:paraId="02E2FD04">
      <w:pPr>
        <w:widowControl w:val="0"/>
        <w:tabs>
          <w:tab w:val="left" w:pos="1620"/>
          <w:tab w:val="left" w:pos="2340"/>
        </w:tabs>
        <w:ind w:left="1134"/>
        <w:rPr>
          <w:rFonts w:cs="Times New Roman"/>
          <w:sz w:val="21"/>
        </w:rPr>
      </w:pPr>
      <w:r>
        <w:rPr>
          <w:rFonts w:hint="eastAsia" w:cs="Times New Roman"/>
          <w:sz w:val="21"/>
        </w:rPr>
        <w:t>①延长质量缺陷修复期限；</w:t>
      </w:r>
    </w:p>
    <w:p w14:paraId="4A0534EE">
      <w:pPr>
        <w:widowControl w:val="0"/>
        <w:tabs>
          <w:tab w:val="left" w:pos="1620"/>
          <w:tab w:val="left" w:pos="2340"/>
        </w:tabs>
        <w:ind w:left="1134"/>
        <w:rPr>
          <w:rFonts w:cs="Times New Roman"/>
          <w:sz w:val="21"/>
        </w:rPr>
      </w:pPr>
      <w:r>
        <w:rPr>
          <w:rFonts w:hint="eastAsia" w:cs="Times New Roman"/>
          <w:sz w:val="21"/>
        </w:rPr>
        <w:t>②要求承包人支付实际发生的额外费用；</w:t>
      </w:r>
    </w:p>
    <w:p w14:paraId="7AE06CC6">
      <w:pPr>
        <w:widowControl w:val="0"/>
        <w:tabs>
          <w:tab w:val="left" w:pos="1620"/>
          <w:tab w:val="left" w:pos="2340"/>
        </w:tabs>
        <w:ind w:left="1134"/>
        <w:rPr>
          <w:rFonts w:cs="Times New Roman"/>
          <w:sz w:val="21"/>
        </w:rPr>
      </w:pPr>
      <w:r>
        <w:rPr>
          <w:rFonts w:hint="eastAsia" w:cs="Times New Roman"/>
          <w:sz w:val="21"/>
        </w:rPr>
        <w:t>③要求承包人支付合同约定的违约金。</w:t>
      </w:r>
    </w:p>
    <w:p w14:paraId="04C53ACA">
      <w:pPr>
        <w:widowControl w:val="0"/>
        <w:tabs>
          <w:tab w:val="left" w:pos="1620"/>
          <w:tab w:val="left" w:pos="2340"/>
        </w:tabs>
        <w:ind w:left="899"/>
        <w:rPr>
          <w:rFonts w:cs="Times New Roman"/>
          <w:sz w:val="21"/>
        </w:rPr>
      </w:pPr>
      <w:r>
        <w:rPr>
          <w:rFonts w:hint="eastAsia" w:cs="Times New Roman"/>
          <w:sz w:val="21"/>
        </w:rPr>
        <w:t>⑵承包人提出索赔时，可选择下列一项或几项方式获得赔偿：</w:t>
      </w:r>
    </w:p>
    <w:p w14:paraId="77F020CA">
      <w:pPr>
        <w:widowControl w:val="0"/>
        <w:tabs>
          <w:tab w:val="left" w:pos="1620"/>
          <w:tab w:val="left" w:pos="2340"/>
        </w:tabs>
        <w:ind w:left="1134"/>
        <w:rPr>
          <w:rFonts w:cs="Times New Roman"/>
          <w:sz w:val="21"/>
        </w:rPr>
      </w:pPr>
      <w:r>
        <w:rPr>
          <w:rFonts w:hint="eastAsia" w:cs="Times New Roman"/>
          <w:sz w:val="21"/>
        </w:rPr>
        <w:t>①延长工期；</w:t>
      </w:r>
    </w:p>
    <w:p w14:paraId="1550E375">
      <w:pPr>
        <w:widowControl w:val="0"/>
        <w:tabs>
          <w:tab w:val="left" w:pos="1620"/>
          <w:tab w:val="left" w:pos="2340"/>
        </w:tabs>
        <w:ind w:left="1134"/>
        <w:rPr>
          <w:rFonts w:cs="Times New Roman"/>
          <w:sz w:val="21"/>
        </w:rPr>
      </w:pPr>
      <w:r>
        <w:rPr>
          <w:rFonts w:hint="eastAsia" w:cs="Times New Roman"/>
          <w:sz w:val="21"/>
        </w:rPr>
        <w:t>②要求发包人支付实际发生的额外费用；</w:t>
      </w:r>
    </w:p>
    <w:p w14:paraId="70CA7FE4">
      <w:pPr>
        <w:widowControl w:val="0"/>
        <w:tabs>
          <w:tab w:val="left" w:pos="1620"/>
          <w:tab w:val="left" w:pos="2340"/>
        </w:tabs>
        <w:ind w:left="1134"/>
        <w:rPr>
          <w:rFonts w:cs="Times New Roman"/>
          <w:sz w:val="21"/>
        </w:rPr>
      </w:pPr>
      <w:r>
        <w:rPr>
          <w:rFonts w:hint="eastAsia" w:cs="Times New Roman"/>
          <w:sz w:val="21"/>
        </w:rPr>
        <w:t xml:space="preserve">③要求发包人支付合理的预期利润； </w:t>
      </w:r>
    </w:p>
    <w:p w14:paraId="329BB2FB">
      <w:pPr>
        <w:widowControl w:val="0"/>
        <w:tabs>
          <w:tab w:val="left" w:pos="1620"/>
          <w:tab w:val="left" w:pos="2340"/>
        </w:tabs>
        <w:ind w:left="1134"/>
        <w:rPr>
          <w:rFonts w:cs="Times New Roman"/>
          <w:sz w:val="21"/>
        </w:rPr>
      </w:pPr>
      <w:r>
        <w:rPr>
          <w:rFonts w:hint="eastAsia" w:cs="Times New Roman"/>
          <w:sz w:val="21"/>
        </w:rPr>
        <w:t>④要求发包人支付合同约定的违约金。</w:t>
      </w:r>
    </w:p>
    <w:p w14:paraId="685C035C">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发包人索赔情形</w:t>
      </w:r>
    </w:p>
    <w:p w14:paraId="13BF5FE7">
      <w:pPr>
        <w:widowControl w:val="0"/>
        <w:tabs>
          <w:tab w:val="left" w:pos="1620"/>
          <w:tab w:val="left" w:pos="2340"/>
        </w:tabs>
        <w:ind w:left="899"/>
        <w:rPr>
          <w:rFonts w:cs="Times New Roman"/>
          <w:sz w:val="21"/>
        </w:rPr>
      </w:pPr>
      <w:r>
        <w:rPr>
          <w:rFonts w:hint="eastAsia" w:cs="Times New Roman"/>
          <w:sz w:val="21"/>
        </w:rPr>
        <w:t>在施工合同履行过程中发生下列情形之一的，发包人可向承包人提出索赔：</w:t>
      </w:r>
    </w:p>
    <w:p w14:paraId="3F473784">
      <w:pPr>
        <w:widowControl w:val="0"/>
        <w:tabs>
          <w:tab w:val="left" w:pos="1620"/>
          <w:tab w:val="left" w:pos="2340"/>
        </w:tabs>
        <w:ind w:left="1079"/>
        <w:rPr>
          <w:rFonts w:cs="Times New Roman"/>
          <w:sz w:val="21"/>
        </w:rPr>
      </w:pPr>
      <w:r>
        <w:rPr>
          <w:rFonts w:hint="eastAsia" w:cs="Times New Roman"/>
          <w:sz w:val="21"/>
        </w:rPr>
        <w:t>⑴承包人使用的设备和材料不符合合同规定，或施工质量不符合施工技术规程的要求；</w:t>
      </w:r>
    </w:p>
    <w:p w14:paraId="354F8922">
      <w:pPr>
        <w:widowControl w:val="0"/>
        <w:tabs>
          <w:tab w:val="left" w:pos="1620"/>
          <w:tab w:val="left" w:pos="2340"/>
        </w:tabs>
        <w:ind w:left="1079"/>
        <w:rPr>
          <w:rFonts w:cs="Times New Roman"/>
          <w:sz w:val="21"/>
        </w:rPr>
      </w:pPr>
      <w:r>
        <w:rPr>
          <w:rFonts w:hint="eastAsia" w:cs="Times New Roman"/>
          <w:sz w:val="21"/>
        </w:rPr>
        <w:t>⑵由于承包人原因导致工期延误；</w:t>
      </w:r>
    </w:p>
    <w:p w14:paraId="02CD2DEC">
      <w:pPr>
        <w:widowControl w:val="0"/>
        <w:tabs>
          <w:tab w:val="left" w:pos="1620"/>
          <w:tab w:val="left" w:pos="2340"/>
        </w:tabs>
        <w:ind w:left="1079"/>
        <w:rPr>
          <w:rFonts w:cs="Times New Roman"/>
          <w:sz w:val="21"/>
        </w:rPr>
      </w:pPr>
      <w:r>
        <w:rPr>
          <w:rFonts w:hint="eastAsia" w:cs="Times New Roman"/>
          <w:sz w:val="21"/>
        </w:rPr>
        <w:t>⑶工程竣工验收合格后，因承包人原因导致的缺陷或损坏致使工程、单位工程或某项主要设备不能按原定目的使用；</w:t>
      </w:r>
    </w:p>
    <w:p w14:paraId="5B8799D9">
      <w:pPr>
        <w:widowControl w:val="0"/>
        <w:tabs>
          <w:tab w:val="left" w:pos="1620"/>
          <w:tab w:val="left" w:pos="2340"/>
        </w:tabs>
        <w:ind w:left="1079"/>
        <w:rPr>
          <w:rFonts w:cs="Times New Roman"/>
          <w:sz w:val="21"/>
        </w:rPr>
      </w:pPr>
      <w:r>
        <w:rPr>
          <w:rFonts w:hint="eastAsia" w:cs="Times New Roman"/>
          <w:sz w:val="21"/>
        </w:rPr>
        <w:t>⑷</w:t>
      </w:r>
      <w:r>
        <w:rPr>
          <w:rFonts w:cs="Times New Roman"/>
          <w:b/>
          <w:i/>
          <w:sz w:val="21"/>
        </w:rPr>
        <w:t>专用条款</w:t>
      </w:r>
      <w:r>
        <w:rPr>
          <w:rFonts w:cs="Times New Roman"/>
          <w:sz w:val="21"/>
        </w:rPr>
        <w:t>中约定的其他情形。</w:t>
      </w:r>
    </w:p>
    <w:p w14:paraId="41719EA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发包人索赔程序</w:t>
      </w:r>
    </w:p>
    <w:p w14:paraId="4B22D497">
      <w:pPr>
        <w:widowControl w:val="0"/>
        <w:tabs>
          <w:tab w:val="left" w:pos="1620"/>
          <w:tab w:val="left" w:pos="2340"/>
        </w:tabs>
        <w:ind w:left="899"/>
        <w:rPr>
          <w:rFonts w:cs="Times New Roman"/>
          <w:sz w:val="21"/>
        </w:rPr>
      </w:pPr>
      <w:r>
        <w:rPr>
          <w:rFonts w:hint="eastAsia" w:cs="Times New Roman"/>
          <w:sz w:val="21"/>
        </w:rPr>
        <w:t>承包人未能按合同约定履行义务、发生错误以及应由承包人承担责任的其他情况，给发包人造成损失的，发包人可按下列程序向承包人提出索赔：</w:t>
      </w:r>
    </w:p>
    <w:p w14:paraId="3E615E7D">
      <w:pPr>
        <w:widowControl w:val="0"/>
        <w:tabs>
          <w:tab w:val="left" w:pos="1620"/>
          <w:tab w:val="left" w:pos="2340"/>
        </w:tabs>
        <w:ind w:left="1079"/>
        <w:rPr>
          <w:rFonts w:cs="Times New Roman"/>
          <w:sz w:val="21"/>
        </w:rPr>
      </w:pPr>
      <w:r>
        <w:rPr>
          <w:rFonts w:hint="eastAsia" w:cs="Times New Roman"/>
          <w:sz w:val="21"/>
        </w:rPr>
        <w:t>⑴索赔的事件发生后28天内，向承包人提出索赔意向通知。逾期不提出的，视为放弃索赔；</w:t>
      </w:r>
    </w:p>
    <w:p w14:paraId="5299CA86">
      <w:pPr>
        <w:widowControl w:val="0"/>
        <w:tabs>
          <w:tab w:val="left" w:pos="1620"/>
          <w:tab w:val="left" w:pos="2340"/>
        </w:tabs>
        <w:ind w:left="1079"/>
        <w:rPr>
          <w:rFonts w:cs="Times New Roman"/>
          <w:sz w:val="21"/>
        </w:rPr>
      </w:pPr>
      <w:r>
        <w:rPr>
          <w:rFonts w:hint="eastAsia" w:cs="Times New Roman"/>
          <w:sz w:val="21"/>
        </w:rPr>
        <w:t>⑵在提出索赔意向通知后28天内，向承包人提出赔偿损失的索赔报告及有关资料；</w:t>
      </w:r>
    </w:p>
    <w:p w14:paraId="7B66F9AB">
      <w:pPr>
        <w:widowControl w:val="0"/>
        <w:tabs>
          <w:tab w:val="left" w:pos="1620"/>
          <w:tab w:val="left" w:pos="2340"/>
        </w:tabs>
        <w:ind w:left="1079"/>
        <w:rPr>
          <w:rFonts w:cs="Times New Roman"/>
          <w:sz w:val="21"/>
        </w:rPr>
      </w:pPr>
      <w:r>
        <w:rPr>
          <w:rFonts w:hint="eastAsia" w:cs="Times New Roman"/>
          <w:sz w:val="21"/>
        </w:rPr>
        <w:t>⑶承包人在收到发包人提交的索赔报告和有关资料后，于28天内给予答复，或要求发包人进一步补充索赔理由和证据；</w:t>
      </w:r>
    </w:p>
    <w:p w14:paraId="1AF5BC4A">
      <w:pPr>
        <w:widowControl w:val="0"/>
        <w:tabs>
          <w:tab w:val="left" w:pos="1620"/>
          <w:tab w:val="left" w:pos="2340"/>
        </w:tabs>
        <w:ind w:left="1079"/>
        <w:rPr>
          <w:rFonts w:cs="Times New Roman"/>
          <w:sz w:val="21"/>
        </w:rPr>
      </w:pPr>
      <w:r>
        <w:rPr>
          <w:rFonts w:hint="eastAsia" w:cs="Times New Roman"/>
          <w:sz w:val="21"/>
        </w:rPr>
        <w:t>⑷承包人在收到发包人提交的索赔报告和有关资料后28天内未予答复或未对发包人作进一步要求，视为该项索赔已被认可；</w:t>
      </w:r>
    </w:p>
    <w:p w14:paraId="46149183">
      <w:pPr>
        <w:widowControl w:val="0"/>
        <w:tabs>
          <w:tab w:val="left" w:pos="1620"/>
          <w:tab w:val="left" w:pos="2340"/>
        </w:tabs>
        <w:ind w:left="1079"/>
        <w:rPr>
          <w:rFonts w:cs="Times New Roman"/>
          <w:sz w:val="21"/>
        </w:rPr>
      </w:pPr>
      <w:r>
        <w:rPr>
          <w:rFonts w:cs="Times New Roman"/>
          <w:sz w:val="21"/>
        </w:rPr>
        <w:t>⑸</w:t>
      </w:r>
      <w:r>
        <w:rPr>
          <w:rFonts w:hint="eastAsia" w:cs="Times New Roman"/>
          <w:sz w:val="21"/>
        </w:rPr>
        <w:t>当索赔事件持续进行时，发包人应阶段性向承包人提出索赔意向通知，在该事件终了后28天内，向承包人提交索赔的有关资料和最终索赔报告。索赔答复程序与第30.6⑶、⑷项约定相同。</w:t>
      </w:r>
    </w:p>
    <w:p w14:paraId="6D0B61E8">
      <w:pPr>
        <w:widowControl w:val="0"/>
        <w:tabs>
          <w:tab w:val="left" w:pos="1620"/>
          <w:tab w:val="left" w:pos="2340"/>
        </w:tabs>
        <w:ind w:left="1079"/>
        <w:rPr>
          <w:rFonts w:cs="Times New Roman"/>
          <w:sz w:val="21"/>
        </w:rPr>
      </w:pPr>
      <w:r>
        <w:rPr>
          <w:rFonts w:hint="eastAsia" w:cs="Times New Roman"/>
          <w:sz w:val="21"/>
        </w:rPr>
        <w:t>⑹</w:t>
      </w:r>
      <w:r>
        <w:rPr>
          <w:rFonts w:cs="Times New Roman"/>
          <w:sz w:val="21"/>
        </w:rPr>
        <w:t>承包人接受索赔处理结果的，发包人可从应支付给承包人的合同价款中扣除赔付的金额或延长缺陷责任期；发包人不接受索赔处理结果的，按第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约定处理。</w:t>
      </w:r>
    </w:p>
    <w:p w14:paraId="2ACBD083">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承包人索赔情形</w:t>
      </w:r>
    </w:p>
    <w:p w14:paraId="50C4223A">
      <w:pPr>
        <w:widowControl w:val="0"/>
        <w:tabs>
          <w:tab w:val="left" w:pos="1620"/>
          <w:tab w:val="left" w:pos="2340"/>
        </w:tabs>
        <w:ind w:left="899"/>
        <w:rPr>
          <w:rFonts w:cs="Times New Roman"/>
          <w:sz w:val="21"/>
        </w:rPr>
      </w:pPr>
      <w:r>
        <w:rPr>
          <w:rFonts w:hint="eastAsia" w:cs="Times New Roman"/>
          <w:sz w:val="21"/>
        </w:rPr>
        <w:t>在施工合同履行过程中发生下列情形之一的，承包人可向发包人提出索赔：</w:t>
      </w:r>
    </w:p>
    <w:p w14:paraId="0BDBB9E2">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1 \* GB2</w:instrText>
      </w:r>
      <w:r>
        <w:rPr>
          <w:rFonts w:cs="Times New Roman"/>
          <w:sz w:val="21"/>
        </w:rPr>
        <w:fldChar w:fldCharType="separate"/>
      </w:r>
      <w:r>
        <w:rPr>
          <w:rFonts w:hint="eastAsia" w:cs="Times New Roman"/>
          <w:sz w:val="21"/>
        </w:rPr>
        <w:t>⑴</w:t>
      </w:r>
      <w:r>
        <w:rPr>
          <w:rFonts w:cs="Times New Roman"/>
          <w:sz w:val="21"/>
        </w:rPr>
        <w:fldChar w:fldCharType="end"/>
      </w:r>
      <w:r>
        <w:rPr>
          <w:rFonts w:cs="Times New Roman"/>
          <w:sz w:val="21"/>
        </w:rPr>
        <w:t>发包人未能按合同约定提供图纸或所提供图纸不符合合同约定的；</w:t>
      </w:r>
    </w:p>
    <w:p w14:paraId="764357D9">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2 \* GB2</w:instrText>
      </w:r>
      <w:r>
        <w:rPr>
          <w:rFonts w:cs="Times New Roman"/>
          <w:sz w:val="21"/>
        </w:rPr>
        <w:fldChar w:fldCharType="separate"/>
      </w:r>
      <w:r>
        <w:rPr>
          <w:rFonts w:hint="eastAsia" w:cs="Times New Roman"/>
          <w:sz w:val="21"/>
        </w:rPr>
        <w:t>⑵</w:t>
      </w:r>
      <w:r>
        <w:rPr>
          <w:rFonts w:cs="Times New Roman"/>
          <w:sz w:val="21"/>
        </w:rPr>
        <w:fldChar w:fldCharType="end"/>
      </w:r>
      <w:r>
        <w:rPr>
          <w:rFonts w:cs="Times New Roman"/>
          <w:sz w:val="21"/>
        </w:rPr>
        <w:t>发包人未能按合同约定提供施工现场、施工条件、基础资料、许可、批准等开工条件的；</w:t>
      </w:r>
    </w:p>
    <w:p w14:paraId="3E93D19F">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3 \* GB2</w:instrText>
      </w:r>
      <w:r>
        <w:rPr>
          <w:rFonts w:cs="Times New Roman"/>
          <w:sz w:val="21"/>
        </w:rPr>
        <w:fldChar w:fldCharType="separate"/>
      </w:r>
      <w:r>
        <w:rPr>
          <w:rFonts w:hint="eastAsia" w:cs="Times New Roman"/>
          <w:sz w:val="21"/>
        </w:rPr>
        <w:t>⑶</w:t>
      </w:r>
      <w:r>
        <w:rPr>
          <w:rFonts w:cs="Times New Roman"/>
          <w:sz w:val="21"/>
        </w:rPr>
        <w:fldChar w:fldCharType="end"/>
      </w:r>
      <w:r>
        <w:rPr>
          <w:rFonts w:cs="Times New Roman"/>
          <w:sz w:val="21"/>
        </w:rPr>
        <w:t>发包人提供的测量基准点、基准线和水准点及其书面资料存在错误或疏漏的；</w:t>
      </w:r>
    </w:p>
    <w:p w14:paraId="1D1E79A7">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4 \* GB2</w:instrText>
      </w:r>
      <w:r>
        <w:rPr>
          <w:rFonts w:cs="Times New Roman"/>
          <w:sz w:val="21"/>
        </w:rPr>
        <w:fldChar w:fldCharType="separate"/>
      </w:r>
      <w:r>
        <w:rPr>
          <w:rFonts w:hint="eastAsia" w:cs="Times New Roman"/>
          <w:sz w:val="21"/>
        </w:rPr>
        <w:t>⑷</w:t>
      </w:r>
      <w:r>
        <w:rPr>
          <w:rFonts w:cs="Times New Roman"/>
          <w:sz w:val="21"/>
        </w:rPr>
        <w:fldChar w:fldCharType="end"/>
      </w:r>
      <w:r>
        <w:rPr>
          <w:rFonts w:cs="Times New Roman"/>
          <w:sz w:val="21"/>
        </w:rPr>
        <w:t>发包人未能在计划开工日期之日起7天内同意下达开工通知的；</w:t>
      </w:r>
    </w:p>
    <w:p w14:paraId="5B1CE846">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5 \* GB2</w:instrText>
      </w:r>
      <w:r>
        <w:rPr>
          <w:rFonts w:cs="Times New Roman"/>
          <w:sz w:val="21"/>
        </w:rPr>
        <w:fldChar w:fldCharType="separate"/>
      </w:r>
      <w:r>
        <w:rPr>
          <w:rFonts w:hint="eastAsia" w:cs="Times New Roman"/>
          <w:sz w:val="21"/>
        </w:rPr>
        <w:t>⑸</w:t>
      </w:r>
      <w:r>
        <w:rPr>
          <w:rFonts w:cs="Times New Roman"/>
          <w:sz w:val="21"/>
        </w:rPr>
        <w:fldChar w:fldCharType="end"/>
      </w:r>
      <w:r>
        <w:rPr>
          <w:rFonts w:cs="Times New Roman"/>
          <w:sz w:val="21"/>
        </w:rPr>
        <w:t>发包人未能按合同约定日期支付工程预付款、进度款</w:t>
      </w:r>
      <w:r>
        <w:rPr>
          <w:rFonts w:hint="eastAsia" w:cs="Times New Roman"/>
          <w:sz w:val="21"/>
        </w:rPr>
        <w:t>、过程结算</w:t>
      </w:r>
      <w:r>
        <w:rPr>
          <w:rFonts w:cs="Times New Roman"/>
          <w:sz w:val="21"/>
        </w:rPr>
        <w:t>或竣工结算款的；</w:t>
      </w:r>
    </w:p>
    <w:p w14:paraId="748CFA0E">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6 \* GB2</w:instrText>
      </w:r>
      <w:r>
        <w:rPr>
          <w:rFonts w:cs="Times New Roman"/>
          <w:sz w:val="21"/>
        </w:rPr>
        <w:fldChar w:fldCharType="separate"/>
      </w:r>
      <w:r>
        <w:rPr>
          <w:rFonts w:hint="eastAsia" w:cs="Times New Roman"/>
          <w:sz w:val="21"/>
        </w:rPr>
        <w:t>⑹</w:t>
      </w:r>
      <w:r>
        <w:rPr>
          <w:rFonts w:cs="Times New Roman"/>
          <w:sz w:val="21"/>
        </w:rPr>
        <w:fldChar w:fldCharType="end"/>
      </w:r>
      <w:r>
        <w:rPr>
          <w:rFonts w:cs="Times New Roman"/>
          <w:sz w:val="21"/>
        </w:rPr>
        <w:t>监理单位未按合同约定发出指示、批准等文件的；</w:t>
      </w:r>
    </w:p>
    <w:p w14:paraId="678874A7">
      <w:pPr>
        <w:widowControl w:val="0"/>
        <w:tabs>
          <w:tab w:val="left" w:pos="1620"/>
          <w:tab w:val="left" w:pos="2340"/>
        </w:tabs>
        <w:ind w:left="899"/>
        <w:rPr>
          <w:rFonts w:cs="Times New Roman"/>
          <w:sz w:val="21"/>
        </w:rPr>
      </w:pPr>
      <w:r>
        <w:rPr>
          <w:rFonts w:cs="Times New Roman"/>
          <w:sz w:val="21"/>
        </w:rPr>
        <w:fldChar w:fldCharType="begin"/>
      </w:r>
      <w:r>
        <w:rPr>
          <w:rFonts w:hint="eastAsia" w:cs="Times New Roman"/>
          <w:sz w:val="21"/>
        </w:rPr>
        <w:instrText xml:space="preserve">= 7 \* GB2</w:instrText>
      </w:r>
      <w:r>
        <w:rPr>
          <w:rFonts w:cs="Times New Roman"/>
          <w:sz w:val="21"/>
        </w:rPr>
        <w:fldChar w:fldCharType="separate"/>
      </w:r>
      <w:r>
        <w:rPr>
          <w:rFonts w:hint="eastAsia" w:cs="Times New Roman"/>
          <w:sz w:val="21"/>
        </w:rPr>
        <w:t>⑺</w:t>
      </w:r>
      <w:r>
        <w:rPr>
          <w:rFonts w:cs="Times New Roman"/>
          <w:sz w:val="21"/>
        </w:rPr>
        <w:fldChar w:fldCharType="end"/>
      </w:r>
      <w:r>
        <w:rPr>
          <w:rFonts w:cs="Times New Roman"/>
          <w:b/>
          <w:i/>
          <w:sz w:val="21"/>
        </w:rPr>
        <w:t>专用条款</w:t>
      </w:r>
      <w:r>
        <w:rPr>
          <w:rFonts w:cs="Times New Roman"/>
          <w:sz w:val="21"/>
        </w:rPr>
        <w:t>中约定的其他情形。</w:t>
      </w:r>
    </w:p>
    <w:p w14:paraId="0872D82E">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承包人索赔程序</w:t>
      </w:r>
    </w:p>
    <w:p w14:paraId="7CF7A3FE">
      <w:pPr>
        <w:widowControl w:val="0"/>
        <w:tabs>
          <w:tab w:val="left" w:pos="1620"/>
          <w:tab w:val="left" w:pos="2340"/>
        </w:tabs>
        <w:ind w:left="899"/>
        <w:rPr>
          <w:rFonts w:cs="Times New Roman"/>
          <w:sz w:val="21"/>
        </w:rPr>
      </w:pPr>
      <w:r>
        <w:rPr>
          <w:rFonts w:hint="eastAsia" w:cs="Times New Roman"/>
          <w:sz w:val="21"/>
        </w:rPr>
        <w:t>发包人未能按合同约定履行义务、发生错误以及应由发包人承担责任的其他情况，给承包人造成损失和(或)导致工期延误的，承包人可按下列程序向发包人提出索赔：</w:t>
      </w:r>
    </w:p>
    <w:p w14:paraId="67564557">
      <w:pPr>
        <w:widowControl w:val="0"/>
        <w:tabs>
          <w:tab w:val="left" w:pos="1620"/>
          <w:tab w:val="left" w:pos="2340"/>
        </w:tabs>
        <w:ind w:left="1079"/>
        <w:rPr>
          <w:rFonts w:cs="Times New Roman"/>
          <w:sz w:val="21"/>
        </w:rPr>
      </w:pPr>
      <w:r>
        <w:rPr>
          <w:rFonts w:hint="eastAsia" w:cs="Times New Roman"/>
          <w:sz w:val="21"/>
        </w:rPr>
        <w:t>⑴索赔的事件发生后28天内，向</w:t>
      </w:r>
      <w:r>
        <w:rPr>
          <w:rFonts w:cs="Times New Roman"/>
          <w:sz w:val="21"/>
        </w:rPr>
        <w:t>监理人</w:t>
      </w:r>
      <w:r>
        <w:rPr>
          <w:rFonts w:hint="eastAsia" w:cs="Times New Roman"/>
          <w:sz w:val="21"/>
        </w:rPr>
        <w:t>提出索赔意向通知。逾期不提出的，视为放弃索赔；</w:t>
      </w:r>
    </w:p>
    <w:p w14:paraId="7D618AF8">
      <w:pPr>
        <w:widowControl w:val="0"/>
        <w:tabs>
          <w:tab w:val="left" w:pos="1620"/>
          <w:tab w:val="left" w:pos="2340"/>
        </w:tabs>
        <w:ind w:left="1079"/>
        <w:rPr>
          <w:rFonts w:cs="Times New Roman"/>
          <w:sz w:val="21"/>
        </w:rPr>
      </w:pPr>
      <w:r>
        <w:rPr>
          <w:rFonts w:hint="eastAsia" w:cs="Times New Roman"/>
          <w:sz w:val="21"/>
        </w:rPr>
        <w:t>⑵在提出索赔意向通知后28天内，向</w:t>
      </w:r>
      <w:r>
        <w:rPr>
          <w:rFonts w:cs="Times New Roman"/>
          <w:sz w:val="21"/>
        </w:rPr>
        <w:t>监理人</w:t>
      </w:r>
      <w:r>
        <w:rPr>
          <w:rFonts w:hint="eastAsia" w:cs="Times New Roman"/>
          <w:sz w:val="21"/>
        </w:rPr>
        <w:t>提交赔偿损失和(或)延长工期的索赔报告及有关资料；</w:t>
      </w:r>
    </w:p>
    <w:p w14:paraId="67368664">
      <w:pPr>
        <w:widowControl w:val="0"/>
        <w:tabs>
          <w:tab w:val="left" w:pos="1620"/>
          <w:tab w:val="left" w:pos="2340"/>
        </w:tabs>
        <w:ind w:left="1079"/>
        <w:rPr>
          <w:rFonts w:cs="Times New Roman"/>
          <w:sz w:val="21"/>
        </w:rPr>
      </w:pPr>
      <w:r>
        <w:rPr>
          <w:rFonts w:hint="eastAsia" w:cs="Times New Roman"/>
          <w:sz w:val="21"/>
        </w:rPr>
        <w:t>⑶</w:t>
      </w:r>
      <w:r>
        <w:rPr>
          <w:rFonts w:cs="Times New Roman"/>
          <w:sz w:val="21"/>
        </w:rPr>
        <w:t>监理人</w:t>
      </w:r>
      <w:r>
        <w:rPr>
          <w:rFonts w:hint="eastAsia" w:cs="Times New Roman"/>
          <w:sz w:val="21"/>
        </w:rPr>
        <w:t>在收到承包人提交的索赔报告和有关资料后，于28天内给予答复，或要求承包人进一步补充索赔理由和证据；</w:t>
      </w:r>
    </w:p>
    <w:p w14:paraId="4CAA3725">
      <w:pPr>
        <w:widowControl w:val="0"/>
        <w:tabs>
          <w:tab w:val="left" w:pos="1620"/>
          <w:tab w:val="left" w:pos="2340"/>
        </w:tabs>
        <w:ind w:left="1079"/>
        <w:rPr>
          <w:rFonts w:cs="Times New Roman"/>
          <w:sz w:val="21"/>
        </w:rPr>
      </w:pPr>
      <w:r>
        <w:rPr>
          <w:rFonts w:hint="eastAsia" w:cs="Times New Roman"/>
          <w:sz w:val="21"/>
        </w:rPr>
        <w:t>⑷</w:t>
      </w:r>
      <w:r>
        <w:rPr>
          <w:rFonts w:cs="Times New Roman"/>
          <w:sz w:val="21"/>
        </w:rPr>
        <w:t>监理人</w:t>
      </w:r>
      <w:r>
        <w:rPr>
          <w:rFonts w:hint="eastAsia" w:cs="Times New Roman"/>
          <w:sz w:val="21"/>
        </w:rPr>
        <w:t>在收到承包人提交的索赔报告和有关资料后28天内未予答复或未对承包人作进一步要求，视为该项索赔已被认可；</w:t>
      </w:r>
    </w:p>
    <w:p w14:paraId="0143FE53">
      <w:pPr>
        <w:widowControl w:val="0"/>
        <w:tabs>
          <w:tab w:val="left" w:pos="1620"/>
          <w:tab w:val="left" w:pos="2340"/>
        </w:tabs>
        <w:ind w:left="1079"/>
        <w:rPr>
          <w:rFonts w:cs="Times New Roman"/>
          <w:sz w:val="21"/>
        </w:rPr>
      </w:pPr>
      <w:r>
        <w:rPr>
          <w:rFonts w:cs="Times New Roman"/>
          <w:sz w:val="21"/>
        </w:rPr>
        <w:t>⑸</w:t>
      </w:r>
      <w:r>
        <w:rPr>
          <w:rFonts w:hint="eastAsia" w:cs="Times New Roman"/>
          <w:sz w:val="21"/>
        </w:rPr>
        <w:t>当索赔事件持续进行时，承包人应阶段性向</w:t>
      </w:r>
      <w:r>
        <w:rPr>
          <w:rFonts w:cs="Times New Roman"/>
          <w:sz w:val="21"/>
        </w:rPr>
        <w:t>监理人</w:t>
      </w:r>
      <w:r>
        <w:rPr>
          <w:rFonts w:hint="eastAsia" w:cs="Times New Roman"/>
          <w:sz w:val="21"/>
        </w:rPr>
        <w:t>提出索赔意向通知，在该事件终了后28天内，向</w:t>
      </w:r>
      <w:r>
        <w:rPr>
          <w:rFonts w:cs="Times New Roman"/>
          <w:sz w:val="21"/>
        </w:rPr>
        <w:t>监理人</w:t>
      </w:r>
      <w:r>
        <w:rPr>
          <w:rFonts w:hint="eastAsia" w:cs="Times New Roman"/>
          <w:sz w:val="21"/>
        </w:rPr>
        <w:t>提交索赔的有关资料和最终索赔报告。索赔答复程序与第30.4⑶、⑷项的约定相同。</w:t>
      </w:r>
    </w:p>
    <w:p w14:paraId="5EC33E40">
      <w:pPr>
        <w:widowControl w:val="0"/>
        <w:tabs>
          <w:tab w:val="left" w:pos="1620"/>
          <w:tab w:val="left" w:pos="2340"/>
        </w:tabs>
        <w:ind w:left="1079"/>
        <w:rPr>
          <w:rFonts w:cs="Times New Roman"/>
          <w:sz w:val="21"/>
        </w:rPr>
      </w:pPr>
      <w:r>
        <w:rPr>
          <w:rFonts w:hint="eastAsia" w:cs="Times New Roman"/>
          <w:sz w:val="21"/>
        </w:rPr>
        <w:t>⑹</w:t>
      </w:r>
      <w:r>
        <w:rPr>
          <w:rFonts w:cs="Times New Roman"/>
          <w:sz w:val="21"/>
        </w:rPr>
        <w:t>承包人接受索赔处理结果的，索赔款项在当期进度款中进行支付；承包人不接受索赔处理结果的，按照第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约定处理。</w:t>
      </w:r>
    </w:p>
    <w:p w14:paraId="17EDDC0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提出索赔的期限</w:t>
      </w:r>
    </w:p>
    <w:p w14:paraId="20EB174C">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承包人按第</w:t>
      </w:r>
      <w:r>
        <w:rPr>
          <w:rFonts w:hint="eastAsia" w:cs="Times New Roman"/>
          <w:sz w:val="21"/>
        </w:rPr>
        <w:t>28</w:t>
      </w:r>
      <w:r>
        <w:rPr>
          <w:rFonts w:cs="Times New Roman"/>
          <w:sz w:val="21"/>
        </w:rPr>
        <w:t>.</w:t>
      </w:r>
      <w:r>
        <w:rPr>
          <w:rFonts w:hint="eastAsia" w:cs="Times New Roman"/>
          <w:sz w:val="21"/>
        </w:rPr>
        <w:t>7</w:t>
      </w:r>
      <w:r>
        <w:rPr>
          <w:rFonts w:cs="Times New Roman"/>
          <w:sz w:val="21"/>
        </w:rPr>
        <w:t>款</w:t>
      </w:r>
      <w:r>
        <w:rPr>
          <w:rFonts w:hint="eastAsia" w:cs="Times New Roman"/>
          <w:sz w:val="21"/>
        </w:rPr>
        <w:t>〔</w:t>
      </w:r>
      <w:r>
        <w:rPr>
          <w:rFonts w:cs="Times New Roman"/>
          <w:sz w:val="21"/>
        </w:rPr>
        <w:t>竣工结算</w:t>
      </w:r>
      <w:r>
        <w:rPr>
          <w:rFonts w:hint="eastAsia" w:cs="Times New Roman"/>
          <w:sz w:val="21"/>
        </w:rPr>
        <w:t>支付〕</w:t>
      </w:r>
      <w:r>
        <w:rPr>
          <w:rFonts w:cs="Times New Roman"/>
          <w:sz w:val="21"/>
        </w:rPr>
        <w:t>约定接收竣工</w:t>
      </w:r>
      <w:r>
        <w:rPr>
          <w:rFonts w:hint="eastAsia" w:cs="Times New Roman"/>
          <w:sz w:val="21"/>
        </w:rPr>
        <w:t>支付</w:t>
      </w:r>
      <w:r>
        <w:rPr>
          <w:rFonts w:cs="Times New Roman"/>
          <w:sz w:val="21"/>
        </w:rPr>
        <w:t>证书后，应被视为已无权再提出在工程接收证书颁发前所发生的任何索赔。</w:t>
      </w:r>
    </w:p>
    <w:p w14:paraId="435841DD">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承包人按第</w:t>
      </w:r>
      <w:r>
        <w:rPr>
          <w:rFonts w:hint="eastAsia" w:cs="Times New Roman"/>
          <w:sz w:val="21"/>
        </w:rPr>
        <w:t>28</w:t>
      </w:r>
      <w:r>
        <w:rPr>
          <w:rFonts w:cs="Times New Roman"/>
          <w:sz w:val="21"/>
        </w:rPr>
        <w:t>.</w:t>
      </w:r>
      <w:r>
        <w:rPr>
          <w:rFonts w:hint="eastAsia" w:cs="Times New Roman"/>
          <w:sz w:val="21"/>
        </w:rPr>
        <w:t>8</w:t>
      </w:r>
      <w:r>
        <w:rPr>
          <w:rFonts w:cs="Times New Roman"/>
          <w:sz w:val="21"/>
        </w:rPr>
        <w:t>款</w:t>
      </w:r>
      <w:r>
        <w:rPr>
          <w:rFonts w:hint="eastAsia" w:cs="Times New Roman"/>
          <w:sz w:val="21"/>
        </w:rPr>
        <w:t>〔</w:t>
      </w:r>
      <w:r>
        <w:rPr>
          <w:rFonts w:cs="Times New Roman"/>
          <w:sz w:val="21"/>
        </w:rPr>
        <w:t>最终结清</w:t>
      </w:r>
      <w:r>
        <w:rPr>
          <w:rFonts w:hint="eastAsia" w:cs="Times New Roman"/>
          <w:sz w:val="21"/>
        </w:rPr>
        <w:t>申请〕</w:t>
      </w:r>
      <w:r>
        <w:rPr>
          <w:rFonts w:cs="Times New Roman"/>
          <w:sz w:val="21"/>
        </w:rPr>
        <w:t>提交的最终结清申请单中，只限于提出工程接收证书颁发后发生的索赔。提出索赔的期限自接受最终结清证书时终止。</w:t>
      </w:r>
    </w:p>
    <w:p w14:paraId="5972A81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索赔费用的支付</w:t>
      </w:r>
    </w:p>
    <w:p w14:paraId="6F9A78DA">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监理人</w:t>
      </w:r>
      <w:r>
        <w:rPr>
          <w:rFonts w:hint="eastAsia" w:cs="Times New Roman"/>
          <w:sz w:val="21"/>
        </w:rPr>
        <w:t>对承包人根据第30.6款提交的索赔报告和有关资料进行核实，并报发包人批准后，确定赔偿的费用并与工程款同期支付，确定延误的工期并顺延工期。</w:t>
      </w:r>
    </w:p>
    <w:p w14:paraId="75765E08">
      <w:pPr>
        <w:widowControl w:val="0"/>
        <w:tabs>
          <w:tab w:val="left" w:pos="1620"/>
          <w:tab w:val="left" w:pos="2340"/>
        </w:tabs>
        <w:spacing w:after="156"/>
        <w:ind w:left="899"/>
        <w:rPr>
          <w:rFonts w:cs="Times New Roman"/>
          <w:sz w:val="21"/>
        </w:rPr>
      </w:pPr>
      <w:r>
        <w:rPr>
          <w:rFonts w:hint="eastAsia" w:cs="Times New Roman"/>
          <w:sz w:val="21"/>
        </w:rPr>
        <w:t>⑵承包人对发包人根据第30.4款提交的索赔报告和有关资料进行核实，与发包人协商后确定赔偿的费用并在</w:t>
      </w:r>
      <w:r>
        <w:rPr>
          <w:rFonts w:cs="Times New Roman"/>
          <w:sz w:val="21"/>
        </w:rPr>
        <w:t>监理人</w:t>
      </w:r>
      <w:r>
        <w:rPr>
          <w:rFonts w:hint="eastAsia" w:cs="Times New Roman"/>
          <w:sz w:val="21"/>
        </w:rPr>
        <w:t>签发给承包人的支付证书中予以扣除。</w:t>
      </w:r>
    </w:p>
    <w:p w14:paraId="791D7AC3">
      <w:pPr>
        <w:widowControl w:val="0"/>
        <w:tabs>
          <w:tab w:val="left" w:pos="1620"/>
          <w:tab w:val="left" w:pos="2340"/>
        </w:tabs>
        <w:spacing w:after="156"/>
        <w:ind w:left="899"/>
        <w:rPr>
          <w:rFonts w:cs="Times New Roman"/>
          <w:sz w:val="21"/>
        </w:rPr>
      </w:pPr>
      <w:r>
        <w:rPr>
          <w:rFonts w:hint="eastAsia" w:cs="Times New Roman"/>
          <w:sz w:val="21"/>
        </w:rPr>
        <w:t>⑶有关本工程索赔的文件的编制和审核均须经注册造价工程师签字盖章确认。</w:t>
      </w:r>
    </w:p>
    <w:p w14:paraId="4C656B5E">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争议解决</w:t>
      </w:r>
    </w:p>
    <w:p w14:paraId="68F3C1CE">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争议的解决方式</w:t>
      </w:r>
    </w:p>
    <w:p w14:paraId="5952DFD4">
      <w:pPr>
        <w:widowControl w:val="0"/>
        <w:tabs>
          <w:tab w:val="left" w:pos="1620"/>
          <w:tab w:val="left" w:pos="2340"/>
        </w:tabs>
        <w:spacing w:after="156"/>
        <w:ind w:left="899"/>
        <w:rPr>
          <w:rFonts w:cs="Times New Roman"/>
          <w:sz w:val="21"/>
        </w:rPr>
      </w:pPr>
      <w:r>
        <w:rPr>
          <w:rFonts w:hint="eastAsia" w:cs="Times New Roman"/>
          <w:sz w:val="21"/>
        </w:rPr>
        <w:t>⑴凡因本合同引起的或与本合同有关的任何争议，发包人与承包人可自行和解，和解不成的可提交</w:t>
      </w:r>
      <w:r>
        <w:rPr>
          <w:rFonts w:hint="eastAsia" w:cs="Times New Roman"/>
          <w:b/>
          <w:i/>
          <w:sz w:val="21"/>
        </w:rPr>
        <w:t>专用条款</w:t>
      </w:r>
      <w:r>
        <w:rPr>
          <w:rFonts w:hint="eastAsia" w:cs="Times New Roman"/>
          <w:sz w:val="21"/>
        </w:rPr>
        <w:t>中约定的机构进行调解。和解或调解成功的，发包人和承包人应签订书面和解协议。</w:t>
      </w:r>
    </w:p>
    <w:p w14:paraId="52E77D7B">
      <w:pPr>
        <w:widowControl w:val="0"/>
        <w:tabs>
          <w:tab w:val="left" w:pos="1620"/>
          <w:tab w:val="left" w:pos="2340"/>
        </w:tabs>
        <w:spacing w:after="156"/>
        <w:ind w:left="899"/>
        <w:rPr>
          <w:rFonts w:cs="Times New Roman"/>
          <w:sz w:val="21"/>
        </w:rPr>
      </w:pPr>
      <w:r>
        <w:rPr>
          <w:rFonts w:hint="eastAsia" w:cs="Times New Roman"/>
          <w:sz w:val="21"/>
        </w:rPr>
        <w:t>⑵发包人或承包人一方不愿调解或调解不成的，双方可按</w:t>
      </w:r>
      <w:r>
        <w:rPr>
          <w:rFonts w:hint="eastAsia" w:cs="Times New Roman"/>
          <w:b/>
          <w:i/>
          <w:sz w:val="21"/>
        </w:rPr>
        <w:t>专用条款</w:t>
      </w:r>
      <w:r>
        <w:rPr>
          <w:rFonts w:hint="eastAsia" w:cs="Times New Roman"/>
          <w:sz w:val="21"/>
        </w:rPr>
        <w:t>中约定的方式申请仲裁或提起诉讼解决争议。</w:t>
      </w:r>
    </w:p>
    <w:p w14:paraId="0DADA1BA">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继续履行合同</w:t>
      </w:r>
    </w:p>
    <w:p w14:paraId="2BC0DCC0">
      <w:pPr>
        <w:widowControl w:val="0"/>
        <w:tabs>
          <w:tab w:val="left" w:pos="1620"/>
          <w:tab w:val="left" w:pos="2340"/>
        </w:tabs>
        <w:ind w:left="899"/>
        <w:rPr>
          <w:rFonts w:cs="Times New Roman"/>
          <w:sz w:val="21"/>
        </w:rPr>
      </w:pPr>
      <w:r>
        <w:rPr>
          <w:rFonts w:hint="eastAsia" w:cs="Times New Roman"/>
          <w:sz w:val="21"/>
        </w:rPr>
        <w:t>发生争议后，除非出现下列情况及本合同另有约定的情况，双方都应继续履行合同，保持施工连续，保护好已完工程：</w:t>
      </w:r>
    </w:p>
    <w:p w14:paraId="62075A6E">
      <w:pPr>
        <w:widowControl w:val="0"/>
        <w:tabs>
          <w:tab w:val="left" w:pos="1620"/>
          <w:tab w:val="left" w:pos="2340"/>
        </w:tabs>
        <w:ind w:left="1079"/>
        <w:rPr>
          <w:rFonts w:cs="Times New Roman"/>
          <w:sz w:val="21"/>
        </w:rPr>
      </w:pPr>
      <w:r>
        <w:rPr>
          <w:rFonts w:hint="eastAsia" w:cs="Times New Roman"/>
          <w:sz w:val="21"/>
        </w:rPr>
        <w:t>⑴单方违约导致合同确已无法履行，双方协议停止施工；</w:t>
      </w:r>
    </w:p>
    <w:p w14:paraId="44DCFE49">
      <w:pPr>
        <w:widowControl w:val="0"/>
        <w:tabs>
          <w:tab w:val="left" w:pos="1620"/>
          <w:tab w:val="left" w:pos="2340"/>
        </w:tabs>
        <w:ind w:left="1079"/>
        <w:rPr>
          <w:rFonts w:cs="Times New Roman"/>
          <w:sz w:val="21"/>
        </w:rPr>
      </w:pPr>
      <w:r>
        <w:rPr>
          <w:rFonts w:hint="eastAsia" w:cs="Times New Roman"/>
          <w:sz w:val="21"/>
        </w:rPr>
        <w:t>⑵调解要求停止施工，且为双方接受；</w:t>
      </w:r>
    </w:p>
    <w:p w14:paraId="7D7E3AF6">
      <w:pPr>
        <w:widowControl w:val="0"/>
        <w:tabs>
          <w:tab w:val="left" w:pos="1620"/>
          <w:tab w:val="left" w:pos="2340"/>
        </w:tabs>
        <w:ind w:left="1079"/>
        <w:rPr>
          <w:rFonts w:cs="Times New Roman"/>
          <w:sz w:val="21"/>
        </w:rPr>
      </w:pPr>
      <w:r>
        <w:rPr>
          <w:rFonts w:hint="eastAsia" w:cs="Times New Roman"/>
          <w:sz w:val="21"/>
        </w:rPr>
        <w:t>⑶仲裁机构要求停止施工；</w:t>
      </w:r>
    </w:p>
    <w:p w14:paraId="1C9DAB5A">
      <w:pPr>
        <w:widowControl w:val="0"/>
        <w:tabs>
          <w:tab w:val="left" w:pos="1620"/>
          <w:tab w:val="left" w:pos="2340"/>
        </w:tabs>
        <w:ind w:left="1079"/>
        <w:rPr>
          <w:rFonts w:cs="Times New Roman"/>
          <w:sz w:val="21"/>
        </w:rPr>
      </w:pPr>
      <w:r>
        <w:rPr>
          <w:rFonts w:hint="eastAsia" w:cs="Times New Roman"/>
          <w:sz w:val="21"/>
        </w:rPr>
        <w:t>⑷法院要求停止施工。</w:t>
      </w:r>
    </w:p>
    <w:p w14:paraId="2AD920EF">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工程缺陷责任与保修</w:t>
      </w:r>
    </w:p>
    <w:p w14:paraId="632F911B">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工程保修的原则</w:t>
      </w:r>
    </w:p>
    <w:p w14:paraId="0F0CE859">
      <w:pPr>
        <w:widowControl w:val="0"/>
        <w:tabs>
          <w:tab w:val="left" w:pos="1620"/>
          <w:tab w:val="left" w:pos="2340"/>
        </w:tabs>
        <w:spacing w:after="156"/>
        <w:ind w:left="899"/>
        <w:rPr>
          <w:rFonts w:cs="Times New Roman"/>
          <w:sz w:val="21"/>
        </w:rPr>
      </w:pPr>
      <w:r>
        <w:rPr>
          <w:rFonts w:cs="Times New Roman"/>
          <w:sz w:val="21"/>
        </w:rPr>
        <w:t>在工程移交发包人后，因承包人原因产生的质量缺陷，承包人应承担质量缺陷责任和保修义务。缺陷责任期届满，承包人仍应按合同约定的工程各部位保修年限承担保修义务。</w:t>
      </w:r>
    </w:p>
    <w:p w14:paraId="660055A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缺陷责任期</w:t>
      </w:r>
    </w:p>
    <w:p w14:paraId="7BDE4675">
      <w:pPr>
        <w:widowControl w:val="0"/>
        <w:tabs>
          <w:tab w:val="left" w:pos="1620"/>
          <w:tab w:val="left" w:pos="2340"/>
        </w:tabs>
        <w:ind w:left="899"/>
        <w:rPr>
          <w:rFonts w:cs="Times New Roman"/>
          <w:sz w:val="21"/>
        </w:rPr>
      </w:pPr>
      <w:r>
        <w:rPr>
          <w:rFonts w:hint="eastAsia" w:cs="Times New Roman"/>
          <w:sz w:val="21"/>
        </w:rPr>
        <w:t>⑴缺陷责任期自实际竣工日期起计算，承发包双方应在专用条款约定缺陷责任期的具体期限，但该期限最长不超过24个月。</w:t>
      </w:r>
    </w:p>
    <w:p w14:paraId="2DD48090">
      <w:pPr>
        <w:widowControl w:val="0"/>
        <w:tabs>
          <w:tab w:val="left" w:pos="1620"/>
          <w:tab w:val="left" w:pos="2340"/>
        </w:tabs>
        <w:ind w:left="899"/>
        <w:rPr>
          <w:rFonts w:cs="Times New Roman"/>
          <w:sz w:val="21"/>
        </w:rPr>
      </w:pPr>
      <w:r>
        <w:rPr>
          <w:rFonts w:hint="eastAsia" w:cs="Times New Roman"/>
          <w:sz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第91天（含）开始计算；发包人未经竣工验收擅自使用工程的，缺陷责任期自工程转移占有之日起开始计算。</w:t>
      </w:r>
    </w:p>
    <w:p w14:paraId="10DF420A">
      <w:pPr>
        <w:widowControl w:val="0"/>
        <w:tabs>
          <w:tab w:val="left" w:pos="1620"/>
          <w:tab w:val="left" w:pos="2340"/>
        </w:tabs>
        <w:ind w:left="899"/>
        <w:rPr>
          <w:rFonts w:cs="Times New Roman"/>
          <w:sz w:val="21"/>
        </w:rPr>
      </w:pPr>
    </w:p>
    <w:p w14:paraId="1904A851">
      <w:pPr>
        <w:widowControl w:val="0"/>
        <w:tabs>
          <w:tab w:val="left" w:pos="1620"/>
          <w:tab w:val="left" w:pos="2340"/>
        </w:tabs>
        <w:ind w:left="899"/>
        <w:rPr>
          <w:rFonts w:cs="Times New Roman"/>
          <w:sz w:val="21"/>
        </w:rPr>
      </w:pPr>
      <w:r>
        <w:rPr>
          <w:rFonts w:hint="eastAsia" w:cs="Times New Roman"/>
          <w:sz w:val="21"/>
        </w:rPr>
        <w:t>⑵工程竣工验收合格后，因承包人原因导致的缺陷或损坏致使工程、单位工程或某项主要设备不能按原定目的使用的，则发包人有权要求承包人延长缺陷责任期，并应在原缺陷责任期届满前发出延长通知，但缺陷责任期最长不能超过24个月。</w:t>
      </w:r>
    </w:p>
    <w:p w14:paraId="2DAE9F4F">
      <w:pPr>
        <w:widowControl w:val="0"/>
        <w:tabs>
          <w:tab w:val="left" w:pos="1620"/>
          <w:tab w:val="left" w:pos="2340"/>
        </w:tabs>
        <w:ind w:left="899"/>
        <w:rPr>
          <w:rFonts w:cs="Times New Roman"/>
          <w:sz w:val="21"/>
        </w:rPr>
      </w:pPr>
    </w:p>
    <w:p w14:paraId="37CAD2BF">
      <w:pPr>
        <w:widowControl w:val="0"/>
        <w:tabs>
          <w:tab w:val="left" w:pos="1620"/>
          <w:tab w:val="left" w:pos="2340"/>
        </w:tabs>
        <w:ind w:left="899"/>
        <w:rPr>
          <w:rFonts w:cs="Times New Roman"/>
          <w:sz w:val="21"/>
        </w:rPr>
      </w:pPr>
      <w:r>
        <w:rPr>
          <w:rFonts w:hint="eastAsia" w:cs="Times New Roman"/>
          <w:sz w:val="21"/>
        </w:rPr>
        <w:t>⑶任何一项缺陷或损坏修复后，经检查证明其影响了工程或工程设备的使用性能，承包人应重新进行合同约定的试验和试运行，试验和试运行的全部费用应由责任方承担。</w:t>
      </w:r>
    </w:p>
    <w:p w14:paraId="02561030">
      <w:pPr>
        <w:widowControl w:val="0"/>
        <w:tabs>
          <w:tab w:val="left" w:pos="1620"/>
          <w:tab w:val="left" w:pos="2340"/>
        </w:tabs>
        <w:ind w:left="899"/>
        <w:rPr>
          <w:rFonts w:cs="Times New Roman"/>
          <w:sz w:val="21"/>
        </w:rPr>
      </w:pPr>
    </w:p>
    <w:p w14:paraId="002741D3">
      <w:pPr>
        <w:widowControl w:val="0"/>
        <w:tabs>
          <w:tab w:val="left" w:pos="1620"/>
          <w:tab w:val="left" w:pos="2340"/>
        </w:tabs>
        <w:ind w:left="899"/>
        <w:rPr>
          <w:rFonts w:cs="Times New Roman"/>
          <w:sz w:val="21"/>
        </w:rPr>
      </w:pPr>
      <w:r>
        <w:rPr>
          <w:rFonts w:hint="eastAsia" w:cs="Times New Roman"/>
          <w:sz w:val="21"/>
        </w:rPr>
        <w:t>⑷除专用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36AADE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质量保证金</w:t>
      </w:r>
    </w:p>
    <w:p w14:paraId="020A0AFA">
      <w:pPr>
        <w:widowControl w:val="0"/>
        <w:tabs>
          <w:tab w:val="left" w:pos="1620"/>
          <w:tab w:val="left" w:pos="2340"/>
        </w:tabs>
        <w:ind w:left="899"/>
        <w:rPr>
          <w:rFonts w:cs="Times New Roman"/>
          <w:sz w:val="21"/>
        </w:rPr>
      </w:pPr>
      <w:r>
        <w:rPr>
          <w:rFonts w:hint="eastAsia" w:cs="Times New Roman"/>
          <w:sz w:val="21"/>
        </w:rPr>
        <w:t>⑴经承发包双方协商一致扣留质量保证金的，应在</w:t>
      </w:r>
      <w:r>
        <w:rPr>
          <w:rFonts w:hint="eastAsia" w:cs="Times New Roman"/>
          <w:b/>
          <w:i/>
          <w:sz w:val="21"/>
        </w:rPr>
        <w:t>专用条款</w:t>
      </w:r>
      <w:r>
        <w:rPr>
          <w:rFonts w:hint="eastAsia" w:cs="Times New Roman"/>
          <w:sz w:val="21"/>
        </w:rPr>
        <w:t>中予以明确。</w:t>
      </w:r>
    </w:p>
    <w:p w14:paraId="3D173FC0">
      <w:pPr>
        <w:widowControl w:val="0"/>
        <w:tabs>
          <w:tab w:val="left" w:pos="1620"/>
          <w:tab w:val="left" w:pos="2340"/>
        </w:tabs>
        <w:ind w:left="899"/>
        <w:rPr>
          <w:rFonts w:cs="Times New Roman"/>
          <w:sz w:val="21"/>
        </w:rPr>
      </w:pPr>
      <w:r>
        <w:rPr>
          <w:rFonts w:hint="eastAsia" w:cs="Times New Roman"/>
          <w:sz w:val="21"/>
        </w:rPr>
        <w:t>⑵承包人提供</w:t>
      </w:r>
      <w:r>
        <w:rPr>
          <w:rFonts w:cs="Times New Roman"/>
          <w:sz w:val="21"/>
        </w:rPr>
        <w:t>质量保证金</w:t>
      </w:r>
      <w:r>
        <w:rPr>
          <w:rFonts w:hint="eastAsia" w:cs="Times New Roman"/>
          <w:sz w:val="21"/>
        </w:rPr>
        <w:t>有</w:t>
      </w:r>
      <w:r>
        <w:rPr>
          <w:rFonts w:cs="Times New Roman"/>
          <w:sz w:val="21"/>
        </w:rPr>
        <w:t>以下</w:t>
      </w:r>
      <w:r>
        <w:rPr>
          <w:rFonts w:hint="eastAsia" w:cs="Times New Roman"/>
          <w:sz w:val="21"/>
        </w:rPr>
        <w:t>三种方</w:t>
      </w:r>
      <w:r>
        <w:rPr>
          <w:rFonts w:cs="Times New Roman"/>
          <w:sz w:val="21"/>
        </w:rPr>
        <w:t>式：</w:t>
      </w:r>
    </w:p>
    <w:p w14:paraId="02CC5124">
      <w:pPr>
        <w:widowControl w:val="0"/>
        <w:tabs>
          <w:tab w:val="left" w:pos="1620"/>
          <w:tab w:val="left" w:pos="2340"/>
        </w:tabs>
        <w:ind w:left="1267" w:leftChars="528"/>
        <w:rPr>
          <w:rFonts w:cs="Times New Roman"/>
          <w:sz w:val="21"/>
        </w:rPr>
      </w:pPr>
      <w:r>
        <w:rPr>
          <w:rFonts w:hint="eastAsia" w:cs="Times New Roman"/>
          <w:sz w:val="21"/>
        </w:rPr>
        <w:t>①</w:t>
      </w:r>
      <w:r>
        <w:rPr>
          <w:rFonts w:cs="Times New Roman"/>
          <w:sz w:val="21"/>
        </w:rPr>
        <w:t xml:space="preserve">质量保证金保函； </w:t>
      </w:r>
    </w:p>
    <w:p w14:paraId="65F2B730">
      <w:pPr>
        <w:widowControl w:val="0"/>
        <w:tabs>
          <w:tab w:val="left" w:pos="1620"/>
          <w:tab w:val="left" w:pos="2340"/>
        </w:tabs>
        <w:ind w:left="1267" w:leftChars="528"/>
        <w:rPr>
          <w:rFonts w:cs="Times New Roman"/>
          <w:sz w:val="21"/>
        </w:rPr>
      </w:pPr>
      <w:r>
        <w:rPr>
          <w:rFonts w:hint="eastAsia" w:cs="Times New Roman"/>
          <w:sz w:val="21"/>
        </w:rPr>
        <w:t>②</w:t>
      </w:r>
      <w:r>
        <w:rPr>
          <w:rFonts w:cs="Times New Roman"/>
          <w:sz w:val="21"/>
        </w:rPr>
        <w:t>相应比例的工程款；</w:t>
      </w:r>
    </w:p>
    <w:p w14:paraId="69581CCA">
      <w:pPr>
        <w:widowControl w:val="0"/>
        <w:tabs>
          <w:tab w:val="left" w:pos="1620"/>
          <w:tab w:val="left" w:pos="2340"/>
        </w:tabs>
        <w:ind w:left="1267" w:leftChars="528"/>
        <w:rPr>
          <w:rFonts w:cs="Times New Roman"/>
          <w:sz w:val="21"/>
        </w:rPr>
      </w:pPr>
      <w:r>
        <w:rPr>
          <w:rFonts w:hint="eastAsia" w:cs="Times New Roman"/>
          <w:sz w:val="21"/>
        </w:rPr>
        <w:t>③</w:t>
      </w:r>
      <w:r>
        <w:rPr>
          <w:rFonts w:cs="Times New Roman"/>
          <w:sz w:val="21"/>
        </w:rPr>
        <w:t>双方约定的其他</w:t>
      </w:r>
      <w:r>
        <w:rPr>
          <w:rFonts w:hint="eastAsia" w:cs="Times New Roman"/>
          <w:sz w:val="21"/>
        </w:rPr>
        <w:t>方</w:t>
      </w:r>
      <w:r>
        <w:rPr>
          <w:rFonts w:cs="Times New Roman"/>
          <w:sz w:val="21"/>
        </w:rPr>
        <w:t>式</w:t>
      </w:r>
      <w:r>
        <w:rPr>
          <w:rFonts w:hint="eastAsia" w:cs="Times New Roman"/>
          <w:sz w:val="21"/>
        </w:rPr>
        <w:t>（保险等）</w:t>
      </w:r>
      <w:r>
        <w:rPr>
          <w:rFonts w:cs="Times New Roman"/>
          <w:sz w:val="21"/>
        </w:rPr>
        <w:t>。</w:t>
      </w:r>
    </w:p>
    <w:p w14:paraId="593DF301">
      <w:pPr>
        <w:widowControl w:val="0"/>
        <w:tabs>
          <w:tab w:val="left" w:pos="1620"/>
          <w:tab w:val="left" w:pos="2340"/>
        </w:tabs>
        <w:ind w:left="899"/>
        <w:rPr>
          <w:rFonts w:cs="Times New Roman"/>
          <w:sz w:val="21"/>
        </w:rPr>
      </w:pPr>
      <w:r>
        <w:rPr>
          <w:rFonts w:cs="Times New Roman"/>
          <w:sz w:val="21"/>
        </w:rPr>
        <w:t>除</w:t>
      </w:r>
      <w:r>
        <w:rPr>
          <w:rFonts w:cs="Times New Roman"/>
          <w:b/>
          <w:i/>
          <w:sz w:val="21"/>
        </w:rPr>
        <w:t>专用条款</w:t>
      </w:r>
      <w:r>
        <w:rPr>
          <w:rFonts w:cs="Times New Roman"/>
          <w:sz w:val="21"/>
        </w:rPr>
        <w:t>另有约定外，质量保证金</w:t>
      </w:r>
      <w:r>
        <w:rPr>
          <w:rFonts w:hint="eastAsia" w:cs="Times New Roman"/>
          <w:sz w:val="21"/>
        </w:rPr>
        <w:t>原则上</w:t>
      </w:r>
      <w:r>
        <w:rPr>
          <w:rFonts w:cs="Times New Roman"/>
          <w:sz w:val="21"/>
        </w:rPr>
        <w:t>采</w:t>
      </w:r>
      <w:r>
        <w:rPr>
          <w:rFonts w:hint="eastAsia" w:cs="Times New Roman"/>
          <w:sz w:val="21"/>
        </w:rPr>
        <w:t>用上述</w:t>
      </w:r>
      <w:r>
        <w:rPr>
          <w:rFonts w:cs="Times New Roman"/>
          <w:sz w:val="21"/>
        </w:rPr>
        <w:t>第</w:t>
      </w:r>
      <w:r>
        <w:rPr>
          <w:rFonts w:hint="eastAsia" w:cs="Times New Roman"/>
          <w:sz w:val="21"/>
        </w:rPr>
        <w:t>①</w:t>
      </w:r>
      <w:r>
        <w:rPr>
          <w:rFonts w:cs="Times New Roman"/>
          <w:sz w:val="21"/>
        </w:rPr>
        <w:t>种</w:t>
      </w:r>
      <w:r>
        <w:rPr>
          <w:rFonts w:hint="eastAsia" w:cs="Times New Roman"/>
          <w:sz w:val="21"/>
        </w:rPr>
        <w:t>方式。</w:t>
      </w:r>
    </w:p>
    <w:p w14:paraId="69BCBE27">
      <w:pPr>
        <w:widowControl w:val="0"/>
        <w:tabs>
          <w:tab w:val="left" w:pos="1620"/>
          <w:tab w:val="left" w:pos="2340"/>
        </w:tabs>
        <w:ind w:left="899"/>
        <w:rPr>
          <w:rFonts w:cs="Times New Roman"/>
          <w:sz w:val="21"/>
        </w:rPr>
      </w:pPr>
      <w:r>
        <w:rPr>
          <w:rFonts w:hint="eastAsia" w:cs="Times New Roman"/>
          <w:sz w:val="21"/>
        </w:rPr>
        <w:t>⑶</w:t>
      </w:r>
      <w:r>
        <w:rPr>
          <w:rFonts w:cs="Times New Roman"/>
          <w:sz w:val="21"/>
        </w:rPr>
        <w:t>质量保证金</w:t>
      </w:r>
      <w:r>
        <w:rPr>
          <w:rFonts w:hint="eastAsia" w:cs="Times New Roman"/>
          <w:sz w:val="21"/>
        </w:rPr>
        <w:t>的</w:t>
      </w:r>
      <w:r>
        <w:rPr>
          <w:rFonts w:cs="Times New Roman"/>
          <w:sz w:val="21"/>
        </w:rPr>
        <w:t>扣留</w:t>
      </w:r>
      <w:r>
        <w:rPr>
          <w:rFonts w:hint="eastAsia" w:cs="Times New Roman"/>
          <w:sz w:val="21"/>
        </w:rPr>
        <w:t>有</w:t>
      </w:r>
      <w:r>
        <w:rPr>
          <w:rFonts w:cs="Times New Roman"/>
          <w:sz w:val="21"/>
        </w:rPr>
        <w:t>以下</w:t>
      </w:r>
      <w:r>
        <w:rPr>
          <w:rFonts w:hint="eastAsia" w:cs="Times New Roman"/>
          <w:sz w:val="21"/>
        </w:rPr>
        <w:t>三</w:t>
      </w:r>
      <w:r>
        <w:rPr>
          <w:rFonts w:cs="Times New Roman"/>
          <w:sz w:val="21"/>
        </w:rPr>
        <w:t>种</w:t>
      </w:r>
      <w:r>
        <w:rPr>
          <w:rFonts w:hint="eastAsia" w:cs="Times New Roman"/>
          <w:sz w:val="21"/>
        </w:rPr>
        <w:t>方式</w:t>
      </w:r>
      <w:r>
        <w:rPr>
          <w:rFonts w:cs="Times New Roman"/>
          <w:sz w:val="21"/>
        </w:rPr>
        <w:t>：</w:t>
      </w:r>
    </w:p>
    <w:p w14:paraId="44C84E1D">
      <w:pPr>
        <w:widowControl w:val="0"/>
        <w:tabs>
          <w:tab w:val="left" w:pos="1620"/>
          <w:tab w:val="left" w:pos="2340"/>
        </w:tabs>
        <w:ind w:left="1267" w:leftChars="528"/>
        <w:rPr>
          <w:rFonts w:cs="Times New Roman"/>
          <w:sz w:val="21"/>
        </w:rPr>
      </w:pPr>
      <w:r>
        <w:rPr>
          <w:rFonts w:hint="eastAsia" w:cs="Times New Roman"/>
          <w:sz w:val="21"/>
        </w:rPr>
        <w:t>①</w:t>
      </w:r>
      <w:r>
        <w:rPr>
          <w:rFonts w:cs="Times New Roman"/>
          <w:sz w:val="21"/>
        </w:rPr>
        <w:t>在支付工程进度款时逐次扣留，在此情形下，质量保证金的计算基数不包括预付款的支付、扣回以及价格调整的金额；</w:t>
      </w:r>
    </w:p>
    <w:p w14:paraId="0AEDB85C">
      <w:pPr>
        <w:widowControl w:val="0"/>
        <w:tabs>
          <w:tab w:val="left" w:pos="1620"/>
          <w:tab w:val="left" w:pos="2340"/>
        </w:tabs>
        <w:ind w:left="1267" w:leftChars="528"/>
        <w:rPr>
          <w:rFonts w:cs="Times New Roman"/>
          <w:sz w:val="21"/>
        </w:rPr>
      </w:pPr>
      <w:r>
        <w:rPr>
          <w:rFonts w:hint="eastAsia" w:cs="Times New Roman"/>
          <w:sz w:val="21"/>
        </w:rPr>
        <w:t>②</w:t>
      </w:r>
      <w:r>
        <w:rPr>
          <w:rFonts w:cs="Times New Roman"/>
          <w:sz w:val="21"/>
        </w:rPr>
        <w:t>工程竣工结算时一次性扣留质量保证金；</w:t>
      </w:r>
    </w:p>
    <w:p w14:paraId="68864A04">
      <w:pPr>
        <w:widowControl w:val="0"/>
        <w:tabs>
          <w:tab w:val="left" w:pos="1620"/>
          <w:tab w:val="left" w:pos="2340"/>
        </w:tabs>
        <w:ind w:left="1267" w:leftChars="528"/>
        <w:rPr>
          <w:rFonts w:cs="Times New Roman"/>
          <w:sz w:val="21"/>
        </w:rPr>
      </w:pPr>
      <w:r>
        <w:rPr>
          <w:rFonts w:hint="eastAsia" w:cs="Times New Roman"/>
          <w:sz w:val="21"/>
        </w:rPr>
        <w:t>③</w:t>
      </w:r>
      <w:r>
        <w:rPr>
          <w:rFonts w:cs="Times New Roman"/>
          <w:sz w:val="21"/>
        </w:rPr>
        <w:t>双方约定的其他扣留方式。</w:t>
      </w:r>
    </w:p>
    <w:p w14:paraId="70A203FE">
      <w:pPr>
        <w:widowControl w:val="0"/>
        <w:tabs>
          <w:tab w:val="left" w:pos="1620"/>
          <w:tab w:val="left" w:pos="2340"/>
        </w:tabs>
        <w:ind w:left="899"/>
        <w:rPr>
          <w:rFonts w:cs="Times New Roman"/>
          <w:sz w:val="21"/>
        </w:rPr>
      </w:pPr>
      <w:r>
        <w:rPr>
          <w:rFonts w:cs="Times New Roman"/>
          <w:sz w:val="21"/>
        </w:rPr>
        <w:t>除</w:t>
      </w:r>
      <w:r>
        <w:rPr>
          <w:rFonts w:cs="Times New Roman"/>
          <w:b/>
          <w:i/>
          <w:sz w:val="21"/>
        </w:rPr>
        <w:t>专用条款</w:t>
      </w:r>
      <w:r>
        <w:rPr>
          <w:rFonts w:cs="Times New Roman"/>
          <w:sz w:val="21"/>
        </w:rPr>
        <w:t>另有约定外，质量保证金</w:t>
      </w:r>
      <w:r>
        <w:rPr>
          <w:rFonts w:hint="eastAsia" w:cs="Times New Roman"/>
          <w:sz w:val="21"/>
        </w:rPr>
        <w:t>的</w:t>
      </w:r>
      <w:r>
        <w:rPr>
          <w:rFonts w:cs="Times New Roman"/>
          <w:sz w:val="21"/>
        </w:rPr>
        <w:t>扣留</w:t>
      </w:r>
      <w:r>
        <w:rPr>
          <w:rFonts w:hint="eastAsia" w:cs="Times New Roman"/>
          <w:sz w:val="21"/>
        </w:rPr>
        <w:t>原则上</w:t>
      </w:r>
      <w:r>
        <w:rPr>
          <w:rFonts w:cs="Times New Roman"/>
          <w:sz w:val="21"/>
        </w:rPr>
        <w:t>采</w:t>
      </w:r>
      <w:r>
        <w:rPr>
          <w:rFonts w:hint="eastAsia" w:cs="Times New Roman"/>
          <w:sz w:val="21"/>
        </w:rPr>
        <w:t>用上述</w:t>
      </w:r>
      <w:r>
        <w:rPr>
          <w:rFonts w:cs="Times New Roman"/>
          <w:sz w:val="21"/>
        </w:rPr>
        <w:t>第</w:t>
      </w:r>
      <w:r>
        <w:rPr>
          <w:rFonts w:hint="eastAsia" w:cs="Times New Roman"/>
          <w:sz w:val="21"/>
        </w:rPr>
        <w:t>①</w:t>
      </w:r>
      <w:r>
        <w:rPr>
          <w:rFonts w:cs="Times New Roman"/>
          <w:sz w:val="21"/>
        </w:rPr>
        <w:t>种方式</w:t>
      </w:r>
      <w:r>
        <w:rPr>
          <w:rFonts w:hint="eastAsia" w:cs="Times New Roman"/>
          <w:sz w:val="21"/>
        </w:rPr>
        <w:t>。但在工程项目竣工前，承包人已提供履约担保的，发包人不得同时预留质量保证金。</w:t>
      </w:r>
    </w:p>
    <w:p w14:paraId="278CEC97">
      <w:pPr>
        <w:widowControl w:val="0"/>
        <w:tabs>
          <w:tab w:val="left" w:pos="1620"/>
          <w:tab w:val="left" w:pos="2340"/>
        </w:tabs>
        <w:ind w:left="899"/>
        <w:rPr>
          <w:rFonts w:cs="Times New Roman"/>
          <w:sz w:val="21"/>
        </w:rPr>
      </w:pPr>
      <w:r>
        <w:rPr>
          <w:rFonts w:cs="Times New Roman"/>
          <w:sz w:val="21"/>
        </w:rPr>
        <w:t>发包人累计扣留的质量保证金不得超过结算合同价格的</w:t>
      </w:r>
      <w:r>
        <w:rPr>
          <w:rFonts w:hint="eastAsia" w:cs="Times New Roman"/>
          <w:sz w:val="21"/>
        </w:rPr>
        <w:t>3</w:t>
      </w:r>
      <w:r>
        <w:rPr>
          <w:rFonts w:cs="Times New Roman"/>
          <w:sz w:val="21"/>
        </w:rPr>
        <w:t>%，</w:t>
      </w:r>
      <w:r>
        <w:rPr>
          <w:rFonts w:hint="eastAsia" w:cs="Times New Roman"/>
          <w:sz w:val="21"/>
        </w:rPr>
        <w:t>以银行保函替代预留保证金的，保函金额不得超过结算合同价格的3%。如</w:t>
      </w:r>
      <w:r>
        <w:rPr>
          <w:rFonts w:cs="Times New Roman"/>
          <w:sz w:val="21"/>
        </w:rPr>
        <w:t>承包人在发包人签发竣工付款证书后28天内提交质量保证金保函，发包人应同时退还扣留的作为质量保证金的工程价款。</w:t>
      </w:r>
    </w:p>
    <w:p w14:paraId="1B52839A">
      <w:pPr>
        <w:widowControl w:val="0"/>
        <w:tabs>
          <w:tab w:val="left" w:pos="1620"/>
          <w:tab w:val="left" w:pos="2340"/>
        </w:tabs>
        <w:ind w:left="899"/>
        <w:rPr>
          <w:rFonts w:cs="Times New Roman"/>
          <w:sz w:val="21"/>
        </w:rPr>
      </w:pPr>
      <w:r>
        <w:rPr>
          <w:rFonts w:hint="eastAsia" w:cs="Times New Roman"/>
          <w:sz w:val="21"/>
        </w:rPr>
        <w:t>⑷发包人应</w:t>
      </w:r>
      <w:r>
        <w:rPr>
          <w:rFonts w:cs="Times New Roman"/>
          <w:sz w:val="21"/>
        </w:rPr>
        <w:t>按</w:t>
      </w:r>
      <w:r>
        <w:rPr>
          <w:rFonts w:hint="eastAsia" w:cs="Times New Roman"/>
          <w:sz w:val="21"/>
        </w:rPr>
        <w:t>28</w:t>
      </w:r>
      <w:r>
        <w:rPr>
          <w:rFonts w:cs="Times New Roman"/>
          <w:sz w:val="21"/>
        </w:rPr>
        <w:t>.</w:t>
      </w:r>
      <w:r>
        <w:rPr>
          <w:rFonts w:hint="eastAsia" w:cs="Times New Roman"/>
          <w:sz w:val="21"/>
        </w:rPr>
        <w:t>8</w:t>
      </w:r>
      <w:r>
        <w:rPr>
          <w:rFonts w:cs="Times New Roman"/>
          <w:sz w:val="21"/>
        </w:rPr>
        <w:t>款</w:t>
      </w:r>
      <w:r>
        <w:rPr>
          <w:rFonts w:hint="eastAsia" w:cs="Times New Roman"/>
          <w:sz w:val="21"/>
        </w:rPr>
        <w:t>〔</w:t>
      </w:r>
      <w:r>
        <w:rPr>
          <w:rFonts w:cs="Times New Roman"/>
          <w:sz w:val="21"/>
        </w:rPr>
        <w:t>最终结清</w:t>
      </w:r>
      <w:r>
        <w:rPr>
          <w:rFonts w:hint="eastAsia" w:cs="Times New Roman"/>
          <w:sz w:val="21"/>
        </w:rPr>
        <w:t>申请〕的</w:t>
      </w:r>
      <w:r>
        <w:rPr>
          <w:rFonts w:cs="Times New Roman"/>
          <w:sz w:val="21"/>
        </w:rPr>
        <w:t>约定</w:t>
      </w:r>
      <w:r>
        <w:rPr>
          <w:rFonts w:hint="eastAsia" w:cs="Times New Roman"/>
          <w:sz w:val="21"/>
        </w:rPr>
        <w:t>退还</w:t>
      </w:r>
      <w:r>
        <w:rPr>
          <w:rFonts w:cs="Times New Roman"/>
          <w:sz w:val="21"/>
        </w:rPr>
        <w:t>质量保证金。</w:t>
      </w:r>
    </w:p>
    <w:p w14:paraId="6E702506">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保修责任</w:t>
      </w:r>
    </w:p>
    <w:p w14:paraId="08C1DD2D">
      <w:pPr>
        <w:widowControl w:val="0"/>
        <w:tabs>
          <w:tab w:val="left" w:pos="1620"/>
          <w:tab w:val="left" w:pos="2340"/>
        </w:tabs>
        <w:spacing w:after="156"/>
        <w:ind w:left="899"/>
        <w:rPr>
          <w:rFonts w:cs="Times New Roman"/>
          <w:sz w:val="21"/>
        </w:rPr>
      </w:pPr>
      <w:r>
        <w:rPr>
          <w:rFonts w:cs="Times New Roman"/>
          <w:sz w:val="21"/>
        </w:rPr>
        <w:t>工程保修期从工程竣工验收合格之日起算，具体分部分项工程的保修期由</w:t>
      </w:r>
      <w:r>
        <w:rPr>
          <w:rFonts w:hint="eastAsia" w:cs="Times New Roman"/>
          <w:sz w:val="21"/>
        </w:rPr>
        <w:t>承发包双方</w:t>
      </w:r>
      <w:r>
        <w:rPr>
          <w:rFonts w:cs="Times New Roman"/>
          <w:sz w:val="21"/>
        </w:rPr>
        <w:t>在</w:t>
      </w:r>
      <w:r>
        <w:rPr>
          <w:rFonts w:cs="Times New Roman"/>
          <w:b/>
          <w:i/>
          <w:sz w:val="21"/>
        </w:rPr>
        <w:t>专用条款</w:t>
      </w:r>
      <w:r>
        <w:rPr>
          <w:rFonts w:cs="Times New Roman"/>
          <w:sz w:val="21"/>
        </w:rPr>
        <w:t>中约定，但不得低于法定最低保修年限。在工程保修期内，承包人应当根据有关法律规定以及合同约定承担保修责任。</w:t>
      </w:r>
    </w:p>
    <w:p w14:paraId="1697A7A4">
      <w:pPr>
        <w:widowControl w:val="0"/>
        <w:tabs>
          <w:tab w:val="left" w:pos="1620"/>
          <w:tab w:val="left" w:pos="2340"/>
        </w:tabs>
        <w:spacing w:after="156"/>
        <w:ind w:left="899"/>
        <w:rPr>
          <w:rFonts w:cs="Times New Roman"/>
          <w:sz w:val="21"/>
        </w:rPr>
      </w:pPr>
      <w:r>
        <w:rPr>
          <w:rFonts w:cs="Times New Roman"/>
          <w:sz w:val="21"/>
        </w:rPr>
        <w:t>发包人未经竣工验收擅自使用工程的，保修期自转移占有之日起算。</w:t>
      </w:r>
    </w:p>
    <w:p w14:paraId="15FE4A87">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修复费用</w:t>
      </w:r>
    </w:p>
    <w:p w14:paraId="42DEA583">
      <w:pPr>
        <w:widowControl w:val="0"/>
        <w:tabs>
          <w:tab w:val="left" w:pos="1620"/>
          <w:tab w:val="left" w:pos="2340"/>
        </w:tabs>
        <w:spacing w:after="156"/>
        <w:ind w:left="899"/>
        <w:rPr>
          <w:rFonts w:cs="Times New Roman"/>
          <w:sz w:val="21"/>
        </w:rPr>
      </w:pPr>
      <w:r>
        <w:rPr>
          <w:rFonts w:cs="Times New Roman"/>
          <w:sz w:val="21"/>
        </w:rPr>
        <w:t>保修期内，修复的费用按照以下约定处理：</w:t>
      </w:r>
    </w:p>
    <w:p w14:paraId="2209BFCA">
      <w:pPr>
        <w:widowControl w:val="0"/>
        <w:tabs>
          <w:tab w:val="left" w:pos="1620"/>
          <w:tab w:val="left" w:pos="2340"/>
        </w:tabs>
        <w:spacing w:after="156"/>
        <w:ind w:left="899"/>
        <w:rPr>
          <w:rFonts w:cs="Times New Roman"/>
          <w:sz w:val="21"/>
        </w:rPr>
      </w:pPr>
      <w:r>
        <w:rPr>
          <w:rFonts w:cs="Times New Roman"/>
          <w:sz w:val="21"/>
        </w:rPr>
        <w:t>（1）保修期内，因承包人原因造成工程的缺陷、损坏，承包人应负责修复，并承担修复的费用以及因工程的缺陷、损坏造成的人身伤害和财产损失；</w:t>
      </w:r>
    </w:p>
    <w:p w14:paraId="501FAA36">
      <w:pPr>
        <w:widowControl w:val="0"/>
        <w:tabs>
          <w:tab w:val="left" w:pos="1620"/>
          <w:tab w:val="left" w:pos="2340"/>
        </w:tabs>
        <w:spacing w:after="156"/>
        <w:ind w:left="899"/>
        <w:rPr>
          <w:rFonts w:cs="Times New Roman"/>
          <w:sz w:val="21"/>
        </w:rPr>
      </w:pPr>
      <w:r>
        <w:rPr>
          <w:rFonts w:cs="Times New Roman"/>
          <w:sz w:val="21"/>
        </w:rPr>
        <w:t>（2）保修期内，因发包人使用不当造成工程的缺陷、损坏，可以委托承包人修复，但发包人应承担修复的费用，并支付承包人合理利润；</w:t>
      </w:r>
    </w:p>
    <w:p w14:paraId="31F9DEA4">
      <w:pPr>
        <w:widowControl w:val="0"/>
        <w:tabs>
          <w:tab w:val="left" w:pos="1620"/>
          <w:tab w:val="left" w:pos="2340"/>
        </w:tabs>
        <w:spacing w:after="156"/>
        <w:ind w:left="899"/>
        <w:rPr>
          <w:rFonts w:cs="Times New Roman"/>
          <w:sz w:val="21"/>
        </w:rPr>
      </w:pPr>
      <w:r>
        <w:rPr>
          <w:rFonts w:cs="Times New Roman"/>
          <w:sz w:val="21"/>
        </w:rPr>
        <w:t>（3）因其他原因造成工程的缺陷、损坏，可以委托承包人修复，发包人应承担修复的费用，并支付承包人合理的利润，因工程的缺陷、损坏造成的人身伤害和财产损失由责任方承担。</w:t>
      </w:r>
    </w:p>
    <w:p w14:paraId="403C87F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修复通知</w:t>
      </w:r>
    </w:p>
    <w:p w14:paraId="7F6A8EF8">
      <w:pPr>
        <w:widowControl w:val="0"/>
        <w:tabs>
          <w:tab w:val="left" w:pos="1620"/>
          <w:tab w:val="left" w:pos="2340"/>
        </w:tabs>
        <w:spacing w:after="156"/>
        <w:ind w:left="899"/>
        <w:rPr>
          <w:rFonts w:cs="Times New Roman"/>
          <w:sz w:val="21"/>
        </w:rPr>
      </w:pPr>
      <w:r>
        <w:rPr>
          <w:rFonts w:cs="Times New Roman"/>
          <w:sz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cs="Times New Roman"/>
          <w:b/>
          <w:i/>
          <w:sz w:val="21"/>
        </w:rPr>
        <w:t>专用条款</w:t>
      </w:r>
      <w:r>
        <w:rPr>
          <w:rFonts w:cs="Times New Roman"/>
          <w:sz w:val="21"/>
        </w:rPr>
        <w:t>约定的合理期限内到达工程现场并修复缺陷或损坏。</w:t>
      </w:r>
    </w:p>
    <w:p w14:paraId="75CF3171">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未能修复</w:t>
      </w:r>
    </w:p>
    <w:p w14:paraId="0213EDA2">
      <w:pPr>
        <w:widowControl w:val="0"/>
        <w:tabs>
          <w:tab w:val="left" w:pos="1620"/>
          <w:tab w:val="left" w:pos="2340"/>
        </w:tabs>
        <w:spacing w:after="156"/>
        <w:ind w:left="899"/>
        <w:rPr>
          <w:rFonts w:cs="Times New Roman"/>
          <w:sz w:val="21"/>
        </w:rPr>
      </w:pPr>
      <w:r>
        <w:rPr>
          <w:rFonts w:cs="Times New Roman"/>
          <w:sz w:val="21"/>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cs="Times New Roman"/>
          <w:sz w:val="21"/>
        </w:rPr>
        <w:t>但修复范围超出缺陷或损坏范围的，超出范围部分的修复费用由发包人承担。</w:t>
      </w:r>
    </w:p>
    <w:p w14:paraId="3A31181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cs="Times New Roman"/>
          <w:b/>
          <w:bCs/>
        </w:rPr>
        <w:t>承包人出入权</w:t>
      </w:r>
    </w:p>
    <w:p w14:paraId="6C8746A4">
      <w:pPr>
        <w:widowControl w:val="0"/>
        <w:tabs>
          <w:tab w:val="left" w:pos="1620"/>
          <w:tab w:val="left" w:pos="2340"/>
        </w:tabs>
        <w:spacing w:after="156"/>
        <w:ind w:left="899"/>
        <w:rPr>
          <w:rFonts w:cs="Times New Roman"/>
          <w:sz w:val="21"/>
        </w:rPr>
      </w:pPr>
      <w:r>
        <w:rPr>
          <w:rFonts w:cs="Times New Roman"/>
          <w:sz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F9B1B29">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不可抗力</w:t>
      </w:r>
    </w:p>
    <w:p w14:paraId="011C5F8B">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不可抗力包括范围</w:t>
      </w:r>
    </w:p>
    <w:p w14:paraId="32C9560B">
      <w:pPr>
        <w:widowControl w:val="0"/>
        <w:tabs>
          <w:tab w:val="left" w:pos="1620"/>
          <w:tab w:val="left" w:pos="2340"/>
        </w:tabs>
        <w:spacing w:after="156"/>
        <w:ind w:left="899"/>
        <w:rPr>
          <w:rFonts w:cs="Times New Roman"/>
          <w:sz w:val="21"/>
        </w:rPr>
      </w:pPr>
      <w:r>
        <w:rPr>
          <w:rFonts w:hint="eastAsia" w:ascii="Times New Roman" w:cs="Times New Roman"/>
          <w:kern w:val="2"/>
          <w:sz w:val="21"/>
        </w:rPr>
        <w:t>不可抗力事件是指发包人和承包人在订立合同时无法预见，在合同履行过程中不可避免发生并不能克服的自然灾害和社会突发事件，</w:t>
      </w:r>
      <w:r>
        <w:rPr>
          <w:rFonts w:hint="eastAsia" w:cs="Times New Roman"/>
          <w:sz w:val="21"/>
        </w:rPr>
        <w:t>包括战争、恐怖活动、动乱、瘟疫、空中飞行物体坠落或其他非发包人与承包人责任造成的爆炸、火灾，以及地震、洪涝和</w:t>
      </w:r>
      <w:r>
        <w:rPr>
          <w:rFonts w:hint="eastAsia" w:cs="Times New Roman"/>
          <w:b/>
          <w:i/>
          <w:sz w:val="21"/>
        </w:rPr>
        <w:t>专用条款</w:t>
      </w:r>
      <w:r>
        <w:rPr>
          <w:rFonts w:hint="eastAsia" w:cs="Times New Roman"/>
          <w:sz w:val="21"/>
        </w:rPr>
        <w:t>约定的大风、暴雨、高温等自然灾害</w:t>
      </w:r>
      <w:r>
        <w:rPr>
          <w:rFonts w:hint="eastAsia" w:ascii="Times New Roman" w:cs="Times New Roman"/>
          <w:kern w:val="2"/>
          <w:sz w:val="21"/>
        </w:rPr>
        <w:t>，以至于本合同部分或全部不能继续履行</w:t>
      </w:r>
      <w:r>
        <w:rPr>
          <w:rFonts w:hint="eastAsia" w:cs="Times New Roman"/>
          <w:sz w:val="21"/>
        </w:rPr>
        <w:t>。</w:t>
      </w:r>
    </w:p>
    <w:p w14:paraId="51CC85D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不可抗力的确认</w:t>
      </w:r>
    </w:p>
    <w:p w14:paraId="224F3C3F">
      <w:pPr>
        <w:widowControl w:val="0"/>
        <w:tabs>
          <w:tab w:val="left" w:pos="1620"/>
          <w:tab w:val="left" w:pos="2340"/>
        </w:tabs>
        <w:spacing w:after="156"/>
        <w:ind w:left="899"/>
        <w:rPr>
          <w:rFonts w:cs="Times New Roman"/>
          <w:sz w:val="21"/>
        </w:rPr>
      </w:pPr>
      <w:r>
        <w:rPr>
          <w:rFonts w:cs="Times New Roman"/>
          <w:sz w:val="21"/>
        </w:rPr>
        <w:t>不可抗力发生后，发包人和承包人应收集证明不可抗力发生及不可抗力造成损失的证据，并及时认真统计所造成的损失。承发包双方对是否属于不可抗力或其损失的意见不一致的，按第</w:t>
      </w:r>
      <w:r>
        <w:rPr>
          <w:rFonts w:hint="eastAsia" w:cs="Times New Roman"/>
          <w:sz w:val="21"/>
        </w:rPr>
        <w:t>31</w:t>
      </w:r>
      <w:r>
        <w:rPr>
          <w:rFonts w:cs="Times New Roman"/>
          <w:sz w:val="21"/>
        </w:rPr>
        <w:t>条</w:t>
      </w:r>
      <w:r>
        <w:rPr>
          <w:rFonts w:hint="eastAsia" w:cs="Times New Roman"/>
          <w:sz w:val="21"/>
        </w:rPr>
        <w:t>〔</w:t>
      </w:r>
      <w:r>
        <w:rPr>
          <w:rFonts w:cs="Times New Roman"/>
          <w:sz w:val="21"/>
        </w:rPr>
        <w:t>争议解决</w:t>
      </w:r>
      <w:r>
        <w:rPr>
          <w:rFonts w:hint="eastAsia" w:cs="Times New Roman"/>
          <w:sz w:val="21"/>
        </w:rPr>
        <w:t>〕</w:t>
      </w:r>
      <w:r>
        <w:rPr>
          <w:rFonts w:cs="Times New Roman"/>
          <w:sz w:val="21"/>
        </w:rPr>
        <w:t>的约定处理。</w:t>
      </w:r>
    </w:p>
    <w:p w14:paraId="69D326AB">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不可抗力处理程序</w:t>
      </w:r>
    </w:p>
    <w:p w14:paraId="2A990CA9">
      <w:pPr>
        <w:widowControl w:val="0"/>
        <w:tabs>
          <w:tab w:val="left" w:pos="1620"/>
          <w:tab w:val="left" w:pos="2340"/>
        </w:tabs>
        <w:spacing w:after="156"/>
        <w:ind w:left="899"/>
        <w:rPr>
          <w:rFonts w:cs="Times New Roman"/>
          <w:sz w:val="21"/>
        </w:rPr>
      </w:pPr>
      <w:r>
        <w:rPr>
          <w:rFonts w:hint="eastAsia" w:cs="Times New Roman"/>
          <w:sz w:val="21"/>
        </w:rPr>
        <w:t>⑴不可抗力事件发生后，承包人应立即通知</w:t>
      </w:r>
      <w:r>
        <w:rPr>
          <w:rFonts w:cs="Times New Roman"/>
          <w:sz w:val="21"/>
        </w:rPr>
        <w:t>监理人</w:t>
      </w:r>
      <w:r>
        <w:rPr>
          <w:rFonts w:hint="eastAsia" w:cs="Times New Roman"/>
          <w:sz w:val="21"/>
        </w:rPr>
        <w:t>，并在力所能及的条件下迅速采取措施，尽力减少损失，发包人应协助承包人采取措施。</w:t>
      </w:r>
      <w:r>
        <w:rPr>
          <w:rFonts w:cs="Times New Roman"/>
          <w:sz w:val="21"/>
        </w:rPr>
        <w:t>监理人</w:t>
      </w:r>
      <w:r>
        <w:rPr>
          <w:rFonts w:hint="eastAsia" w:cs="Times New Roman"/>
          <w:sz w:val="21"/>
        </w:rPr>
        <w:t>认为应暂停施工的，承包人应暂停施工。不可抗力事件结束后48小时内承包人向</w:t>
      </w:r>
      <w:r>
        <w:rPr>
          <w:rFonts w:cs="Times New Roman"/>
          <w:sz w:val="21"/>
        </w:rPr>
        <w:t>监理人</w:t>
      </w:r>
      <w:r>
        <w:rPr>
          <w:rFonts w:hint="eastAsia" w:cs="Times New Roman"/>
          <w:sz w:val="21"/>
        </w:rPr>
        <w:t>通报受害情况以及预计清理和修复的费用。不可抗力事件持续发生，承包人应每隔7天向</w:t>
      </w:r>
      <w:r>
        <w:rPr>
          <w:rFonts w:cs="Times New Roman"/>
          <w:sz w:val="21"/>
        </w:rPr>
        <w:t>监理人</w:t>
      </w:r>
      <w:r>
        <w:rPr>
          <w:rFonts w:hint="eastAsia" w:cs="Times New Roman"/>
          <w:sz w:val="21"/>
        </w:rPr>
        <w:t>报告一次受害情况。不可抗力事件结束后14天内，承包人向</w:t>
      </w:r>
      <w:r>
        <w:rPr>
          <w:rFonts w:cs="Times New Roman"/>
          <w:sz w:val="21"/>
        </w:rPr>
        <w:t>监理人</w:t>
      </w:r>
      <w:r>
        <w:rPr>
          <w:rFonts w:hint="eastAsia" w:cs="Times New Roman"/>
          <w:sz w:val="21"/>
        </w:rPr>
        <w:t>提交清理和修复费用的正式报告及有关资料。</w:t>
      </w:r>
    </w:p>
    <w:p w14:paraId="186BB7A6">
      <w:pPr>
        <w:widowControl w:val="0"/>
        <w:tabs>
          <w:tab w:val="left" w:pos="1620"/>
          <w:tab w:val="left" w:pos="2340"/>
        </w:tabs>
        <w:spacing w:after="156"/>
        <w:ind w:left="899"/>
        <w:rPr>
          <w:rFonts w:cs="Times New Roman"/>
          <w:sz w:val="21"/>
        </w:rPr>
      </w:pPr>
      <w:r>
        <w:rPr>
          <w:rFonts w:hint="eastAsia" w:cs="Times New Roman"/>
          <w:sz w:val="21"/>
        </w:rPr>
        <w:t>⑵本工程的有关各方均应始终尽所有合理的努力，使不可抗力对本工程及履行本合同造成的损失减至最小。</w:t>
      </w:r>
    </w:p>
    <w:p w14:paraId="4DD33340">
      <w:pPr>
        <w:widowControl w:val="0"/>
        <w:tabs>
          <w:tab w:val="left" w:pos="1620"/>
          <w:tab w:val="left" w:pos="2340"/>
        </w:tabs>
        <w:spacing w:after="156"/>
        <w:ind w:left="899"/>
        <w:rPr>
          <w:rFonts w:cs="Times New Roman"/>
          <w:sz w:val="21"/>
        </w:rPr>
      </w:pPr>
      <w:r>
        <w:rPr>
          <w:rFonts w:hint="eastAsia" w:cs="Times New Roman"/>
          <w:sz w:val="21"/>
        </w:rPr>
        <w:t>⑶因发包人和承包人一方迟延履行合同后发生不可抗力的，不能免除迟延履行方的迟延履行责任。</w:t>
      </w:r>
    </w:p>
    <w:p w14:paraId="133972E2">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不可抗力损失费用承担</w:t>
      </w:r>
    </w:p>
    <w:p w14:paraId="6A23A75D">
      <w:pPr>
        <w:widowControl w:val="0"/>
        <w:tabs>
          <w:tab w:val="left" w:pos="1620"/>
          <w:tab w:val="left" w:pos="2340"/>
        </w:tabs>
        <w:ind w:left="899"/>
        <w:rPr>
          <w:rFonts w:cs="Times New Roman"/>
          <w:sz w:val="21"/>
        </w:rPr>
      </w:pPr>
      <w:r>
        <w:rPr>
          <w:rFonts w:hint="eastAsia" w:cs="Times New Roman"/>
          <w:sz w:val="21"/>
        </w:rPr>
        <w:t>因不可抗力事件导致的费用及延误的工期由发包人和承包人按以下方法分别承担：</w:t>
      </w:r>
    </w:p>
    <w:p w14:paraId="768E8C51">
      <w:pPr>
        <w:widowControl w:val="0"/>
        <w:tabs>
          <w:tab w:val="left" w:pos="1620"/>
          <w:tab w:val="left" w:pos="2340"/>
        </w:tabs>
        <w:ind w:left="899"/>
        <w:rPr>
          <w:rFonts w:cs="Times New Roman"/>
          <w:sz w:val="21"/>
        </w:rPr>
      </w:pPr>
      <w:r>
        <w:rPr>
          <w:rFonts w:cs="Times New Roman"/>
          <w:sz w:val="21"/>
        </w:rPr>
        <w:t>⑴</w:t>
      </w:r>
      <w:r>
        <w:rPr>
          <w:rFonts w:hint="eastAsia" w:cs="Times New Roman"/>
          <w:sz w:val="21"/>
        </w:rPr>
        <w:t>工程本身的损害、因工程损害导致第三人人员伤亡和财产损失以及运至施工场地用于施工的材料和待安装的设备的损害，由发包人承担；</w:t>
      </w:r>
    </w:p>
    <w:p w14:paraId="5864903A">
      <w:pPr>
        <w:widowControl w:val="0"/>
        <w:tabs>
          <w:tab w:val="left" w:pos="1620"/>
          <w:tab w:val="left" w:pos="2340"/>
        </w:tabs>
        <w:ind w:left="899"/>
        <w:rPr>
          <w:rFonts w:cs="Times New Roman"/>
          <w:sz w:val="21"/>
        </w:rPr>
      </w:pPr>
      <w:r>
        <w:rPr>
          <w:rFonts w:cs="Times New Roman"/>
          <w:sz w:val="21"/>
        </w:rPr>
        <w:t>⑵</w:t>
      </w:r>
      <w:r>
        <w:rPr>
          <w:rFonts w:hint="eastAsia" w:cs="Times New Roman"/>
          <w:sz w:val="21"/>
        </w:rPr>
        <w:t>发包人、承包人人员伤亡由其所在单位负责，并承担相应费用；</w:t>
      </w:r>
    </w:p>
    <w:p w14:paraId="6244D8A0">
      <w:pPr>
        <w:widowControl w:val="0"/>
        <w:tabs>
          <w:tab w:val="left" w:pos="1620"/>
          <w:tab w:val="left" w:pos="2340"/>
        </w:tabs>
        <w:ind w:left="899"/>
        <w:rPr>
          <w:rFonts w:cs="Times New Roman"/>
          <w:sz w:val="21"/>
        </w:rPr>
      </w:pPr>
      <w:r>
        <w:rPr>
          <w:rFonts w:cs="Times New Roman"/>
          <w:sz w:val="21"/>
        </w:rPr>
        <w:t>⑶</w:t>
      </w:r>
      <w:r>
        <w:rPr>
          <w:rFonts w:hint="eastAsia" w:cs="Times New Roman"/>
          <w:sz w:val="21"/>
        </w:rPr>
        <w:t>承包人装备损坏、用于本工程的周转材料损坏及停工损失，由承包人承担；发包人提供的施工机械、设备发生损坏，由发包人承担；</w:t>
      </w:r>
    </w:p>
    <w:p w14:paraId="04960C98">
      <w:pPr>
        <w:widowControl w:val="0"/>
        <w:tabs>
          <w:tab w:val="left" w:pos="1620"/>
          <w:tab w:val="left" w:pos="2340"/>
        </w:tabs>
        <w:ind w:left="899"/>
        <w:rPr>
          <w:rFonts w:cs="Times New Roman"/>
          <w:sz w:val="21"/>
        </w:rPr>
      </w:pPr>
      <w:r>
        <w:rPr>
          <w:rFonts w:cs="Times New Roman"/>
          <w:sz w:val="21"/>
        </w:rPr>
        <w:t>⑷</w:t>
      </w:r>
      <w:r>
        <w:rPr>
          <w:rFonts w:hint="eastAsia" w:cs="Times New Roman"/>
          <w:sz w:val="21"/>
        </w:rPr>
        <w:t>因不可抗力导致停工期间，承包人应发包人或</w:t>
      </w:r>
      <w:r>
        <w:rPr>
          <w:rFonts w:cs="Times New Roman"/>
          <w:sz w:val="21"/>
        </w:rPr>
        <w:t>监理人</w:t>
      </w:r>
      <w:r>
        <w:rPr>
          <w:rFonts w:hint="eastAsia" w:cs="Times New Roman"/>
          <w:sz w:val="21"/>
        </w:rPr>
        <w:t>要求留在施工场地的必要的管理人员及保卫人员的费用由发包人承担；</w:t>
      </w:r>
    </w:p>
    <w:p w14:paraId="58C692F4">
      <w:pPr>
        <w:widowControl w:val="0"/>
        <w:tabs>
          <w:tab w:val="left" w:pos="1620"/>
          <w:tab w:val="left" w:pos="2340"/>
        </w:tabs>
        <w:ind w:left="899"/>
        <w:rPr>
          <w:rFonts w:cs="Times New Roman"/>
          <w:sz w:val="21"/>
        </w:rPr>
      </w:pPr>
      <w:r>
        <w:rPr>
          <w:rFonts w:cs="Times New Roman"/>
          <w:sz w:val="21"/>
        </w:rPr>
        <w:t>⑸</w:t>
      </w:r>
      <w:r>
        <w:rPr>
          <w:rFonts w:hint="eastAsia" w:cs="Times New Roman"/>
          <w:sz w:val="21"/>
        </w:rPr>
        <w:t>工程所需清理、修复费用，由发包人承担；</w:t>
      </w:r>
    </w:p>
    <w:p w14:paraId="7E4F2A72">
      <w:pPr>
        <w:widowControl w:val="0"/>
        <w:tabs>
          <w:tab w:val="left" w:pos="1620"/>
          <w:tab w:val="left" w:pos="2340"/>
        </w:tabs>
        <w:ind w:left="899"/>
        <w:rPr>
          <w:rFonts w:cs="Times New Roman"/>
          <w:sz w:val="21"/>
        </w:rPr>
      </w:pPr>
      <w:r>
        <w:rPr>
          <w:rFonts w:cs="Times New Roman"/>
          <w:sz w:val="21"/>
        </w:rPr>
        <w:t>⑹</w:t>
      </w:r>
      <w:r>
        <w:rPr>
          <w:rFonts w:hint="eastAsia" w:cs="Times New Roman"/>
          <w:sz w:val="21"/>
        </w:rPr>
        <w:t>延误的工期相应顺延。</w:t>
      </w:r>
    </w:p>
    <w:p w14:paraId="0DA6F166">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保险</w:t>
      </w:r>
    </w:p>
    <w:p w14:paraId="276A1A45">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发包人办理的保险</w:t>
      </w:r>
    </w:p>
    <w:p w14:paraId="25BB4A9C">
      <w:pPr>
        <w:widowControl w:val="0"/>
        <w:tabs>
          <w:tab w:val="left" w:pos="1620"/>
          <w:tab w:val="left" w:pos="2340"/>
        </w:tabs>
        <w:spacing w:after="156"/>
        <w:ind w:left="899"/>
        <w:rPr>
          <w:rFonts w:cs="Times New Roman"/>
          <w:sz w:val="21"/>
        </w:rPr>
      </w:pPr>
      <w:r>
        <w:rPr>
          <w:rFonts w:hint="eastAsia" w:cs="Times New Roman"/>
          <w:sz w:val="21"/>
        </w:rPr>
        <w:t>工程开工前，发包人应为本工程、施工场地内的自有人员、第三者人员生命财产、</w:t>
      </w:r>
      <w:r>
        <w:rPr>
          <w:rFonts w:hint="eastAsia" w:ascii="Times New Roman" w:cs="Times New Roman"/>
          <w:kern w:val="2"/>
          <w:sz w:val="21"/>
        </w:rPr>
        <w:t>运至施工场地内用于永久工程的材料和待安装设备</w:t>
      </w:r>
      <w:r>
        <w:rPr>
          <w:rFonts w:hint="eastAsia" w:cs="Times New Roman"/>
          <w:sz w:val="21"/>
        </w:rPr>
        <w:t>办理保险，支付保险费用。</w:t>
      </w:r>
      <w:r>
        <w:rPr>
          <w:rFonts w:hint="eastAsia" w:ascii="Times New Roman" w:cs="Times New Roman"/>
          <w:kern w:val="2"/>
          <w:sz w:val="21"/>
        </w:rPr>
        <w:t>保险期从开工之日起至工程竣工验收合格之日止。</w:t>
      </w:r>
      <w:r>
        <w:rPr>
          <w:rFonts w:hint="eastAsia" w:cs="Times New Roman"/>
          <w:sz w:val="21"/>
        </w:rPr>
        <w:t>发包人可以按</w:t>
      </w:r>
      <w:r>
        <w:rPr>
          <w:rFonts w:hint="eastAsia" w:cs="Times New Roman"/>
          <w:b/>
          <w:i/>
          <w:sz w:val="21"/>
        </w:rPr>
        <w:t>专用条款</w:t>
      </w:r>
      <w:r>
        <w:rPr>
          <w:rFonts w:hint="eastAsia" w:cs="Times New Roman"/>
          <w:sz w:val="21"/>
        </w:rPr>
        <w:t>的约定将上述有关保险事项委托承包人办理，费用由发包人承担。</w:t>
      </w:r>
    </w:p>
    <w:p w14:paraId="1BFF530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承包人办理的保险</w:t>
      </w:r>
    </w:p>
    <w:p w14:paraId="21D92BAC">
      <w:pPr>
        <w:widowControl w:val="0"/>
        <w:tabs>
          <w:tab w:val="left" w:pos="1620"/>
          <w:tab w:val="left" w:pos="2340"/>
        </w:tabs>
        <w:spacing w:after="156"/>
        <w:ind w:left="899"/>
        <w:rPr>
          <w:rFonts w:cs="Times New Roman"/>
          <w:sz w:val="21"/>
        </w:rPr>
      </w:pPr>
      <w:r>
        <w:rPr>
          <w:rFonts w:hint="eastAsia" w:cs="Times New Roman"/>
          <w:sz w:val="21"/>
        </w:rPr>
        <w:t>承包人必须为从事危险作业的职工办理意外伤害保险，并为施工场地内的自有人员生命财产及施工机械设备办理保险，支付保险费用。</w:t>
      </w:r>
      <w:r>
        <w:rPr>
          <w:rFonts w:hint="eastAsia" w:ascii="Times New Roman" w:cs="Times New Roman"/>
          <w:kern w:val="2"/>
          <w:sz w:val="21"/>
        </w:rPr>
        <w:t>保险期从开工之日起至工程竣工验收合格之日止。</w:t>
      </w:r>
      <w:r>
        <w:rPr>
          <w:rFonts w:cs="Times New Roman"/>
          <w:sz w:val="21"/>
        </w:rPr>
        <w:t>承包人在保险投保时还必须符合深圳市</w:t>
      </w:r>
      <w:r>
        <w:rPr>
          <w:rFonts w:hint="eastAsia" w:cs="Times New Roman"/>
          <w:sz w:val="21"/>
        </w:rPr>
        <w:t>有关员工和机械、设备保险办理规定。对于分包人的人员，此类保险应由分包人投保，但承包人应对其符合本条规定负责。</w:t>
      </w:r>
    </w:p>
    <w:p w14:paraId="6FBB17F9">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投保人责任</w:t>
      </w:r>
    </w:p>
    <w:p w14:paraId="427C1533">
      <w:pPr>
        <w:widowControl w:val="0"/>
        <w:tabs>
          <w:tab w:val="left" w:pos="1620"/>
          <w:tab w:val="left" w:pos="2340"/>
        </w:tabs>
        <w:spacing w:after="156"/>
        <w:ind w:left="899"/>
        <w:rPr>
          <w:rFonts w:cs="Times New Roman"/>
          <w:sz w:val="21"/>
        </w:rPr>
      </w:pPr>
      <w:r>
        <w:rPr>
          <w:rFonts w:hint="eastAsia" w:cs="Times New Roman"/>
          <w:sz w:val="21"/>
        </w:rPr>
        <w:t>⑴发包人和承包人中一方应向另一方提供按本合同要求其投保的各项保险已经生效的证明。</w:t>
      </w:r>
    </w:p>
    <w:p w14:paraId="0C900186">
      <w:pPr>
        <w:widowControl w:val="0"/>
        <w:tabs>
          <w:tab w:val="left" w:pos="1620"/>
          <w:tab w:val="left" w:pos="2340"/>
        </w:tabs>
        <w:spacing w:after="156"/>
        <w:ind w:left="899"/>
        <w:rPr>
          <w:rFonts w:cs="Times New Roman"/>
          <w:sz w:val="21"/>
        </w:rPr>
      </w:pPr>
      <w:r>
        <w:rPr>
          <w:rFonts w:hint="eastAsia" w:cs="Times New Roman"/>
          <w:sz w:val="21"/>
        </w:rPr>
        <w:t>⑵当合同工程施工的性质、规模或工期以及人员发生变更时，被保险人应及时通知保险公司，并在合同履行期间按本合同保险条款的规定保证足够的保险额，因而造成的费用由责任人承担。</w:t>
      </w:r>
    </w:p>
    <w:p w14:paraId="201232AE">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保险理赔</w:t>
      </w:r>
    </w:p>
    <w:p w14:paraId="34CE7840">
      <w:pPr>
        <w:widowControl w:val="0"/>
        <w:tabs>
          <w:tab w:val="left" w:pos="1620"/>
          <w:tab w:val="left" w:pos="2340"/>
        </w:tabs>
        <w:spacing w:after="156"/>
        <w:ind w:left="899"/>
        <w:rPr>
          <w:rFonts w:cs="Times New Roman"/>
          <w:sz w:val="21"/>
        </w:rPr>
      </w:pPr>
      <w:r>
        <w:rPr>
          <w:rFonts w:hint="eastAsia" w:cs="Times New Roman"/>
          <w:sz w:val="21"/>
        </w:rPr>
        <w:t>⑴当发生本工程承保项目的损失或损害时，被保险人应在风险发生后及时向保险公司提供损失情况和估价报告，如损失继续发生，被保险人在递交第一次报告后每7天报告一次，直到损害结束。发包人和承包人中一方应协助另一方做好向保险公司的报告和索赔工作。</w:t>
      </w:r>
    </w:p>
    <w:p w14:paraId="3C798150">
      <w:pPr>
        <w:widowControl w:val="0"/>
        <w:tabs>
          <w:tab w:val="left" w:pos="1620"/>
          <w:tab w:val="left" w:pos="2340"/>
        </w:tabs>
        <w:spacing w:after="156"/>
        <w:ind w:left="899"/>
        <w:rPr>
          <w:rFonts w:cs="Times New Roman"/>
          <w:sz w:val="21"/>
        </w:rPr>
      </w:pPr>
      <w:r>
        <w:rPr>
          <w:rFonts w:hint="eastAsia" w:cs="Times New Roman"/>
          <w:sz w:val="21"/>
        </w:rPr>
        <w:t>⑵从保险公司收到的因合同工程本身损失或损坏的保险赔偿金</w:t>
      </w:r>
      <w:r>
        <w:rPr>
          <w:rFonts w:cs="Times New Roman"/>
          <w:sz w:val="21"/>
        </w:rPr>
        <w:t>，</w:t>
      </w:r>
      <w:r>
        <w:rPr>
          <w:rFonts w:hint="eastAsia" w:cs="Times New Roman"/>
          <w:sz w:val="21"/>
        </w:rPr>
        <w:t>应专款用于修复合同工程这些损失或损坏，或作为对未能修复合同工程这些损失或损坏的补偿。</w:t>
      </w:r>
    </w:p>
    <w:p w14:paraId="6CD88480">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未按约定投保的补救</w:t>
      </w:r>
    </w:p>
    <w:p w14:paraId="6D8109B3">
      <w:pPr>
        <w:widowControl w:val="0"/>
        <w:tabs>
          <w:tab w:val="left" w:pos="1620"/>
          <w:tab w:val="left" w:pos="2340"/>
        </w:tabs>
        <w:spacing w:after="156"/>
        <w:ind w:left="899"/>
        <w:rPr>
          <w:rFonts w:cs="Times New Roman"/>
          <w:sz w:val="21"/>
        </w:rPr>
      </w:pPr>
      <w:r>
        <w:rPr>
          <w:rFonts w:hint="eastAsia" w:cs="Times New Roman"/>
          <w:sz w:val="21"/>
        </w:rPr>
        <w:t>⑴</w:t>
      </w:r>
      <w:r>
        <w:rPr>
          <w:rFonts w:cs="Times New Roman"/>
          <w:sz w:val="21"/>
        </w:rPr>
        <w:t>发包人未按合同约定办理保险，或未能使保险持续有效的，则承包人可代为办理，所需费用由发包人承担。发包人未按合同约定办理保险，导致未能得到足额赔偿的，由发包人负责补足。</w:t>
      </w:r>
    </w:p>
    <w:p w14:paraId="3624513F">
      <w:pPr>
        <w:widowControl w:val="0"/>
        <w:tabs>
          <w:tab w:val="left" w:pos="1620"/>
          <w:tab w:val="left" w:pos="2340"/>
        </w:tabs>
        <w:spacing w:after="156"/>
        <w:ind w:left="899"/>
        <w:rPr>
          <w:rFonts w:cs="Times New Roman"/>
          <w:sz w:val="21"/>
        </w:rPr>
      </w:pPr>
      <w:r>
        <w:rPr>
          <w:rFonts w:hint="eastAsia" w:cs="Times New Roman"/>
          <w:sz w:val="21"/>
        </w:rPr>
        <w:t>⑵</w:t>
      </w:r>
      <w:r>
        <w:rPr>
          <w:rFonts w:cs="Times New Roman"/>
          <w:sz w:val="21"/>
        </w:rPr>
        <w:t>承包人未按合同约定办理保险，或未能使保险持续有效的，则发包人可代为办理，所需费用由承包人承担。承包人未按合同约定办理保险，导致未能得到足额赔偿的，由承包人负责补足。</w:t>
      </w:r>
    </w:p>
    <w:p w14:paraId="35534B4D">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工程担保</w:t>
      </w:r>
    </w:p>
    <w:p w14:paraId="4FA3FCC6">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履约担保</w:t>
      </w:r>
    </w:p>
    <w:p w14:paraId="22AA2F5B">
      <w:pPr>
        <w:widowControl w:val="0"/>
        <w:tabs>
          <w:tab w:val="left" w:pos="1620"/>
          <w:tab w:val="left" w:pos="2340"/>
        </w:tabs>
        <w:spacing w:after="156"/>
        <w:ind w:left="899"/>
        <w:rPr>
          <w:rFonts w:cs="Times New Roman"/>
          <w:sz w:val="21"/>
        </w:rPr>
      </w:pPr>
      <w:r>
        <w:rPr>
          <w:rFonts w:hint="eastAsia" w:cs="Times New Roman"/>
          <w:sz w:val="21"/>
        </w:rPr>
        <w:t>⑴承包人应按</w:t>
      </w:r>
      <w:r>
        <w:rPr>
          <w:rFonts w:hint="eastAsia" w:cs="Times New Roman"/>
          <w:b/>
          <w:i/>
          <w:sz w:val="21"/>
        </w:rPr>
        <w:t>专用条款</w:t>
      </w:r>
      <w:r>
        <w:rPr>
          <w:rFonts w:hint="eastAsia" w:cs="Times New Roman"/>
          <w:sz w:val="21"/>
        </w:rPr>
        <w:t>约定的金额和方式向发包人提交履约担保，履约担保应由保证人(银行、保险公司、担保公司)出具。</w:t>
      </w:r>
    </w:p>
    <w:p w14:paraId="62193527">
      <w:pPr>
        <w:widowControl w:val="0"/>
        <w:tabs>
          <w:tab w:val="left" w:pos="1620"/>
          <w:tab w:val="left" w:pos="2340"/>
        </w:tabs>
        <w:spacing w:after="156"/>
        <w:ind w:left="899"/>
        <w:rPr>
          <w:rFonts w:cs="Times New Roman"/>
          <w:sz w:val="21"/>
        </w:rPr>
      </w:pPr>
      <w:r>
        <w:rPr>
          <w:rFonts w:hint="eastAsia" w:cs="Times New Roman"/>
          <w:sz w:val="21"/>
        </w:rPr>
        <w:t>⑵履约担保的有效期应截止到本工程竣工验收合格之日。本工程实际竣工验收合格之日之前履约担保的有效期已过的，承包人应及时续保。发包人应在本工程实际竣工验收合格之日后14天内将履约担保退还给承包人。</w:t>
      </w:r>
    </w:p>
    <w:p w14:paraId="16CD82BC">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支付担保</w:t>
      </w:r>
    </w:p>
    <w:p w14:paraId="792023D5">
      <w:pPr>
        <w:widowControl w:val="0"/>
        <w:tabs>
          <w:tab w:val="left" w:pos="1620"/>
          <w:tab w:val="left" w:pos="2340"/>
        </w:tabs>
        <w:spacing w:after="156"/>
        <w:ind w:left="899"/>
        <w:rPr>
          <w:rFonts w:cs="Times New Roman"/>
          <w:sz w:val="21"/>
        </w:rPr>
      </w:pPr>
      <w:r>
        <w:rPr>
          <w:rFonts w:hint="eastAsia" w:cs="Times New Roman"/>
          <w:sz w:val="21"/>
        </w:rPr>
        <w:t>⑴发包人和承包人在签订本合同的同时，发包人应按</w:t>
      </w:r>
      <w:r>
        <w:rPr>
          <w:rFonts w:hint="eastAsia" w:cs="Times New Roman"/>
          <w:b/>
          <w:i/>
          <w:sz w:val="21"/>
        </w:rPr>
        <w:t>专用条款</w:t>
      </w:r>
      <w:r>
        <w:rPr>
          <w:rFonts w:hint="eastAsia" w:cs="Times New Roman"/>
          <w:sz w:val="21"/>
        </w:rPr>
        <w:t>约定的金额和方式向承包人提交支付担保，支付担保应由保证人(银行、保险公司、担保公司)出具。</w:t>
      </w:r>
    </w:p>
    <w:p w14:paraId="45CC988E">
      <w:pPr>
        <w:widowControl w:val="0"/>
        <w:tabs>
          <w:tab w:val="left" w:pos="1620"/>
          <w:tab w:val="left" w:pos="2340"/>
        </w:tabs>
        <w:spacing w:after="156"/>
        <w:ind w:left="899"/>
        <w:rPr>
          <w:rFonts w:cs="Times New Roman"/>
          <w:sz w:val="21"/>
        </w:rPr>
      </w:pPr>
      <w:r>
        <w:rPr>
          <w:rFonts w:hint="eastAsia" w:cs="Times New Roman"/>
          <w:sz w:val="21"/>
        </w:rPr>
        <w:t>⑵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天内将支付担保退还发包人。</w:t>
      </w:r>
    </w:p>
    <w:p w14:paraId="55A54711">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保证人支付索赔款项</w:t>
      </w:r>
    </w:p>
    <w:p w14:paraId="5F48BCB4">
      <w:pPr>
        <w:widowControl w:val="0"/>
        <w:tabs>
          <w:tab w:val="left" w:pos="1620"/>
          <w:tab w:val="left" w:pos="2340"/>
        </w:tabs>
        <w:spacing w:after="156"/>
        <w:ind w:left="899"/>
        <w:rPr>
          <w:rFonts w:cs="Times New Roman"/>
          <w:sz w:val="21"/>
        </w:rPr>
      </w:pPr>
      <w:r>
        <w:rPr>
          <w:rFonts w:hint="eastAsia" w:cs="Times New Roman"/>
          <w:sz w:val="21"/>
        </w:rPr>
        <w:t>⑴如承包人在履行本合同中，由于资金、技术、质量或非不可抗力等原因给发包人造成损失时，在履约担保书的有效期内，发包人应书面通知承包人，说明导致索赔的原因，并及时向保证人提出索赔文件，保证人应无条件就担保金额向发包人支付索赔款项，无须征得承包人的同意。</w:t>
      </w:r>
    </w:p>
    <w:p w14:paraId="4FDA9169">
      <w:pPr>
        <w:widowControl w:val="0"/>
        <w:tabs>
          <w:tab w:val="left" w:pos="1620"/>
          <w:tab w:val="left" w:pos="2340"/>
        </w:tabs>
        <w:spacing w:after="156"/>
        <w:ind w:left="899"/>
        <w:rPr>
          <w:rFonts w:cs="Times New Roman"/>
          <w:sz w:val="21"/>
        </w:rPr>
      </w:pPr>
      <w:r>
        <w:rPr>
          <w:rFonts w:hint="eastAsia" w:cs="Times New Roman"/>
          <w:sz w:val="21"/>
        </w:rPr>
        <w:t>⑵如发包人在履行本合同中，由于资金不足或非不可抗力等原因给承包人造成损失时，在支付担保书的有效期内，承包人应书面通知发包人，说明导致索赔的原因，并及时向保证人提出索赔文件，保证人应无条件就担保金额向承包人支付索赔款项，无须征得发包人的同意。</w:t>
      </w:r>
    </w:p>
    <w:p w14:paraId="6B07A265">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留置或追加支付担保</w:t>
      </w:r>
    </w:p>
    <w:p w14:paraId="5729855F">
      <w:pPr>
        <w:widowControl w:val="0"/>
        <w:tabs>
          <w:tab w:val="left" w:pos="1620"/>
          <w:tab w:val="left" w:pos="2340"/>
        </w:tabs>
        <w:spacing w:after="156"/>
        <w:ind w:left="899"/>
        <w:rPr>
          <w:rFonts w:cs="Times New Roman"/>
          <w:sz w:val="21"/>
        </w:rPr>
      </w:pPr>
      <w:r>
        <w:rPr>
          <w:rFonts w:hint="eastAsia" w:cs="Times New Roman"/>
          <w:sz w:val="21"/>
        </w:rPr>
        <w:t>在工程竣工验收时，承包人可留置与预计未结算工程价款当的标的物，或者要求发包人提供追加支付担保。追加支付担保金额由应发包人和承包人根据预计未结算工程价款款额按35.2⑴款约定确定。追加支付担保的办理及索赔程序同支付担保。</w:t>
      </w:r>
    </w:p>
    <w:p w14:paraId="12CDC868">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合同的生效、终止和解除</w:t>
      </w:r>
    </w:p>
    <w:p w14:paraId="0EA1EE51">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合同的生效</w:t>
      </w:r>
    </w:p>
    <w:p w14:paraId="11537F22">
      <w:pPr>
        <w:widowControl w:val="0"/>
        <w:tabs>
          <w:tab w:val="left" w:pos="1620"/>
          <w:tab w:val="left" w:pos="2340"/>
        </w:tabs>
        <w:spacing w:after="156"/>
        <w:ind w:left="899"/>
        <w:rPr>
          <w:rFonts w:cs="Times New Roman"/>
          <w:sz w:val="21"/>
        </w:rPr>
      </w:pPr>
      <w:r>
        <w:rPr>
          <w:rFonts w:hint="eastAsia" w:cs="Times New Roman"/>
          <w:sz w:val="21"/>
        </w:rPr>
        <w:t>发包人和承包人在协议书中约定本合同生效的方式。</w:t>
      </w:r>
    </w:p>
    <w:p w14:paraId="671E7039">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合同的终止</w:t>
      </w:r>
    </w:p>
    <w:p w14:paraId="3C396609">
      <w:pPr>
        <w:widowControl w:val="0"/>
        <w:tabs>
          <w:tab w:val="left" w:pos="1620"/>
          <w:tab w:val="left" w:pos="2340"/>
        </w:tabs>
        <w:spacing w:after="156"/>
        <w:ind w:left="899"/>
        <w:rPr>
          <w:rFonts w:cs="Times New Roman"/>
          <w:sz w:val="21"/>
        </w:rPr>
      </w:pPr>
      <w:r>
        <w:rPr>
          <w:rFonts w:hint="eastAsia" w:cs="Times New Roman"/>
          <w:sz w:val="21"/>
        </w:rPr>
        <w:t>⑴除第31条有关争议及第32条有关缺陷责任外，发包人和承包人履行本合同全部义务，工程竣工交付完毕，工程竣工结算价款支付完毕，本合同即告终止。</w:t>
      </w:r>
    </w:p>
    <w:p w14:paraId="31B14213">
      <w:pPr>
        <w:widowControl w:val="0"/>
        <w:tabs>
          <w:tab w:val="left" w:pos="1620"/>
          <w:tab w:val="left" w:pos="2340"/>
        </w:tabs>
        <w:spacing w:after="156"/>
        <w:ind w:left="899"/>
        <w:rPr>
          <w:rFonts w:cs="Times New Roman"/>
          <w:sz w:val="21"/>
        </w:rPr>
      </w:pPr>
      <w:r>
        <w:rPr>
          <w:rFonts w:hint="eastAsia" w:cs="Times New Roman"/>
          <w:sz w:val="21"/>
        </w:rPr>
        <w:t>⑵本合同的权利义务终止后，发包人和承包人应遵循诚实信用原则，履行通知、协助、保密等义务。</w:t>
      </w:r>
    </w:p>
    <w:p w14:paraId="74A222FD">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解除合同的情形</w:t>
      </w:r>
    </w:p>
    <w:p w14:paraId="698D4DBD">
      <w:pPr>
        <w:widowControl w:val="0"/>
        <w:tabs>
          <w:tab w:val="left" w:pos="1620"/>
          <w:tab w:val="left" w:pos="2340"/>
        </w:tabs>
        <w:spacing w:after="156"/>
        <w:ind w:left="899"/>
        <w:rPr>
          <w:rFonts w:cs="Times New Roman"/>
          <w:sz w:val="21"/>
        </w:rPr>
      </w:pPr>
      <w:r>
        <w:rPr>
          <w:rFonts w:hint="eastAsia" w:cs="Times New Roman"/>
          <w:sz w:val="21"/>
        </w:rPr>
        <w:t>⑴发包人和承包人协商一致，可以解除合同。</w:t>
      </w:r>
    </w:p>
    <w:p w14:paraId="4539E77E">
      <w:pPr>
        <w:widowControl w:val="0"/>
        <w:tabs>
          <w:tab w:val="left" w:pos="1620"/>
          <w:tab w:val="left" w:pos="2340"/>
        </w:tabs>
        <w:spacing w:after="156"/>
        <w:ind w:left="899"/>
        <w:rPr>
          <w:rFonts w:cs="Times New Roman"/>
          <w:sz w:val="21"/>
        </w:rPr>
      </w:pPr>
      <w:r>
        <w:rPr>
          <w:rFonts w:hint="eastAsia" w:cs="Times New Roman"/>
          <w:sz w:val="21"/>
        </w:rPr>
        <w:t>⑵发生第6.1款和第6.2款禁止的情况，承包人将其承包的全部工程或任何部分转让给他人，或者将其承包的全部工程肢解分包，发包人有权解除合同。</w:t>
      </w:r>
    </w:p>
    <w:p w14:paraId="25DA1A12">
      <w:pPr>
        <w:widowControl w:val="0"/>
        <w:tabs>
          <w:tab w:val="left" w:pos="1620"/>
          <w:tab w:val="left" w:pos="2340"/>
        </w:tabs>
        <w:spacing w:after="156"/>
        <w:ind w:left="899"/>
        <w:rPr>
          <w:rFonts w:cs="Times New Roman"/>
          <w:sz w:val="21"/>
        </w:rPr>
      </w:pPr>
      <w:r>
        <w:rPr>
          <w:rFonts w:hint="eastAsia" w:cs="Times New Roman"/>
          <w:sz w:val="21"/>
        </w:rPr>
        <w:t>⑶</w:t>
      </w:r>
      <w:r>
        <w:rPr>
          <w:rFonts w:cs="Times New Roman"/>
          <w:sz w:val="21"/>
        </w:rPr>
        <w:t>因不可抗力导致合同无法履行连续超过84天或累计超过140天的，发包人和承包人均有权解除合同</w:t>
      </w:r>
      <w:r>
        <w:rPr>
          <w:rFonts w:hint="eastAsia" w:cs="Times New Roman"/>
          <w:sz w:val="21"/>
        </w:rPr>
        <w:t>；</w:t>
      </w:r>
    </w:p>
    <w:p w14:paraId="4C54BDD0">
      <w:pPr>
        <w:widowControl w:val="0"/>
        <w:tabs>
          <w:tab w:val="left" w:pos="1620"/>
          <w:tab w:val="left" w:pos="2340"/>
        </w:tabs>
        <w:spacing w:after="156"/>
        <w:ind w:left="899"/>
        <w:rPr>
          <w:rFonts w:cs="Times New Roman"/>
          <w:sz w:val="21"/>
        </w:rPr>
      </w:pPr>
      <w:r>
        <w:rPr>
          <w:rFonts w:hint="eastAsia" w:cs="Times New Roman"/>
          <w:sz w:val="21"/>
        </w:rPr>
        <w:t>⑷因一方违约(包括因发包人原因造成工程停建或缓建)致使合同无法履行，另一方可以解除合同。</w:t>
      </w:r>
    </w:p>
    <w:p w14:paraId="79B690A3">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解除合同的程序</w:t>
      </w:r>
    </w:p>
    <w:p w14:paraId="1D90BCC8">
      <w:pPr>
        <w:widowControl w:val="0"/>
        <w:tabs>
          <w:tab w:val="left" w:pos="1620"/>
          <w:tab w:val="left" w:pos="2340"/>
        </w:tabs>
        <w:spacing w:after="156"/>
        <w:ind w:left="899"/>
        <w:rPr>
          <w:rFonts w:cs="Times New Roman"/>
          <w:sz w:val="21"/>
        </w:rPr>
      </w:pPr>
      <w:r>
        <w:rPr>
          <w:rFonts w:hint="eastAsia" w:cs="Times New Roman"/>
          <w:sz w:val="21"/>
        </w:rPr>
        <w:t>⑴发包人和承包人一方按第36.3款要求解除合同的，应以书面形式向对方发出解除合同的通知，双方签订解除合同协议后本合同解除。</w:t>
      </w:r>
    </w:p>
    <w:p w14:paraId="3267BAD0">
      <w:pPr>
        <w:widowControl w:val="0"/>
        <w:tabs>
          <w:tab w:val="left" w:pos="1620"/>
          <w:tab w:val="left" w:pos="2340"/>
        </w:tabs>
        <w:spacing w:after="156"/>
        <w:ind w:left="899"/>
        <w:rPr>
          <w:rFonts w:cs="Times New Roman"/>
          <w:sz w:val="21"/>
        </w:rPr>
      </w:pPr>
      <w:r>
        <w:rPr>
          <w:rFonts w:hint="eastAsia" w:cs="Times New Roman"/>
          <w:sz w:val="21"/>
        </w:rPr>
        <w:t>⑵合同解除后，承包人应妥善做好已完工程和已购材料、设备的保护和移交工作，按发包人要求将承包人装备和人员撤出施工场地。发包人应为承包人撤出提供必要条件，支付以上所发生的费用，并按合同约定支付已完工程价款。已经订货的材料、设备由订货方负责退货或解除订货合同，因未及时退货造成的损失由责任方承担。不能退还的货款和因退货、解除订货合同发生的费用，由责任方承担，但是因不可抗力造成合同解除的由发包人承担。除此之外，有过错的一方应赔偿因合同解除给对方造成的损失。</w:t>
      </w:r>
    </w:p>
    <w:p w14:paraId="27C29A7F">
      <w:pPr>
        <w:widowControl w:val="0"/>
        <w:tabs>
          <w:tab w:val="left" w:pos="1620"/>
          <w:tab w:val="left" w:pos="2340"/>
        </w:tabs>
        <w:spacing w:after="156"/>
        <w:ind w:left="899"/>
        <w:rPr>
          <w:rFonts w:cs="Times New Roman"/>
          <w:sz w:val="21"/>
        </w:rPr>
      </w:pPr>
      <w:r>
        <w:rPr>
          <w:rFonts w:hint="eastAsia" w:cs="Times New Roman"/>
          <w:sz w:val="21"/>
        </w:rPr>
        <w:t>⑶合同解除后，不影响发包人和承包人在合同中约定的结算和清理条款的效力。</w:t>
      </w:r>
    </w:p>
    <w:p w14:paraId="4C1AA915">
      <w:pPr>
        <w:widowControl w:val="0"/>
        <w:numPr>
          <w:ilvl w:val="0"/>
          <w:numId w:val="1"/>
        </w:numPr>
        <w:tabs>
          <w:tab w:val="left" w:pos="720"/>
          <w:tab w:val="left" w:pos="1620"/>
          <w:tab w:val="left" w:pos="2340"/>
          <w:tab w:val="clear" w:pos="4032"/>
        </w:tabs>
        <w:spacing w:before="240" w:after="120"/>
        <w:ind w:left="178" w:firstLine="0"/>
        <w:outlineLvl w:val="0"/>
        <w:rPr>
          <w:rFonts w:ascii="华文细黑" w:cs="Times New Roman"/>
          <w:b/>
          <w:bCs/>
          <w:snapToGrid w:val="0"/>
          <w:sz w:val="28"/>
          <w:szCs w:val="44"/>
        </w:rPr>
      </w:pPr>
      <w:r>
        <w:rPr>
          <w:rFonts w:hint="eastAsia" w:ascii="华文细黑" w:cs="Times New Roman"/>
          <w:b/>
          <w:bCs/>
          <w:snapToGrid w:val="0"/>
          <w:sz w:val="28"/>
          <w:szCs w:val="44"/>
        </w:rPr>
        <w:t>合同份数</w:t>
      </w:r>
    </w:p>
    <w:p w14:paraId="3D567B2C">
      <w:pPr>
        <w:widowControl w:val="0"/>
        <w:numPr>
          <w:ilvl w:val="1"/>
          <w:numId w:val="1"/>
        </w:numPr>
        <w:tabs>
          <w:tab w:val="left" w:pos="540"/>
          <w:tab w:val="left" w:pos="900"/>
          <w:tab w:val="clear" w:pos="576"/>
        </w:tabs>
        <w:spacing w:before="120" w:after="156"/>
        <w:ind w:left="359" w:firstLine="0"/>
        <w:outlineLvl w:val="1"/>
        <w:rPr>
          <w:rFonts w:cs="Times New Roman"/>
          <w:b/>
          <w:bCs/>
        </w:rPr>
      </w:pPr>
      <w:r>
        <w:rPr>
          <w:rFonts w:hint="eastAsia" w:cs="Times New Roman"/>
          <w:b/>
          <w:bCs/>
        </w:rPr>
        <w:t>合同份数</w:t>
      </w:r>
    </w:p>
    <w:p w14:paraId="5FA956DB">
      <w:pPr>
        <w:widowControl w:val="0"/>
        <w:tabs>
          <w:tab w:val="left" w:pos="1620"/>
          <w:tab w:val="left" w:pos="2340"/>
        </w:tabs>
        <w:spacing w:after="156"/>
        <w:ind w:left="899"/>
        <w:rPr>
          <w:rFonts w:cs="Times New Roman"/>
          <w:sz w:val="21"/>
        </w:rPr>
      </w:pPr>
      <w:r>
        <w:rPr>
          <w:rFonts w:hint="eastAsia" w:cs="Times New Roman"/>
          <w:sz w:val="21"/>
        </w:rPr>
        <w:t>⑴本合同正本两份，由发包人和承包人分别保存一份。</w:t>
      </w:r>
    </w:p>
    <w:p w14:paraId="4B18B9CB">
      <w:pPr>
        <w:widowControl w:val="0"/>
        <w:tabs>
          <w:tab w:val="left" w:pos="1620"/>
          <w:tab w:val="left" w:pos="2340"/>
        </w:tabs>
        <w:spacing w:after="156"/>
        <w:ind w:left="899"/>
        <w:rPr>
          <w:rFonts w:cs="Times New Roman"/>
          <w:sz w:val="21"/>
        </w:rPr>
      </w:pPr>
      <w:r>
        <w:rPr>
          <w:rFonts w:hint="eastAsia" w:cs="Times New Roman"/>
          <w:sz w:val="21"/>
        </w:rPr>
        <w:t>⑵发包人和承包人按有关规定在</w:t>
      </w:r>
      <w:r>
        <w:rPr>
          <w:rFonts w:hint="eastAsia" w:cs="Times New Roman"/>
          <w:b/>
          <w:i/>
          <w:sz w:val="21"/>
        </w:rPr>
        <w:t>专用条款</w:t>
      </w:r>
      <w:r>
        <w:rPr>
          <w:rFonts w:hint="eastAsia" w:cs="Times New Roman"/>
          <w:sz w:val="21"/>
        </w:rPr>
        <w:t>中约定本合同副本的份数及保存单位，本合同正副本均具有同等效力。</w:t>
      </w:r>
    </w:p>
    <w:bookmarkEnd w:id="43"/>
    <w:bookmarkEnd w:id="44"/>
    <w:bookmarkEnd w:id="45"/>
    <w:bookmarkEnd w:id="46"/>
    <w:bookmarkEnd w:id="47"/>
    <w:bookmarkEnd w:id="48"/>
    <w:bookmarkEnd w:id="49"/>
    <w:bookmarkEnd w:id="50"/>
    <w:bookmarkEnd w:id="51"/>
    <w:bookmarkEnd w:id="52"/>
    <w:bookmarkEnd w:id="53"/>
    <w:bookmarkEnd w:id="54"/>
    <w:p w14:paraId="39DB4D0C">
      <w:pPr>
        <w:jc w:val="center"/>
        <w:rPr>
          <w:sz w:val="32"/>
        </w:rPr>
      </w:pPr>
      <w:bookmarkStart w:id="55" w:name="Bookmark27"/>
      <w:bookmarkEnd w:id="55"/>
      <w:bookmarkStart w:id="56" w:name="_Toc12709"/>
      <w:bookmarkStart w:id="57" w:name="_Toc11060"/>
      <w:bookmarkStart w:id="58" w:name="_Toc21915"/>
      <w:bookmarkStart w:id="59" w:name="_Toc16348"/>
      <w:bookmarkStart w:id="60" w:name="_Toc305331432"/>
      <w:bookmarkStart w:id="61" w:name="_Toc35656515"/>
      <w:bookmarkStart w:id="62" w:name="_Toc302635939"/>
      <w:bookmarkStart w:id="63" w:name="_Toc38943429"/>
      <w:r>
        <w:rPr>
          <w:rFonts w:hint="eastAsia"/>
          <w:sz w:val="32"/>
        </w:rPr>
        <w:br w:type="page"/>
      </w:r>
    </w:p>
    <w:p w14:paraId="6CCC0ED0">
      <w:pPr>
        <w:pStyle w:val="4"/>
        <w:keepNext w:val="0"/>
        <w:keepLines w:val="0"/>
        <w:jc w:val="center"/>
        <w:rPr>
          <w:rFonts w:ascii="宋体"/>
          <w:sz w:val="32"/>
        </w:rPr>
      </w:pPr>
      <w:r>
        <w:rPr>
          <w:rFonts w:hint="eastAsia" w:ascii="宋体"/>
          <w:sz w:val="32"/>
        </w:rPr>
        <w:t>第三部分 专用条款</w:t>
      </w:r>
      <w:bookmarkEnd w:id="56"/>
      <w:bookmarkEnd w:id="57"/>
      <w:bookmarkEnd w:id="58"/>
      <w:bookmarkEnd w:id="59"/>
      <w:bookmarkEnd w:id="60"/>
      <w:bookmarkEnd w:id="61"/>
      <w:bookmarkEnd w:id="62"/>
    </w:p>
    <w:p w14:paraId="42F874DD">
      <w:pPr>
        <w:pStyle w:val="4"/>
        <w:keepNext w:val="0"/>
        <w:keepLines w:val="0"/>
        <w:tabs>
          <w:tab w:val="left" w:pos="1620"/>
          <w:tab w:val="left" w:pos="2340"/>
        </w:tabs>
        <w:spacing w:before="120" w:after="120"/>
      </w:pPr>
      <w:bookmarkStart w:id="64" w:name="_Toc2617"/>
      <w:bookmarkStart w:id="65" w:name="_Toc16738"/>
      <w:bookmarkStart w:id="66" w:name="_Toc25729"/>
      <w:r>
        <w:rPr>
          <w:rFonts w:hint="eastAsia"/>
        </w:rPr>
        <w:t>1词语定义</w:t>
      </w:r>
      <w:bookmarkEnd w:id="64"/>
      <w:bookmarkEnd w:id="65"/>
      <w:bookmarkEnd w:id="66"/>
    </w:p>
    <w:p w14:paraId="24246F7D">
      <w:pPr>
        <w:spacing w:line="360" w:lineRule="auto"/>
        <w:ind w:firstLine="480"/>
        <w:rPr>
          <w:u w:val="single"/>
        </w:rPr>
      </w:pPr>
      <w:r>
        <w:rPr>
          <w:rFonts w:hint="eastAsia"/>
        </w:rPr>
        <w:t>发包人和承包人另行约定的词语定义如下：</w:t>
      </w:r>
      <w:r>
        <w:rPr>
          <w:rFonts w:hint="eastAsia"/>
          <w:u w:val="single"/>
        </w:rPr>
        <w:t xml:space="preserve">  / </w:t>
      </w:r>
    </w:p>
    <w:p w14:paraId="240782C2">
      <w:pPr>
        <w:pStyle w:val="5"/>
        <w:tabs>
          <w:tab w:val="left" w:pos="540"/>
          <w:tab w:val="left" w:pos="2340"/>
        </w:tabs>
        <w:spacing w:before="120" w:after="156"/>
        <w:ind w:left="180"/>
        <w:jc w:val="left"/>
        <w:rPr>
          <w:rFonts w:ascii="宋体" w:hAnsi="宋体"/>
          <w:sz w:val="24"/>
        </w:rPr>
      </w:pPr>
      <w:bookmarkStart w:id="67" w:name="_Toc19741"/>
      <w:bookmarkStart w:id="68" w:name="_Toc31216"/>
      <w:bookmarkStart w:id="69" w:name="_Toc21146"/>
      <w:r>
        <w:rPr>
          <w:rFonts w:hint="eastAsia" w:ascii="宋体" w:hAnsi="宋体"/>
          <w:sz w:val="24"/>
        </w:rPr>
        <w:t>1.2 合同文件</w:t>
      </w:r>
      <w:bookmarkEnd w:id="67"/>
      <w:bookmarkEnd w:id="68"/>
      <w:bookmarkEnd w:id="69"/>
    </w:p>
    <w:p w14:paraId="67878FE4">
      <w:pPr>
        <w:spacing w:line="360" w:lineRule="auto"/>
        <w:ind w:firstLine="480"/>
        <w:rPr>
          <w:u w:val="single"/>
        </w:rPr>
      </w:pPr>
      <w:r>
        <w:rPr>
          <w:rFonts w:hint="eastAsia"/>
        </w:rPr>
        <w:t>(6)其他合同文件包括：</w:t>
      </w:r>
      <w:r>
        <w:rPr>
          <w:rFonts w:hint="eastAsia" w:cs="Times New Roman"/>
          <w:u w:val="single"/>
        </w:rPr>
        <w:t>经批准的施工组织设计、招标文件和投标文件、补充协议、补充条款、有关工程洽商、变更等</w:t>
      </w:r>
      <w:r>
        <w:rPr>
          <w:rFonts w:hint="eastAsia"/>
          <w:u w:val="single"/>
        </w:rPr>
        <w:t>。</w:t>
      </w:r>
    </w:p>
    <w:p w14:paraId="17542AFE">
      <w:pPr>
        <w:pStyle w:val="5"/>
        <w:tabs>
          <w:tab w:val="left" w:pos="540"/>
          <w:tab w:val="left" w:pos="2340"/>
        </w:tabs>
        <w:spacing w:before="120" w:after="156"/>
        <w:ind w:left="180"/>
        <w:jc w:val="left"/>
        <w:rPr>
          <w:rFonts w:ascii="宋体" w:hAnsi="宋体"/>
          <w:sz w:val="24"/>
        </w:rPr>
      </w:pPr>
      <w:bookmarkStart w:id="70" w:name="_Toc19602"/>
      <w:bookmarkStart w:id="71" w:name="_Toc20303"/>
      <w:bookmarkStart w:id="72" w:name="_Toc19226"/>
      <w:r>
        <w:rPr>
          <w:rFonts w:hint="eastAsia" w:ascii="宋体" w:hAnsi="宋体"/>
          <w:sz w:val="24"/>
        </w:rPr>
        <w:t>1.8 书面形式</w:t>
      </w:r>
      <w:bookmarkEnd w:id="70"/>
      <w:bookmarkEnd w:id="71"/>
      <w:bookmarkEnd w:id="72"/>
    </w:p>
    <w:p w14:paraId="62F80B60">
      <w:pPr>
        <w:spacing w:line="360" w:lineRule="auto"/>
        <w:ind w:firstLine="480"/>
        <w:rPr>
          <w:u w:val="single"/>
        </w:rPr>
      </w:pPr>
      <w:r>
        <w:rPr>
          <w:rFonts w:hint="eastAsia"/>
        </w:rPr>
        <w:t>（2）本合同全部或部分采用手写形式进行填写的，发包人和承包人共同指定的填写人的姓名：</w:t>
      </w:r>
      <w:r>
        <w:rPr>
          <w:rFonts w:hint="eastAsia"/>
          <w:u w:val="single"/>
        </w:rPr>
        <w:t xml:space="preserve">      /         </w:t>
      </w:r>
      <w:r>
        <w:rPr>
          <w:rFonts w:hint="eastAsia"/>
        </w:rPr>
        <w:t>，身份证号码：</w:t>
      </w:r>
      <w:r>
        <w:rPr>
          <w:rFonts w:hint="eastAsia"/>
          <w:u w:val="single"/>
        </w:rPr>
        <w:t xml:space="preserve">           /                  </w:t>
      </w:r>
      <w:r>
        <w:rPr>
          <w:rFonts w:hint="eastAsia"/>
        </w:rPr>
        <w:t>。</w:t>
      </w:r>
    </w:p>
    <w:p w14:paraId="20816F82">
      <w:pPr>
        <w:pStyle w:val="4"/>
        <w:keepNext w:val="0"/>
        <w:keepLines w:val="0"/>
        <w:tabs>
          <w:tab w:val="left" w:pos="1620"/>
          <w:tab w:val="left" w:pos="2340"/>
        </w:tabs>
        <w:spacing w:before="120" w:after="120"/>
      </w:pPr>
      <w:bookmarkStart w:id="73" w:name="_Toc24793"/>
      <w:bookmarkStart w:id="74" w:name="_Toc9942"/>
      <w:bookmarkStart w:id="75" w:name="_Toc1226"/>
      <w:r>
        <w:rPr>
          <w:rFonts w:hint="eastAsia"/>
        </w:rPr>
        <w:t>2合同文件</w:t>
      </w:r>
      <w:bookmarkEnd w:id="73"/>
      <w:bookmarkEnd w:id="74"/>
      <w:bookmarkEnd w:id="75"/>
    </w:p>
    <w:p w14:paraId="29FBBE86">
      <w:pPr>
        <w:pStyle w:val="5"/>
        <w:tabs>
          <w:tab w:val="left" w:pos="540"/>
          <w:tab w:val="left" w:pos="2340"/>
        </w:tabs>
        <w:spacing w:before="120" w:after="156"/>
        <w:ind w:left="180"/>
        <w:jc w:val="left"/>
        <w:rPr>
          <w:rFonts w:ascii="宋体" w:hAnsi="宋体"/>
          <w:sz w:val="24"/>
          <w:szCs w:val="24"/>
        </w:rPr>
      </w:pPr>
      <w:bookmarkStart w:id="76" w:name="_Toc19323"/>
      <w:bookmarkStart w:id="77" w:name="_Toc9948"/>
      <w:bookmarkStart w:id="78" w:name="_Toc16202"/>
      <w:r>
        <w:rPr>
          <w:rFonts w:hint="eastAsia" w:ascii="宋体" w:hAnsi="宋体"/>
          <w:sz w:val="24"/>
        </w:rPr>
        <w:t xml:space="preserve">2.4 </w:t>
      </w:r>
      <w:r>
        <w:rPr>
          <w:rFonts w:hint="eastAsia" w:ascii="宋体" w:hAnsi="宋体"/>
          <w:sz w:val="24"/>
          <w:szCs w:val="24"/>
        </w:rPr>
        <w:t>法律、法规和规章</w:t>
      </w:r>
      <w:bookmarkEnd w:id="76"/>
      <w:bookmarkEnd w:id="77"/>
      <w:bookmarkEnd w:id="78"/>
    </w:p>
    <w:p w14:paraId="4D3FCA13">
      <w:pPr>
        <w:spacing w:line="360" w:lineRule="auto"/>
        <w:ind w:firstLine="480"/>
        <w:rPr>
          <w:u w:val="single"/>
        </w:rPr>
      </w:pPr>
      <w:r>
        <w:rPr>
          <w:rFonts w:hint="eastAsia"/>
        </w:rPr>
        <w:t>需要明示的法律、法规、规章：</w:t>
      </w:r>
      <w:r>
        <w:rPr>
          <w:rFonts w:hint="eastAsia"/>
          <w:u w:val="single"/>
        </w:rPr>
        <w:t>遵守国家、国务院、部委、广东省、深圳市相关法律、法规、规章、制度及规定。以上法律、法规、规章包括《中华人民共和国民法典》《中华人民共和国建筑法》《建筑工程质量管理条例》《建筑工程施工质量验收统一标准》《深圳市建设工程质量管理条例》《深圳市建设工程现场文明施工管理办法》（深建规〔2008〕3号）、《关于印发〈深圳市建设工程安全质量整治行动措施〉的通知》（深建字〔2010〕19号）、《深圳市住房和建设局关于发布深圳市建设工程安全文明施工十项标准（试行）、深圳市建设工程安全文明施工十项禁令的通知》（深建质安【2017】112号文）、《关于印发〈深圳市建设工程安全文明施工标准〉的通知》（深建标（2018）1号）、《关于印发〈深圳市建设工程安全质量整治措施实施细则〉的通知》（深建质安〔2010〕246号）、《关于贯彻落实市政府第212号令全面禁止现场搅拌砂浆的通知》（深建节能〔2010〕65号）、《关于我市建设项目实行质量主任、安全主任措施的通知》（深建管〔2010〕25号）、深圳市关于“净、畅、宁工程”的要求（《深圳市建设工程现场文明施工管理办法》和《深圳市建设工程现场文明施工检查评定标准》</w:t>
      </w:r>
      <w:r>
        <w:rPr>
          <w:rFonts w:hint="eastAsia" w:cs="Times New Roman"/>
          <w:u w:val="single"/>
        </w:rPr>
        <w:t>、《关于推进劳务工实名制和分账制管理工作的要求》、《保障农民工工资支付条例》、《深圳市员工工资支付条例》等现行的国家、广东省及深圳市建设领域的有关法律、法规、规章、制度和规范性文件等。</w:t>
      </w:r>
    </w:p>
    <w:p w14:paraId="2CD6162C">
      <w:pPr>
        <w:pStyle w:val="5"/>
        <w:tabs>
          <w:tab w:val="left" w:pos="540"/>
          <w:tab w:val="left" w:pos="2340"/>
          <w:tab w:val="left" w:pos="4032"/>
        </w:tabs>
        <w:spacing w:before="120" w:after="156"/>
        <w:ind w:left="180"/>
        <w:jc w:val="left"/>
        <w:rPr>
          <w:rFonts w:ascii="宋体" w:hAnsi="宋体"/>
          <w:sz w:val="24"/>
        </w:rPr>
      </w:pPr>
      <w:bookmarkStart w:id="79" w:name="_Toc27206"/>
      <w:bookmarkStart w:id="80" w:name="_Toc1094"/>
      <w:bookmarkStart w:id="81" w:name="_Toc6265"/>
      <w:r>
        <w:rPr>
          <w:rFonts w:hint="eastAsia" w:ascii="宋体" w:hAnsi="宋体"/>
          <w:sz w:val="24"/>
        </w:rPr>
        <w:t>2.5标准、规范</w:t>
      </w:r>
      <w:bookmarkEnd w:id="79"/>
      <w:bookmarkEnd w:id="80"/>
      <w:bookmarkEnd w:id="81"/>
    </w:p>
    <w:p w14:paraId="121D5182">
      <w:pPr>
        <w:widowControl w:val="0"/>
        <w:spacing w:line="360" w:lineRule="auto"/>
        <w:ind w:firstLine="480" w:firstLineChars="200"/>
        <w:jc w:val="both"/>
        <w:rPr>
          <w:rFonts w:cs="Times New Roman"/>
          <w:u w:val="single"/>
        </w:rPr>
      </w:pPr>
      <w:r>
        <w:rPr>
          <w:rFonts w:hint="eastAsia"/>
        </w:rPr>
        <w:t>(2)技术标准、功能要求高于现行国家、行业或地方标准的约定：</w:t>
      </w:r>
      <w:r>
        <w:rPr>
          <w:rFonts w:hint="eastAsia" w:cs="Times New Roman"/>
          <w:u w:val="single"/>
        </w:rPr>
        <w:t>国家及工程所在地地方标准、规范以较高及最新要求的标准、规范为准。如较高与最新不一致的，以最新的标准规范为准。</w:t>
      </w:r>
    </w:p>
    <w:p w14:paraId="4AEE6DDD">
      <w:pPr>
        <w:spacing w:line="360" w:lineRule="auto"/>
        <w:ind w:firstLine="480"/>
      </w:pPr>
      <w:r>
        <w:rPr>
          <w:rFonts w:hint="eastAsia"/>
        </w:rPr>
        <w:t>(4)用于本工程的标准、规范的提供方式：</w:t>
      </w:r>
    </w:p>
    <w:p w14:paraId="3C583DD7">
      <w:pPr>
        <w:spacing w:line="360" w:lineRule="auto"/>
        <w:ind w:firstLine="480"/>
      </w:pPr>
      <w:r>
        <w:drawing>
          <wp:inline distT="0" distB="0" distL="114300" distR="114300">
            <wp:extent cx="152400" cy="1428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由发包人在本合同签订后天内向承包人提供套标准、规范；</w:t>
      </w:r>
    </w:p>
    <w:p w14:paraId="20C2EAFE">
      <w:pPr>
        <w:spacing w:line="360" w:lineRule="auto"/>
        <w:ind w:firstLine="480"/>
      </w:pPr>
      <w:r>
        <w:rPr>
          <w:rFonts w:hint="eastAsia"/>
          <w:kern w:val="2"/>
          <w:szCs w:val="22"/>
        </w:rPr>
        <w:t>■</w:t>
      </w:r>
      <w:r>
        <w:rPr>
          <w:rFonts w:hint="eastAsia"/>
        </w:rPr>
        <w:t>由承包人自备。</w:t>
      </w:r>
    </w:p>
    <w:p w14:paraId="1F193FA9">
      <w:pPr>
        <w:pStyle w:val="5"/>
        <w:tabs>
          <w:tab w:val="left" w:pos="540"/>
          <w:tab w:val="left" w:pos="2340"/>
          <w:tab w:val="left" w:pos="4032"/>
        </w:tabs>
        <w:spacing w:before="120" w:after="156"/>
        <w:ind w:left="180"/>
        <w:jc w:val="left"/>
        <w:rPr>
          <w:rFonts w:ascii="宋体" w:hAnsi="宋体"/>
          <w:sz w:val="24"/>
        </w:rPr>
      </w:pPr>
      <w:bookmarkStart w:id="82" w:name="_Toc26202"/>
      <w:bookmarkStart w:id="83" w:name="_Toc19973"/>
      <w:bookmarkStart w:id="84" w:name="_Toc12927"/>
      <w:r>
        <w:rPr>
          <w:rFonts w:hint="eastAsia" w:ascii="宋体" w:hAnsi="宋体"/>
          <w:sz w:val="24"/>
        </w:rPr>
        <w:t>2.6图纸和技术资料的提供</w:t>
      </w:r>
      <w:bookmarkEnd w:id="82"/>
      <w:bookmarkEnd w:id="83"/>
      <w:bookmarkEnd w:id="84"/>
    </w:p>
    <w:p w14:paraId="16D10DE8">
      <w:pPr>
        <w:spacing w:line="360" w:lineRule="auto"/>
        <w:ind w:firstLine="480"/>
      </w:pPr>
      <w:r>
        <w:rPr>
          <w:rFonts w:hint="eastAsia"/>
        </w:rPr>
        <w:t>承包人应在本合同签订后</w:t>
      </w:r>
      <w:r>
        <w:rPr>
          <w:rFonts w:hint="eastAsia"/>
          <w:u w:val="single"/>
        </w:rPr>
        <w:t>15天内向发包人提供拆除方案</w:t>
      </w:r>
      <w:r>
        <w:rPr>
          <w:rFonts w:hint="eastAsia"/>
        </w:rPr>
        <w:t>。</w:t>
      </w:r>
    </w:p>
    <w:p w14:paraId="69511FCD">
      <w:pPr>
        <w:pStyle w:val="5"/>
        <w:tabs>
          <w:tab w:val="left" w:pos="540"/>
          <w:tab w:val="left" w:pos="2340"/>
          <w:tab w:val="left" w:pos="4032"/>
        </w:tabs>
        <w:spacing w:before="120" w:after="156"/>
        <w:ind w:left="180"/>
        <w:jc w:val="left"/>
        <w:rPr>
          <w:rFonts w:ascii="宋体" w:hAnsi="宋体"/>
          <w:sz w:val="24"/>
        </w:rPr>
      </w:pPr>
      <w:bookmarkStart w:id="85" w:name="_Toc6894"/>
      <w:bookmarkStart w:id="86" w:name="_Toc205"/>
      <w:bookmarkStart w:id="87" w:name="_Toc23943"/>
      <w:r>
        <w:rPr>
          <w:rFonts w:hint="eastAsia" w:ascii="宋体" w:hAnsi="宋体"/>
          <w:sz w:val="24"/>
        </w:rPr>
        <w:t>2.10 竣工图</w:t>
      </w:r>
      <w:bookmarkEnd w:id="85"/>
      <w:bookmarkEnd w:id="86"/>
      <w:bookmarkEnd w:id="87"/>
    </w:p>
    <w:p w14:paraId="19A6BF18">
      <w:pPr>
        <w:spacing w:line="360" w:lineRule="auto"/>
        <w:ind w:firstLine="480"/>
      </w:pPr>
      <w:r>
        <w:rPr>
          <w:rFonts w:hint="eastAsia"/>
        </w:rPr>
        <w:t>(1)关于竣工图编制的约定：</w:t>
      </w:r>
      <w:r>
        <w:rPr>
          <w:rFonts w:hint="eastAsia" w:cs="Times New Roman"/>
          <w:u w:val="single"/>
        </w:rPr>
        <w:t xml:space="preserve">承包人按发包人及深圳市城建档案馆有关竣工图及综合资料编制规定要求编制竣工图纸（含声像资料、影像资料）。如承包人提供的竣工资料不完整的，发包人有权不予办理工程竣工手续，工期不予顺延，由承包人承担逾期竣工的违约责任，给发包人造成损失的，同时应予赔偿。 </w:t>
      </w:r>
    </w:p>
    <w:p w14:paraId="31C7CA46">
      <w:pPr>
        <w:pStyle w:val="5"/>
        <w:tabs>
          <w:tab w:val="left" w:pos="540"/>
          <w:tab w:val="left" w:pos="2340"/>
        </w:tabs>
        <w:spacing w:before="120" w:after="156"/>
        <w:ind w:left="180"/>
        <w:jc w:val="left"/>
        <w:rPr>
          <w:rFonts w:ascii="宋体" w:hAnsi="宋体"/>
          <w:sz w:val="24"/>
        </w:rPr>
      </w:pPr>
      <w:bookmarkStart w:id="88" w:name="_Toc5980"/>
      <w:bookmarkStart w:id="89" w:name="_Toc15834"/>
      <w:bookmarkStart w:id="90" w:name="_Toc24160"/>
      <w:r>
        <w:rPr>
          <w:rFonts w:hint="eastAsia" w:ascii="宋体" w:hAnsi="宋体"/>
          <w:sz w:val="24"/>
        </w:rPr>
        <w:t>2.11 通知</w:t>
      </w:r>
      <w:bookmarkEnd w:id="88"/>
      <w:bookmarkEnd w:id="89"/>
      <w:bookmarkEnd w:id="90"/>
    </w:p>
    <w:p w14:paraId="74901A7B">
      <w:pPr>
        <w:spacing w:line="360" w:lineRule="auto"/>
        <w:ind w:firstLine="480"/>
        <w:rPr>
          <w:bCs/>
          <w:i/>
          <w:iCs/>
          <w:u w:val="single"/>
        </w:rPr>
      </w:pPr>
      <w:r>
        <w:rPr>
          <w:rFonts w:hint="eastAsia"/>
        </w:rPr>
        <w:t>(1)承包人的地址：</w:t>
      </w:r>
      <w:r>
        <w:rPr>
          <w:rFonts w:hint="eastAsia"/>
          <w:bCs/>
        </w:rPr>
        <w:t>邮编：</w:t>
      </w:r>
    </w:p>
    <w:p w14:paraId="55520656">
      <w:pPr>
        <w:spacing w:line="360" w:lineRule="auto"/>
        <w:ind w:firstLine="480"/>
        <w:rPr>
          <w:bCs/>
          <w:u w:val="single"/>
        </w:rPr>
      </w:pPr>
      <w:r>
        <w:rPr>
          <w:rFonts w:hint="eastAsia"/>
        </w:rPr>
        <w:t>(2)发包人的地址：</w:t>
      </w:r>
      <w:r>
        <w:rPr>
          <w:rFonts w:hint="eastAsia"/>
          <w:bCs/>
        </w:rPr>
        <w:t>邮编：</w:t>
      </w:r>
    </w:p>
    <w:p w14:paraId="54B06C39">
      <w:pPr>
        <w:spacing w:line="360" w:lineRule="auto"/>
        <w:ind w:firstLine="480"/>
        <w:rPr>
          <w:u w:val="single"/>
        </w:rPr>
      </w:pPr>
      <w:r>
        <w:rPr>
          <w:rFonts w:hint="eastAsia"/>
        </w:rPr>
        <w:t>监理人的地址：</w:t>
      </w:r>
      <w:r>
        <w:rPr>
          <w:rFonts w:hint="eastAsia"/>
          <w:bCs/>
        </w:rPr>
        <w:t>邮编：</w:t>
      </w:r>
    </w:p>
    <w:p w14:paraId="2A352FA1">
      <w:pPr>
        <w:pStyle w:val="5"/>
        <w:tabs>
          <w:tab w:val="left" w:pos="540"/>
          <w:tab w:val="left" w:pos="2340"/>
        </w:tabs>
        <w:spacing w:before="120" w:after="156"/>
        <w:ind w:left="180"/>
        <w:jc w:val="left"/>
        <w:rPr>
          <w:rFonts w:ascii="宋体" w:hAnsi="宋体"/>
          <w:sz w:val="24"/>
        </w:rPr>
      </w:pPr>
      <w:bookmarkStart w:id="91" w:name="_Toc29069"/>
      <w:bookmarkStart w:id="92" w:name="_Toc15645"/>
      <w:bookmarkStart w:id="93" w:name="_Toc32082"/>
      <w:r>
        <w:rPr>
          <w:rFonts w:hint="eastAsia" w:ascii="宋体" w:hAnsi="宋体"/>
          <w:sz w:val="24"/>
        </w:rPr>
        <w:t>2.13 交通运输</w:t>
      </w:r>
      <w:bookmarkEnd w:id="91"/>
      <w:bookmarkEnd w:id="92"/>
      <w:bookmarkEnd w:id="93"/>
    </w:p>
    <w:p w14:paraId="7BCC3934">
      <w:pPr>
        <w:spacing w:line="360" w:lineRule="auto"/>
        <w:ind w:firstLine="480"/>
      </w:pPr>
      <w:r>
        <w:rPr>
          <w:rFonts w:hint="eastAsia"/>
        </w:rPr>
        <w:t>（1）出入现场的权利</w:t>
      </w:r>
    </w:p>
    <w:p w14:paraId="666F7FDF">
      <w:pPr>
        <w:spacing w:line="360" w:lineRule="auto"/>
        <w:ind w:firstLine="480"/>
      </w:pPr>
      <w:r>
        <w:rPr>
          <w:rFonts w:hint="eastAsia"/>
        </w:rPr>
        <w:t>关于出入现场的权利的约定：</w:t>
      </w:r>
      <w:r>
        <w:rPr>
          <w:rFonts w:hint="eastAsia" w:cs="Times New Roman"/>
          <w:kern w:val="2"/>
          <w:u w:val="single"/>
        </w:rPr>
        <w:t>由承包人按发包人要求负责取得出入施工现场所需的批准手续和全部权利，并承担相关手续费用和建设费用。</w:t>
      </w:r>
    </w:p>
    <w:p w14:paraId="144B8FF9">
      <w:pPr>
        <w:spacing w:line="360" w:lineRule="auto"/>
        <w:ind w:firstLine="480"/>
      </w:pPr>
      <w:r>
        <w:rPr>
          <w:rFonts w:hint="eastAsia"/>
        </w:rPr>
        <w:t>（3）场内交通</w:t>
      </w:r>
    </w:p>
    <w:p w14:paraId="2FDCB48A">
      <w:pPr>
        <w:spacing w:line="360" w:lineRule="auto"/>
        <w:ind w:firstLine="480" w:firstLineChars="200"/>
        <w:jc w:val="both"/>
        <w:rPr>
          <w:rFonts w:cs="Times New Roman"/>
          <w:u w:val="single"/>
        </w:rPr>
      </w:pPr>
      <w:r>
        <w:rPr>
          <w:rFonts w:hint="eastAsia"/>
        </w:rPr>
        <w:t>关于场外交通和场内交通的边界的约定：</w:t>
      </w:r>
      <w:r>
        <w:rPr>
          <w:rFonts w:hint="eastAsia" w:cs="Times New Roman"/>
          <w:u w:val="single"/>
        </w:rPr>
        <w:t>场外交通及场内交通现状以承包人踏勘时的现状为准，发包人不负责向承包人提供何本工程所需的场内道路和交通设施。</w:t>
      </w:r>
    </w:p>
    <w:p w14:paraId="175F64B1">
      <w:pPr>
        <w:spacing w:line="360" w:lineRule="auto"/>
        <w:ind w:firstLine="480" w:firstLineChars="200"/>
        <w:jc w:val="both"/>
        <w:rPr>
          <w:rFonts w:cs="Times New Roman"/>
          <w:u w:val="single"/>
        </w:rPr>
      </w:pPr>
      <w:r>
        <w:rPr>
          <w:rFonts w:hint="eastAsia"/>
        </w:rPr>
        <w:t>关于发包人向承包人免费提供满足工程施工需要的场内道路和交通设施的约定：</w:t>
      </w:r>
      <w:r>
        <w:rPr>
          <w:rFonts w:hint="eastAsia"/>
          <w:u w:val="single"/>
        </w:rPr>
        <w:t xml:space="preserve"> /   </w:t>
      </w:r>
    </w:p>
    <w:p w14:paraId="2267F291">
      <w:pPr>
        <w:spacing w:line="360" w:lineRule="auto"/>
        <w:ind w:firstLine="480"/>
      </w:pPr>
      <w:r>
        <w:rPr>
          <w:rFonts w:hint="eastAsia"/>
        </w:rPr>
        <w:t>（4）超大件和超重件的运输</w:t>
      </w:r>
    </w:p>
    <w:p w14:paraId="338DBAD7">
      <w:pPr>
        <w:spacing w:line="360" w:lineRule="auto"/>
        <w:ind w:firstLine="480" w:firstLineChars="200"/>
        <w:jc w:val="both"/>
      </w:pPr>
      <w:r>
        <w:rPr>
          <w:rFonts w:hint="eastAsia"/>
        </w:rPr>
        <w:t>运输超大件或超重件所需道路和桥梁临时加固费用和其他费用由</w:t>
      </w:r>
      <w:r>
        <w:rPr>
          <w:rFonts w:hint="eastAsia"/>
          <w:u w:val="single"/>
        </w:rPr>
        <w:t xml:space="preserve">   承包人  </w:t>
      </w:r>
      <w:r>
        <w:rPr>
          <w:rFonts w:hint="eastAsia"/>
        </w:rPr>
        <w:t>承担。</w:t>
      </w:r>
    </w:p>
    <w:p w14:paraId="009904BB">
      <w:pPr>
        <w:spacing w:before="120" w:after="156" w:line="360" w:lineRule="auto"/>
        <w:ind w:left="180" w:firstLine="480"/>
        <w:outlineLvl w:val="1"/>
        <w:rPr>
          <w:rFonts w:cs="Times New Roman"/>
          <w:b/>
          <w:bCs/>
          <w:szCs w:val="32"/>
        </w:rPr>
      </w:pPr>
      <w:bookmarkStart w:id="94" w:name="_Toc28397"/>
      <w:bookmarkStart w:id="95" w:name="_Toc12752"/>
      <w:bookmarkStart w:id="96" w:name="_Toc28644"/>
      <w:r>
        <w:rPr>
          <w:rFonts w:hint="eastAsia" w:cs="Times New Roman"/>
          <w:b/>
          <w:bCs/>
          <w:szCs w:val="32"/>
        </w:rPr>
        <w:t>2.16 知识产权</w:t>
      </w:r>
      <w:bookmarkEnd w:id="94"/>
      <w:bookmarkEnd w:id="95"/>
      <w:bookmarkEnd w:id="96"/>
    </w:p>
    <w:p w14:paraId="6C172A2E">
      <w:pPr>
        <w:snapToGrid w:val="0"/>
        <w:spacing w:line="360" w:lineRule="auto"/>
        <w:ind w:firstLine="480" w:firstLineChars="200"/>
        <w:jc w:val="both"/>
        <w:rPr>
          <w:rFonts w:eastAsia="仿宋_GB2312"/>
          <w:sz w:val="30"/>
          <w:szCs w:val="32"/>
        </w:rPr>
      </w:pPr>
      <w:r>
        <w:rPr>
          <w:rFonts w:hint="eastAsia"/>
        </w:rPr>
        <w:t>（1）</w:t>
      </w:r>
      <w:r>
        <w:t>关于发包人提供给承包人的图纸、发包人为实施工程自行编制或委托编制的技术规范以及反映发包人关于合同要求或其他类似性质的文件的著作权的归属：</w:t>
      </w:r>
      <w:r>
        <w:rPr>
          <w:rFonts w:hint="eastAsia"/>
          <w:u w:val="single"/>
        </w:rPr>
        <w:t>归发包人所有</w:t>
      </w:r>
      <w:r>
        <w:rPr>
          <w:rFonts w:hint="eastAsia" w:eastAsia="仿宋_GB2312"/>
          <w:sz w:val="30"/>
          <w:szCs w:val="32"/>
        </w:rPr>
        <w:t>。</w:t>
      </w:r>
    </w:p>
    <w:p w14:paraId="37C96504">
      <w:pPr>
        <w:snapToGrid w:val="0"/>
        <w:spacing w:line="360" w:lineRule="auto"/>
        <w:ind w:firstLine="480" w:firstLineChars="200"/>
        <w:jc w:val="both"/>
        <w:rPr>
          <w:rFonts w:eastAsia="仿宋_GB2312"/>
          <w:sz w:val="30"/>
          <w:szCs w:val="32"/>
        </w:rPr>
      </w:pPr>
      <w:r>
        <w:t>关于发包人提供的上述文件的使用限制的要求：</w:t>
      </w:r>
      <w:r>
        <w:rPr>
          <w:rFonts w:hint="eastAsia"/>
          <w:u w:val="single"/>
        </w:rPr>
        <w:t>承包人未经发包人书面允许不得擅自使用或提供给第三方。知识产权取得后的使用和有关利益分配归发包人所有</w:t>
      </w:r>
      <w:r>
        <w:rPr>
          <w:rFonts w:eastAsia="仿宋_GB2312"/>
          <w:sz w:val="30"/>
          <w:szCs w:val="32"/>
        </w:rPr>
        <w:t>。</w:t>
      </w:r>
    </w:p>
    <w:p w14:paraId="2121C1B3">
      <w:pPr>
        <w:snapToGrid w:val="0"/>
        <w:spacing w:line="360" w:lineRule="auto"/>
        <w:ind w:firstLine="480" w:firstLineChars="200"/>
        <w:jc w:val="both"/>
        <w:rPr>
          <w:rFonts w:eastAsia="仿宋_GB2312"/>
          <w:sz w:val="30"/>
          <w:szCs w:val="32"/>
        </w:rPr>
      </w:pPr>
      <w:r>
        <w:rPr>
          <w:rFonts w:hint="eastAsia"/>
        </w:rPr>
        <w:t>（2）</w:t>
      </w:r>
      <w:r>
        <w:t>关于承包人为实施工程所编制文件的著作权的归属：</w:t>
      </w:r>
      <w:r>
        <w:rPr>
          <w:rFonts w:hint="eastAsia"/>
          <w:u w:val="single"/>
        </w:rPr>
        <w:t>归发包人所有</w:t>
      </w:r>
      <w:r>
        <w:rPr>
          <w:rFonts w:eastAsia="仿宋_GB2312"/>
          <w:sz w:val="30"/>
          <w:szCs w:val="32"/>
        </w:rPr>
        <w:t>。</w:t>
      </w:r>
    </w:p>
    <w:p w14:paraId="28C540A7">
      <w:pPr>
        <w:snapToGrid w:val="0"/>
        <w:spacing w:line="360" w:lineRule="auto"/>
        <w:ind w:firstLine="480" w:firstLineChars="200"/>
        <w:jc w:val="both"/>
        <w:rPr>
          <w:rFonts w:eastAsia="仿宋_GB2312"/>
          <w:sz w:val="30"/>
          <w:szCs w:val="32"/>
        </w:rPr>
      </w:pPr>
      <w:r>
        <w:t>关于承包人提供的上述文件的使用限制的要求：</w:t>
      </w:r>
      <w:r>
        <w:rPr>
          <w:rFonts w:hint="eastAsia" w:cs="Times New Roman"/>
          <w:u w:val="single"/>
        </w:rPr>
        <w:t>承包人未经发包人书面允许不得擅自使用或提供给第三方。知识产权取得后的使用和有关利益分配归发包人所有。</w:t>
      </w:r>
    </w:p>
    <w:p w14:paraId="322D7189">
      <w:pPr>
        <w:snapToGrid w:val="0"/>
        <w:spacing w:line="360" w:lineRule="auto"/>
        <w:ind w:firstLine="480" w:firstLineChars="200"/>
        <w:jc w:val="both"/>
        <w:rPr>
          <w:rFonts w:eastAsia="仿宋_GB2312"/>
          <w:sz w:val="30"/>
          <w:szCs w:val="32"/>
        </w:rPr>
      </w:pPr>
      <w:r>
        <w:rPr>
          <w:rFonts w:hint="eastAsia"/>
        </w:rPr>
        <w:t>（4）</w:t>
      </w:r>
      <w:r>
        <w:t>承包人在施工过程中所采用的专利、专有技术、技术秘密的使用费的承担方式：</w:t>
      </w:r>
      <w:r>
        <w:rPr>
          <w:rFonts w:hint="eastAsia" w:cs="Times New Roman"/>
          <w:u w:val="single"/>
        </w:rPr>
        <w:t xml:space="preserve">承包人自行承担 </w:t>
      </w:r>
      <w:r>
        <w:rPr>
          <w:rFonts w:eastAsia="仿宋_GB2312"/>
          <w:sz w:val="30"/>
          <w:szCs w:val="32"/>
        </w:rPr>
        <w:t>。</w:t>
      </w:r>
    </w:p>
    <w:p w14:paraId="388AB57C">
      <w:pPr>
        <w:pStyle w:val="4"/>
        <w:keepNext w:val="0"/>
        <w:keepLines w:val="0"/>
        <w:tabs>
          <w:tab w:val="left" w:pos="1620"/>
          <w:tab w:val="left" w:pos="2340"/>
        </w:tabs>
        <w:spacing w:before="120" w:after="120"/>
      </w:pPr>
      <w:bookmarkStart w:id="97" w:name="_Toc21850"/>
      <w:bookmarkStart w:id="98" w:name="_Toc8763"/>
      <w:bookmarkStart w:id="99" w:name="_Toc6288"/>
      <w:r>
        <w:rPr>
          <w:rFonts w:hint="eastAsia"/>
        </w:rPr>
        <w:t>3 发包人</w:t>
      </w:r>
      <w:bookmarkEnd w:id="97"/>
      <w:bookmarkEnd w:id="98"/>
      <w:bookmarkEnd w:id="99"/>
    </w:p>
    <w:p w14:paraId="27A875FC">
      <w:pPr>
        <w:pStyle w:val="5"/>
        <w:tabs>
          <w:tab w:val="left" w:pos="540"/>
          <w:tab w:val="left" w:pos="2340"/>
        </w:tabs>
        <w:spacing w:before="120" w:after="156"/>
        <w:ind w:left="180"/>
        <w:jc w:val="left"/>
        <w:rPr>
          <w:rFonts w:ascii="宋体" w:hAnsi="宋体"/>
          <w:sz w:val="24"/>
        </w:rPr>
      </w:pPr>
      <w:bookmarkStart w:id="100" w:name="_Toc21394"/>
      <w:bookmarkStart w:id="101" w:name="_Toc28355"/>
      <w:bookmarkStart w:id="102" w:name="_Toc29881"/>
      <w:r>
        <w:rPr>
          <w:rFonts w:hint="eastAsia" w:ascii="宋体" w:hAnsi="宋体"/>
          <w:sz w:val="24"/>
        </w:rPr>
        <w:t>3.1 发包人代表</w:t>
      </w:r>
      <w:bookmarkEnd w:id="100"/>
      <w:bookmarkEnd w:id="101"/>
      <w:bookmarkEnd w:id="102"/>
    </w:p>
    <w:p w14:paraId="6B8AB9D7">
      <w:pPr>
        <w:snapToGrid w:val="0"/>
        <w:spacing w:line="360" w:lineRule="auto"/>
        <w:ind w:firstLine="480" w:firstLineChars="200"/>
        <w:jc w:val="both"/>
      </w:pPr>
      <w:r>
        <w:rPr>
          <w:rFonts w:hint="eastAsia"/>
        </w:rPr>
        <w:t>发包人代表的姓名：。</w:t>
      </w:r>
    </w:p>
    <w:p w14:paraId="5A33CBEA">
      <w:pPr>
        <w:snapToGrid w:val="0"/>
        <w:spacing w:line="360" w:lineRule="auto"/>
        <w:ind w:firstLine="480" w:firstLineChars="200"/>
        <w:jc w:val="both"/>
        <w:rPr>
          <w:rFonts w:cs="Times New Roman"/>
        </w:rPr>
      </w:pPr>
      <w:r>
        <w:rPr>
          <w:rFonts w:hint="eastAsia" w:cs="Times New Roman"/>
        </w:rPr>
        <w:t>发包人对发包人代表的授权范围为：</w:t>
      </w:r>
    </w:p>
    <w:p w14:paraId="4C66F05B">
      <w:pPr>
        <w:snapToGrid w:val="0"/>
        <w:spacing w:line="360" w:lineRule="auto"/>
        <w:ind w:firstLine="480" w:firstLineChars="200"/>
        <w:jc w:val="both"/>
        <w:rPr>
          <w:rFonts w:cs="Times New Roman"/>
          <w:u w:val="single"/>
        </w:rPr>
      </w:pPr>
      <w:r>
        <w:rPr>
          <w:rFonts w:hint="eastAsia" w:cs="Times New Roman"/>
          <w:bCs/>
          <w:kern w:val="2"/>
          <w:u w:val="single"/>
        </w:rPr>
        <w:t>1）发包人</w:t>
      </w:r>
      <w:r>
        <w:rPr>
          <w:rFonts w:hint="eastAsia" w:cs="Times New Roman"/>
          <w:u w:val="single"/>
        </w:rPr>
        <w:t>代表对工程质量、进度、成本、安全及文明施工进行监督，工程存在质量问题或安全问题或施工进度不符合要求的，现场代表有权要求施工单位采取整改措施；</w:t>
      </w:r>
    </w:p>
    <w:p w14:paraId="3CBEF722">
      <w:pPr>
        <w:snapToGrid w:val="0"/>
        <w:spacing w:line="360" w:lineRule="auto"/>
        <w:ind w:firstLine="480" w:firstLineChars="200"/>
        <w:jc w:val="both"/>
        <w:rPr>
          <w:rFonts w:cs="Times New Roman"/>
          <w:u w:val="single"/>
        </w:rPr>
      </w:pPr>
      <w:r>
        <w:rPr>
          <w:rFonts w:hint="eastAsia" w:cs="Times New Roman"/>
          <w:bCs/>
          <w:kern w:val="2"/>
          <w:u w:val="single"/>
        </w:rPr>
        <w:t>2）</w:t>
      </w:r>
      <w:r>
        <w:rPr>
          <w:rFonts w:hint="eastAsia" w:cs="Times New Roman"/>
          <w:u w:val="single"/>
        </w:rPr>
        <w:t>发包人代表的指令、通知及签证须由其本人签字并盖公章(仅有本人签字未盖章的，经发包人追认，则对发包人有效；发包人不予追认的，对发包人不具有效力)。</w:t>
      </w:r>
    </w:p>
    <w:p w14:paraId="63C5997B">
      <w:pPr>
        <w:pStyle w:val="5"/>
        <w:tabs>
          <w:tab w:val="left" w:pos="540"/>
          <w:tab w:val="left" w:pos="2340"/>
        </w:tabs>
        <w:spacing w:before="120" w:after="156"/>
        <w:ind w:left="180"/>
        <w:jc w:val="left"/>
        <w:rPr>
          <w:rFonts w:ascii="宋体" w:hAnsi="宋体"/>
          <w:sz w:val="24"/>
        </w:rPr>
      </w:pPr>
      <w:bookmarkStart w:id="103" w:name="_Toc29619"/>
      <w:bookmarkStart w:id="104" w:name="_Toc13269"/>
      <w:bookmarkStart w:id="105" w:name="_Toc9979"/>
      <w:r>
        <w:rPr>
          <w:rFonts w:hint="eastAsia" w:ascii="宋体" w:hAnsi="宋体"/>
          <w:sz w:val="24"/>
        </w:rPr>
        <w:t>3.4 发包人的工作</w:t>
      </w:r>
      <w:bookmarkEnd w:id="103"/>
      <w:bookmarkEnd w:id="104"/>
      <w:bookmarkEnd w:id="105"/>
    </w:p>
    <w:p w14:paraId="1250E0ED">
      <w:pPr>
        <w:adjustRightInd w:val="0"/>
        <w:snapToGrid w:val="0"/>
        <w:spacing w:line="360" w:lineRule="auto"/>
        <w:ind w:firstLine="480" w:firstLineChars="200"/>
        <w:jc w:val="both"/>
      </w:pPr>
      <w:r>
        <w:rPr>
          <w:rFonts w:hint="eastAsia"/>
        </w:rPr>
        <w:t>(1)发包人完成工作的要求：</w:t>
      </w:r>
    </w:p>
    <w:p w14:paraId="2AF0D8B7">
      <w:pPr>
        <w:widowControl w:val="0"/>
        <w:adjustRightInd w:val="0"/>
        <w:snapToGrid w:val="0"/>
        <w:spacing w:line="360" w:lineRule="auto"/>
        <w:ind w:firstLine="480" w:firstLineChars="200"/>
        <w:jc w:val="both"/>
        <w:rPr>
          <w:rFonts w:cs="Times New Roman"/>
          <w:bCs/>
          <w:kern w:val="2"/>
          <w:u w:val="single"/>
        </w:rPr>
      </w:pPr>
      <w:r>
        <w:rPr>
          <w:rFonts w:hint="eastAsia"/>
        </w:rPr>
        <w:t>②施工场地内施工所需用水、用电、通讯的接驳地点：</w:t>
      </w:r>
      <w:r>
        <w:rPr>
          <w:rFonts w:hint="eastAsia"/>
          <w:bCs/>
          <w:u w:val="single"/>
        </w:rPr>
        <w:t>1）</w:t>
      </w:r>
      <w:r>
        <w:rPr>
          <w:rFonts w:cs="Times New Roman"/>
          <w:bCs/>
          <w:kern w:val="2"/>
          <w:u w:val="single"/>
        </w:rPr>
        <w:t>发包人</w:t>
      </w:r>
      <w:r>
        <w:rPr>
          <w:rFonts w:hint="eastAsia" w:cs="Times New Roman"/>
          <w:bCs/>
          <w:kern w:val="2"/>
          <w:u w:val="single"/>
        </w:rPr>
        <w:t>不</w:t>
      </w:r>
      <w:r>
        <w:rPr>
          <w:rFonts w:cs="Times New Roman"/>
          <w:bCs/>
          <w:kern w:val="2"/>
          <w:u w:val="single"/>
        </w:rPr>
        <w:t>提供</w:t>
      </w:r>
      <w:r>
        <w:rPr>
          <w:rFonts w:hint="eastAsia" w:cs="Times New Roman"/>
          <w:bCs/>
          <w:kern w:val="2"/>
          <w:u w:val="single"/>
        </w:rPr>
        <w:t>用水</w:t>
      </w:r>
      <w:r>
        <w:rPr>
          <w:rFonts w:cs="Times New Roman"/>
          <w:bCs/>
          <w:kern w:val="2"/>
          <w:u w:val="single"/>
        </w:rPr>
        <w:t>接驳地点，由承包人自行负责接驳并承担一切费用，费用包含在合同价款中。本工程施工过程中水费（包括排污费等其它收费）</w:t>
      </w:r>
      <w:r>
        <w:rPr>
          <w:rFonts w:hint="eastAsia" w:cs="Times New Roman"/>
          <w:bCs/>
          <w:kern w:val="2"/>
          <w:u w:val="single"/>
        </w:rPr>
        <w:t>等</w:t>
      </w:r>
      <w:r>
        <w:rPr>
          <w:rFonts w:cs="Times New Roman"/>
          <w:bCs/>
          <w:kern w:val="2"/>
          <w:u w:val="single"/>
        </w:rPr>
        <w:t>由承包人承担，已包含在合同价款中</w:t>
      </w:r>
      <w:r>
        <w:rPr>
          <w:rFonts w:hint="eastAsia" w:cs="Times New Roman"/>
          <w:bCs/>
          <w:kern w:val="2"/>
          <w:u w:val="single"/>
        </w:rPr>
        <w:t>，发包人不另行额外支付。承包人每月按实际计量并承担所有用水费用（包括给水、排水等费用）。如现有施工用水指标无法满足施工要求，由承包人自行解决，发包人予以配合。费用已包含在合同价款中，发包人不另行额外支付。</w:t>
      </w:r>
    </w:p>
    <w:p w14:paraId="012818F1">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2）发包人不提供施工用电接驳点。施工场地内的管线铺设及其维护费用、施工过程中的所有电费（包含临设办公、生活用电）均由承包人承担，费用（包括力调电费、基本占容费及用电费用等电费清单中所列明的所有内容）已经在合同价款中，发包人不另行额外支付。另外，承包人须自备备用的发电机组设备，以保证偶然停电情况下施工能正常进行（费用已包含在合同价款中）。</w:t>
      </w:r>
    </w:p>
    <w:p w14:paraId="3F801E29">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3）承包人自行与电信部门协商解决施工、发包人及相关服务单位的现场通讯接驳位置；由此发生的相关费用已包含在合同价款中，发包人不另行额外支付。</w:t>
      </w:r>
    </w:p>
    <w:p w14:paraId="64FA2619">
      <w:pPr>
        <w:adjustRightInd w:val="0"/>
        <w:snapToGrid w:val="0"/>
        <w:spacing w:line="360" w:lineRule="auto"/>
        <w:ind w:firstLine="480" w:firstLineChars="200"/>
        <w:jc w:val="both"/>
      </w:pPr>
      <w:r>
        <w:rPr>
          <w:rFonts w:hint="eastAsia"/>
        </w:rPr>
        <w:t>⑦发包人组织图纸会审和设计交底的时间：</w:t>
      </w:r>
      <w:r>
        <w:rPr>
          <w:rFonts w:hint="eastAsia"/>
          <w:u w:val="single"/>
        </w:rPr>
        <w:t>具体时间以发包人通知为准。</w:t>
      </w:r>
    </w:p>
    <w:p w14:paraId="6CEF49FD">
      <w:pPr>
        <w:widowControl w:val="0"/>
        <w:adjustRightInd w:val="0"/>
        <w:snapToGrid w:val="0"/>
        <w:spacing w:line="360" w:lineRule="auto"/>
        <w:ind w:firstLine="480" w:firstLineChars="200"/>
        <w:jc w:val="both"/>
      </w:pPr>
      <w:r>
        <w:rPr>
          <w:rFonts w:hint="eastAsia"/>
        </w:rPr>
        <w:t>⑨发包人应做的其他工作和要求：</w:t>
      </w:r>
    </w:p>
    <w:p w14:paraId="08DE257B">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1）发包人有权要求承包人协助承办开、竣工仪式、交付仪式等。</w:t>
      </w:r>
    </w:p>
    <w:p w14:paraId="360CD77E">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2）发包人有权审查承包人对建设资金的使用情况。</w:t>
      </w:r>
    </w:p>
    <w:p w14:paraId="7E44DA94">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3）承包人同意，发包人在签署本合同后可将其合同项下的全部或部分权利义务转让给第三人，该转让自发包人发出转让通知之日起对承包人发生效力。而当该等转让情况发生时，承包人仍应受合同所有条款及条件绝对约束，并将继受发包人权益的主体视为发包人。</w:t>
      </w:r>
    </w:p>
    <w:p w14:paraId="355536B6">
      <w:pPr>
        <w:widowControl w:val="0"/>
        <w:adjustRightInd w:val="0"/>
        <w:snapToGrid w:val="0"/>
        <w:spacing w:line="360" w:lineRule="auto"/>
        <w:ind w:firstLine="480" w:firstLineChars="200"/>
        <w:jc w:val="both"/>
      </w:pPr>
      <w:r>
        <w:rPr>
          <w:rFonts w:hint="eastAsia" w:cs="Times New Roman"/>
          <w:bCs/>
          <w:kern w:val="2"/>
          <w:u w:val="single"/>
        </w:rPr>
        <w:t>4）如承包人不按合同要求进行施工，发包人即可勒令承包人暂停施工，待整改完毕后报发包人验收并同意后方可复工，由此造成的损失由承包人负责，且工期不顺延。</w:t>
      </w:r>
    </w:p>
    <w:p w14:paraId="2026D5E6">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5）发包人有权根据实际需要，对图纸进行变更，调整的费用可按变更的确定原则执行；对施工组织或施工工艺进行调整，以及因此对工期造成的影响，发包人不额外支付费用，因此可能增加的费用承包人应在投标报价中综合考虑。</w:t>
      </w:r>
    </w:p>
    <w:p w14:paraId="4833A928">
      <w:pPr>
        <w:widowControl w:val="0"/>
        <w:adjustRightInd w:val="0"/>
        <w:snapToGrid w:val="0"/>
        <w:spacing w:line="360" w:lineRule="auto"/>
        <w:ind w:firstLine="480" w:firstLineChars="200"/>
        <w:jc w:val="both"/>
        <w:rPr>
          <w:rFonts w:cs="Times New Roman"/>
          <w:bCs/>
          <w:kern w:val="2"/>
          <w:u w:val="single"/>
        </w:rPr>
      </w:pPr>
      <w:r>
        <w:rPr>
          <w:rFonts w:hint="eastAsia" w:cs="Times New Roman"/>
          <w:bCs/>
          <w:kern w:val="2"/>
          <w:u w:val="single"/>
        </w:rPr>
        <w:t>6）发包人有权根据实际需要，对承包范围进行变更，因承包范围调整所引起的工程量增减的金额按中标价或参照变更价款的确定方法进行计算，发包人不予额外赔偿或补偿。</w:t>
      </w:r>
    </w:p>
    <w:p w14:paraId="24F5D014">
      <w:pPr>
        <w:pStyle w:val="5"/>
        <w:tabs>
          <w:tab w:val="left" w:pos="540"/>
          <w:tab w:val="left" w:pos="2340"/>
        </w:tabs>
        <w:spacing w:before="120" w:after="156"/>
        <w:ind w:left="180"/>
        <w:jc w:val="left"/>
        <w:rPr>
          <w:rFonts w:ascii="宋体" w:hAnsi="宋体"/>
          <w:sz w:val="24"/>
        </w:rPr>
      </w:pPr>
      <w:bookmarkStart w:id="106" w:name="_Toc11865"/>
      <w:bookmarkStart w:id="107" w:name="_Toc23268"/>
      <w:bookmarkStart w:id="108" w:name="_Toc9389"/>
      <w:r>
        <w:rPr>
          <w:rFonts w:hint="eastAsia" w:ascii="宋体" w:hAnsi="宋体"/>
          <w:sz w:val="24"/>
        </w:rPr>
        <w:t>3.5 发包人委托</w:t>
      </w:r>
      <w:bookmarkEnd w:id="106"/>
      <w:bookmarkEnd w:id="107"/>
      <w:bookmarkEnd w:id="108"/>
    </w:p>
    <w:p w14:paraId="2611F875">
      <w:pPr>
        <w:widowControl w:val="0"/>
        <w:adjustRightInd w:val="0"/>
        <w:snapToGrid w:val="0"/>
        <w:spacing w:line="360" w:lineRule="auto"/>
        <w:ind w:firstLine="480" w:firstLineChars="200"/>
        <w:jc w:val="both"/>
        <w:rPr>
          <w:rFonts w:cs="Times New Roman"/>
          <w:u w:val="single"/>
        </w:rPr>
      </w:pPr>
      <w:r>
        <w:rPr>
          <w:rFonts w:hint="eastAsia"/>
        </w:rPr>
        <w:t>发包人委托承包人办理的工作：</w:t>
      </w:r>
      <w:bookmarkStart w:id="109" w:name="_Toc16857"/>
      <w:bookmarkStart w:id="110" w:name="_Toc30258"/>
      <w:bookmarkStart w:id="111" w:name="_Toc18284"/>
      <w:r>
        <w:rPr>
          <w:rFonts w:hint="eastAsia" w:cs="Times New Roman"/>
          <w:u w:val="single"/>
        </w:rPr>
        <w:t>①施工场地内、外为满足施工期间需要的所有工作，包括但不限于：临时水、电、通讯的接驳，场地平整，清理、清除</w:t>
      </w:r>
      <w:r>
        <w:rPr>
          <w:rFonts w:cs="Times New Roman"/>
          <w:u w:val="single"/>
        </w:rPr>
        <w:t>(含外运)。②根据现场施工的需要确定红线外临时占地(含占道)的位置、范围，办理红线外临时占地(含占道)、租赁房屋的租用手续。③办理施工报建、竣工备案等相关手续，具体以发包人要求为准。④办理以上工作所需的费用包含在合同价中，结算不作调整。</w:t>
      </w:r>
    </w:p>
    <w:p w14:paraId="3BD6D524">
      <w:pPr>
        <w:pStyle w:val="4"/>
        <w:keepNext w:val="0"/>
        <w:keepLines w:val="0"/>
        <w:tabs>
          <w:tab w:val="left" w:pos="1620"/>
          <w:tab w:val="left" w:pos="2340"/>
        </w:tabs>
        <w:spacing w:before="120" w:after="120"/>
        <w:rPr>
          <w:lang w:val="en-US"/>
        </w:rPr>
      </w:pPr>
      <w:r>
        <w:rPr>
          <w:rFonts w:hint="eastAsia"/>
          <w:lang w:val="en-US"/>
        </w:rPr>
        <w:t xml:space="preserve">4 </w:t>
      </w:r>
      <w:r>
        <w:rPr>
          <w:rFonts w:hint="eastAsia"/>
        </w:rPr>
        <w:t>承包人</w:t>
      </w:r>
      <w:bookmarkEnd w:id="109"/>
      <w:bookmarkEnd w:id="110"/>
      <w:bookmarkEnd w:id="111"/>
    </w:p>
    <w:p w14:paraId="66F3817E">
      <w:pPr>
        <w:pStyle w:val="5"/>
        <w:tabs>
          <w:tab w:val="left" w:pos="540"/>
          <w:tab w:val="left" w:pos="2340"/>
        </w:tabs>
        <w:spacing w:before="120" w:after="156"/>
        <w:ind w:left="180"/>
        <w:jc w:val="left"/>
        <w:rPr>
          <w:rFonts w:ascii="宋体" w:hAnsi="宋体"/>
          <w:sz w:val="24"/>
          <w:lang w:val="en-US"/>
        </w:rPr>
      </w:pPr>
      <w:bookmarkStart w:id="112" w:name="_Toc24327"/>
      <w:bookmarkStart w:id="113" w:name="_Toc10471"/>
      <w:bookmarkStart w:id="114" w:name="_Toc28927"/>
      <w:r>
        <w:rPr>
          <w:rFonts w:hint="eastAsia" w:ascii="宋体" w:hAnsi="宋体"/>
          <w:sz w:val="24"/>
          <w:lang w:val="en-US"/>
        </w:rPr>
        <w:t xml:space="preserve">4.2 </w:t>
      </w:r>
      <w:r>
        <w:rPr>
          <w:rFonts w:hint="eastAsia" w:ascii="宋体" w:hAnsi="宋体"/>
          <w:sz w:val="24"/>
        </w:rPr>
        <w:t>承包人的工作</w:t>
      </w:r>
      <w:bookmarkEnd w:id="112"/>
      <w:bookmarkEnd w:id="113"/>
      <w:bookmarkEnd w:id="114"/>
    </w:p>
    <w:p w14:paraId="50F86F36">
      <w:pPr>
        <w:adjustRightInd w:val="0"/>
        <w:snapToGrid w:val="0"/>
        <w:spacing w:line="360" w:lineRule="auto"/>
        <w:ind w:firstLine="480" w:firstLineChars="200"/>
        <w:jc w:val="both"/>
      </w:pPr>
      <w:r>
        <w:rPr>
          <w:rFonts w:hint="eastAsia"/>
        </w:rPr>
        <w:t>(1)承包人完成工作的要求：</w:t>
      </w:r>
    </w:p>
    <w:p w14:paraId="133868D6">
      <w:pPr>
        <w:adjustRightInd w:val="0"/>
        <w:snapToGrid w:val="0"/>
        <w:spacing w:line="360" w:lineRule="auto"/>
        <w:ind w:firstLine="482" w:firstLineChars="200"/>
        <w:rPr>
          <w:b/>
        </w:rPr>
      </w:pPr>
      <w:bookmarkStart w:id="115" w:name="_Toc8361"/>
      <w:bookmarkStart w:id="116" w:name="_Toc20209"/>
      <w:bookmarkStart w:id="117" w:name="_Toc18206"/>
      <w:r>
        <w:rPr>
          <w:rFonts w:hint="eastAsia"/>
          <w:b/>
        </w:rPr>
        <w:t>①拆除作业要求</w:t>
      </w:r>
    </w:p>
    <w:p w14:paraId="3399FE33">
      <w:pPr>
        <w:adjustRightInd w:val="0"/>
        <w:snapToGrid w:val="0"/>
        <w:spacing w:line="360" w:lineRule="auto"/>
        <w:ind w:firstLine="480" w:firstLineChars="200"/>
      </w:pPr>
      <w:r>
        <w:rPr>
          <w:rFonts w:hint="eastAsia"/>
        </w:rPr>
        <w:t>1、当采用人工拆除作业时，应满足以下要求：</w:t>
      </w:r>
    </w:p>
    <w:p w14:paraId="629504A2">
      <w:pPr>
        <w:adjustRightInd w:val="0"/>
        <w:snapToGrid w:val="0"/>
        <w:spacing w:line="360" w:lineRule="auto"/>
        <w:ind w:firstLine="480" w:firstLineChars="200"/>
      </w:pPr>
      <w:r>
        <w:rPr>
          <w:rFonts w:hint="eastAsia"/>
        </w:rPr>
        <w:t>1)</w:t>
      </w:r>
      <w:r>
        <w:rPr>
          <w:rFonts w:hint="eastAsia"/>
        </w:rPr>
        <w:tab/>
      </w:r>
      <w:r>
        <w:rPr>
          <w:rFonts w:hint="eastAsia"/>
        </w:rPr>
        <w:t>进行人工拆除作业时，楼板上严禁人员聚集或堆放材料，作业人员应站在稳定的结构或脚手架上操作，被拆除的构件应有安全的放置场所。</w:t>
      </w:r>
    </w:p>
    <w:p w14:paraId="6E31F1F9">
      <w:pPr>
        <w:adjustRightInd w:val="0"/>
        <w:snapToGrid w:val="0"/>
        <w:spacing w:line="360" w:lineRule="auto"/>
        <w:ind w:firstLine="480" w:firstLineChars="200"/>
      </w:pPr>
      <w:r>
        <w:rPr>
          <w:rFonts w:hint="eastAsia"/>
        </w:rPr>
        <w:t>2)</w:t>
      </w:r>
      <w:r>
        <w:rPr>
          <w:rFonts w:hint="eastAsia"/>
        </w:rPr>
        <w:tab/>
      </w:r>
      <w:r>
        <w:rPr>
          <w:rFonts w:hint="eastAsia"/>
        </w:rPr>
        <w:t>人工拆除施工应按“先维护结构、后承重结构”的原则从上至下，逐层拆除，分段进行，不得垂直交叉作业，作业面的孔洞应封闭。</w:t>
      </w:r>
    </w:p>
    <w:p w14:paraId="62E20122">
      <w:pPr>
        <w:adjustRightInd w:val="0"/>
        <w:snapToGrid w:val="0"/>
        <w:spacing w:line="360" w:lineRule="auto"/>
        <w:ind w:firstLine="480" w:firstLineChars="200"/>
      </w:pPr>
      <w:r>
        <w:rPr>
          <w:rFonts w:hint="eastAsia"/>
        </w:rPr>
        <w:t>3)</w:t>
      </w:r>
      <w:r>
        <w:rPr>
          <w:rFonts w:hint="eastAsia"/>
        </w:rPr>
        <w:tab/>
      </w:r>
      <w:r>
        <w:rPr>
          <w:rFonts w:hint="eastAsia"/>
        </w:rPr>
        <w:t>人工拆除建筑墙体时，严禁采用掏掘或推倒的方法。</w:t>
      </w:r>
    </w:p>
    <w:p w14:paraId="7292BDFB">
      <w:pPr>
        <w:adjustRightInd w:val="0"/>
        <w:snapToGrid w:val="0"/>
        <w:spacing w:line="360" w:lineRule="auto"/>
        <w:ind w:firstLine="480" w:firstLineChars="200"/>
      </w:pPr>
      <w:r>
        <w:rPr>
          <w:rFonts w:hint="eastAsia"/>
        </w:rPr>
        <w:t>4)</w:t>
      </w:r>
      <w:r>
        <w:rPr>
          <w:rFonts w:hint="eastAsia"/>
        </w:rPr>
        <w:tab/>
      </w:r>
      <w:r>
        <w:rPr>
          <w:rFonts w:hint="eastAsia"/>
        </w:rPr>
        <w:t>拆除建筑的围栏、楼梯、楼板等构件，应与建筑结构整体拆除进度相配合，不得先行拆除。建筑的承重梁、柱，应在其所承载的全部构件拆除后，再进行拆除。</w:t>
      </w:r>
    </w:p>
    <w:p w14:paraId="03C4E7CC">
      <w:pPr>
        <w:adjustRightInd w:val="0"/>
        <w:snapToGrid w:val="0"/>
        <w:spacing w:line="360" w:lineRule="auto"/>
        <w:ind w:firstLine="480" w:firstLineChars="200"/>
      </w:pPr>
      <w:r>
        <w:rPr>
          <w:rFonts w:hint="eastAsia"/>
        </w:rPr>
        <w:t>5)</w:t>
      </w:r>
      <w:r>
        <w:rPr>
          <w:rFonts w:hint="eastAsia"/>
        </w:rPr>
        <w:tab/>
      </w:r>
      <w:r>
        <w:rPr>
          <w:rFonts w:hint="eastAsia"/>
        </w:rPr>
        <w:t>拆除梁和悬挑构件时，应采取有效的下落控制措施，方可切断两端的支撑。</w:t>
      </w:r>
    </w:p>
    <w:p w14:paraId="5500BE9E">
      <w:pPr>
        <w:adjustRightInd w:val="0"/>
        <w:snapToGrid w:val="0"/>
        <w:spacing w:line="360" w:lineRule="auto"/>
        <w:ind w:firstLine="480" w:firstLineChars="200"/>
      </w:pPr>
      <w:r>
        <w:rPr>
          <w:rFonts w:hint="eastAsia"/>
        </w:rPr>
        <w:t>6)</w:t>
      </w:r>
      <w:r>
        <w:rPr>
          <w:rFonts w:hint="eastAsia"/>
        </w:rPr>
        <w:tab/>
      </w:r>
      <w:r>
        <w:rPr>
          <w:rFonts w:hint="eastAsia"/>
        </w:rPr>
        <w:t>拆除柱子时，应沿柱子底部剔凿出钢筋，使用手动倒链定向牵引，再采用气焊切割柱子三面钢筋，保留牵引方向正面的钢筋。</w:t>
      </w:r>
    </w:p>
    <w:p w14:paraId="54F800B9">
      <w:pPr>
        <w:adjustRightInd w:val="0"/>
        <w:snapToGrid w:val="0"/>
        <w:spacing w:line="360" w:lineRule="auto"/>
        <w:ind w:firstLine="480" w:firstLineChars="200"/>
      </w:pPr>
      <w:r>
        <w:rPr>
          <w:rFonts w:hint="eastAsia"/>
        </w:rPr>
        <w:t>7)</w:t>
      </w:r>
      <w:r>
        <w:rPr>
          <w:rFonts w:hint="eastAsia"/>
        </w:rPr>
        <w:tab/>
      </w:r>
      <w:r>
        <w:rPr>
          <w:rFonts w:hint="eastAsia"/>
        </w:rPr>
        <w:t>拆除管道及容器时，必须在查清残留物的性质，并采取相应措施确保安全后，方可进行拆除施工。</w:t>
      </w:r>
    </w:p>
    <w:p w14:paraId="50097CDD">
      <w:pPr>
        <w:adjustRightInd w:val="0"/>
        <w:snapToGrid w:val="0"/>
        <w:spacing w:line="360" w:lineRule="auto"/>
        <w:ind w:firstLine="480" w:firstLineChars="200"/>
      </w:pPr>
      <w:r>
        <w:rPr>
          <w:rFonts w:hint="eastAsia"/>
        </w:rPr>
        <w:t>2、当采用机械拆除作业时，应满足以下要求：</w:t>
      </w:r>
    </w:p>
    <w:p w14:paraId="7EFD4E05">
      <w:pPr>
        <w:adjustRightInd w:val="0"/>
        <w:snapToGrid w:val="0"/>
        <w:spacing w:line="360" w:lineRule="auto"/>
        <w:ind w:firstLine="480" w:firstLineChars="200"/>
      </w:pPr>
      <w:r>
        <w:rPr>
          <w:rFonts w:hint="eastAsia"/>
        </w:rPr>
        <w:t>1)</w:t>
      </w:r>
      <w:r>
        <w:rPr>
          <w:rFonts w:hint="eastAsia"/>
        </w:rPr>
        <w:tab/>
      </w:r>
      <w:r>
        <w:rPr>
          <w:rFonts w:hint="eastAsia"/>
        </w:rPr>
        <w:t>当采用机械拆除时，应按“先维护结构、后承重结构”的原则从上至下，逐层分段进行，应先拆除非承重结构，再拆除承重结构。拆除框架结构建筑，必须按楼板、次梁、主梁、柱子的顺序进行施工，对只进行部分拆除的建筑，必须先将保留部分加固，再进行分离拆除。</w:t>
      </w:r>
    </w:p>
    <w:p w14:paraId="3BC93DDC">
      <w:pPr>
        <w:adjustRightInd w:val="0"/>
        <w:snapToGrid w:val="0"/>
        <w:spacing w:line="360" w:lineRule="auto"/>
        <w:ind w:firstLine="480" w:firstLineChars="200"/>
      </w:pPr>
      <w:r>
        <w:rPr>
          <w:rFonts w:hint="eastAsia"/>
        </w:rPr>
        <w:t>2)</w:t>
      </w:r>
      <w:r>
        <w:rPr>
          <w:rFonts w:hint="eastAsia"/>
        </w:rPr>
        <w:tab/>
      </w:r>
      <w:r>
        <w:rPr>
          <w:rFonts w:hint="eastAsia"/>
        </w:rPr>
        <w:t>施工中必须由专人负责监测被拆除建筑的结构状态，做好记录。当发现有不稳定状态的趋势时，必须停止作业，采取有效措施，消除隐患。</w:t>
      </w:r>
    </w:p>
    <w:p w14:paraId="27803EF2">
      <w:pPr>
        <w:adjustRightInd w:val="0"/>
        <w:snapToGrid w:val="0"/>
        <w:spacing w:line="360" w:lineRule="auto"/>
        <w:ind w:firstLine="480" w:firstLineChars="200"/>
      </w:pPr>
      <w:r>
        <w:rPr>
          <w:rFonts w:hint="eastAsia"/>
        </w:rPr>
        <w:t>3)</w:t>
      </w:r>
      <w:r>
        <w:rPr>
          <w:rFonts w:hint="eastAsia"/>
        </w:rPr>
        <w:tab/>
      </w:r>
      <w:r>
        <w:rPr>
          <w:rFonts w:hint="eastAsia"/>
        </w:rPr>
        <w:t>拆除施工时，应按照施工组织设计选定的机械设备及吊装方案进行施工，严禁超载作业或任意扩大使用范围，供机械设备使用的场地必须保证足够的承载力，作业中机械不得同时回转、行走。</w:t>
      </w:r>
    </w:p>
    <w:p w14:paraId="2B85EDA0">
      <w:pPr>
        <w:adjustRightInd w:val="0"/>
        <w:snapToGrid w:val="0"/>
        <w:spacing w:line="360" w:lineRule="auto"/>
        <w:ind w:firstLine="480" w:firstLineChars="200"/>
      </w:pPr>
      <w:r>
        <w:rPr>
          <w:rFonts w:hint="eastAsia"/>
        </w:rPr>
        <w:t>4)</w:t>
      </w:r>
      <w:r>
        <w:rPr>
          <w:rFonts w:hint="eastAsia"/>
        </w:rPr>
        <w:tab/>
      </w:r>
      <w:r>
        <w:rPr>
          <w:rFonts w:hint="eastAsia"/>
        </w:rPr>
        <w:t>进行高处拆除作业时，对较大尺寸的构件或沉重的材料，必须采用起重机具及时吊下，拆卸下来的各种材料应及时清理，分类堆放在指定的场所，严禁向下抛掷。</w:t>
      </w:r>
    </w:p>
    <w:p w14:paraId="276E58FD">
      <w:pPr>
        <w:adjustRightInd w:val="0"/>
        <w:snapToGrid w:val="0"/>
        <w:spacing w:line="360" w:lineRule="auto"/>
        <w:ind w:firstLine="480" w:firstLineChars="200"/>
      </w:pPr>
      <w:r>
        <w:rPr>
          <w:rFonts w:hint="eastAsia"/>
        </w:rPr>
        <w:t>5)</w:t>
      </w:r>
      <w:r>
        <w:rPr>
          <w:rFonts w:hint="eastAsia"/>
        </w:rPr>
        <w:tab/>
      </w:r>
      <w:r>
        <w:rPr>
          <w:rFonts w:hint="eastAsia"/>
        </w:rPr>
        <w:t>采用双机抬吊作业时，每台起重机载荷不得超过允许载荷的80%，且应对第一吊进行试吊作业，施工中必须保持两台起重机同步作业。</w:t>
      </w:r>
    </w:p>
    <w:p w14:paraId="33672D70">
      <w:pPr>
        <w:adjustRightInd w:val="0"/>
        <w:snapToGrid w:val="0"/>
        <w:spacing w:line="360" w:lineRule="auto"/>
        <w:ind w:firstLine="480" w:firstLineChars="200"/>
      </w:pPr>
      <w:r>
        <w:rPr>
          <w:rFonts w:hint="eastAsia"/>
        </w:rPr>
        <w:t>6)</w:t>
      </w:r>
      <w:r>
        <w:rPr>
          <w:rFonts w:hint="eastAsia"/>
        </w:rPr>
        <w:tab/>
      </w:r>
      <w:r>
        <w:rPr>
          <w:rFonts w:hint="eastAsia"/>
        </w:rPr>
        <w:t>拆除吊装作业的起重机司机，必须严格执行操作规程，信号指挥人员必须按照规行国家标准《起重吊运指挥信号》GB5082的规定作业。</w:t>
      </w:r>
    </w:p>
    <w:p w14:paraId="216B5220">
      <w:pPr>
        <w:adjustRightInd w:val="0"/>
        <w:snapToGrid w:val="0"/>
        <w:spacing w:line="360" w:lineRule="auto"/>
        <w:ind w:firstLine="480" w:firstLineChars="200"/>
      </w:pPr>
      <w:r>
        <w:rPr>
          <w:rFonts w:hint="eastAsia"/>
        </w:rPr>
        <w:t>7)</w:t>
      </w:r>
      <w:r>
        <w:rPr>
          <w:rFonts w:hint="eastAsia"/>
        </w:rPr>
        <w:tab/>
      </w:r>
      <w:r>
        <w:rPr>
          <w:rFonts w:hint="eastAsia"/>
        </w:rPr>
        <w:t>拆除钢层架时，必须采取绳索将其拴牢，待起重机吊稳后，方可进行气焊切割作业。吊运过程中，应采取辅助措施使被吊物处于稳定状态。</w:t>
      </w:r>
    </w:p>
    <w:p w14:paraId="65C8B3AC">
      <w:pPr>
        <w:adjustRightInd w:val="0"/>
        <w:snapToGrid w:val="0"/>
        <w:spacing w:line="360" w:lineRule="auto"/>
        <w:ind w:firstLine="480" w:firstLineChars="200"/>
      </w:pPr>
      <w:r>
        <w:rPr>
          <w:rFonts w:hint="eastAsia"/>
        </w:rPr>
        <w:t>3、当采用其他拆除方式如爆破拆除、静力拆除，拆除工艺应严格遵守《建筑拆除工程安全技术规范》、《爆破安全规程》相关要求，并负责相关审批文件的申报、协调项目周边受影响区域的安全协议的签订、申请周边道路临时封路等因作业所涉及到所有工作的申办。此项费用已包含在工程报价中。</w:t>
      </w:r>
    </w:p>
    <w:p w14:paraId="172D87D0">
      <w:pPr>
        <w:adjustRightInd w:val="0"/>
        <w:snapToGrid w:val="0"/>
        <w:spacing w:line="360" w:lineRule="auto"/>
        <w:ind w:firstLine="482" w:firstLineChars="200"/>
        <w:rPr>
          <w:b/>
        </w:rPr>
      </w:pPr>
      <w:r>
        <w:rPr>
          <w:rFonts w:hint="eastAsia"/>
          <w:b/>
        </w:rPr>
        <w:t>②废弃物综合利用管理</w:t>
      </w:r>
    </w:p>
    <w:p w14:paraId="409843F3">
      <w:pPr>
        <w:widowControl w:val="0"/>
        <w:numPr>
          <w:ilvl w:val="0"/>
          <w:numId w:val="3"/>
        </w:numPr>
        <w:adjustRightInd w:val="0"/>
        <w:snapToGrid w:val="0"/>
        <w:spacing w:line="360" w:lineRule="auto"/>
        <w:ind w:firstLine="480" w:firstLineChars="200"/>
      </w:pPr>
      <w:r>
        <w:rPr>
          <w:rFonts w:hint="eastAsia"/>
        </w:rPr>
        <w:t>废弃物综合利用所有费用已经涵盖在工程报价中。</w:t>
      </w:r>
    </w:p>
    <w:p w14:paraId="3AA0821F">
      <w:pPr>
        <w:widowControl w:val="0"/>
        <w:numPr>
          <w:ilvl w:val="0"/>
          <w:numId w:val="3"/>
        </w:numPr>
        <w:adjustRightInd w:val="0"/>
        <w:snapToGrid w:val="0"/>
        <w:spacing w:line="360" w:lineRule="auto"/>
        <w:ind w:firstLine="480" w:firstLineChars="200"/>
      </w:pPr>
      <w:r>
        <w:rPr>
          <w:rFonts w:hint="eastAsia"/>
        </w:rPr>
        <w:t>承包人应向发包人提供建筑废弃物综合利用业绩、设备和人员等情况，并确保提供材料数据的真实性。</w:t>
      </w:r>
    </w:p>
    <w:p w14:paraId="0FC31F22">
      <w:pPr>
        <w:widowControl w:val="0"/>
        <w:numPr>
          <w:ilvl w:val="0"/>
          <w:numId w:val="3"/>
        </w:numPr>
        <w:adjustRightInd w:val="0"/>
        <w:snapToGrid w:val="0"/>
        <w:spacing w:line="360" w:lineRule="auto"/>
        <w:ind w:firstLine="480" w:firstLineChars="200"/>
      </w:pPr>
      <w:r>
        <w:rPr>
          <w:rFonts w:hint="eastAsia"/>
        </w:rPr>
        <w:t>建筑废弃物综合利用的承包单位应接受拆除工程承包单位的统一管理，如因不服从管理导致工程延期或产生不良影响的，每次对综合废弃物承包单位处罚5万元。</w:t>
      </w:r>
    </w:p>
    <w:p w14:paraId="534D66A7">
      <w:pPr>
        <w:widowControl w:val="0"/>
        <w:numPr>
          <w:ilvl w:val="0"/>
          <w:numId w:val="3"/>
        </w:numPr>
        <w:adjustRightInd w:val="0"/>
        <w:snapToGrid w:val="0"/>
        <w:spacing w:line="360" w:lineRule="auto"/>
        <w:ind w:firstLine="480" w:firstLineChars="200"/>
      </w:pPr>
      <w:r>
        <w:rPr>
          <w:rFonts w:hint="eastAsia"/>
        </w:rPr>
        <w:t>承包人应严格按照深圳市相关制度要求，落实各项建筑废弃物综合处置工作；如因废弃物处置不到位，由相关执法部门依法处罚，责任由拆除单位自行承担。</w:t>
      </w:r>
    </w:p>
    <w:p w14:paraId="21F34524">
      <w:pPr>
        <w:widowControl w:val="0"/>
        <w:numPr>
          <w:ilvl w:val="0"/>
          <w:numId w:val="3"/>
        </w:numPr>
        <w:adjustRightInd w:val="0"/>
        <w:snapToGrid w:val="0"/>
        <w:spacing w:line="360" w:lineRule="auto"/>
        <w:ind w:firstLine="480" w:firstLineChars="200"/>
      </w:pPr>
      <w:r>
        <w:rPr>
          <w:rFonts w:hint="eastAsia"/>
        </w:rPr>
        <w:t>本次拆除项目要求建筑废弃物运至综合利用厂进行集中处理利用。，严禁在项目现场进行废弃物处理。</w:t>
      </w:r>
    </w:p>
    <w:p w14:paraId="64AE1954">
      <w:pPr>
        <w:widowControl w:val="0"/>
        <w:numPr>
          <w:ilvl w:val="0"/>
          <w:numId w:val="3"/>
        </w:numPr>
        <w:adjustRightInd w:val="0"/>
        <w:snapToGrid w:val="0"/>
        <w:spacing w:line="360" w:lineRule="auto"/>
        <w:ind w:firstLine="480" w:firstLineChars="200"/>
      </w:pPr>
      <w:r>
        <w:rPr>
          <w:rFonts w:hint="eastAsia"/>
        </w:rPr>
        <w:t>无法再利用或再生利用的生活垃圾、工业垃圾、危险废弃物、有毒有害废弃物等，应按照相关法律的规定妥善处置。</w:t>
      </w:r>
    </w:p>
    <w:p w14:paraId="6728B81B">
      <w:pPr>
        <w:widowControl w:val="0"/>
        <w:numPr>
          <w:ilvl w:val="0"/>
          <w:numId w:val="3"/>
        </w:numPr>
        <w:adjustRightInd w:val="0"/>
        <w:snapToGrid w:val="0"/>
        <w:spacing w:line="360" w:lineRule="auto"/>
        <w:ind w:firstLine="480" w:firstLineChars="200"/>
      </w:pPr>
      <w:r>
        <w:rPr>
          <w:rFonts w:hint="eastAsia"/>
        </w:rPr>
        <w:t>建筑废弃物的处理利用，应采取安全防护措施和环境污染防护措施。</w:t>
      </w:r>
    </w:p>
    <w:p w14:paraId="2C481CE3">
      <w:pPr>
        <w:widowControl w:val="0"/>
        <w:numPr>
          <w:ilvl w:val="0"/>
          <w:numId w:val="3"/>
        </w:numPr>
        <w:adjustRightInd w:val="0"/>
        <w:snapToGrid w:val="0"/>
        <w:spacing w:line="360" w:lineRule="auto"/>
        <w:ind w:firstLine="480" w:firstLineChars="200"/>
      </w:pPr>
      <w:r>
        <w:rPr>
          <w:rFonts w:hint="eastAsia"/>
        </w:rPr>
        <w:t>拆除工程完工后，应及时将渣土清运出场。建筑废弃物的运输应遵守深圳市相关运输法律规定</w:t>
      </w:r>
    </w:p>
    <w:p w14:paraId="66B6AD21">
      <w:pPr>
        <w:adjustRightInd w:val="0"/>
        <w:snapToGrid w:val="0"/>
        <w:spacing w:line="360" w:lineRule="auto"/>
        <w:ind w:firstLine="482" w:firstLineChars="200"/>
        <w:rPr>
          <w:b/>
        </w:rPr>
      </w:pPr>
      <w:r>
        <w:rPr>
          <w:rFonts w:hint="eastAsia"/>
          <w:b/>
        </w:rPr>
        <w:t>③承包人应履行的安全保证措施</w:t>
      </w:r>
    </w:p>
    <w:p w14:paraId="754AA8BD">
      <w:pPr>
        <w:adjustRightInd w:val="0"/>
        <w:snapToGrid w:val="0"/>
        <w:spacing w:line="360" w:lineRule="auto"/>
        <w:ind w:firstLine="480" w:firstLineChars="200"/>
      </w:pPr>
      <w:r>
        <w:rPr>
          <w:rFonts w:hint="eastAsia"/>
        </w:rPr>
        <w:t>1、安全防护措施（包括但不限于）</w:t>
      </w:r>
    </w:p>
    <w:p w14:paraId="165A8D33">
      <w:pPr>
        <w:adjustRightInd w:val="0"/>
        <w:snapToGrid w:val="0"/>
        <w:spacing w:line="360" w:lineRule="auto"/>
        <w:ind w:firstLine="480" w:firstLineChars="200"/>
      </w:pPr>
      <w:r>
        <w:rPr>
          <w:rFonts w:hint="eastAsia"/>
        </w:rPr>
        <w:t>1)安全防护措施必须符合国家、地方及行业相关技术规范。</w:t>
      </w:r>
    </w:p>
    <w:p w14:paraId="294A822D">
      <w:pPr>
        <w:adjustRightInd w:val="0"/>
        <w:snapToGrid w:val="0"/>
        <w:spacing w:line="360" w:lineRule="auto"/>
        <w:ind w:firstLine="480" w:firstLineChars="200"/>
      </w:pPr>
      <w:r>
        <w:rPr>
          <w:rFonts w:hint="eastAsia"/>
        </w:rPr>
        <w:t>2)拆除建筑物沿临近市政道路及居民生活区的外侧设置安全防护排架（钢管架）及安全网，设置人行专用安全通道，满足安全规范要求。</w:t>
      </w:r>
    </w:p>
    <w:p w14:paraId="591C14CA">
      <w:pPr>
        <w:adjustRightInd w:val="0"/>
        <w:snapToGrid w:val="0"/>
        <w:spacing w:line="360" w:lineRule="auto"/>
        <w:ind w:firstLine="480" w:firstLineChars="200"/>
      </w:pPr>
      <w:r>
        <w:rPr>
          <w:rFonts w:hint="eastAsia"/>
        </w:rPr>
        <w:t>3)当拆除工程对周围相邻建筑安全可能产生危险时，马上停止拆除施工，并采取相应保护措施，建筑内的人员立即进行撤离安置。</w:t>
      </w:r>
    </w:p>
    <w:p w14:paraId="308FA65C">
      <w:pPr>
        <w:adjustRightInd w:val="0"/>
        <w:snapToGrid w:val="0"/>
        <w:spacing w:line="360" w:lineRule="auto"/>
        <w:ind w:firstLine="480" w:firstLineChars="200"/>
      </w:pPr>
      <w:r>
        <w:rPr>
          <w:rFonts w:hint="eastAsia"/>
        </w:rPr>
        <w:t>4)拆除施工期间，非施工人员严禁进入施工区。</w:t>
      </w:r>
    </w:p>
    <w:p w14:paraId="2673386D">
      <w:pPr>
        <w:adjustRightInd w:val="0"/>
        <w:snapToGrid w:val="0"/>
        <w:spacing w:line="360" w:lineRule="auto"/>
        <w:ind w:firstLine="480" w:firstLineChars="200"/>
      </w:pPr>
      <w:r>
        <w:rPr>
          <w:rFonts w:hint="eastAsia"/>
        </w:rPr>
        <w:t>5)作业中，发现不明物体，马上停止施工，保护现场并及时向有关部门报告。</w:t>
      </w:r>
    </w:p>
    <w:p w14:paraId="27ED8CB9">
      <w:pPr>
        <w:adjustRightInd w:val="0"/>
        <w:snapToGrid w:val="0"/>
        <w:spacing w:line="360" w:lineRule="auto"/>
        <w:ind w:firstLine="480" w:firstLineChars="200"/>
      </w:pPr>
      <w:r>
        <w:rPr>
          <w:rFonts w:hint="eastAsia"/>
        </w:rPr>
        <w:t>6)施工中采用的脚手架、安全网，由专业人员搭设。严禁立体交叉作业。水平作业时，各工位间保持一定的安全距离。</w:t>
      </w:r>
    </w:p>
    <w:p w14:paraId="7CA73370">
      <w:pPr>
        <w:adjustRightInd w:val="0"/>
        <w:snapToGrid w:val="0"/>
        <w:spacing w:line="360" w:lineRule="auto"/>
        <w:ind w:firstLine="480" w:firstLineChars="200"/>
      </w:pPr>
      <w:r>
        <w:rPr>
          <w:rFonts w:hint="eastAsia"/>
        </w:rPr>
        <w:t>7)安全防护设施验收时，按类别逐项查验，并备有验收记录。</w:t>
      </w:r>
    </w:p>
    <w:p w14:paraId="612190F6">
      <w:pPr>
        <w:adjustRightInd w:val="0"/>
        <w:snapToGrid w:val="0"/>
        <w:spacing w:line="360" w:lineRule="auto"/>
        <w:ind w:firstLine="480" w:firstLineChars="200"/>
      </w:pPr>
      <w:r>
        <w:rPr>
          <w:rFonts w:hint="eastAsia"/>
        </w:rPr>
        <w:t>8)作业人员配备相应的劳动保护用品，并正确使用。</w:t>
      </w:r>
    </w:p>
    <w:p w14:paraId="548BE0B5">
      <w:pPr>
        <w:adjustRightInd w:val="0"/>
        <w:snapToGrid w:val="0"/>
        <w:spacing w:line="360" w:lineRule="auto"/>
        <w:ind w:firstLine="480" w:firstLineChars="200"/>
      </w:pPr>
      <w:r>
        <w:rPr>
          <w:rFonts w:hint="eastAsia"/>
        </w:rPr>
        <w:t>9)在拆除施工场所，按照现行国家标准《安全标志》GB2894的规定，设置相关的安全标志。</w:t>
      </w:r>
    </w:p>
    <w:p w14:paraId="11A0EC79">
      <w:pPr>
        <w:adjustRightInd w:val="0"/>
        <w:snapToGrid w:val="0"/>
        <w:spacing w:line="360" w:lineRule="auto"/>
        <w:ind w:firstLine="480" w:firstLineChars="200"/>
      </w:pPr>
      <w:r>
        <w:rPr>
          <w:rFonts w:hint="eastAsia"/>
        </w:rPr>
        <w:t>2、安全技术管理（包括但不限于）</w:t>
      </w:r>
    </w:p>
    <w:p w14:paraId="3DFB2C64">
      <w:pPr>
        <w:adjustRightInd w:val="0"/>
        <w:snapToGrid w:val="0"/>
        <w:spacing w:line="360" w:lineRule="auto"/>
        <w:ind w:firstLine="480" w:firstLineChars="200"/>
      </w:pPr>
      <w:r>
        <w:rPr>
          <w:rFonts w:hint="eastAsia"/>
        </w:rPr>
        <w:t>1)项目经理对拆除工程的安全生产负全面领导责任。项目经理部设专职或兼职安全员，检查落实各项安全技术措施。</w:t>
      </w:r>
    </w:p>
    <w:p w14:paraId="56535920">
      <w:pPr>
        <w:adjustRightInd w:val="0"/>
        <w:snapToGrid w:val="0"/>
        <w:spacing w:line="360" w:lineRule="auto"/>
        <w:ind w:firstLine="480" w:firstLineChars="200"/>
      </w:pPr>
      <w:r>
        <w:rPr>
          <w:rFonts w:hint="eastAsia"/>
        </w:rPr>
        <w:t>2)拆除工程开工前，应根据本工程特点、构造情况、工程量等编制安全施工组织设计，并经监理审批，报发包人同意后方可实施。</w:t>
      </w:r>
    </w:p>
    <w:p w14:paraId="168ABDCA">
      <w:pPr>
        <w:adjustRightInd w:val="0"/>
        <w:snapToGrid w:val="0"/>
        <w:spacing w:line="360" w:lineRule="auto"/>
        <w:ind w:firstLine="480" w:firstLineChars="200"/>
      </w:pPr>
      <w:r>
        <w:rPr>
          <w:rFonts w:hint="eastAsia"/>
        </w:rPr>
        <w:t>3)进入施工现场的人员，必须配戴安全帽。凡在2m及以上高处作业无可靠防护设施时，必须使用安全带。在恶劣的气候条件下，严禁进行拆除作业。</w:t>
      </w:r>
    </w:p>
    <w:p w14:paraId="104C28EA">
      <w:pPr>
        <w:adjustRightInd w:val="0"/>
        <w:snapToGrid w:val="0"/>
        <w:spacing w:line="360" w:lineRule="auto"/>
        <w:ind w:firstLine="480" w:firstLineChars="200"/>
      </w:pPr>
      <w:r>
        <w:rPr>
          <w:rFonts w:hint="eastAsia"/>
        </w:rPr>
        <w:t>4)每栋单体建筑物拆除施工前，承包人必须有充分的安全管理措施保证清空建筑物内人员，并向发包人上报由承包人项目经理及监理工程师签字确认的“建筑物（包括永久性的和临时性的）内无闲杂人员及易燃易爆物品”书面表格申请，否则拆除作业不准进行。</w:t>
      </w:r>
    </w:p>
    <w:p w14:paraId="651C1D32">
      <w:pPr>
        <w:adjustRightInd w:val="0"/>
        <w:snapToGrid w:val="0"/>
        <w:spacing w:line="360" w:lineRule="auto"/>
        <w:ind w:firstLine="480" w:firstLineChars="200"/>
      </w:pPr>
      <w:r>
        <w:rPr>
          <w:rFonts w:hint="eastAsia"/>
        </w:rPr>
        <w:t>5)当日拆除施工结束后，所有机械设备停放在远离被拆除建筑的地方。</w:t>
      </w:r>
    </w:p>
    <w:p w14:paraId="5FEBE50F">
      <w:pPr>
        <w:adjustRightInd w:val="0"/>
        <w:snapToGrid w:val="0"/>
        <w:spacing w:line="360" w:lineRule="auto"/>
        <w:ind w:firstLine="480" w:firstLineChars="200"/>
      </w:pPr>
      <w:r>
        <w:rPr>
          <w:rFonts w:hint="eastAsia"/>
        </w:rPr>
        <w:t>6)施工过程中，当发生重大险情或生产安全事故时，及时排除险情、组织抢救、保护事故现场，并向有关部门报告。</w:t>
      </w:r>
    </w:p>
    <w:p w14:paraId="25FEBEA1">
      <w:pPr>
        <w:adjustRightInd w:val="0"/>
        <w:snapToGrid w:val="0"/>
        <w:spacing w:line="360" w:lineRule="auto"/>
        <w:ind w:firstLine="480" w:firstLineChars="200"/>
      </w:pPr>
      <w:r>
        <w:rPr>
          <w:rFonts w:hint="eastAsia"/>
        </w:rPr>
        <w:t>7)划定危险区域。施工前发出告示，通报施工注意事项，并采取可靠的安全防护措施。</w:t>
      </w:r>
    </w:p>
    <w:p w14:paraId="651FC041">
      <w:pPr>
        <w:adjustRightInd w:val="0"/>
        <w:snapToGrid w:val="0"/>
        <w:spacing w:line="360" w:lineRule="auto"/>
        <w:ind w:firstLine="480" w:firstLineChars="200"/>
      </w:pPr>
      <w:r>
        <w:rPr>
          <w:rFonts w:hint="eastAsia"/>
        </w:rPr>
        <w:t>8)机械设备在施工作业时与架空线路保持安全距离，如无法保持安全距离时对线路进行特殊防护后再施工。</w:t>
      </w:r>
    </w:p>
    <w:p w14:paraId="374C68D7">
      <w:pPr>
        <w:adjustRightInd w:val="0"/>
        <w:snapToGrid w:val="0"/>
        <w:spacing w:line="360" w:lineRule="auto"/>
        <w:ind w:firstLine="480" w:firstLineChars="200"/>
      </w:pPr>
      <w:r>
        <w:rPr>
          <w:rFonts w:hint="eastAsia"/>
        </w:rPr>
        <w:t>3、安全施工管理（包括但不限于）</w:t>
      </w:r>
    </w:p>
    <w:p w14:paraId="54926008">
      <w:pPr>
        <w:adjustRightInd w:val="0"/>
        <w:snapToGrid w:val="0"/>
        <w:spacing w:line="360" w:lineRule="auto"/>
        <w:ind w:firstLine="480" w:firstLineChars="200"/>
      </w:pPr>
      <w:r>
        <w:rPr>
          <w:rFonts w:hint="eastAsia"/>
        </w:rPr>
        <w:t>（1）人工拆除</w:t>
      </w:r>
    </w:p>
    <w:p w14:paraId="35FE40D5">
      <w:pPr>
        <w:adjustRightInd w:val="0"/>
        <w:snapToGrid w:val="0"/>
        <w:spacing w:line="360" w:lineRule="auto"/>
        <w:ind w:firstLine="480" w:firstLineChars="200"/>
      </w:pPr>
      <w:r>
        <w:rPr>
          <w:rFonts w:hint="eastAsia"/>
        </w:rPr>
        <w:t>采用手动工具进行人工拆除建筑时，施工程序从上至下，分层拆除，作业人员在脚手架或稳固的结构上操作，被拆除的构件放置在安全的放置场所。拆除施工不得垂直交叉作业。凡作业面的孔洞俱给以封闭。</w:t>
      </w:r>
    </w:p>
    <w:p w14:paraId="18BC5EE2">
      <w:pPr>
        <w:adjustRightInd w:val="0"/>
        <w:snapToGrid w:val="0"/>
        <w:spacing w:line="360" w:lineRule="auto"/>
        <w:ind w:firstLine="480" w:firstLineChars="200"/>
      </w:pPr>
      <w:r>
        <w:rPr>
          <w:rFonts w:hint="eastAsia"/>
        </w:rPr>
        <w:t>人工拆除建筑墙体时，严禁采用掏掘或推倒的方法。严禁在楼板上多人聚集或堆放材料。</w:t>
      </w:r>
    </w:p>
    <w:p w14:paraId="40194266">
      <w:pPr>
        <w:adjustRightInd w:val="0"/>
        <w:snapToGrid w:val="0"/>
        <w:spacing w:line="360" w:lineRule="auto"/>
        <w:ind w:firstLine="480" w:firstLineChars="200"/>
      </w:pPr>
      <w:r>
        <w:rPr>
          <w:rFonts w:hint="eastAsia"/>
        </w:rPr>
        <w:t>拆除建筑的栏杆、楼梯、楼板等构件，与建筑结构整体拆除进度相配合，严禁先行拆除。建筑的承重梁、柱，在其所承载的全部构件拆除后，再进行拆除。</w:t>
      </w:r>
    </w:p>
    <w:p w14:paraId="6B94A7C1">
      <w:pPr>
        <w:adjustRightInd w:val="0"/>
        <w:snapToGrid w:val="0"/>
        <w:spacing w:line="360" w:lineRule="auto"/>
        <w:ind w:firstLine="480" w:firstLineChars="200"/>
      </w:pPr>
      <w:r>
        <w:rPr>
          <w:rFonts w:hint="eastAsia"/>
        </w:rPr>
        <w:t>拆除横梁时，在确保其下落有效控制后，方可切断两端的钢筋，逐端缓慢放下。</w:t>
      </w:r>
    </w:p>
    <w:p w14:paraId="426311A9">
      <w:pPr>
        <w:adjustRightInd w:val="0"/>
        <w:snapToGrid w:val="0"/>
        <w:spacing w:line="360" w:lineRule="auto"/>
        <w:ind w:firstLine="480" w:firstLineChars="200"/>
      </w:pPr>
      <w:r>
        <w:rPr>
          <w:rFonts w:hint="eastAsia"/>
        </w:rPr>
        <w:t>拆除柱子时，沿柱子底部剔凿出钢筋，使用手动倒链定向牵引，采用气焊切割柱子三面钢筋，保留牵引方向正面的钢筋。</w:t>
      </w:r>
    </w:p>
    <w:p w14:paraId="06F7F765">
      <w:pPr>
        <w:adjustRightInd w:val="0"/>
        <w:snapToGrid w:val="0"/>
        <w:spacing w:line="360" w:lineRule="auto"/>
        <w:ind w:firstLine="480" w:firstLineChars="200"/>
      </w:pPr>
      <w:r>
        <w:rPr>
          <w:rFonts w:hint="eastAsia"/>
        </w:rPr>
        <w:t>楼层内的施工垃圾，采用封闭的垃圾道或垃圾袋运下，不得向下抛掷。</w:t>
      </w:r>
    </w:p>
    <w:p w14:paraId="0DBAED6B">
      <w:pPr>
        <w:adjustRightInd w:val="0"/>
        <w:snapToGrid w:val="0"/>
        <w:spacing w:line="360" w:lineRule="auto"/>
        <w:ind w:firstLine="480" w:firstLineChars="200"/>
      </w:pPr>
      <w:r>
        <w:rPr>
          <w:rFonts w:hint="eastAsia"/>
        </w:rPr>
        <w:t>（2）机械拆除</w:t>
      </w:r>
    </w:p>
    <w:p w14:paraId="580E187E">
      <w:pPr>
        <w:adjustRightInd w:val="0"/>
        <w:snapToGrid w:val="0"/>
        <w:spacing w:line="360" w:lineRule="auto"/>
        <w:ind w:firstLine="480" w:firstLineChars="200"/>
      </w:pPr>
      <w:r>
        <w:rPr>
          <w:rFonts w:hint="eastAsia"/>
        </w:rPr>
        <w:t>采用机械拆除建筑时，应从上至下、逐层、逐段进行；先拆除非承重结构，再拆除承重结构。对只进行部分拆除的建筑，先将保留部分加固，再进行分离拆除。</w:t>
      </w:r>
    </w:p>
    <w:p w14:paraId="3EF5D851">
      <w:pPr>
        <w:adjustRightInd w:val="0"/>
        <w:snapToGrid w:val="0"/>
        <w:spacing w:line="360" w:lineRule="auto"/>
        <w:ind w:firstLine="480" w:firstLineChars="200"/>
      </w:pPr>
      <w:r>
        <w:rPr>
          <w:rFonts w:hint="eastAsia"/>
        </w:rPr>
        <w:t>施工中由专人负责监测被拆除建筑的结构状态，并应做好记录。</w:t>
      </w:r>
    </w:p>
    <w:p w14:paraId="347FDE3D">
      <w:pPr>
        <w:adjustRightInd w:val="0"/>
        <w:snapToGrid w:val="0"/>
        <w:spacing w:line="360" w:lineRule="auto"/>
        <w:ind w:firstLine="480" w:firstLineChars="200"/>
      </w:pPr>
      <w:r>
        <w:rPr>
          <w:rFonts w:hint="eastAsia"/>
        </w:rPr>
        <w:t>当发现有不稳定状态的趋势时，马上停止作业，并采取有效措施，消除隐患。</w:t>
      </w:r>
    </w:p>
    <w:p w14:paraId="1A0D81DB">
      <w:pPr>
        <w:adjustRightInd w:val="0"/>
        <w:snapToGrid w:val="0"/>
        <w:spacing w:line="360" w:lineRule="auto"/>
        <w:ind w:firstLine="480" w:firstLineChars="200"/>
      </w:pPr>
      <w:r>
        <w:rPr>
          <w:rFonts w:hint="eastAsia"/>
        </w:rPr>
        <w:t>严禁超载作业或任意扩大使用范围，供机械设备使用的场地保证足够的承载力。作业中不同时回转、行走。机械不带故障运转。</w:t>
      </w:r>
    </w:p>
    <w:p w14:paraId="674D1C89">
      <w:pPr>
        <w:adjustRightInd w:val="0"/>
        <w:snapToGrid w:val="0"/>
        <w:spacing w:line="360" w:lineRule="auto"/>
        <w:ind w:firstLine="480" w:firstLineChars="200"/>
      </w:pPr>
      <w:r>
        <w:rPr>
          <w:rFonts w:hint="eastAsia"/>
        </w:rPr>
        <w:t>进行高处拆除作业时，对较大尺寸的构件或沉重的材料，采用起重机具及时吊下。拆卸下来的各种材料及时清理，分类堆放在指定场所，严禁向下抛掷。</w:t>
      </w:r>
    </w:p>
    <w:p w14:paraId="66AE11B3">
      <w:pPr>
        <w:adjustRightInd w:val="0"/>
        <w:snapToGrid w:val="0"/>
        <w:spacing w:line="360" w:lineRule="auto"/>
        <w:ind w:firstLine="480" w:firstLineChars="200"/>
      </w:pPr>
      <w:r>
        <w:rPr>
          <w:rFonts w:hint="eastAsia"/>
        </w:rPr>
        <w:t>（3）文明施工管理</w:t>
      </w:r>
    </w:p>
    <w:p w14:paraId="688E40D4">
      <w:pPr>
        <w:adjustRightInd w:val="0"/>
        <w:snapToGrid w:val="0"/>
        <w:spacing w:line="360" w:lineRule="auto"/>
        <w:ind w:firstLine="480" w:firstLineChars="200"/>
      </w:pPr>
      <w:r>
        <w:rPr>
          <w:rFonts w:hint="eastAsia"/>
        </w:rPr>
        <w:t>如承包人未能按发包人的要求和指示做好文明施工、清理垃圾、成品保护、现场保安工作，发包人有权另请他人完成上述工作，所发生的费用由承包人负责，因此产生的后果亦由承包人负责。</w:t>
      </w:r>
    </w:p>
    <w:p w14:paraId="373D106E">
      <w:pPr>
        <w:adjustRightInd w:val="0"/>
        <w:snapToGrid w:val="0"/>
        <w:spacing w:line="360" w:lineRule="auto"/>
        <w:ind w:firstLine="480" w:firstLineChars="200"/>
      </w:pPr>
      <w:r>
        <w:rPr>
          <w:rFonts w:hint="eastAsia"/>
        </w:rPr>
        <w:t>清运渣土的车辆应证照齐全，并在指定地点停放。清运渣土的车辆应封闭或用布覆盖，出入现场时应有专人指挥。清运渣土的作业时间应遵守有关规定。</w:t>
      </w:r>
    </w:p>
    <w:p w14:paraId="67582CC2">
      <w:pPr>
        <w:adjustRightInd w:val="0"/>
        <w:snapToGrid w:val="0"/>
        <w:spacing w:line="360" w:lineRule="auto"/>
        <w:ind w:firstLine="480" w:firstLineChars="200"/>
      </w:pPr>
      <w:r>
        <w:rPr>
          <w:rFonts w:hint="eastAsia"/>
        </w:rPr>
        <w:t>对地下的各类管线，在地面上设置明显标志。对检查井、污水井采取相应的保护措施。</w:t>
      </w:r>
    </w:p>
    <w:p w14:paraId="1ECADB16">
      <w:pPr>
        <w:adjustRightInd w:val="0"/>
        <w:snapToGrid w:val="0"/>
        <w:spacing w:line="360" w:lineRule="auto"/>
        <w:ind w:firstLine="480" w:firstLineChars="200"/>
      </w:pPr>
      <w:r>
        <w:rPr>
          <w:rFonts w:hint="eastAsia"/>
        </w:rPr>
        <w:t>工程施工时，设专人向被拆除的部位洒水降尘。落实防火安全责任制，建立义务消防组织，明确责任人，负责施工现场的日常防火安全管理工作。</w:t>
      </w:r>
    </w:p>
    <w:p w14:paraId="2BB1D10D">
      <w:pPr>
        <w:adjustRightInd w:val="0"/>
        <w:snapToGrid w:val="0"/>
        <w:spacing w:line="360" w:lineRule="auto"/>
        <w:ind w:firstLine="480" w:firstLineChars="200"/>
      </w:pPr>
      <w:r>
        <w:rPr>
          <w:rFonts w:hint="eastAsia"/>
        </w:rPr>
        <w:t>根据拆除工程施工现场作业环境，制定相应的消防安全措施；并保证充足的消防水源，配备足够的灭火器材。</w:t>
      </w:r>
    </w:p>
    <w:p w14:paraId="7C9E49A0">
      <w:pPr>
        <w:adjustRightInd w:val="0"/>
        <w:snapToGrid w:val="0"/>
        <w:spacing w:line="360" w:lineRule="auto"/>
        <w:ind w:firstLine="480" w:firstLineChars="200"/>
      </w:pPr>
      <w:r>
        <w:rPr>
          <w:rFonts w:hint="eastAsia"/>
        </w:rPr>
        <w:t>建立健全用火管理制度。施工作业用火时，必须履行用火审批手续，经现场防火负责人审查批准，领取用火证后，在指定时间、地点作业。作业时配备专人监护，作业后确认无火源危险后方可离开作业地点。</w:t>
      </w:r>
    </w:p>
    <w:p w14:paraId="7B0B169E">
      <w:pPr>
        <w:adjustRightInd w:val="0"/>
        <w:snapToGrid w:val="0"/>
        <w:spacing w:line="360" w:lineRule="auto"/>
        <w:ind w:firstLine="480" w:firstLineChars="200"/>
      </w:pPr>
      <w:r>
        <w:rPr>
          <w:rFonts w:hint="eastAsia"/>
        </w:rPr>
        <w:t>当遇有易燃、可燃物及保温材料时，严禁明火作业。</w:t>
      </w:r>
    </w:p>
    <w:p w14:paraId="3AF6D1A7">
      <w:pPr>
        <w:adjustRightInd w:val="0"/>
        <w:snapToGrid w:val="0"/>
        <w:spacing w:line="360" w:lineRule="auto"/>
        <w:ind w:firstLine="480" w:firstLineChars="200"/>
      </w:pPr>
      <w:r>
        <w:rPr>
          <w:rFonts w:hint="eastAsia"/>
        </w:rPr>
        <w:t>施工现场设置消防车道，并时刻保持畅通。</w:t>
      </w:r>
    </w:p>
    <w:p w14:paraId="2A4CEB82">
      <w:pPr>
        <w:adjustRightInd w:val="0"/>
        <w:snapToGrid w:val="0"/>
        <w:spacing w:line="360" w:lineRule="auto"/>
        <w:ind w:firstLine="482" w:firstLineChars="200"/>
        <w:rPr>
          <w:b/>
          <w:bCs/>
        </w:rPr>
      </w:pPr>
      <w:r>
        <w:rPr>
          <w:rFonts w:hint="eastAsia"/>
          <w:b/>
          <w:bCs/>
        </w:rPr>
        <w:t>④拆除施工工程方案要求</w:t>
      </w:r>
    </w:p>
    <w:p w14:paraId="220F99EC">
      <w:pPr>
        <w:adjustRightInd w:val="0"/>
        <w:snapToGrid w:val="0"/>
        <w:spacing w:line="360" w:lineRule="auto"/>
        <w:ind w:firstLine="480" w:firstLineChars="200"/>
      </w:pPr>
      <w:r>
        <w:rPr>
          <w:rFonts w:hint="eastAsia"/>
        </w:rPr>
        <w:t>该项目按照“环保+清拆+清运”的标准，结合以料抵工方式分片区实施房屋拆除清运工作。</w:t>
      </w:r>
    </w:p>
    <w:p w14:paraId="77B5A5DB">
      <w:pPr>
        <w:adjustRightInd w:val="0"/>
        <w:snapToGrid w:val="0"/>
        <w:spacing w:line="360" w:lineRule="auto"/>
        <w:ind w:firstLine="480" w:firstLineChars="200"/>
      </w:pPr>
      <w:r>
        <w:rPr>
          <w:rFonts w:hint="eastAsia"/>
        </w:rPr>
        <w:t>（一）前期准备：</w:t>
      </w:r>
    </w:p>
    <w:p w14:paraId="3680EFE0">
      <w:pPr>
        <w:adjustRightInd w:val="0"/>
        <w:snapToGrid w:val="0"/>
        <w:spacing w:line="360" w:lineRule="auto"/>
        <w:ind w:firstLine="480" w:firstLineChars="200"/>
      </w:pPr>
      <w:r>
        <w:rPr>
          <w:rFonts w:hint="eastAsia"/>
        </w:rPr>
        <w:t>（1）拆除施工单位按照委托方提供的有关资料进行现场查勘，并且依据《深圳市房屋拆除工程管理办法》（深建规［2017］ 6号）、《深圳市建筑废弃物减排与利用条例》（2009年10月1日起施行）、《深圳市人民政府办公厅关于进一步加强建筑废弃物减排与利用工作的通知》（深府办函[2012]130号）等文件的相关要求，制订拆除工程施工方案，提交委托方审核后按照规定报送相关部门审查备案。</w:t>
      </w:r>
    </w:p>
    <w:p w14:paraId="21A7A539">
      <w:pPr>
        <w:adjustRightInd w:val="0"/>
        <w:snapToGrid w:val="0"/>
        <w:spacing w:line="360" w:lineRule="auto"/>
        <w:ind w:firstLine="480" w:firstLineChars="200"/>
      </w:pPr>
      <w:r>
        <w:rPr>
          <w:rFonts w:hint="eastAsia"/>
        </w:rPr>
        <w:t>（2）拆除施工单位根据指挥部的要求按时进入拆迁场地，首先明确周围环境、房屋位置等相关情况，其次明确拆迁范围，落实建筑废弃物现场专职管理人员、工作职责及分工，做好相关的污染防治措施和安全文明施工措施，最后制定质量、安全、文明施工要求以及保证工程质量、安全、进度目标达到标准。</w:t>
      </w:r>
    </w:p>
    <w:p w14:paraId="04858A68">
      <w:pPr>
        <w:adjustRightInd w:val="0"/>
        <w:snapToGrid w:val="0"/>
        <w:spacing w:line="360" w:lineRule="auto"/>
        <w:ind w:firstLine="480" w:firstLineChars="200"/>
      </w:pPr>
      <w:r>
        <w:rPr>
          <w:rFonts w:hint="eastAsia"/>
        </w:rPr>
        <w:t>（3）使用深圳市围挡提升改造工程的新型钢结构围挡对本工程四周红线范围进行围挡封闭，在围挡外侧张贴（悬挂）有关宣传、警示标语，并在围挡内侧搭设6-12m高的钢管脚手架（挂防尘网）防止扬尘向外扩散污染环境。围挡要求符合《深圳市建设工程施工围挡改造提升工作方案》（深建质安[2017]264号）以及《深圳市住房和建设局关于进一步做好建设工程施工围挡改造提升工作的紧急通知》（深建质安[2018]30号）；</w:t>
      </w:r>
    </w:p>
    <w:p w14:paraId="24E73ED2">
      <w:pPr>
        <w:adjustRightInd w:val="0"/>
        <w:snapToGrid w:val="0"/>
        <w:spacing w:line="360" w:lineRule="auto"/>
        <w:ind w:firstLine="480" w:firstLineChars="200"/>
      </w:pPr>
      <w:r>
        <w:rPr>
          <w:rFonts w:hint="eastAsia"/>
        </w:rPr>
        <w:t>（4）做好管线迁移及保护工作。施工前与水、电、气相关单位沟通了解各管线走向，做好相关工作，确保管线安全及未拆除区域正常使用；及时与水、电、气单位沟通保护，必要时进行管线迁移。</w:t>
      </w:r>
    </w:p>
    <w:p w14:paraId="01C48ECF">
      <w:pPr>
        <w:adjustRightInd w:val="0"/>
        <w:snapToGrid w:val="0"/>
        <w:spacing w:line="360" w:lineRule="auto"/>
        <w:ind w:firstLine="480" w:firstLineChars="200"/>
      </w:pPr>
      <w:r>
        <w:rPr>
          <w:rFonts w:hint="eastAsia"/>
        </w:rPr>
        <w:t>（5）在每个工程拆除范围内设置至少一个入口和一个出口，在出口处设置洗车槽对离开工地的泥头车等车辆进行冲洗，保证市政道路的清洁。</w:t>
      </w:r>
    </w:p>
    <w:p w14:paraId="12BA0A30">
      <w:pPr>
        <w:adjustRightInd w:val="0"/>
        <w:snapToGrid w:val="0"/>
        <w:spacing w:line="360" w:lineRule="auto"/>
        <w:ind w:firstLine="480" w:firstLineChars="200"/>
      </w:pPr>
      <w:r>
        <w:rPr>
          <w:rFonts w:hint="eastAsia"/>
        </w:rPr>
        <w:t>(二)房屋拆除：</w:t>
      </w:r>
    </w:p>
    <w:p w14:paraId="1E2C894A">
      <w:pPr>
        <w:adjustRightInd w:val="0"/>
        <w:snapToGrid w:val="0"/>
        <w:spacing w:line="360" w:lineRule="auto"/>
        <w:ind w:firstLine="480" w:firstLineChars="200"/>
      </w:pPr>
      <w:r>
        <w:rPr>
          <w:rFonts w:hint="eastAsia"/>
        </w:rPr>
        <w:t>负责对拆除范围内建筑物及附属物的拆除，主要采用爆破拆除和机械拆除两大方式。根据需拆除建筑物的结构、高度等特点及周边情况选取实际拆除方式。</w:t>
      </w:r>
    </w:p>
    <w:p w14:paraId="4753F0F5">
      <w:pPr>
        <w:adjustRightInd w:val="0"/>
        <w:snapToGrid w:val="0"/>
        <w:spacing w:line="360" w:lineRule="auto"/>
        <w:ind w:firstLine="480" w:firstLineChars="200"/>
      </w:pPr>
      <w:r>
        <w:rPr>
          <w:rFonts w:hint="eastAsia"/>
        </w:rPr>
        <w:t>（三）建筑物废弃物回收利用：</w:t>
      </w:r>
    </w:p>
    <w:p w14:paraId="456E95B0">
      <w:pPr>
        <w:adjustRightInd w:val="0"/>
        <w:snapToGrid w:val="0"/>
        <w:spacing w:line="360" w:lineRule="auto"/>
        <w:ind w:firstLine="480" w:firstLineChars="200"/>
      </w:pPr>
      <w:r>
        <w:rPr>
          <w:rFonts w:hint="eastAsia"/>
        </w:rPr>
        <w:t>根据相关规定，拆除后建筑物废弃物必须采用有效方法进行回收利用，减少对环境污染。将拆除后渣土运至环保处理场，将渣土通过粉碎环保设备将其粉碎成小粒径碎石颗粒和石粉，可用于建筑基坑回填、道路垫层铺设、制作砌块、铺道砖回收使用等。</w:t>
      </w:r>
    </w:p>
    <w:p w14:paraId="29AE90B9">
      <w:pPr>
        <w:adjustRightInd w:val="0"/>
        <w:snapToGrid w:val="0"/>
        <w:spacing w:line="360" w:lineRule="auto"/>
        <w:ind w:firstLine="480" w:firstLineChars="200"/>
      </w:pPr>
      <w:r>
        <w:rPr>
          <w:rFonts w:hint="eastAsia"/>
        </w:rPr>
        <w:t>(四)建筑废弃物清运：</w:t>
      </w:r>
    </w:p>
    <w:p w14:paraId="1B088F83">
      <w:pPr>
        <w:adjustRightInd w:val="0"/>
        <w:snapToGrid w:val="0"/>
        <w:spacing w:line="360" w:lineRule="auto"/>
        <w:ind w:firstLine="480" w:firstLineChars="200"/>
      </w:pPr>
      <w:r>
        <w:rPr>
          <w:rFonts w:hint="eastAsia"/>
        </w:rPr>
        <w:t>对于拆除过程中产生的建筑废弃物，按照《深圳市建筑废弃物运输和处置管理办法》，拆除工程现场的车辆出入口设置车辆冲洗设施、排水设施和沉淀设施及视频监控系统，防止车辆带泥上路；载物车厢应密闭或覆盖，同时建筑废弃物应运输至指定的堆放场地或者至少25公里外的专用堆放场地，不得在非指定的场地倾倒、抛撒或者堆放建筑渣土、拆卸物料等废弃物及垃圾。</w:t>
      </w:r>
    </w:p>
    <w:p w14:paraId="288B6338">
      <w:pPr>
        <w:adjustRightInd w:val="0"/>
        <w:snapToGrid w:val="0"/>
        <w:spacing w:line="360" w:lineRule="auto"/>
        <w:ind w:firstLine="480" w:firstLineChars="200"/>
      </w:pPr>
      <w:r>
        <w:rPr>
          <w:rFonts w:hint="eastAsia"/>
        </w:rPr>
        <w:t>（五）根据相关要求：需对周边保留建筑采取监测、保护等措施。</w:t>
      </w:r>
    </w:p>
    <w:p w14:paraId="584236F0">
      <w:pPr>
        <w:adjustRightInd w:val="0"/>
        <w:snapToGrid w:val="0"/>
        <w:spacing w:line="360" w:lineRule="auto"/>
        <w:ind w:firstLine="480" w:firstLineChars="200"/>
      </w:pPr>
      <w:r>
        <w:rPr>
          <w:rFonts w:hint="eastAsia"/>
        </w:rPr>
        <w:t xml:space="preserve">（六）本工程应符合《深圳市房屋拆除管理办法》、《深圳市建筑废弃物减排与利用条例》、《房屋拆迁工程施工安全管理条例》、《建筑拆除工程安全技术规范》等相关国家规范及行业标准，拆除范围内非发包人产权的市政设施、电力电缆等材料，不由承包人处置。      </w:t>
      </w:r>
    </w:p>
    <w:p w14:paraId="241DD11F">
      <w:pPr>
        <w:adjustRightInd w:val="0"/>
        <w:snapToGrid w:val="0"/>
        <w:spacing w:line="360" w:lineRule="auto"/>
        <w:ind w:firstLine="480" w:firstLineChars="200"/>
      </w:pPr>
      <w:r>
        <w:rPr>
          <w:rFonts w:hint="eastAsia"/>
        </w:rPr>
        <w:t>④承包人向发包人提供施工场地办公和生活的房屋及设施，费用承担方式为：</w:t>
      </w:r>
    </w:p>
    <w:p w14:paraId="60458B28">
      <w:pPr>
        <w:adjustRightInd w:val="0"/>
        <w:snapToGrid w:val="0"/>
        <w:spacing w:line="360" w:lineRule="auto"/>
        <w:ind w:firstLine="480" w:firstLineChars="200"/>
      </w:pPr>
      <w:r>
        <w:rPr>
          <w:rFonts w:hint="eastAsia"/>
          <w:u w:val="single"/>
        </w:rPr>
        <w:t xml:space="preserve">承包人自行承担  </w:t>
      </w:r>
      <w:r>
        <w:rPr>
          <w:rFonts w:hint="eastAsia"/>
        </w:rPr>
        <w:t>。</w:t>
      </w:r>
    </w:p>
    <w:p w14:paraId="62A25EE9">
      <w:pPr>
        <w:adjustRightInd w:val="0"/>
        <w:snapToGrid w:val="0"/>
        <w:spacing w:line="360" w:lineRule="auto"/>
        <w:ind w:firstLine="480" w:firstLineChars="200"/>
      </w:pPr>
      <w:r>
        <w:rPr>
          <w:rFonts w:hint="eastAsia"/>
        </w:rPr>
        <w:t>⑤承包人应在</w:t>
      </w:r>
      <w:r>
        <w:rPr>
          <w:rFonts w:hint="eastAsia"/>
          <w:u w:val="single"/>
        </w:rPr>
        <w:t>\</w:t>
      </w:r>
      <w:r>
        <w:rPr>
          <w:rFonts w:hint="eastAsia"/>
        </w:rPr>
        <w:t>前向发包人提交</w:t>
      </w:r>
      <w:r>
        <w:rPr>
          <w:rFonts w:hint="eastAsia"/>
          <w:u w:val="single"/>
        </w:rPr>
        <w:t>\</w:t>
      </w:r>
      <w:r>
        <w:rPr>
          <w:rFonts w:hint="eastAsia"/>
        </w:rPr>
        <w:t>套竣工资料。</w:t>
      </w:r>
    </w:p>
    <w:p w14:paraId="3EA9BDD7">
      <w:pPr>
        <w:adjustRightInd w:val="0"/>
        <w:snapToGrid w:val="0"/>
        <w:spacing w:line="360" w:lineRule="auto"/>
        <w:ind w:firstLine="480" w:firstLineChars="200"/>
      </w:pPr>
      <w:r>
        <w:rPr>
          <w:rFonts w:hint="eastAsia"/>
        </w:rPr>
        <w:t>⑥约定承包人应做的其他工作：</w:t>
      </w:r>
    </w:p>
    <w:p w14:paraId="2383A8A2">
      <w:pPr>
        <w:adjustRightInd w:val="0"/>
        <w:snapToGrid w:val="0"/>
        <w:spacing w:line="360" w:lineRule="auto"/>
        <w:ind w:firstLine="480" w:firstLineChars="200"/>
        <w:rPr>
          <w:u w:val="single"/>
        </w:rPr>
      </w:pPr>
      <w:r>
        <w:rPr>
          <w:rFonts w:hint="eastAsia"/>
          <w:u w:val="single"/>
        </w:rPr>
        <w:t>（1）承包人有权按照本合同相关条款的规定实施操作，发包人不得无故干涉。</w:t>
      </w:r>
    </w:p>
    <w:p w14:paraId="79820EC4">
      <w:pPr>
        <w:adjustRightInd w:val="0"/>
        <w:snapToGrid w:val="0"/>
        <w:spacing w:line="360" w:lineRule="auto"/>
        <w:ind w:firstLine="480" w:firstLineChars="200"/>
        <w:rPr>
          <w:u w:val="single"/>
        </w:rPr>
      </w:pPr>
      <w:r>
        <w:rPr>
          <w:rFonts w:hint="eastAsia"/>
          <w:u w:val="single"/>
        </w:rPr>
        <w:t>（2）施工现场不提供住宿条件，食宿条件由承包人自行安排解决，不允许搭食堂。</w:t>
      </w:r>
    </w:p>
    <w:p w14:paraId="4EF393FB">
      <w:pPr>
        <w:adjustRightInd w:val="0"/>
        <w:snapToGrid w:val="0"/>
        <w:spacing w:line="360" w:lineRule="auto"/>
        <w:ind w:firstLine="480" w:firstLineChars="200"/>
        <w:rPr>
          <w:u w:val="single"/>
        </w:rPr>
      </w:pPr>
      <w:r>
        <w:rPr>
          <w:rFonts w:hint="eastAsia"/>
          <w:u w:val="single"/>
        </w:rPr>
        <w:t>（3）承包人在正式拆除前，应及时到给水、排水、供电、通信及燃气管道等相关部门收集原始资料，协调及配合相关管线产权单位开展拆除，拆除施工时严格按照相关部门的要求进行施工。</w:t>
      </w:r>
    </w:p>
    <w:p w14:paraId="51A9645A">
      <w:pPr>
        <w:adjustRightInd w:val="0"/>
        <w:snapToGrid w:val="0"/>
        <w:spacing w:line="360" w:lineRule="auto"/>
        <w:ind w:firstLine="480" w:firstLineChars="200"/>
        <w:rPr>
          <w:u w:val="single"/>
        </w:rPr>
      </w:pPr>
      <w:r>
        <w:rPr>
          <w:rFonts w:hint="eastAsia"/>
          <w:u w:val="single"/>
        </w:rPr>
        <w:t>（4）承包人为本拆除工程的第一安全责任人，在施工前应制定严密的拆除清理方案，拆除过程中应注意人身安全，并注意保护燃气管道及水、电、通讯管线，如发生安全责任事故，承包人承担由此产生的全部经济责任及法律责任，工期不予顺延。</w:t>
      </w:r>
    </w:p>
    <w:p w14:paraId="72DA63AD">
      <w:pPr>
        <w:adjustRightInd w:val="0"/>
        <w:snapToGrid w:val="0"/>
        <w:spacing w:line="360" w:lineRule="auto"/>
        <w:ind w:firstLine="480" w:firstLineChars="200"/>
        <w:rPr>
          <w:u w:val="single"/>
        </w:rPr>
      </w:pPr>
      <w:r>
        <w:rPr>
          <w:rFonts w:hint="eastAsia"/>
          <w:u w:val="single"/>
        </w:rPr>
        <w:t>（5）承担施工安全保卫工作及夜间施工照明的责任和要求：承包人应按建设行政管理部门和相关部门的要求，自行承担这些工作（如警卫），负责施工现场的秩序及保安工作和提供相应设施（如护板、围栏等），以保护公共安全，并提供方便。合同签订前双方签署安全责任协议书和承诺书，并作为合同条款的组成部分。</w:t>
      </w:r>
    </w:p>
    <w:p w14:paraId="7E7B6A7B">
      <w:pPr>
        <w:adjustRightInd w:val="0"/>
        <w:snapToGrid w:val="0"/>
        <w:spacing w:line="360" w:lineRule="auto"/>
        <w:ind w:firstLine="480" w:firstLineChars="200"/>
        <w:rPr>
          <w:u w:val="single"/>
        </w:rPr>
      </w:pPr>
      <w:r>
        <w:rPr>
          <w:rFonts w:hint="eastAsia"/>
          <w:u w:val="single"/>
        </w:rPr>
        <w:t>（6）承包人负责办理有关施工场地交通、环卫和施工噪音管理等所有手续，承包人应保证发包人免于受到或承担由承包人负责的前述事项所引起的或与之有关的索赔、诉讼、损害赔偿及其他开支。</w:t>
      </w:r>
    </w:p>
    <w:p w14:paraId="01BA9B43">
      <w:pPr>
        <w:adjustRightInd w:val="0"/>
        <w:snapToGrid w:val="0"/>
        <w:spacing w:line="360" w:lineRule="auto"/>
        <w:ind w:firstLine="480" w:firstLineChars="200"/>
        <w:rPr>
          <w:u w:val="single"/>
        </w:rPr>
      </w:pPr>
      <w:r>
        <w:rPr>
          <w:rFonts w:hint="eastAsia"/>
          <w:u w:val="single"/>
        </w:rPr>
        <w:t>（7）拆除工程施工范围场地周围地下管线和邻近建筑物、构筑物（含文物保护建筑）、古树名木的保护要求及费用承担：承包人负责对邻近建筑物、构筑物（含文物保护建筑）、古树名木、车辆、行人等采取有效地安全保证措施，费用自理，否则，由此造成的损失由承包人自行承担。</w:t>
      </w:r>
    </w:p>
    <w:p w14:paraId="31085341">
      <w:pPr>
        <w:adjustRightInd w:val="0"/>
        <w:snapToGrid w:val="0"/>
        <w:spacing w:line="360" w:lineRule="auto"/>
        <w:ind w:firstLine="480" w:firstLineChars="200"/>
        <w:rPr>
          <w:u w:val="single"/>
        </w:rPr>
      </w:pPr>
      <w:r>
        <w:rPr>
          <w:rFonts w:hint="eastAsia"/>
          <w:u w:val="single"/>
        </w:rPr>
        <w:t>（8）承包人在拆除工程施工前负责对拆除现场进行断水断电，并承担相关费用。承包人承担拆除建筑物周边建筑的水电的搭设工作，如因拆除施工对相邻建筑造成损失，一切责任由承包人承担。</w:t>
      </w:r>
    </w:p>
    <w:p w14:paraId="1D187074">
      <w:pPr>
        <w:adjustRightInd w:val="0"/>
        <w:snapToGrid w:val="0"/>
        <w:spacing w:line="360" w:lineRule="auto"/>
        <w:ind w:firstLine="480" w:firstLineChars="200"/>
        <w:rPr>
          <w:u w:val="single"/>
        </w:rPr>
      </w:pPr>
      <w:r>
        <w:rPr>
          <w:rFonts w:hint="eastAsia"/>
          <w:u w:val="single"/>
        </w:rPr>
        <w:t>（9）本项目工作内容涉及须取得政府相关部门批准的事项，由承包人负责办理申报手续并取得批复，并承担相关费用，发包人协助向承包人提供资料。同时，项目开展期间，承包人须协调好辖区派出所、辖区街道办、城管、环保、卫生等有关政府职能部门之间的关系，确保项目顺利开展，在拆除施工过程中出现的任何罚款均由承包人承担。</w:t>
      </w:r>
    </w:p>
    <w:p w14:paraId="14BE1D31">
      <w:pPr>
        <w:adjustRightInd w:val="0"/>
        <w:snapToGrid w:val="0"/>
        <w:spacing w:line="360" w:lineRule="auto"/>
        <w:ind w:firstLine="480" w:firstLineChars="200"/>
        <w:rPr>
          <w:u w:val="single"/>
        </w:rPr>
      </w:pPr>
      <w:r>
        <w:rPr>
          <w:rFonts w:hint="eastAsia"/>
          <w:u w:val="single"/>
        </w:rPr>
        <w:t>（10）施工场地清洁卫生的要求：按照文明施工的要求，所需费用由承包人承担。</w:t>
      </w:r>
    </w:p>
    <w:p w14:paraId="06D88E56">
      <w:pPr>
        <w:adjustRightInd w:val="0"/>
        <w:snapToGrid w:val="0"/>
        <w:spacing w:line="360" w:lineRule="auto"/>
        <w:ind w:firstLine="480" w:firstLineChars="200"/>
        <w:rPr>
          <w:u w:val="single"/>
        </w:rPr>
      </w:pPr>
      <w:r>
        <w:rPr>
          <w:rFonts w:hint="eastAsia"/>
          <w:u w:val="single"/>
        </w:rPr>
        <w:t>（11）承包人在拆除前做好安民告示，并办理相关手续；在拆除过程中必须做好预防措施，防止扰民，并承担全部责任及费用。</w:t>
      </w:r>
    </w:p>
    <w:p w14:paraId="3469A416">
      <w:pPr>
        <w:adjustRightInd w:val="0"/>
        <w:snapToGrid w:val="0"/>
        <w:spacing w:line="360" w:lineRule="auto"/>
        <w:ind w:firstLine="480" w:firstLineChars="200"/>
        <w:rPr>
          <w:u w:val="single"/>
        </w:rPr>
      </w:pPr>
      <w:r>
        <w:rPr>
          <w:rFonts w:hint="eastAsia"/>
          <w:u w:val="single"/>
        </w:rPr>
        <w:t>（12）承包人必须在双方约定时间内开展拆除工作并按期完成拆除任务。</w:t>
      </w:r>
    </w:p>
    <w:p w14:paraId="5C210111">
      <w:pPr>
        <w:adjustRightInd w:val="0"/>
        <w:snapToGrid w:val="0"/>
        <w:spacing w:line="360" w:lineRule="auto"/>
        <w:ind w:firstLine="480" w:firstLineChars="200"/>
        <w:rPr>
          <w:u w:val="single"/>
        </w:rPr>
      </w:pPr>
      <w:r>
        <w:rPr>
          <w:rFonts w:hint="eastAsia"/>
          <w:u w:val="single"/>
        </w:rPr>
        <w:t>（13）承包人必须为本工程及有关入员购买建筑工程一切险及第三者责任险。</w:t>
      </w:r>
    </w:p>
    <w:p w14:paraId="32A3C0D7">
      <w:pPr>
        <w:adjustRightInd w:val="0"/>
        <w:snapToGrid w:val="0"/>
        <w:spacing w:line="360" w:lineRule="auto"/>
        <w:ind w:firstLine="480" w:firstLineChars="200"/>
        <w:rPr>
          <w:u w:val="single"/>
        </w:rPr>
      </w:pPr>
      <w:r>
        <w:rPr>
          <w:rFonts w:hint="eastAsia"/>
          <w:u w:val="single"/>
        </w:rPr>
        <w:t>（14）承包人必须及时按月发放工人工资，不得拖延。</w:t>
      </w:r>
    </w:p>
    <w:p w14:paraId="09545921">
      <w:pPr>
        <w:adjustRightInd w:val="0"/>
        <w:snapToGrid w:val="0"/>
        <w:spacing w:line="360" w:lineRule="auto"/>
        <w:ind w:firstLine="480" w:firstLineChars="200"/>
        <w:rPr>
          <w:u w:val="single"/>
        </w:rPr>
      </w:pPr>
      <w:r>
        <w:rPr>
          <w:rFonts w:hint="eastAsia"/>
          <w:u w:val="single"/>
        </w:rPr>
        <w:t>（15）承包人不得以任何理由，包括但不限于拆除建筑材料所得收入变化等，拒绝或迟延支付拆除人工费、机械费及施工措施费等所有开支。</w:t>
      </w:r>
    </w:p>
    <w:p w14:paraId="2FA61C17">
      <w:pPr>
        <w:adjustRightInd w:val="0"/>
        <w:snapToGrid w:val="0"/>
        <w:spacing w:line="360" w:lineRule="auto"/>
        <w:ind w:firstLine="480" w:firstLineChars="200"/>
        <w:rPr>
          <w:u w:val="single"/>
        </w:rPr>
      </w:pPr>
      <w:r>
        <w:rPr>
          <w:rFonts w:hint="eastAsia"/>
          <w:u w:val="single"/>
        </w:rPr>
        <w:t>3、双方约定的其他事项：</w:t>
      </w:r>
    </w:p>
    <w:p w14:paraId="6662FB8E">
      <w:pPr>
        <w:adjustRightInd w:val="0"/>
        <w:snapToGrid w:val="0"/>
        <w:spacing w:line="360" w:lineRule="auto"/>
        <w:ind w:firstLine="480" w:firstLineChars="200"/>
        <w:rPr>
          <w:u w:val="single"/>
        </w:rPr>
      </w:pPr>
      <w:r>
        <w:rPr>
          <w:rFonts w:hint="eastAsia"/>
          <w:u w:val="single"/>
        </w:rPr>
        <w:t xml:space="preserve">（1）发包方派驻现场代表：                  </w:t>
      </w:r>
    </w:p>
    <w:p w14:paraId="4D41DCBB">
      <w:pPr>
        <w:adjustRightInd w:val="0"/>
        <w:snapToGrid w:val="0"/>
        <w:spacing w:line="360" w:lineRule="auto"/>
        <w:ind w:firstLine="480" w:firstLineChars="200"/>
        <w:rPr>
          <w:u w:val="single"/>
        </w:rPr>
      </w:pPr>
      <w:r>
        <w:rPr>
          <w:rFonts w:hint="eastAsia"/>
          <w:u w:val="single"/>
        </w:rPr>
        <w:t>（2）承包方派驻现场主要管理人员：</w:t>
      </w:r>
    </w:p>
    <w:p w14:paraId="61832F5A">
      <w:pPr>
        <w:adjustRightInd w:val="0"/>
        <w:snapToGrid w:val="0"/>
        <w:spacing w:line="360" w:lineRule="auto"/>
        <w:ind w:firstLine="480" w:firstLineChars="200"/>
        <w:rPr>
          <w:u w:val="single"/>
        </w:rPr>
      </w:pPr>
      <w:r>
        <w:rPr>
          <w:rFonts w:hint="eastAsia"/>
          <w:u w:val="single"/>
        </w:rPr>
        <w:t>项目经理：</w:t>
      </w:r>
    </w:p>
    <w:p w14:paraId="7EA9CA82">
      <w:pPr>
        <w:adjustRightInd w:val="0"/>
        <w:snapToGrid w:val="0"/>
        <w:spacing w:line="360" w:lineRule="auto"/>
        <w:ind w:firstLine="480" w:firstLineChars="200"/>
        <w:rPr>
          <w:u w:val="single"/>
        </w:rPr>
      </w:pPr>
      <w:r>
        <w:rPr>
          <w:rFonts w:hint="eastAsia"/>
          <w:u w:val="single"/>
        </w:rPr>
        <w:t>技术负责人：</w:t>
      </w:r>
    </w:p>
    <w:p w14:paraId="1BF9A49F">
      <w:pPr>
        <w:adjustRightInd w:val="0"/>
        <w:snapToGrid w:val="0"/>
        <w:spacing w:line="360" w:lineRule="auto"/>
        <w:ind w:firstLine="480" w:firstLineChars="200"/>
        <w:rPr>
          <w:u w:val="single"/>
        </w:rPr>
      </w:pPr>
      <w:r>
        <w:rPr>
          <w:rFonts w:hint="eastAsia"/>
          <w:u w:val="single"/>
        </w:rPr>
        <w:t>专职安全员：</w:t>
      </w:r>
    </w:p>
    <w:p w14:paraId="23FEBFCC">
      <w:pPr>
        <w:adjustRightInd w:val="0"/>
        <w:snapToGrid w:val="0"/>
        <w:spacing w:line="360" w:lineRule="auto"/>
        <w:ind w:firstLine="480" w:firstLineChars="200"/>
        <w:rPr>
          <w:u w:val="single"/>
        </w:rPr>
      </w:pPr>
      <w:r>
        <w:rPr>
          <w:rFonts w:hint="eastAsia"/>
          <w:u w:val="single"/>
        </w:rPr>
        <w:t>以上人员必须常驻现场，未经发包人同意，不得随意更换。</w:t>
      </w:r>
    </w:p>
    <w:p w14:paraId="2D8ADA8B">
      <w:pPr>
        <w:adjustRightInd w:val="0"/>
        <w:snapToGrid w:val="0"/>
        <w:spacing w:line="360" w:lineRule="auto"/>
        <w:ind w:firstLine="480" w:firstLineChars="200"/>
        <w:rPr>
          <w:u w:val="single"/>
        </w:rPr>
      </w:pPr>
      <w:r>
        <w:rPr>
          <w:rFonts w:hint="eastAsia"/>
          <w:u w:val="single"/>
        </w:rPr>
        <w:t>（3）用于本工程施工的由承包人提供的所有设备、临时设施和材料一经运至现场，即应被视为是专门供本工程施工使用。承包人除将上述物品在现场各部位之间运输外，如果没有发包人代表的书面同意，承包人不得将上述物品运出现场。</w:t>
      </w:r>
    </w:p>
    <w:p w14:paraId="5246B65A">
      <w:pPr>
        <w:adjustRightInd w:val="0"/>
        <w:snapToGrid w:val="0"/>
        <w:spacing w:line="360" w:lineRule="auto"/>
        <w:ind w:firstLine="480" w:firstLineChars="200"/>
        <w:rPr>
          <w:u w:val="single"/>
        </w:rPr>
      </w:pPr>
      <w:r>
        <w:rPr>
          <w:rFonts w:hint="eastAsia"/>
          <w:u w:val="single"/>
        </w:rPr>
        <w:t>（4）除合同另有规定外，发包人无论任何原因均不对上述承包人的设备、临时设施和材料的损失承担任何责任及费用。</w:t>
      </w:r>
    </w:p>
    <w:p w14:paraId="3BC51BAB">
      <w:pPr>
        <w:adjustRightInd w:val="0"/>
        <w:snapToGrid w:val="0"/>
        <w:spacing w:line="360" w:lineRule="auto"/>
        <w:ind w:firstLine="480" w:firstLineChars="200"/>
        <w:rPr>
          <w:u w:val="single"/>
        </w:rPr>
      </w:pPr>
      <w:r>
        <w:rPr>
          <w:rFonts w:hint="eastAsia"/>
          <w:u w:val="single"/>
        </w:rPr>
        <w:t>（5）如承包人在施工过程中发现文物，应立即通知发包人，并保护好现场。</w:t>
      </w:r>
    </w:p>
    <w:p w14:paraId="1228E3F0">
      <w:pPr>
        <w:adjustRightInd w:val="0"/>
        <w:snapToGrid w:val="0"/>
        <w:spacing w:line="360" w:lineRule="auto"/>
        <w:ind w:firstLine="480" w:firstLineChars="200"/>
        <w:rPr>
          <w:u w:val="single"/>
        </w:rPr>
      </w:pPr>
      <w:r>
        <w:rPr>
          <w:rFonts w:hint="eastAsia"/>
          <w:u w:val="single"/>
        </w:rPr>
        <w:t>（6）承包人不得将本工程另行违法转包或分包。</w:t>
      </w:r>
    </w:p>
    <w:p w14:paraId="4A70F2A2">
      <w:pPr>
        <w:adjustRightInd w:val="0"/>
        <w:snapToGrid w:val="0"/>
        <w:spacing w:line="360" w:lineRule="auto"/>
        <w:ind w:firstLine="480" w:firstLineChars="200"/>
        <w:rPr>
          <w:u w:val="single"/>
        </w:rPr>
      </w:pPr>
      <w:r>
        <w:rPr>
          <w:rFonts w:hint="eastAsia"/>
          <w:u w:val="single"/>
        </w:rPr>
        <w:t>（7）发生安全风险、安全事故及人员伤亡，承包人应在事件发现或发生后1小时内告知发包人，同时按政府有关部门要求处理，由承包人承担全部责任及发生的全部费用。</w:t>
      </w:r>
    </w:p>
    <w:p w14:paraId="5146560C">
      <w:pPr>
        <w:adjustRightInd w:val="0"/>
        <w:snapToGrid w:val="0"/>
        <w:spacing w:line="360" w:lineRule="auto"/>
        <w:ind w:firstLine="480" w:firstLineChars="200"/>
        <w:rPr>
          <w:u w:val="single"/>
        </w:rPr>
      </w:pPr>
      <w:r>
        <w:rPr>
          <w:rFonts w:hint="eastAsia"/>
          <w:u w:val="single"/>
        </w:rPr>
        <w:t xml:space="preserve"> (8)承包人投保内容：承包人必须为从事危险作业的职工办理意外伤害保险，并为施工场地内承包人的自有人员生命财产及施工机械设备办理保险，支付保险费用（承包人需在签订合同之日起30日内，按照合同规定事项办理完毕保险事宜，否则视为承包人违约，除扣合同价款2%的违约金外，还应承担未投保原因引起的一切赔偿责任）。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法律责任，发包人不承担此责任。工程开工前，发包人应为本工程、施工场地内的自有人员、第三者人员生命财产办理保险，支付保险费用。承包人提供并用于本工程的材料和设备在保管期间，以及材料使用和设备安装期间发生的丢失、盗失、毁损等各种行为，由发包人办理保险，并支付保险费用。发包人可以将上述有关保险事项委托承包人办理，费用由承包人承担。</w:t>
      </w:r>
    </w:p>
    <w:p w14:paraId="6661B7D1">
      <w:pPr>
        <w:pStyle w:val="5"/>
        <w:tabs>
          <w:tab w:val="left" w:pos="540"/>
          <w:tab w:val="left" w:pos="2340"/>
        </w:tabs>
        <w:spacing w:before="120" w:after="156"/>
        <w:ind w:left="180"/>
        <w:jc w:val="left"/>
        <w:rPr>
          <w:rFonts w:ascii="宋体" w:hAnsi="宋体"/>
          <w:sz w:val="24"/>
        </w:rPr>
      </w:pPr>
      <w:r>
        <w:rPr>
          <w:rFonts w:hint="eastAsia" w:ascii="宋体" w:hAnsi="宋体"/>
          <w:sz w:val="24"/>
        </w:rPr>
        <w:t>4.3项目经理的任命</w:t>
      </w:r>
      <w:bookmarkEnd w:id="115"/>
      <w:bookmarkEnd w:id="116"/>
      <w:bookmarkEnd w:id="117"/>
    </w:p>
    <w:p w14:paraId="4C3B45E0">
      <w:pPr>
        <w:spacing w:line="360" w:lineRule="auto"/>
        <w:ind w:left="2" w:firstLine="480"/>
        <w:rPr>
          <w:u w:val="single"/>
        </w:rPr>
      </w:pPr>
      <w:r>
        <w:rPr>
          <w:rFonts w:hint="eastAsia"/>
        </w:rPr>
        <w:t>(2)承包人任命的项目经理姓名：，资格证书号：</w:t>
      </w:r>
    </w:p>
    <w:p w14:paraId="6BE9A064">
      <w:pPr>
        <w:spacing w:line="360" w:lineRule="auto"/>
        <w:ind w:left="2" w:firstLine="480"/>
      </w:pPr>
      <w:r>
        <w:rPr>
          <w:rFonts w:hint="eastAsia"/>
        </w:rPr>
        <w:t>(3)承包人的项目经理与投标文件的承诺不一致，或项目经理未及时到位，或同时兼任承包人</w:t>
      </w:r>
      <w:r>
        <w:t>其它</w:t>
      </w:r>
      <w:r>
        <w:rPr>
          <w:rFonts w:hint="eastAsia"/>
        </w:rPr>
        <w:t>工程</w:t>
      </w:r>
      <w:r>
        <w:t>项目的</w:t>
      </w:r>
      <w:r>
        <w:rPr>
          <w:rFonts w:hint="eastAsia"/>
        </w:rPr>
        <w:t>项目经理的，承包人应向发包人支付违约金每次</w:t>
      </w:r>
      <w:r>
        <w:rPr>
          <w:rFonts w:hint="eastAsia"/>
          <w:u w:val="single"/>
        </w:rPr>
        <w:t xml:space="preserve"> 2万元 </w:t>
      </w:r>
      <w:r>
        <w:rPr>
          <w:rFonts w:hint="eastAsia"/>
        </w:rPr>
        <w:t>。</w:t>
      </w:r>
    </w:p>
    <w:p w14:paraId="6F42D567">
      <w:pPr>
        <w:pStyle w:val="5"/>
        <w:tabs>
          <w:tab w:val="left" w:pos="540"/>
          <w:tab w:val="left" w:pos="2340"/>
        </w:tabs>
        <w:spacing w:before="120" w:after="156"/>
        <w:ind w:left="180"/>
        <w:jc w:val="left"/>
        <w:rPr>
          <w:rFonts w:ascii="宋体" w:hAnsi="宋体"/>
          <w:sz w:val="24"/>
        </w:rPr>
      </w:pPr>
      <w:bookmarkStart w:id="118" w:name="_Toc19082"/>
      <w:bookmarkStart w:id="119" w:name="_Toc27786"/>
      <w:bookmarkStart w:id="120" w:name="_Toc14516"/>
      <w:r>
        <w:rPr>
          <w:rFonts w:hint="eastAsia" w:ascii="宋体" w:hAnsi="宋体"/>
          <w:sz w:val="24"/>
        </w:rPr>
        <w:t>4.4 项目经理的更换</w:t>
      </w:r>
      <w:bookmarkEnd w:id="118"/>
      <w:bookmarkEnd w:id="119"/>
      <w:bookmarkEnd w:id="120"/>
    </w:p>
    <w:p w14:paraId="5B20D9BD">
      <w:pPr>
        <w:spacing w:line="360" w:lineRule="auto"/>
        <w:ind w:left="2" w:firstLine="480"/>
      </w:pPr>
      <w:r>
        <w:rPr>
          <w:rFonts w:hint="eastAsia"/>
        </w:rPr>
        <w:t>(2)承包人未经监理工程师及发包人同意更换项目经理的，承包人应向发包人支付违约金</w:t>
      </w:r>
      <w:r>
        <w:rPr>
          <w:rFonts w:hint="eastAsia"/>
          <w:u w:val="single"/>
        </w:rPr>
        <w:t xml:space="preserve">2万 </w:t>
      </w:r>
      <w:r>
        <w:rPr>
          <w:rFonts w:hint="eastAsia"/>
        </w:rPr>
        <w:t>元／次。</w:t>
      </w:r>
    </w:p>
    <w:p w14:paraId="104968C0">
      <w:pPr>
        <w:spacing w:line="360" w:lineRule="auto"/>
        <w:ind w:left="2" w:firstLine="480"/>
      </w:pPr>
      <w:r>
        <w:t>(3)</w:t>
      </w:r>
      <w:r>
        <w:rPr>
          <w:rFonts w:hint="eastAsia"/>
        </w:rPr>
        <w:t>承包人无正当理由拒绝更换项目经理的违约责任：</w:t>
      </w:r>
    </w:p>
    <w:p w14:paraId="6E6AF83A">
      <w:pPr>
        <w:snapToGrid w:val="0"/>
        <w:spacing w:line="360" w:lineRule="auto"/>
        <w:ind w:firstLine="480"/>
        <w:rPr>
          <w:u w:val="single"/>
        </w:rPr>
      </w:pPr>
      <w:r>
        <w:rPr>
          <w:rFonts w:hint="eastAsia"/>
          <w:u w:val="single"/>
        </w:rPr>
        <w:t>（</w:t>
      </w:r>
      <w:r>
        <w:rPr>
          <w:rFonts w:hint="eastAsia" w:eastAsia="Times New Roman"/>
          <w:u w:val="single"/>
        </w:rPr>
        <w:t>1</w:t>
      </w:r>
      <w:r>
        <w:rPr>
          <w:rFonts w:hint="eastAsia"/>
          <w:u w:val="single"/>
        </w:rPr>
        <w:t>）本工程实行项目经理负责制。若承包人任命的项目经理与承包人承诺不一致，除该项目经理突然身故或非承包人的原因犯罪被羁押和判刑的外，其他任何情况均视为承包人违约。承包人应按合同价的</w:t>
      </w:r>
      <w:r>
        <w:rPr>
          <w:rFonts w:hint="eastAsia" w:eastAsia="Times New Roman"/>
          <w:u w:val="single"/>
        </w:rPr>
        <w:t>0.5%</w:t>
      </w:r>
      <w:r>
        <w:rPr>
          <w:rFonts w:hint="eastAsia"/>
          <w:u w:val="single"/>
        </w:rPr>
        <w:t>标准支付违约金。若承包人未经发包人批准擅自变更或调换了项目经理，视为承包人严重违约，承包人按合同价的1%标准支付违约金，违约金累计计算。同时，发包人有权要求承包人在规定的时间内重新按照承诺派遣项目经理。另外，发包人有权拒绝承包人</w:t>
      </w:r>
      <w:r>
        <w:rPr>
          <w:rFonts w:hint="eastAsia" w:eastAsia="Times New Roman"/>
          <w:u w:val="single"/>
        </w:rPr>
        <w:t>2</w:t>
      </w:r>
      <w:r>
        <w:rPr>
          <w:rFonts w:hint="eastAsia"/>
          <w:u w:val="single"/>
        </w:rPr>
        <w:t>年内再参加发包人的其他项目投标。</w:t>
      </w:r>
    </w:p>
    <w:p w14:paraId="365FFCB6">
      <w:pPr>
        <w:snapToGrid w:val="0"/>
        <w:spacing w:line="360" w:lineRule="auto"/>
        <w:ind w:firstLine="480"/>
        <w:rPr>
          <w:u w:val="single"/>
        </w:rPr>
      </w:pPr>
      <w:r>
        <w:rPr>
          <w:rFonts w:hint="eastAsia"/>
          <w:u w:val="single"/>
        </w:rPr>
        <w:t>（</w:t>
      </w:r>
      <w:r>
        <w:rPr>
          <w:rFonts w:hint="eastAsia" w:eastAsia="Times New Roman"/>
          <w:u w:val="single"/>
        </w:rPr>
        <w:t>2</w:t>
      </w:r>
      <w:r>
        <w:rPr>
          <w:rFonts w:hint="eastAsia"/>
          <w:u w:val="single"/>
        </w:rPr>
        <w:t>）项目经理每延迟到位一天承包人应向发包人支付违约金5000元/天，超过10天（含10天）发包人有权单方解除合同，没收承包人履约保函，并要求承包人承担由此造成的一切损失。</w:t>
      </w:r>
    </w:p>
    <w:p w14:paraId="28CB2C63">
      <w:pPr>
        <w:snapToGrid w:val="0"/>
        <w:spacing w:line="360" w:lineRule="auto"/>
        <w:ind w:firstLine="480"/>
        <w:rPr>
          <w:u w:val="single"/>
        </w:rPr>
      </w:pPr>
      <w:r>
        <w:rPr>
          <w:rFonts w:hint="eastAsia"/>
          <w:u w:val="single"/>
        </w:rPr>
        <w:t>（</w:t>
      </w:r>
      <w:r>
        <w:rPr>
          <w:rFonts w:hint="eastAsia" w:eastAsia="Times New Roman"/>
          <w:u w:val="single"/>
        </w:rPr>
        <w:t>3</w:t>
      </w:r>
      <w:r>
        <w:rPr>
          <w:rFonts w:hint="eastAsia"/>
          <w:u w:val="single"/>
        </w:rPr>
        <w:t>）发包人要求项目经理必须参加的会议（主要包括但不限于工程例会、图纸会审和技术交底、现场协调会、方案论证会、专项工作碰头会等），项目经理必须到会，未经发包人同意不到会者，承包人每次向发包人支付违约金5000元，并承担一般违约责任1次。</w:t>
      </w:r>
    </w:p>
    <w:p w14:paraId="2B6A3FBC">
      <w:pPr>
        <w:snapToGrid w:val="0"/>
        <w:spacing w:line="360" w:lineRule="auto"/>
        <w:ind w:firstLine="480"/>
        <w:rPr>
          <w:u w:val="single"/>
        </w:rPr>
      </w:pPr>
      <w:r>
        <w:rPr>
          <w:rFonts w:hint="eastAsia"/>
          <w:u w:val="single"/>
        </w:rPr>
        <w:t>（4）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5000元/天，并承担一般违约责任1次。</w:t>
      </w:r>
    </w:p>
    <w:p w14:paraId="03205449">
      <w:pPr>
        <w:pStyle w:val="5"/>
        <w:tabs>
          <w:tab w:val="left" w:pos="540"/>
          <w:tab w:val="left" w:pos="2340"/>
        </w:tabs>
        <w:spacing w:before="120" w:after="156"/>
        <w:ind w:left="180"/>
        <w:jc w:val="left"/>
        <w:rPr>
          <w:rFonts w:ascii="宋体" w:hAnsi="宋体"/>
          <w:sz w:val="24"/>
        </w:rPr>
      </w:pPr>
      <w:bookmarkStart w:id="121" w:name="_Toc9675"/>
      <w:bookmarkStart w:id="122" w:name="_Toc22307"/>
      <w:bookmarkStart w:id="123" w:name="_Toc413"/>
      <w:r>
        <w:rPr>
          <w:rFonts w:hint="eastAsia" w:ascii="宋体" w:hAnsi="宋体"/>
          <w:sz w:val="24"/>
        </w:rPr>
        <w:t>4.6 施工管理人员</w:t>
      </w:r>
      <w:bookmarkEnd w:id="121"/>
      <w:bookmarkEnd w:id="122"/>
      <w:bookmarkEnd w:id="123"/>
    </w:p>
    <w:p w14:paraId="792EA24E">
      <w:pPr>
        <w:snapToGrid w:val="0"/>
        <w:spacing w:line="360" w:lineRule="auto"/>
        <w:ind w:firstLine="480"/>
      </w:pPr>
      <w:bookmarkStart w:id="124" w:name="_Toc25939"/>
      <w:bookmarkStart w:id="125" w:name="_Toc20509"/>
      <w:bookmarkStart w:id="126" w:name="_Toc31499"/>
      <w:r>
        <w:rPr>
          <w:rFonts w:hint="eastAsia" w:eastAsia="Times New Roman"/>
        </w:rPr>
        <w:t>(3)</w:t>
      </w:r>
      <w:r>
        <w:rPr>
          <w:rFonts w:hint="eastAsia"/>
        </w:rPr>
        <w:t>承包人的管理人员在施工期间出现以下情况，应承担的违约责任：</w:t>
      </w:r>
    </w:p>
    <w:p w14:paraId="2D38E7B8">
      <w:pPr>
        <w:snapToGrid w:val="0"/>
        <w:spacing w:line="360" w:lineRule="auto"/>
        <w:ind w:firstLine="480"/>
      </w:pPr>
      <w:r>
        <w:rPr>
          <w:rFonts w:hint="eastAsia"/>
        </w:rPr>
        <w:t>①承包人的项目管理机构设置与承包人承诺不一致的，承包人应向发包人支付违约金</w:t>
      </w:r>
      <w:r>
        <w:rPr>
          <w:rFonts w:hint="eastAsia"/>
          <w:u w:val="single"/>
        </w:rPr>
        <w:t xml:space="preserve">20000/人次  </w:t>
      </w:r>
      <w:r>
        <w:rPr>
          <w:rFonts w:hint="eastAsia"/>
        </w:rPr>
        <w:t>；</w:t>
      </w:r>
    </w:p>
    <w:p w14:paraId="4E6A52A6">
      <w:pPr>
        <w:snapToGrid w:val="0"/>
        <w:spacing w:line="360" w:lineRule="auto"/>
        <w:ind w:firstLine="480"/>
      </w:pPr>
      <w:r>
        <w:rPr>
          <w:rFonts w:hint="eastAsia"/>
        </w:rPr>
        <w:t>②承包人的主要施工管理人员不到位的，承包人应向发包人支付违约金</w:t>
      </w:r>
      <w:r>
        <w:rPr>
          <w:rFonts w:hint="eastAsia"/>
          <w:u w:val="single"/>
        </w:rPr>
        <w:t xml:space="preserve">  5000</w:t>
      </w:r>
      <w:r>
        <w:rPr>
          <w:rFonts w:hint="eastAsia"/>
        </w:rPr>
        <w:t>元／人次；</w:t>
      </w:r>
    </w:p>
    <w:p w14:paraId="4756B5C8">
      <w:pPr>
        <w:snapToGrid w:val="0"/>
        <w:spacing w:line="360" w:lineRule="auto"/>
        <w:ind w:firstLine="480"/>
      </w:pPr>
      <w:r>
        <w:rPr>
          <w:rFonts w:hint="eastAsia"/>
        </w:rPr>
        <w:t>③未经发包人同意，承包人擅自更换主要施工管理人员的，承包人应向发包人支付违约金</w:t>
      </w:r>
      <w:r>
        <w:rPr>
          <w:rFonts w:hint="eastAsia"/>
          <w:u w:val="single"/>
        </w:rPr>
        <w:t xml:space="preserve"> 3000 </w:t>
      </w:r>
      <w:r>
        <w:rPr>
          <w:rFonts w:hint="eastAsia"/>
        </w:rPr>
        <w:t>元／人次；</w:t>
      </w:r>
    </w:p>
    <w:p w14:paraId="0BC30199">
      <w:pPr>
        <w:snapToGrid w:val="0"/>
        <w:spacing w:line="360" w:lineRule="auto"/>
        <w:ind w:firstLine="480"/>
      </w:pPr>
      <w:r>
        <w:rPr>
          <w:rFonts w:hint="eastAsia"/>
        </w:rPr>
        <w:t>④承包人的主要施工管理人员同时兼任承包人其它工程项目的任何职务的，承包人应向发包人支付违约金</w:t>
      </w:r>
      <w:r>
        <w:rPr>
          <w:rFonts w:hint="eastAsia"/>
          <w:u w:val="single"/>
        </w:rPr>
        <w:t xml:space="preserve"> 2000</w:t>
      </w:r>
      <w:r>
        <w:rPr>
          <w:rFonts w:hint="eastAsia"/>
        </w:rPr>
        <w:t>元／人次；</w:t>
      </w:r>
    </w:p>
    <w:p w14:paraId="53B7DDEA">
      <w:pPr>
        <w:snapToGrid w:val="0"/>
        <w:spacing w:line="360" w:lineRule="auto"/>
        <w:ind w:firstLine="480"/>
        <w:rPr>
          <w:b/>
          <w:bCs/>
        </w:rPr>
      </w:pPr>
      <w:r>
        <w:rPr>
          <w:rFonts w:hint="eastAsia" w:eastAsia="Times New Roman"/>
        </w:rPr>
        <w:t>(4)</w:t>
      </w:r>
      <w:r>
        <w:rPr>
          <w:rFonts w:hint="eastAsia"/>
        </w:rPr>
        <w:t>承包人无正当理由拒绝撤换的，</w:t>
      </w:r>
      <w:r>
        <w:rPr>
          <w:rFonts w:hint="eastAsia"/>
          <w:b/>
          <w:bCs/>
          <w:u w:val="single"/>
        </w:rPr>
        <w:t>发包人有权解除本合同，并向银行申请扣除履约保函中所有保证金</w:t>
      </w:r>
      <w:r>
        <w:rPr>
          <w:rFonts w:hint="eastAsia"/>
          <w:b/>
          <w:bCs/>
        </w:rPr>
        <w:t>。</w:t>
      </w:r>
    </w:p>
    <w:p w14:paraId="2074C290">
      <w:pPr>
        <w:pStyle w:val="4"/>
        <w:keepNext w:val="0"/>
        <w:keepLines w:val="0"/>
        <w:tabs>
          <w:tab w:val="left" w:pos="1620"/>
          <w:tab w:val="left" w:pos="2340"/>
        </w:tabs>
        <w:spacing w:before="120" w:after="120"/>
      </w:pPr>
      <w:r>
        <w:rPr>
          <w:rFonts w:hint="eastAsia"/>
        </w:rPr>
        <w:t>5 监理人</w:t>
      </w:r>
      <w:bookmarkEnd w:id="124"/>
      <w:bookmarkEnd w:id="125"/>
      <w:bookmarkEnd w:id="126"/>
    </w:p>
    <w:p w14:paraId="52A4FF0F">
      <w:pPr>
        <w:pStyle w:val="5"/>
        <w:tabs>
          <w:tab w:val="left" w:pos="540"/>
          <w:tab w:val="left" w:pos="2340"/>
        </w:tabs>
        <w:spacing w:before="120" w:after="156"/>
        <w:ind w:left="180"/>
        <w:jc w:val="left"/>
        <w:rPr>
          <w:rFonts w:ascii="宋体" w:hAnsi="宋体"/>
          <w:sz w:val="24"/>
        </w:rPr>
      </w:pPr>
      <w:bookmarkStart w:id="127" w:name="_Toc19138"/>
      <w:bookmarkStart w:id="128" w:name="_Toc24329"/>
      <w:bookmarkStart w:id="129" w:name="_Toc29201"/>
      <w:r>
        <w:rPr>
          <w:rFonts w:hint="eastAsia" w:ascii="宋体" w:hAnsi="宋体"/>
          <w:sz w:val="24"/>
        </w:rPr>
        <w:t>5.1 监理人的通知</w:t>
      </w:r>
      <w:bookmarkEnd w:id="127"/>
      <w:bookmarkEnd w:id="128"/>
      <w:bookmarkEnd w:id="129"/>
    </w:p>
    <w:p w14:paraId="3D056D84">
      <w:pPr>
        <w:spacing w:line="360" w:lineRule="auto"/>
        <w:ind w:firstLine="720"/>
      </w:pPr>
      <w:r>
        <w:rPr>
          <w:rFonts w:hint="eastAsia"/>
        </w:rPr>
        <w:t>监理人名称：；</w:t>
      </w:r>
    </w:p>
    <w:p w14:paraId="3C737CCF">
      <w:pPr>
        <w:spacing w:line="360" w:lineRule="auto"/>
        <w:ind w:firstLine="720"/>
      </w:pPr>
      <w:r>
        <w:rPr>
          <w:rFonts w:hint="eastAsia"/>
        </w:rPr>
        <w:t>总监理工程师姓名：，资格证书号：；</w:t>
      </w:r>
    </w:p>
    <w:p w14:paraId="2269A40B">
      <w:pPr>
        <w:pStyle w:val="5"/>
        <w:tabs>
          <w:tab w:val="left" w:pos="540"/>
          <w:tab w:val="left" w:pos="2340"/>
        </w:tabs>
        <w:spacing w:before="120" w:after="156"/>
        <w:ind w:left="180"/>
        <w:jc w:val="left"/>
        <w:rPr>
          <w:rFonts w:ascii="宋体" w:hAnsi="宋体"/>
          <w:sz w:val="24"/>
        </w:rPr>
      </w:pPr>
      <w:bookmarkStart w:id="130" w:name="_Toc8941"/>
      <w:bookmarkStart w:id="131" w:name="_Toc32763"/>
      <w:bookmarkStart w:id="132" w:name="_Toc8138"/>
      <w:r>
        <w:rPr>
          <w:rFonts w:hint="eastAsia" w:ascii="宋体" w:hAnsi="宋体"/>
          <w:sz w:val="24"/>
        </w:rPr>
        <w:t>5.3监理人权力的限制</w:t>
      </w:r>
      <w:bookmarkEnd w:id="130"/>
      <w:bookmarkEnd w:id="131"/>
      <w:bookmarkEnd w:id="132"/>
    </w:p>
    <w:p w14:paraId="4CC40355">
      <w:pPr>
        <w:spacing w:line="360" w:lineRule="auto"/>
        <w:ind w:firstLine="480" w:firstLineChars="200"/>
        <w:jc w:val="both"/>
        <w:rPr>
          <w:rFonts w:cs="Times New Roman"/>
          <w:u w:val="single"/>
        </w:rPr>
      </w:pPr>
      <w:r>
        <w:rPr>
          <w:rFonts w:hint="eastAsia"/>
        </w:rPr>
        <w:t>(1)⑧监理人行使的其他需要取得发包人批准的权力：</w:t>
      </w:r>
      <w:r>
        <w:rPr>
          <w:rFonts w:hint="eastAsia" w:cs="Times New Roman"/>
          <w:u w:val="single"/>
        </w:rPr>
        <w:t>监理人应经发包人书面授权。监理人在发包人授权范围外行使权利时，只有发包人书面批准的，才对发包人、承包人产生效力。监理人未经发包人书面批准而行使的，不对发包人、承包人产生任何效力。除经发包人书面同意，监理人无权减轻或免除承包人任何权利或义务。</w:t>
      </w:r>
    </w:p>
    <w:p w14:paraId="55FEF512">
      <w:pPr>
        <w:widowControl w:val="0"/>
        <w:spacing w:line="360" w:lineRule="auto"/>
        <w:ind w:firstLine="480" w:firstLineChars="200"/>
        <w:jc w:val="both"/>
        <w:rPr>
          <w:rFonts w:cs="Times New Roman"/>
          <w:kern w:val="2"/>
          <w:u w:val="single"/>
        </w:rPr>
      </w:pPr>
      <w:r>
        <w:rPr>
          <w:rFonts w:hint="eastAsia" w:cs="Times New Roman"/>
          <w:kern w:val="2"/>
          <w:u w:val="single"/>
        </w:rPr>
        <w:t>1)凡涉及工程变更、工程量增减、议价、索赔、改变工期（包括同意工期顺延）、改变技术标准、改变施工技术方案等及一切与工期、费用有关的监理人的指令，需经发包人书面认可，包括但不限于：</w:t>
      </w:r>
    </w:p>
    <w:p w14:paraId="6AECB169">
      <w:pPr>
        <w:widowControl w:val="0"/>
        <w:spacing w:line="360" w:lineRule="auto"/>
        <w:ind w:firstLine="480" w:firstLineChars="200"/>
        <w:jc w:val="both"/>
        <w:rPr>
          <w:rFonts w:cs="Times New Roman"/>
          <w:kern w:val="2"/>
          <w:u w:val="single"/>
        </w:rPr>
      </w:pPr>
      <w:r>
        <w:rPr>
          <w:rFonts w:hint="eastAsia" w:cs="Times New Roman"/>
          <w:kern w:val="2"/>
          <w:u w:val="single"/>
        </w:rPr>
        <w:t>a.发布变更指令及签发现场签证；</w:t>
      </w:r>
    </w:p>
    <w:p w14:paraId="306EB7FD">
      <w:pPr>
        <w:widowControl w:val="0"/>
        <w:spacing w:line="360" w:lineRule="auto"/>
        <w:ind w:firstLine="480" w:firstLineChars="200"/>
        <w:jc w:val="both"/>
        <w:rPr>
          <w:rFonts w:cs="Times New Roman"/>
          <w:kern w:val="2"/>
          <w:u w:val="single"/>
        </w:rPr>
      </w:pPr>
      <w:r>
        <w:rPr>
          <w:rFonts w:hint="eastAsia" w:cs="Times New Roman"/>
          <w:kern w:val="2"/>
          <w:u w:val="single"/>
        </w:rPr>
        <w:t>b.分包人的选择；</w:t>
      </w:r>
    </w:p>
    <w:p w14:paraId="32DD20CF">
      <w:pPr>
        <w:widowControl w:val="0"/>
        <w:spacing w:line="360" w:lineRule="auto"/>
        <w:ind w:firstLine="480" w:firstLineChars="200"/>
        <w:jc w:val="both"/>
        <w:rPr>
          <w:rFonts w:cs="Times New Roman"/>
          <w:kern w:val="2"/>
          <w:u w:val="single"/>
        </w:rPr>
      </w:pPr>
      <w:r>
        <w:rPr>
          <w:rFonts w:hint="eastAsia" w:cs="Times New Roman"/>
          <w:kern w:val="2"/>
          <w:u w:val="single"/>
        </w:rPr>
        <w:t>c.批准承包人的深化设计；</w:t>
      </w:r>
    </w:p>
    <w:p w14:paraId="350684DC">
      <w:pPr>
        <w:widowControl w:val="0"/>
        <w:spacing w:line="360" w:lineRule="auto"/>
        <w:ind w:firstLine="480" w:firstLineChars="200"/>
        <w:jc w:val="both"/>
        <w:rPr>
          <w:rFonts w:cs="Times New Roman"/>
          <w:kern w:val="2"/>
          <w:u w:val="single"/>
        </w:rPr>
      </w:pPr>
      <w:r>
        <w:rPr>
          <w:rFonts w:hint="eastAsia" w:cs="Times New Roman"/>
          <w:kern w:val="2"/>
          <w:u w:val="single"/>
        </w:rPr>
        <w:t>d.批准承包人或其分包人提出更换项目经理、技术负责人等主要管理人员；</w:t>
      </w:r>
    </w:p>
    <w:p w14:paraId="6A13B3DC">
      <w:pPr>
        <w:widowControl w:val="0"/>
        <w:spacing w:line="360" w:lineRule="auto"/>
        <w:ind w:firstLine="480" w:firstLineChars="200"/>
        <w:jc w:val="both"/>
        <w:rPr>
          <w:rFonts w:cs="Times New Roman"/>
          <w:kern w:val="2"/>
          <w:u w:val="single"/>
        </w:rPr>
      </w:pPr>
      <w:r>
        <w:rPr>
          <w:rFonts w:hint="eastAsia" w:cs="Times New Roman"/>
          <w:kern w:val="2"/>
          <w:u w:val="single"/>
        </w:rPr>
        <w:t>e.批准主要材料设备或替换材料设备的使用；</w:t>
      </w:r>
    </w:p>
    <w:p w14:paraId="417C3743">
      <w:pPr>
        <w:widowControl w:val="0"/>
        <w:spacing w:line="360" w:lineRule="auto"/>
        <w:ind w:firstLine="480" w:firstLineChars="200"/>
        <w:jc w:val="both"/>
        <w:rPr>
          <w:rFonts w:cs="Times New Roman"/>
          <w:kern w:val="2"/>
          <w:u w:val="single"/>
        </w:rPr>
      </w:pPr>
      <w:r>
        <w:rPr>
          <w:rFonts w:hint="eastAsia" w:cs="Times New Roman"/>
          <w:kern w:val="2"/>
          <w:u w:val="single"/>
        </w:rPr>
        <w:t>f.向承包人提出建议且提出的建议可能会提高工程造价或延误工期；</w:t>
      </w:r>
    </w:p>
    <w:p w14:paraId="401F703C">
      <w:pPr>
        <w:widowControl w:val="0"/>
        <w:spacing w:line="360" w:lineRule="auto"/>
        <w:ind w:firstLine="480" w:firstLineChars="200"/>
        <w:jc w:val="both"/>
        <w:rPr>
          <w:rFonts w:cs="Times New Roman"/>
          <w:kern w:val="2"/>
          <w:u w:val="single"/>
        </w:rPr>
      </w:pPr>
      <w:r>
        <w:rPr>
          <w:rFonts w:hint="eastAsia" w:cs="Times New Roman"/>
          <w:kern w:val="2"/>
          <w:u w:val="single"/>
        </w:rPr>
        <w:t>g.批准承包人拆除脚手架及其他重要施工设备；</w:t>
      </w:r>
    </w:p>
    <w:p w14:paraId="31BCD7C6">
      <w:pPr>
        <w:widowControl w:val="0"/>
        <w:spacing w:line="360" w:lineRule="auto"/>
        <w:ind w:firstLine="480" w:firstLineChars="200"/>
        <w:jc w:val="both"/>
        <w:rPr>
          <w:rFonts w:cs="Times New Roman"/>
          <w:kern w:val="2"/>
          <w:u w:val="single"/>
        </w:rPr>
      </w:pPr>
      <w:r>
        <w:rPr>
          <w:rFonts w:hint="eastAsia" w:cs="Times New Roman"/>
          <w:kern w:val="2"/>
          <w:u w:val="single"/>
        </w:rPr>
        <w:t>h.施工进度更改或对工程延期的决定；</w:t>
      </w:r>
    </w:p>
    <w:p w14:paraId="0C1F3CDA">
      <w:pPr>
        <w:widowControl w:val="0"/>
        <w:spacing w:line="360" w:lineRule="auto"/>
        <w:ind w:firstLine="480" w:firstLineChars="200"/>
        <w:jc w:val="both"/>
        <w:rPr>
          <w:rFonts w:cs="Times New Roman"/>
          <w:kern w:val="2"/>
          <w:u w:val="single"/>
        </w:rPr>
      </w:pPr>
      <w:r>
        <w:rPr>
          <w:rFonts w:hint="eastAsia" w:cs="Times New Roman"/>
          <w:kern w:val="2"/>
          <w:u w:val="single"/>
        </w:rPr>
        <w:t>i.发出可能导致延长工期或者增加合同价款或费用的任何指示；</w:t>
      </w:r>
    </w:p>
    <w:p w14:paraId="157040AD">
      <w:pPr>
        <w:widowControl w:val="0"/>
        <w:spacing w:line="360" w:lineRule="auto"/>
        <w:ind w:firstLine="480" w:firstLineChars="200"/>
        <w:jc w:val="both"/>
        <w:rPr>
          <w:rFonts w:cs="Times New Roman"/>
          <w:kern w:val="2"/>
          <w:u w:val="single"/>
        </w:rPr>
      </w:pPr>
      <w:r>
        <w:rPr>
          <w:rFonts w:hint="eastAsia" w:cs="Times New Roman"/>
          <w:kern w:val="2"/>
          <w:u w:val="single"/>
        </w:rPr>
        <w:t>j.更换监理人或发包人认为的承包人或其分包人不称职人员；</w:t>
      </w:r>
    </w:p>
    <w:p w14:paraId="06BDF1C5">
      <w:pPr>
        <w:widowControl w:val="0"/>
        <w:spacing w:line="360" w:lineRule="auto"/>
        <w:ind w:firstLine="480" w:firstLineChars="200"/>
        <w:jc w:val="both"/>
        <w:rPr>
          <w:rFonts w:cs="Times New Roman"/>
          <w:kern w:val="2"/>
          <w:u w:val="single"/>
        </w:rPr>
      </w:pPr>
      <w:r>
        <w:rPr>
          <w:rFonts w:hint="eastAsia" w:cs="Times New Roman"/>
          <w:kern w:val="2"/>
          <w:u w:val="single"/>
        </w:rPr>
        <w:t>k.批准承包人或其分包人提出更换项目经理等主要管理人员。</w:t>
      </w:r>
    </w:p>
    <w:p w14:paraId="32476351">
      <w:pPr>
        <w:widowControl w:val="0"/>
        <w:spacing w:line="360" w:lineRule="auto"/>
        <w:ind w:firstLine="480" w:firstLineChars="200"/>
        <w:jc w:val="both"/>
        <w:rPr>
          <w:rFonts w:cs="Times New Roman"/>
          <w:kern w:val="2"/>
          <w:u w:val="single"/>
        </w:rPr>
      </w:pPr>
      <w:r>
        <w:rPr>
          <w:rFonts w:hint="eastAsia" w:cs="Times New Roman"/>
          <w:kern w:val="2"/>
          <w:u w:val="single"/>
        </w:rPr>
        <w:t>2)当监理人行使通用条款第5.3款及本款约定的上述职权时，监理人应提供发包人已批准的书面证明，如监理人未提供发包人书面批准证明的，承包人应以书面形式征询发包人；如发包人回复不予确认或承包人未以书面形式征询发包人的，则不视为发包人已予批准监理人行使该等权力，监理人行使该等权力的法律后果不约束发包人，如由此发生工期延误的，工期不予顺延；如因此发生损失的，均由承包人自行承担。发包人有权单方修改监理人的权力，并书面通知承包人，修改的权力自通知到达承包人之日起生效。</w:t>
      </w:r>
    </w:p>
    <w:p w14:paraId="79ADBAC1">
      <w:pPr>
        <w:widowControl w:val="0"/>
        <w:spacing w:line="360" w:lineRule="auto"/>
        <w:ind w:firstLine="480" w:firstLineChars="200"/>
        <w:jc w:val="both"/>
        <w:rPr>
          <w:rFonts w:cs="Times New Roman"/>
          <w:kern w:val="2"/>
          <w:u w:val="single"/>
        </w:rPr>
      </w:pPr>
      <w:r>
        <w:rPr>
          <w:rFonts w:hint="eastAsia" w:cs="Times New Roman"/>
          <w:kern w:val="2"/>
          <w:u w:val="single"/>
        </w:rPr>
        <w:t>3)监理人无权免除或变更合同约定的发包人和承包人的权利、义务和责任；其超出职权范围所作的任何行为或指令，除发包人事后予以追认的外，对发包人没有法律约束力。合同约定应由承包人承担的义务和责任，不因监理人对承包人提交文件的审查或批准，对工程、材料和设备的检查和检验，以及为实施监理作出的指示等职务行为而减轻或解除。</w:t>
      </w:r>
    </w:p>
    <w:p w14:paraId="74D110B5">
      <w:pPr>
        <w:widowControl w:val="0"/>
        <w:spacing w:line="360" w:lineRule="auto"/>
        <w:ind w:firstLine="480" w:firstLineChars="200"/>
        <w:jc w:val="both"/>
        <w:rPr>
          <w:rFonts w:cs="Times New Roman"/>
          <w:kern w:val="2"/>
          <w:u w:val="single"/>
        </w:rPr>
      </w:pPr>
      <w:r>
        <w:rPr>
          <w:rFonts w:hint="eastAsia" w:cs="Times New Roman"/>
          <w:kern w:val="2"/>
          <w:u w:val="single"/>
        </w:rPr>
        <w:t>4)发包人有权单方修改监理人的职权，并书面通知承包人，修改的监理人的职权自通知到达承包人之日起生效。</w:t>
      </w:r>
    </w:p>
    <w:p w14:paraId="0622E5E0">
      <w:pPr>
        <w:spacing w:line="360" w:lineRule="auto"/>
        <w:ind w:firstLine="480" w:firstLineChars="200"/>
        <w:jc w:val="both"/>
      </w:pPr>
      <w:r>
        <w:rPr>
          <w:rFonts w:hint="eastAsia" w:cs="Times New Roman"/>
          <w:kern w:val="2"/>
          <w:u w:val="single"/>
        </w:rPr>
        <w:t>5)如发包人代表的书面指令与监理人的书面指令不一致时，以发包人代表的书面指令为准。</w:t>
      </w:r>
    </w:p>
    <w:p w14:paraId="0C0DBB06">
      <w:pPr>
        <w:pStyle w:val="4"/>
        <w:keepNext w:val="0"/>
        <w:keepLines w:val="0"/>
        <w:tabs>
          <w:tab w:val="left" w:pos="1620"/>
          <w:tab w:val="left" w:pos="2340"/>
        </w:tabs>
        <w:spacing w:before="120" w:after="120"/>
      </w:pPr>
      <w:bookmarkStart w:id="133" w:name="_Toc11157"/>
      <w:bookmarkStart w:id="134" w:name="_Toc27551"/>
      <w:bookmarkStart w:id="135" w:name="_Toc30299"/>
      <w:r>
        <w:rPr>
          <w:rFonts w:hint="eastAsia"/>
        </w:rPr>
        <w:t>6 转让、分包</w:t>
      </w:r>
      <w:bookmarkEnd w:id="133"/>
      <w:bookmarkEnd w:id="134"/>
      <w:bookmarkEnd w:id="135"/>
    </w:p>
    <w:p w14:paraId="0D5B3EC1">
      <w:pPr>
        <w:pStyle w:val="5"/>
        <w:tabs>
          <w:tab w:val="left" w:pos="540"/>
          <w:tab w:val="left" w:pos="2340"/>
        </w:tabs>
        <w:spacing w:before="120" w:after="156"/>
        <w:ind w:left="180"/>
        <w:jc w:val="left"/>
        <w:rPr>
          <w:rFonts w:ascii="宋体" w:hAnsi="宋体"/>
          <w:sz w:val="24"/>
        </w:rPr>
      </w:pPr>
      <w:bookmarkStart w:id="136" w:name="_Toc18478"/>
      <w:bookmarkStart w:id="137" w:name="_Toc22138"/>
      <w:bookmarkStart w:id="138" w:name="_Toc8510"/>
      <w:r>
        <w:rPr>
          <w:rFonts w:hint="eastAsia" w:ascii="宋体" w:hAnsi="宋体"/>
          <w:sz w:val="24"/>
        </w:rPr>
        <w:t>6.1 转让</w:t>
      </w:r>
      <w:bookmarkEnd w:id="136"/>
      <w:bookmarkEnd w:id="137"/>
      <w:bookmarkEnd w:id="138"/>
    </w:p>
    <w:p w14:paraId="3C6DE196">
      <w:pPr>
        <w:snapToGrid w:val="0"/>
        <w:spacing w:line="360" w:lineRule="auto"/>
        <w:ind w:firstLine="480" w:firstLineChars="200"/>
      </w:pPr>
      <w:r>
        <w:rPr>
          <w:rFonts w:hint="eastAsia"/>
        </w:rPr>
        <w:t>如承包人有转让行为，视为承包人严重违约，处以</w:t>
      </w:r>
      <w:r>
        <w:rPr>
          <w:rFonts w:hint="eastAsia"/>
          <w:u w:val="single"/>
        </w:rPr>
        <w:t>合同价的</w:t>
      </w:r>
      <w:r>
        <w:rPr>
          <w:rFonts w:eastAsia="Times New Roman"/>
          <w:u w:val="single"/>
        </w:rPr>
        <w:t>10%</w:t>
      </w:r>
      <w:r>
        <w:rPr>
          <w:rFonts w:hint="eastAsia"/>
        </w:rPr>
        <w:t>的违约金，发包人有权单方解除合同并没收承包人的履约保证金，由此造成的一切损失均由承包人承担。同时向建设行政主管部门举报。</w:t>
      </w:r>
    </w:p>
    <w:p w14:paraId="4CBD7734">
      <w:pPr>
        <w:pStyle w:val="5"/>
        <w:tabs>
          <w:tab w:val="left" w:pos="540"/>
          <w:tab w:val="left" w:pos="2340"/>
        </w:tabs>
        <w:spacing w:before="120" w:after="156"/>
        <w:ind w:left="180"/>
        <w:jc w:val="left"/>
        <w:rPr>
          <w:rFonts w:ascii="宋体" w:hAnsi="宋体"/>
          <w:sz w:val="24"/>
        </w:rPr>
      </w:pPr>
      <w:bookmarkStart w:id="139" w:name="_Toc12814"/>
      <w:bookmarkStart w:id="140" w:name="_Toc2074"/>
      <w:bookmarkStart w:id="141" w:name="_Toc706"/>
      <w:r>
        <w:rPr>
          <w:rFonts w:hint="eastAsia" w:ascii="宋体" w:hAnsi="宋体"/>
          <w:sz w:val="24"/>
        </w:rPr>
        <w:t>6.2 分包</w:t>
      </w:r>
      <w:bookmarkEnd w:id="139"/>
      <w:bookmarkEnd w:id="140"/>
      <w:bookmarkEnd w:id="141"/>
    </w:p>
    <w:p w14:paraId="6A0BDCD4">
      <w:pPr>
        <w:snapToGrid w:val="0"/>
        <w:spacing w:line="360" w:lineRule="auto"/>
        <w:ind w:firstLine="480"/>
      </w:pPr>
      <w:bookmarkStart w:id="142" w:name="_Toc19283"/>
      <w:bookmarkStart w:id="143" w:name="_Toc812"/>
      <w:bookmarkStart w:id="144" w:name="_Toc5328"/>
      <w:r>
        <w:rPr>
          <w:rFonts w:hint="eastAsia"/>
        </w:rPr>
        <w:t>(2)承包人不得分包的主体结构、关键性工作范围包括：</w:t>
      </w:r>
      <w:r>
        <w:rPr>
          <w:rFonts w:hint="eastAsia"/>
          <w:u w:val="single"/>
        </w:rPr>
        <w:t>按照法律法规。</w:t>
      </w:r>
    </w:p>
    <w:p w14:paraId="76084F7F">
      <w:pPr>
        <w:snapToGrid w:val="0"/>
        <w:spacing w:line="360" w:lineRule="auto"/>
        <w:ind w:firstLine="480"/>
      </w:pPr>
      <w:r>
        <w:rPr>
          <w:rFonts w:eastAsia="Times New Roman"/>
        </w:rPr>
        <w:t>(3)</w:t>
      </w:r>
      <w:r>
        <w:rPr>
          <w:rFonts w:hint="eastAsia"/>
        </w:rPr>
        <w:t>如出现承包人未经监理人审查和发包人同意的分包行为，视为承包人严重违约，处以</w:t>
      </w:r>
      <w:r>
        <w:rPr>
          <w:rFonts w:hint="eastAsia"/>
          <w:u w:val="single"/>
        </w:rPr>
        <w:t>合同价的</w:t>
      </w:r>
      <w:r>
        <w:rPr>
          <w:rFonts w:eastAsia="Times New Roman"/>
          <w:u w:val="single"/>
        </w:rPr>
        <w:t>10%</w:t>
      </w:r>
      <w:r>
        <w:rPr>
          <w:rFonts w:hint="eastAsia"/>
        </w:rPr>
        <w:t>的违约金，发包人有权单方解除合同并没收承包人的履约保证金，由此造成的一切损失均由承包人承担。同时向建设行政主管部门举报。</w:t>
      </w:r>
    </w:p>
    <w:p w14:paraId="674CBB66">
      <w:pPr>
        <w:snapToGrid w:val="0"/>
        <w:spacing w:line="360" w:lineRule="auto"/>
        <w:ind w:firstLine="480"/>
      </w:pPr>
      <w:r>
        <w:rPr>
          <w:rFonts w:eastAsia="Times New Roman"/>
        </w:rPr>
        <w:t>(4)</w:t>
      </w:r>
      <w:r>
        <w:rPr>
          <w:rFonts w:hint="eastAsia"/>
        </w:rPr>
        <w:t>如出现分包人将分包工程的任何部分再分包的行为，承包人应向发包人支付违约金即</w:t>
      </w:r>
      <w:r>
        <w:rPr>
          <w:rFonts w:hint="eastAsia"/>
          <w:u w:val="single"/>
        </w:rPr>
        <w:t>合同价的</w:t>
      </w:r>
      <w:r>
        <w:rPr>
          <w:rFonts w:eastAsia="Times New Roman"/>
          <w:u w:val="single"/>
        </w:rPr>
        <w:t>10%</w:t>
      </w:r>
      <w:r>
        <w:t>/次。</w:t>
      </w:r>
    </w:p>
    <w:p w14:paraId="713C2ECE">
      <w:pPr>
        <w:snapToGrid w:val="0"/>
        <w:spacing w:line="360" w:lineRule="auto"/>
        <w:ind w:firstLine="480"/>
      </w:pPr>
      <w:r>
        <w:rPr>
          <w:rFonts w:eastAsia="Times New Roman"/>
        </w:rPr>
        <w:t>(5)</w:t>
      </w:r>
      <w:r>
        <w:rPr>
          <w:rFonts w:hint="eastAsia"/>
        </w:rPr>
        <w:t>如承包人有将其承包范围内全部工程肢解分包的行为，应向发包人支付</w:t>
      </w:r>
    </w:p>
    <w:p w14:paraId="1465C724">
      <w:pPr>
        <w:snapToGrid w:val="0"/>
        <w:spacing w:line="360" w:lineRule="auto"/>
      </w:pPr>
      <w:r>
        <w:rPr>
          <w:rFonts w:hint="eastAsia"/>
        </w:rPr>
        <w:t>违约金即</w:t>
      </w:r>
      <w:r>
        <w:rPr>
          <w:rFonts w:hint="eastAsia"/>
          <w:u w:val="single"/>
        </w:rPr>
        <w:t>合同价的</w:t>
      </w:r>
      <w:r>
        <w:rPr>
          <w:u w:val="single"/>
        </w:rPr>
        <w:t>2</w:t>
      </w:r>
      <w:r>
        <w:rPr>
          <w:rFonts w:eastAsia="Times New Roman"/>
          <w:u w:val="single"/>
        </w:rPr>
        <w:t>0%</w:t>
      </w:r>
      <w:r>
        <w:t>/次。</w:t>
      </w:r>
    </w:p>
    <w:p w14:paraId="5C4D4145">
      <w:pPr>
        <w:pStyle w:val="5"/>
        <w:tabs>
          <w:tab w:val="left" w:pos="540"/>
          <w:tab w:val="left" w:pos="2340"/>
        </w:tabs>
        <w:spacing w:before="120" w:after="156"/>
        <w:ind w:left="180"/>
        <w:jc w:val="left"/>
        <w:rPr>
          <w:rFonts w:ascii="宋体" w:hAnsi="宋体"/>
          <w:sz w:val="24"/>
        </w:rPr>
      </w:pPr>
      <w:r>
        <w:rPr>
          <w:rFonts w:hint="eastAsia" w:ascii="宋体" w:hAnsi="宋体"/>
          <w:sz w:val="24"/>
        </w:rPr>
        <w:t>6.3 分包人的确定</w:t>
      </w:r>
      <w:bookmarkEnd w:id="142"/>
      <w:bookmarkEnd w:id="143"/>
      <w:bookmarkEnd w:id="144"/>
    </w:p>
    <w:p w14:paraId="7F3BA727">
      <w:pPr>
        <w:adjustRightInd w:val="0"/>
        <w:snapToGrid w:val="0"/>
        <w:spacing w:line="360" w:lineRule="auto"/>
        <w:ind w:firstLine="480" w:firstLineChars="200"/>
        <w:jc w:val="both"/>
        <w:rPr>
          <w:rFonts w:cs="Times New Roman"/>
          <w:b/>
          <w:kern w:val="2"/>
          <w:u w:val="single"/>
        </w:rPr>
      </w:pPr>
      <w:r>
        <w:rPr>
          <w:rFonts w:hint="eastAsia"/>
        </w:rPr>
        <w:t>(1)分包人应符合的条件：</w:t>
      </w:r>
      <w:r>
        <w:rPr>
          <w:rFonts w:hint="eastAsia" w:cs="Times New Roman"/>
          <w:b/>
          <w:kern w:val="2"/>
          <w:u w:val="single"/>
        </w:rPr>
        <w:t>符合现行法律法规要求，满足所分包工程相对应的资质。承包人及分包人就其分包工程对发包人承担连带责任。</w:t>
      </w:r>
    </w:p>
    <w:p w14:paraId="2DFBE32C">
      <w:pPr>
        <w:pStyle w:val="10"/>
        <w:adjustRightInd w:val="0"/>
        <w:snapToGrid w:val="0"/>
        <w:ind w:firstLine="480" w:firstLineChars="200"/>
      </w:pPr>
      <w:r>
        <w:rPr>
          <w:rFonts w:hint="eastAsia"/>
        </w:rPr>
        <w:t>①承包人应根据有关规定及本合同约定选择分包商，并与其签订合同。按照法律法规要求，不得将工程总承包项目工程主体结构的施工业务分包给其他单位。</w:t>
      </w:r>
    </w:p>
    <w:p w14:paraId="3A9A7650">
      <w:pPr>
        <w:pStyle w:val="10"/>
        <w:adjustRightInd w:val="0"/>
        <w:snapToGrid w:val="0"/>
        <w:ind w:firstLine="480" w:firstLineChars="200"/>
      </w:pPr>
      <w:r>
        <w:rPr>
          <w:rFonts w:hint="eastAsia"/>
        </w:rPr>
        <w:t>②承接分包工程的分包商，必须满足深圳市住建局的规定，取得安全生产许可证。</w:t>
      </w:r>
    </w:p>
    <w:p w14:paraId="5638BCC1">
      <w:pPr>
        <w:pStyle w:val="10"/>
        <w:adjustRightInd w:val="0"/>
        <w:snapToGrid w:val="0"/>
        <w:ind w:firstLine="480" w:firstLineChars="200"/>
      </w:pPr>
      <w:r>
        <w:rPr>
          <w:rFonts w:hint="eastAsia"/>
        </w:rPr>
        <w:t>③发包人对认为必要的重要合同的分包商或供应商进行审批。发包人有权对承包人进行的专业设计单位、专业工程、主要材料、主要设备等发包人认为必要的项目招标方案、招标文件进行审查，并有权参与专业工程承包人及供应商考察，考察费用由承包人承担， 并对专业工程承包人及供应商的资质、经验、企业信誉等进行审核，未达到发包人要求的，承包人须立即无条件更换。必要时，发包人需要决定分包商资格、要求参与招标及确定分包商；</w:t>
      </w:r>
    </w:p>
    <w:p w14:paraId="644449AB">
      <w:pPr>
        <w:pStyle w:val="10"/>
        <w:adjustRightInd w:val="0"/>
        <w:snapToGrid w:val="0"/>
        <w:ind w:firstLine="480" w:firstLineChars="200"/>
      </w:pPr>
      <w:r>
        <w:rPr>
          <w:rFonts w:hint="eastAsia"/>
        </w:rPr>
        <w:t>④如发包人认为承包人与分包人恶意串通损害发包人利益、分包人不满足工程项目需求或存在其他对工程项目不利的因素时，发包人有权反对承包人进行分包及/或要求承包人更换分包单位。发包人收到承包人前述分包通知（无论发包人是否给予书面的回应意见），均不得被视为发包人同意承包人的任何分包安排及/或同意减轻、免除承包人的合同义务及责任。承包人不可撤销的同意，其不得据此主张减轻或免除其合同义务及责任。</w:t>
      </w:r>
    </w:p>
    <w:p w14:paraId="7A8B11FF">
      <w:pPr>
        <w:pStyle w:val="10"/>
        <w:adjustRightInd w:val="0"/>
        <w:snapToGrid w:val="0"/>
        <w:ind w:firstLine="480" w:firstLineChars="200"/>
      </w:pPr>
      <w:r>
        <w:rPr>
          <w:rFonts w:hint="eastAsia"/>
        </w:rPr>
        <w:t>⑤对于涉及的特殊专业工程施工，除非承包人有相应资质自行组织施工，否则应按照相关规定，由具有专业资质和施工能力的分包商完成，发包人根据需要及分包工程的重要性，要求承包人提交分包商的资质、经验、业绩资料等，经审批同意后，可以签订相关合同。</w:t>
      </w:r>
    </w:p>
    <w:p w14:paraId="1F6537F6">
      <w:pPr>
        <w:pStyle w:val="10"/>
        <w:adjustRightInd w:val="0"/>
        <w:snapToGrid w:val="0"/>
        <w:ind w:firstLine="480" w:firstLineChars="200"/>
      </w:pPr>
      <w:r>
        <w:rPr>
          <w:rFonts w:hint="eastAsia"/>
        </w:rPr>
        <w:t>⑥对于承包人提出的劳务分包，分包商应具有相应的劳务分包资质，报经监理人审查并报发包人核备。劳务人员应加入到承包人施工班组。承包人或劳务分包应为劳务人员购买工伤保险及人身伤亡意外险。</w:t>
      </w:r>
    </w:p>
    <w:p w14:paraId="400BB190">
      <w:pPr>
        <w:pStyle w:val="10"/>
        <w:adjustRightInd w:val="0"/>
        <w:snapToGrid w:val="0"/>
        <w:ind w:firstLine="480" w:firstLineChars="200"/>
      </w:pPr>
      <w:r>
        <w:rPr>
          <w:rFonts w:hint="eastAsia"/>
        </w:rPr>
        <w:t>⑦如在工程总承包实施阶段分批分期进行再发包的，承包人应在不少于28天前书面通知发包人及监理人。按照规定的合法再发包承包人应事先征得发包人同意，承包人不得对未经发包人事先书面明确同意的工程任何一部分工程内容进行分包。</w:t>
      </w:r>
    </w:p>
    <w:p w14:paraId="208B6830">
      <w:pPr>
        <w:pStyle w:val="10"/>
        <w:adjustRightInd w:val="0"/>
        <w:snapToGrid w:val="0"/>
        <w:ind w:firstLine="480" w:firstLineChars="200"/>
      </w:pPr>
      <w:r>
        <w:rPr>
          <w:rFonts w:hint="eastAsia"/>
        </w:rPr>
        <w:t>⑧承包人应将再发包合同签订后7个工作日内报发包人和监理人备案。</w:t>
      </w:r>
    </w:p>
    <w:p w14:paraId="52715052">
      <w:pPr>
        <w:pStyle w:val="4"/>
        <w:keepNext w:val="0"/>
        <w:keepLines w:val="0"/>
        <w:tabs>
          <w:tab w:val="left" w:pos="1620"/>
          <w:tab w:val="left" w:pos="2340"/>
        </w:tabs>
        <w:spacing w:before="120" w:after="120"/>
      </w:pPr>
      <w:bookmarkStart w:id="145" w:name="_Toc12531"/>
      <w:bookmarkStart w:id="146" w:name="_Toc16805"/>
      <w:bookmarkStart w:id="147" w:name="_Toc11631"/>
      <w:r>
        <w:rPr>
          <w:rFonts w:hint="eastAsia"/>
        </w:rPr>
        <w:t>7 专业工程发包</w:t>
      </w:r>
      <w:bookmarkEnd w:id="145"/>
      <w:bookmarkEnd w:id="146"/>
      <w:bookmarkEnd w:id="147"/>
    </w:p>
    <w:p w14:paraId="52C1C063">
      <w:pPr>
        <w:pStyle w:val="5"/>
        <w:tabs>
          <w:tab w:val="left" w:pos="540"/>
          <w:tab w:val="left" w:pos="2340"/>
        </w:tabs>
        <w:spacing w:before="120" w:after="156"/>
        <w:ind w:left="180"/>
        <w:jc w:val="left"/>
        <w:rPr>
          <w:rFonts w:ascii="宋体" w:hAnsi="宋体"/>
          <w:sz w:val="24"/>
        </w:rPr>
      </w:pPr>
      <w:bookmarkStart w:id="148" w:name="_Toc2013"/>
      <w:bookmarkStart w:id="149" w:name="_Toc7405"/>
      <w:bookmarkStart w:id="150" w:name="_Toc23324"/>
      <w:r>
        <w:rPr>
          <w:rFonts w:hint="eastAsia" w:ascii="宋体" w:hAnsi="宋体"/>
          <w:sz w:val="24"/>
        </w:rPr>
        <w:t>7.1 专业工程承包人</w:t>
      </w:r>
      <w:bookmarkEnd w:id="148"/>
      <w:bookmarkEnd w:id="149"/>
      <w:bookmarkEnd w:id="150"/>
      <w:r>
        <w:rPr>
          <w:rFonts w:ascii="宋体" w:hAnsi="宋体"/>
          <w:sz w:val="24"/>
        </w:rPr>
        <w:tab/>
      </w:r>
    </w:p>
    <w:p w14:paraId="3144073E">
      <w:pPr>
        <w:rPr>
          <w:bCs/>
        </w:rPr>
      </w:pPr>
      <w:r>
        <w:rPr>
          <w:rFonts w:hint="eastAsia"/>
          <w:bCs/>
        </w:rPr>
        <w:t>（1）</w:t>
      </w:r>
    </w:p>
    <w:tbl>
      <w:tblPr>
        <w:tblStyle w:val="11"/>
        <w:tblW w:w="4330" w:type="pct"/>
        <w:tblInd w:w="0" w:type="dxa"/>
        <w:tblLayout w:type="autofit"/>
        <w:tblCellMar>
          <w:top w:w="0" w:type="dxa"/>
          <w:left w:w="108" w:type="dxa"/>
          <w:bottom w:w="0" w:type="dxa"/>
          <w:right w:w="108" w:type="dxa"/>
        </w:tblCellMar>
      </w:tblPr>
      <w:tblGrid>
        <w:gridCol w:w="1256"/>
        <w:gridCol w:w="4614"/>
        <w:gridCol w:w="2174"/>
      </w:tblGrid>
      <w:tr w14:paraId="2089437C">
        <w:tblPrEx>
          <w:tblCellMar>
            <w:top w:w="0" w:type="dxa"/>
            <w:left w:w="108" w:type="dxa"/>
            <w:bottom w:w="0" w:type="dxa"/>
            <w:right w:w="108" w:type="dxa"/>
          </w:tblCellMar>
        </w:tblPrEx>
        <w:trPr>
          <w:trHeight w:val="585" w:hRule="atLeast"/>
        </w:trPr>
        <w:tc>
          <w:tcPr>
            <w:tcW w:w="781" w:type="pct"/>
            <w:tcBorders>
              <w:top w:val="single" w:color="000000" w:sz="8" w:space="0"/>
              <w:left w:val="single" w:color="000000" w:sz="8" w:space="0"/>
              <w:bottom w:val="single" w:color="000000" w:sz="8" w:space="0"/>
              <w:right w:val="single" w:color="000000" w:sz="8" w:space="0"/>
            </w:tcBorders>
            <w:vAlign w:val="center"/>
          </w:tcPr>
          <w:p w14:paraId="7F32EF57">
            <w:pPr>
              <w:jc w:val="center"/>
              <w:textAlignment w:val="center"/>
            </w:pPr>
            <w:r>
              <w:rPr>
                <w:rFonts w:hint="eastAsia"/>
              </w:rPr>
              <w:t>序号</w:t>
            </w:r>
          </w:p>
        </w:tc>
        <w:tc>
          <w:tcPr>
            <w:tcW w:w="2868" w:type="pct"/>
            <w:tcBorders>
              <w:top w:val="single" w:color="000000" w:sz="8" w:space="0"/>
              <w:left w:val="single" w:color="000000" w:sz="8" w:space="0"/>
              <w:bottom w:val="single" w:color="000000" w:sz="8" w:space="0"/>
              <w:right w:val="single" w:color="000000" w:sz="8" w:space="0"/>
            </w:tcBorders>
            <w:vAlign w:val="center"/>
          </w:tcPr>
          <w:p w14:paraId="61251F4F">
            <w:pPr>
              <w:jc w:val="center"/>
              <w:textAlignment w:val="center"/>
            </w:pPr>
            <w:r>
              <w:rPr>
                <w:rFonts w:hint="eastAsia"/>
              </w:rPr>
              <w:t>专业工程名称</w:t>
            </w:r>
          </w:p>
        </w:tc>
        <w:tc>
          <w:tcPr>
            <w:tcW w:w="1351" w:type="pct"/>
            <w:tcBorders>
              <w:top w:val="single" w:color="000000" w:sz="8" w:space="0"/>
              <w:left w:val="single" w:color="000000" w:sz="8" w:space="0"/>
              <w:bottom w:val="single" w:color="000000" w:sz="8" w:space="0"/>
              <w:right w:val="single" w:color="000000" w:sz="8" w:space="0"/>
            </w:tcBorders>
            <w:vAlign w:val="center"/>
          </w:tcPr>
          <w:p w14:paraId="21E06147">
            <w:pPr>
              <w:jc w:val="center"/>
              <w:textAlignment w:val="center"/>
            </w:pPr>
            <w:r>
              <w:rPr>
                <w:rFonts w:hint="eastAsia"/>
              </w:rPr>
              <w:t>专业工程承包人</w:t>
            </w:r>
          </w:p>
        </w:tc>
      </w:tr>
      <w:tr w14:paraId="087F06C1">
        <w:tblPrEx>
          <w:tblCellMar>
            <w:top w:w="0" w:type="dxa"/>
            <w:left w:w="108" w:type="dxa"/>
            <w:bottom w:w="0" w:type="dxa"/>
            <w:right w:w="108" w:type="dxa"/>
          </w:tblCellMar>
        </w:tblPrEx>
        <w:trPr>
          <w:trHeight w:val="300" w:hRule="atLeast"/>
        </w:trPr>
        <w:tc>
          <w:tcPr>
            <w:tcW w:w="781" w:type="pct"/>
            <w:tcBorders>
              <w:top w:val="nil"/>
              <w:left w:val="single" w:color="000000" w:sz="8" w:space="0"/>
              <w:bottom w:val="single" w:color="000000" w:sz="8" w:space="0"/>
              <w:right w:val="single" w:color="000000" w:sz="8" w:space="0"/>
            </w:tcBorders>
            <w:vAlign w:val="center"/>
          </w:tcPr>
          <w:p w14:paraId="2E2263E7">
            <w:pPr>
              <w:snapToGrid w:val="0"/>
              <w:spacing w:line="360" w:lineRule="auto"/>
              <w:jc w:val="center"/>
            </w:pPr>
            <w:r>
              <w:rPr>
                <w:rFonts w:hint="eastAsia" w:eastAsia="Times New Roman"/>
              </w:rPr>
              <w:t>/</w:t>
            </w:r>
          </w:p>
        </w:tc>
        <w:tc>
          <w:tcPr>
            <w:tcW w:w="2868" w:type="pct"/>
            <w:tcBorders>
              <w:top w:val="nil"/>
              <w:left w:val="single" w:color="000000" w:sz="8" w:space="0"/>
              <w:bottom w:val="single" w:color="000000" w:sz="8" w:space="0"/>
              <w:right w:val="single" w:color="000000" w:sz="8" w:space="0"/>
            </w:tcBorders>
            <w:vAlign w:val="center"/>
          </w:tcPr>
          <w:p w14:paraId="18E56E89">
            <w:pPr>
              <w:snapToGrid w:val="0"/>
              <w:spacing w:line="360" w:lineRule="auto"/>
              <w:jc w:val="center"/>
            </w:pPr>
            <w:r>
              <w:rPr>
                <w:rFonts w:hint="eastAsia" w:eastAsia="Times New Roman"/>
              </w:rPr>
              <w:t>/</w:t>
            </w:r>
          </w:p>
        </w:tc>
        <w:tc>
          <w:tcPr>
            <w:tcW w:w="1351" w:type="pct"/>
            <w:tcBorders>
              <w:top w:val="nil"/>
              <w:left w:val="single" w:color="000000" w:sz="8" w:space="0"/>
              <w:bottom w:val="single" w:color="000000" w:sz="8" w:space="0"/>
              <w:right w:val="single" w:color="000000" w:sz="8" w:space="0"/>
            </w:tcBorders>
            <w:vAlign w:val="center"/>
          </w:tcPr>
          <w:p w14:paraId="1284B889">
            <w:pPr>
              <w:snapToGrid w:val="0"/>
              <w:spacing w:line="360" w:lineRule="auto"/>
              <w:jc w:val="center"/>
            </w:pPr>
            <w:r>
              <w:rPr>
                <w:rFonts w:hint="eastAsia" w:eastAsia="Times New Roman"/>
              </w:rPr>
              <w:t>/</w:t>
            </w:r>
          </w:p>
        </w:tc>
      </w:tr>
      <w:tr w14:paraId="12CAF6DB">
        <w:tblPrEx>
          <w:tblCellMar>
            <w:top w:w="0" w:type="dxa"/>
            <w:left w:w="108" w:type="dxa"/>
            <w:bottom w:w="0" w:type="dxa"/>
            <w:right w:w="108" w:type="dxa"/>
          </w:tblCellMar>
        </w:tblPrEx>
        <w:trPr>
          <w:trHeight w:val="300" w:hRule="atLeast"/>
        </w:trPr>
        <w:tc>
          <w:tcPr>
            <w:tcW w:w="781" w:type="pct"/>
            <w:tcBorders>
              <w:top w:val="nil"/>
              <w:left w:val="single" w:color="000000" w:sz="8" w:space="0"/>
              <w:bottom w:val="single" w:color="000000" w:sz="8" w:space="0"/>
              <w:right w:val="single" w:color="000000" w:sz="8" w:space="0"/>
            </w:tcBorders>
            <w:vAlign w:val="center"/>
          </w:tcPr>
          <w:p w14:paraId="28DCA46C">
            <w:pPr>
              <w:jc w:val="center"/>
            </w:pPr>
          </w:p>
        </w:tc>
        <w:tc>
          <w:tcPr>
            <w:tcW w:w="2868" w:type="pct"/>
            <w:tcBorders>
              <w:top w:val="nil"/>
              <w:left w:val="single" w:color="000000" w:sz="8" w:space="0"/>
              <w:bottom w:val="single" w:color="000000" w:sz="8" w:space="0"/>
              <w:right w:val="single" w:color="000000" w:sz="8" w:space="0"/>
            </w:tcBorders>
            <w:vAlign w:val="bottom"/>
          </w:tcPr>
          <w:p w14:paraId="48326059">
            <w:pPr>
              <w:jc w:val="center"/>
            </w:pPr>
          </w:p>
        </w:tc>
        <w:tc>
          <w:tcPr>
            <w:tcW w:w="1351" w:type="pct"/>
            <w:tcBorders>
              <w:top w:val="nil"/>
              <w:left w:val="single" w:color="000000" w:sz="8" w:space="0"/>
              <w:bottom w:val="single" w:color="000000" w:sz="8" w:space="0"/>
              <w:right w:val="single" w:color="000000" w:sz="8" w:space="0"/>
            </w:tcBorders>
            <w:vAlign w:val="bottom"/>
          </w:tcPr>
          <w:p w14:paraId="4369157E">
            <w:pPr>
              <w:jc w:val="both"/>
            </w:pPr>
          </w:p>
        </w:tc>
      </w:tr>
      <w:tr w14:paraId="16896F2D">
        <w:tblPrEx>
          <w:tblCellMar>
            <w:top w:w="0" w:type="dxa"/>
            <w:left w:w="108" w:type="dxa"/>
            <w:bottom w:w="0" w:type="dxa"/>
            <w:right w:w="108" w:type="dxa"/>
          </w:tblCellMar>
        </w:tblPrEx>
        <w:trPr>
          <w:trHeight w:val="300" w:hRule="atLeast"/>
        </w:trPr>
        <w:tc>
          <w:tcPr>
            <w:tcW w:w="781" w:type="pct"/>
            <w:tcBorders>
              <w:top w:val="nil"/>
              <w:left w:val="single" w:color="000000" w:sz="8" w:space="0"/>
              <w:bottom w:val="single" w:color="000000" w:sz="8" w:space="0"/>
              <w:right w:val="single" w:color="000000" w:sz="8" w:space="0"/>
            </w:tcBorders>
            <w:vAlign w:val="center"/>
          </w:tcPr>
          <w:p w14:paraId="22198A99">
            <w:pPr>
              <w:jc w:val="center"/>
            </w:pPr>
          </w:p>
        </w:tc>
        <w:tc>
          <w:tcPr>
            <w:tcW w:w="2868" w:type="pct"/>
            <w:tcBorders>
              <w:top w:val="nil"/>
              <w:left w:val="single" w:color="000000" w:sz="8" w:space="0"/>
              <w:bottom w:val="single" w:color="000000" w:sz="8" w:space="0"/>
              <w:right w:val="single" w:color="000000" w:sz="8" w:space="0"/>
            </w:tcBorders>
            <w:vAlign w:val="bottom"/>
          </w:tcPr>
          <w:p w14:paraId="766C0D73">
            <w:pPr>
              <w:jc w:val="both"/>
            </w:pPr>
          </w:p>
        </w:tc>
        <w:tc>
          <w:tcPr>
            <w:tcW w:w="1351" w:type="pct"/>
            <w:tcBorders>
              <w:top w:val="nil"/>
              <w:left w:val="single" w:color="000000" w:sz="8" w:space="0"/>
              <w:bottom w:val="single" w:color="000000" w:sz="8" w:space="0"/>
              <w:right w:val="single" w:color="000000" w:sz="8" w:space="0"/>
            </w:tcBorders>
            <w:vAlign w:val="bottom"/>
          </w:tcPr>
          <w:p w14:paraId="327C9FAF">
            <w:pPr>
              <w:jc w:val="both"/>
            </w:pPr>
          </w:p>
        </w:tc>
      </w:tr>
      <w:tr w14:paraId="3E08F52D">
        <w:tblPrEx>
          <w:tblCellMar>
            <w:top w:w="0" w:type="dxa"/>
            <w:left w:w="108" w:type="dxa"/>
            <w:bottom w:w="0" w:type="dxa"/>
            <w:right w:w="108" w:type="dxa"/>
          </w:tblCellMar>
        </w:tblPrEx>
        <w:trPr>
          <w:trHeight w:val="300" w:hRule="atLeast"/>
        </w:trPr>
        <w:tc>
          <w:tcPr>
            <w:tcW w:w="781" w:type="pct"/>
            <w:tcBorders>
              <w:top w:val="nil"/>
              <w:left w:val="single" w:color="000000" w:sz="8" w:space="0"/>
              <w:bottom w:val="single" w:color="000000" w:sz="8" w:space="0"/>
              <w:right w:val="single" w:color="000000" w:sz="8" w:space="0"/>
            </w:tcBorders>
            <w:vAlign w:val="center"/>
          </w:tcPr>
          <w:p w14:paraId="4740D6F7">
            <w:pPr>
              <w:jc w:val="center"/>
            </w:pPr>
          </w:p>
        </w:tc>
        <w:tc>
          <w:tcPr>
            <w:tcW w:w="2868" w:type="pct"/>
            <w:tcBorders>
              <w:top w:val="nil"/>
              <w:left w:val="single" w:color="000000" w:sz="8" w:space="0"/>
              <w:bottom w:val="single" w:color="000000" w:sz="8" w:space="0"/>
              <w:right w:val="single" w:color="000000" w:sz="8" w:space="0"/>
            </w:tcBorders>
            <w:vAlign w:val="bottom"/>
          </w:tcPr>
          <w:p w14:paraId="3B8A6531">
            <w:pPr>
              <w:jc w:val="both"/>
            </w:pPr>
          </w:p>
        </w:tc>
        <w:tc>
          <w:tcPr>
            <w:tcW w:w="1351" w:type="pct"/>
            <w:tcBorders>
              <w:top w:val="nil"/>
              <w:left w:val="single" w:color="000000" w:sz="8" w:space="0"/>
              <w:bottom w:val="single" w:color="000000" w:sz="8" w:space="0"/>
              <w:right w:val="single" w:color="000000" w:sz="8" w:space="0"/>
            </w:tcBorders>
            <w:noWrap/>
            <w:vAlign w:val="center"/>
          </w:tcPr>
          <w:p w14:paraId="320E6672">
            <w:pPr>
              <w:rPr>
                <w:sz w:val="22"/>
                <w:szCs w:val="22"/>
              </w:rPr>
            </w:pPr>
          </w:p>
        </w:tc>
      </w:tr>
    </w:tbl>
    <w:p w14:paraId="0921DA1A">
      <w:pPr>
        <w:rPr>
          <w:b/>
          <w:bCs/>
        </w:rPr>
      </w:pPr>
    </w:p>
    <w:p w14:paraId="485A7970">
      <w:pPr>
        <w:pStyle w:val="5"/>
        <w:tabs>
          <w:tab w:val="left" w:pos="540"/>
          <w:tab w:val="left" w:pos="2340"/>
        </w:tabs>
        <w:spacing w:before="120" w:after="156"/>
        <w:ind w:left="180"/>
        <w:jc w:val="left"/>
        <w:rPr>
          <w:rFonts w:ascii="宋体" w:hAnsi="宋体"/>
          <w:sz w:val="24"/>
        </w:rPr>
      </w:pPr>
      <w:bookmarkStart w:id="151" w:name="_Toc5121"/>
      <w:bookmarkStart w:id="152" w:name="_Toc464"/>
      <w:bookmarkStart w:id="153" w:name="_Toc400"/>
      <w:r>
        <w:rPr>
          <w:rFonts w:hint="eastAsia" w:ascii="宋体" w:hAnsi="宋体"/>
          <w:sz w:val="24"/>
        </w:rPr>
        <w:t>7.2 总承包服务费</w:t>
      </w:r>
      <w:bookmarkEnd w:id="151"/>
      <w:bookmarkEnd w:id="152"/>
      <w:bookmarkEnd w:id="153"/>
    </w:p>
    <w:p w14:paraId="0991AFDF">
      <w:pPr>
        <w:spacing w:line="360" w:lineRule="auto"/>
        <w:ind w:firstLine="480"/>
      </w:pPr>
      <w:r>
        <w:rPr>
          <w:rFonts w:hint="eastAsia"/>
        </w:rPr>
        <w:t>(1)</w:t>
      </w:r>
      <w:r>
        <w:rPr>
          <w:rFonts w:hint="eastAsia"/>
          <w:u w:val="single"/>
        </w:rPr>
        <w:t xml:space="preserve">   详见合同清单 </w:t>
      </w:r>
    </w:p>
    <w:p w14:paraId="4B453380">
      <w:pPr>
        <w:pStyle w:val="5"/>
        <w:tabs>
          <w:tab w:val="left" w:pos="540"/>
          <w:tab w:val="left" w:pos="2340"/>
        </w:tabs>
        <w:spacing w:before="120" w:after="156"/>
        <w:ind w:left="180"/>
        <w:jc w:val="left"/>
        <w:rPr>
          <w:rFonts w:ascii="宋体" w:hAnsi="宋体"/>
          <w:sz w:val="24"/>
        </w:rPr>
      </w:pPr>
      <w:bookmarkStart w:id="154" w:name="_Toc132"/>
      <w:bookmarkStart w:id="155" w:name="_Toc27109"/>
      <w:bookmarkStart w:id="156" w:name="_Toc22545"/>
      <w:r>
        <w:rPr>
          <w:rFonts w:hint="eastAsia" w:ascii="宋体" w:hAnsi="宋体"/>
          <w:sz w:val="24"/>
        </w:rPr>
        <w:t>7.3 工作界面协调</w:t>
      </w:r>
      <w:bookmarkEnd w:id="154"/>
      <w:bookmarkEnd w:id="155"/>
      <w:bookmarkEnd w:id="156"/>
    </w:p>
    <w:p w14:paraId="12B1DB41">
      <w:pPr>
        <w:spacing w:line="360" w:lineRule="auto"/>
        <w:ind w:firstLine="480"/>
      </w:pPr>
      <w:r>
        <w:rPr>
          <w:rFonts w:hint="eastAsia"/>
        </w:rPr>
        <w:t>(4)由</w:t>
      </w:r>
      <w:r>
        <w:t>于承包人未能及时对工程接口问题进行协调或未及时实施</w:t>
      </w:r>
      <w:r>
        <w:rPr>
          <w:rFonts w:hint="eastAsia"/>
        </w:rPr>
        <w:t>监理人</w:t>
      </w:r>
      <w:r>
        <w:t>接口指令而造成损失</w:t>
      </w:r>
      <w:r>
        <w:rPr>
          <w:rFonts w:hint="eastAsia"/>
        </w:rPr>
        <w:t>的</w:t>
      </w:r>
      <w:r>
        <w:t>，</w:t>
      </w:r>
      <w:r>
        <w:rPr>
          <w:rFonts w:hint="eastAsia"/>
        </w:rPr>
        <w:t>承包人应向发包人支付上述损失的</w:t>
      </w:r>
      <w:r>
        <w:rPr>
          <w:rFonts w:hint="eastAsia"/>
          <w:u w:val="single"/>
        </w:rPr>
        <w:t xml:space="preserve"> 1倍  </w:t>
      </w:r>
      <w:r>
        <w:rPr>
          <w:rFonts w:hint="eastAsia"/>
        </w:rPr>
        <w:t>的违约金。</w:t>
      </w:r>
    </w:p>
    <w:p w14:paraId="4F2FCEDC">
      <w:pPr>
        <w:pStyle w:val="4"/>
        <w:keepNext w:val="0"/>
        <w:keepLines w:val="0"/>
        <w:tabs>
          <w:tab w:val="left" w:pos="1620"/>
          <w:tab w:val="left" w:pos="2340"/>
        </w:tabs>
        <w:spacing w:before="120" w:after="120"/>
      </w:pPr>
      <w:bookmarkStart w:id="157" w:name="_Toc29998"/>
      <w:bookmarkStart w:id="158" w:name="_Toc27267"/>
      <w:bookmarkStart w:id="159" w:name="_Toc2162"/>
      <w:r>
        <w:rPr>
          <w:rFonts w:hint="eastAsia"/>
        </w:rPr>
        <w:t>8 用工和劳务</w:t>
      </w:r>
      <w:bookmarkEnd w:id="157"/>
      <w:bookmarkEnd w:id="158"/>
      <w:bookmarkEnd w:id="159"/>
    </w:p>
    <w:p w14:paraId="212004BF">
      <w:pPr>
        <w:pStyle w:val="5"/>
        <w:tabs>
          <w:tab w:val="left" w:pos="540"/>
          <w:tab w:val="left" w:pos="2340"/>
        </w:tabs>
        <w:spacing w:before="120" w:after="156"/>
        <w:ind w:left="180"/>
        <w:jc w:val="left"/>
        <w:rPr>
          <w:rFonts w:ascii="宋体" w:hAnsi="宋体"/>
          <w:sz w:val="24"/>
        </w:rPr>
      </w:pPr>
      <w:bookmarkStart w:id="160" w:name="_Toc28583"/>
      <w:bookmarkStart w:id="161" w:name="_Toc8081"/>
      <w:bookmarkStart w:id="162" w:name="_Toc16487"/>
      <w:r>
        <w:rPr>
          <w:rFonts w:hint="eastAsia" w:ascii="宋体" w:hAnsi="宋体"/>
          <w:sz w:val="24"/>
        </w:rPr>
        <w:t>8.1 劳动合同</w:t>
      </w:r>
      <w:bookmarkEnd w:id="160"/>
      <w:bookmarkEnd w:id="161"/>
      <w:bookmarkEnd w:id="162"/>
    </w:p>
    <w:p w14:paraId="50CF7701">
      <w:pPr>
        <w:spacing w:line="360" w:lineRule="auto"/>
        <w:ind w:firstLine="480" w:firstLineChars="200"/>
        <w:jc w:val="both"/>
        <w:rPr>
          <w:u w:val="single"/>
        </w:rPr>
      </w:pPr>
      <w:r>
        <w:t>(3)若发包人或监理人发现有未签订劳动合同的工人在现场施工，承包人应向发包人支付违约金</w:t>
      </w:r>
      <w:r>
        <w:rPr>
          <w:u w:val="single"/>
        </w:rPr>
        <w:t xml:space="preserve">   2000   </w:t>
      </w:r>
      <w:r>
        <w:t>元/</w:t>
      </w:r>
      <w:r>
        <w:rPr>
          <w:rFonts w:hint="eastAsia"/>
        </w:rPr>
        <w:t>人</w:t>
      </w:r>
      <w:r>
        <w:t>次。</w:t>
      </w:r>
    </w:p>
    <w:p w14:paraId="004B0D4E">
      <w:pPr>
        <w:pStyle w:val="5"/>
        <w:tabs>
          <w:tab w:val="left" w:pos="540"/>
          <w:tab w:val="left" w:pos="2340"/>
        </w:tabs>
        <w:spacing w:before="120" w:after="156"/>
        <w:ind w:left="180"/>
        <w:jc w:val="left"/>
        <w:rPr>
          <w:rFonts w:ascii="宋体" w:hAnsi="宋体"/>
          <w:sz w:val="24"/>
        </w:rPr>
      </w:pPr>
      <w:bookmarkStart w:id="163" w:name="_Toc30200"/>
      <w:bookmarkStart w:id="164" w:name="_Toc7090"/>
      <w:bookmarkStart w:id="165" w:name="_Toc23645"/>
      <w:r>
        <w:rPr>
          <w:rFonts w:hint="eastAsia" w:ascii="宋体" w:hAnsi="宋体"/>
          <w:sz w:val="24"/>
        </w:rPr>
        <w:t>8.2 劳务分包</w:t>
      </w:r>
      <w:bookmarkEnd w:id="163"/>
      <w:bookmarkEnd w:id="164"/>
      <w:bookmarkEnd w:id="165"/>
    </w:p>
    <w:p w14:paraId="391C9F2C">
      <w:pPr>
        <w:snapToGrid w:val="0"/>
        <w:spacing w:line="360" w:lineRule="auto"/>
        <w:ind w:firstLine="480"/>
      </w:pPr>
      <w:bookmarkStart w:id="166" w:name="_Toc28333"/>
      <w:bookmarkStart w:id="167" w:name="_Toc28711"/>
      <w:bookmarkStart w:id="168" w:name="_Toc1632"/>
      <w:r>
        <w:rPr>
          <w:rFonts w:hint="eastAsia"/>
        </w:rPr>
        <w:t>(2)劳务分包企业对所有派遣工人购买意外伤害险和工伤保险的保险金额不得低于：</w:t>
      </w:r>
      <w:r>
        <w:rPr>
          <w:rFonts w:hint="eastAsia"/>
          <w:u w:val="single"/>
        </w:rPr>
        <w:t>意外伤害险和工伤保险的购买按照深圳经济特区的地方法规及主管部门的相关规定办理，如深圳无相关规定的，按照法律、行政法规或广东省的规定办理</w:t>
      </w:r>
      <w:r>
        <w:rPr>
          <w:rFonts w:hint="eastAsia"/>
        </w:rPr>
        <w:t>。</w:t>
      </w:r>
    </w:p>
    <w:p w14:paraId="72F350EA">
      <w:pPr>
        <w:pStyle w:val="5"/>
        <w:tabs>
          <w:tab w:val="left" w:pos="540"/>
          <w:tab w:val="left" w:pos="2340"/>
        </w:tabs>
        <w:spacing w:before="120" w:after="156"/>
        <w:ind w:left="180"/>
        <w:jc w:val="left"/>
        <w:rPr>
          <w:rFonts w:ascii="宋体" w:hAnsi="宋体"/>
          <w:sz w:val="24"/>
        </w:rPr>
      </w:pPr>
      <w:r>
        <w:rPr>
          <w:rFonts w:hint="eastAsia" w:ascii="宋体" w:hAnsi="宋体"/>
          <w:sz w:val="24"/>
        </w:rPr>
        <w:t>8.3 劳务分包合同</w:t>
      </w:r>
      <w:bookmarkEnd w:id="166"/>
      <w:bookmarkEnd w:id="167"/>
      <w:bookmarkEnd w:id="168"/>
    </w:p>
    <w:p w14:paraId="398CE7DF">
      <w:pPr>
        <w:spacing w:line="360" w:lineRule="auto"/>
        <w:ind w:left="2" w:hanging="2"/>
      </w:pPr>
      <w:r>
        <w:t>(3)若发包人或监理人发现工地上有未签订劳务分包合同的劳务企业人员在现场施工，承包人应向发包人支付违约金</w:t>
      </w:r>
      <w:r>
        <w:rPr>
          <w:u w:val="single"/>
        </w:rPr>
        <w:t xml:space="preserve">  2000  </w:t>
      </w:r>
      <w:r>
        <w:t>元/</w:t>
      </w:r>
      <w:r>
        <w:rPr>
          <w:rFonts w:hint="eastAsia"/>
        </w:rPr>
        <w:t>人</w:t>
      </w:r>
      <w:r>
        <w:t>次。</w:t>
      </w:r>
    </w:p>
    <w:p w14:paraId="029BC05A">
      <w:pPr>
        <w:widowControl w:val="0"/>
        <w:tabs>
          <w:tab w:val="left" w:pos="540"/>
          <w:tab w:val="left" w:pos="900"/>
          <w:tab w:val="left" w:pos="2340"/>
        </w:tabs>
        <w:spacing w:before="120" w:after="156"/>
        <w:ind w:left="359"/>
        <w:outlineLvl w:val="1"/>
        <w:rPr>
          <w:rFonts w:cs="Times New Roman"/>
          <w:b/>
          <w:bCs/>
          <w:szCs w:val="32"/>
        </w:rPr>
      </w:pPr>
      <w:bookmarkStart w:id="169" w:name="_Toc21486"/>
      <w:bookmarkStart w:id="170" w:name="_Toc6805"/>
      <w:bookmarkStart w:id="171" w:name="_Toc23230"/>
      <w:r>
        <w:rPr>
          <w:rFonts w:hint="eastAsia" w:cs="Times New Roman"/>
          <w:b/>
          <w:bCs/>
          <w:szCs w:val="32"/>
        </w:rPr>
        <w:t>9.1 施工组织设计和进度计划的编制与提交</w:t>
      </w:r>
    </w:p>
    <w:p w14:paraId="10C3D0B3">
      <w:pPr>
        <w:snapToGrid w:val="0"/>
        <w:spacing w:line="360" w:lineRule="auto"/>
        <w:ind w:firstLine="480"/>
      </w:pPr>
      <w:r>
        <w:rPr>
          <w:rFonts w:hint="eastAsia" w:eastAsia="Times New Roman"/>
        </w:rPr>
        <w:t>(1)</w:t>
      </w:r>
      <w:r>
        <w:rPr>
          <w:rFonts w:hint="eastAsia"/>
        </w:rPr>
        <w:t>承包人应提供单项施工组织设计和工程进度计划的单项工程名称：</w:t>
      </w:r>
    </w:p>
    <w:p w14:paraId="17EF9884">
      <w:pPr>
        <w:snapToGrid w:val="0"/>
        <w:spacing w:line="360" w:lineRule="auto"/>
        <w:ind w:firstLine="480"/>
      </w:pPr>
      <w:r>
        <w:rPr>
          <w:rFonts w:hint="eastAsia" w:eastAsia="Times New Roman"/>
        </w:rPr>
        <w:t>(2)</w:t>
      </w:r>
      <w:r>
        <w:rPr>
          <w:rFonts w:hint="eastAsia"/>
        </w:rPr>
        <w:t>承包人提供施工组织设计和工程进度计划的时间和要求：</w:t>
      </w:r>
    </w:p>
    <w:p w14:paraId="209ABA11">
      <w:pPr>
        <w:snapToGrid w:val="0"/>
        <w:spacing w:line="360" w:lineRule="auto"/>
        <w:ind w:firstLine="480"/>
        <w:rPr>
          <w:u w:val="single"/>
        </w:rPr>
      </w:pPr>
      <w:r>
        <w:rPr>
          <w:rFonts w:hint="eastAsia"/>
          <w:u w:val="single"/>
        </w:rPr>
        <w:t>承包人按照发包人提供的有关资料进行现场查勘，并且依据《深圳市房屋拆除工程管理办法》（深建规［2017］ 6号）、《深圳市建筑废弃物减排与利用条例》（2009年10月1日起施行）、《深圳市人民政府办公厅关于进一步加强建筑废弃物减排与利用工作的通知》（深府办函[2012]130号）等文件的相关要求，制订拆除工程施工方案，提交发包人审核后按照规定报送相关部门审查备案。</w:t>
      </w:r>
    </w:p>
    <w:p w14:paraId="732EFCCA">
      <w:pPr>
        <w:snapToGrid w:val="0"/>
        <w:spacing w:line="360" w:lineRule="auto"/>
        <w:ind w:firstLine="480"/>
      </w:pPr>
      <w:r>
        <w:rPr>
          <w:rFonts w:hint="eastAsia"/>
        </w:rPr>
        <w:t>监理人确认的时间：</w:t>
      </w:r>
    </w:p>
    <w:p w14:paraId="16D01E1B">
      <w:pPr>
        <w:snapToGrid w:val="0"/>
        <w:spacing w:line="360" w:lineRule="auto"/>
        <w:ind w:firstLine="480"/>
        <w:rPr>
          <w:u w:val="single"/>
        </w:rPr>
      </w:pPr>
      <w:r>
        <w:rPr>
          <w:rFonts w:hint="eastAsia"/>
          <w:u w:val="single"/>
        </w:rPr>
        <w:t>应在收到后</w:t>
      </w:r>
      <w:r>
        <w:rPr>
          <w:rFonts w:hint="eastAsia" w:eastAsia="Times New Roman"/>
          <w:u w:val="single"/>
        </w:rPr>
        <w:t>7</w:t>
      </w:r>
      <w:r>
        <w:rPr>
          <w:rFonts w:hint="eastAsia"/>
          <w:u w:val="single"/>
        </w:rPr>
        <w:t>日内予以确认或提出修改意见。</w:t>
      </w:r>
    </w:p>
    <w:p w14:paraId="311331D4">
      <w:pPr>
        <w:snapToGrid w:val="0"/>
        <w:spacing w:line="360" w:lineRule="auto"/>
        <w:ind w:firstLine="480"/>
      </w:pPr>
      <w:r>
        <w:rPr>
          <w:rFonts w:hint="eastAsia"/>
        </w:rPr>
        <w:t>承包人根据监理人的合理意见提交修改后的施工组织设计和工程进度计划的时间和要求：</w:t>
      </w:r>
    </w:p>
    <w:p w14:paraId="07F80F16">
      <w:pPr>
        <w:snapToGrid w:val="0"/>
        <w:spacing w:line="360" w:lineRule="auto"/>
        <w:ind w:firstLine="480"/>
        <w:rPr>
          <w:u w:val="single"/>
        </w:rPr>
      </w:pPr>
      <w:r>
        <w:rPr>
          <w:rFonts w:hint="eastAsia"/>
          <w:u w:val="single"/>
        </w:rPr>
        <w:t>承包人应在收到意见之日起</w:t>
      </w:r>
      <w:r>
        <w:rPr>
          <w:rFonts w:hint="eastAsia" w:eastAsia="Times New Roman"/>
          <w:u w:val="single"/>
        </w:rPr>
        <w:t>7</w:t>
      </w:r>
      <w:r>
        <w:rPr>
          <w:rFonts w:hint="eastAsia"/>
          <w:u w:val="single"/>
        </w:rPr>
        <w:t>日内提交。</w:t>
      </w:r>
    </w:p>
    <w:p w14:paraId="64A956B5">
      <w:pPr>
        <w:snapToGrid w:val="0"/>
        <w:spacing w:line="360" w:lineRule="auto"/>
        <w:ind w:firstLine="482"/>
        <w:rPr>
          <w:b/>
        </w:rPr>
      </w:pPr>
      <w:r>
        <w:rPr>
          <w:rFonts w:hint="eastAsia" w:eastAsia="Times New Roman"/>
          <w:b/>
        </w:rPr>
        <w:t>9.4</w:t>
      </w:r>
      <w:r>
        <w:rPr>
          <w:rFonts w:hint="eastAsia"/>
          <w:b/>
        </w:rPr>
        <w:t>工程用款计划</w:t>
      </w:r>
    </w:p>
    <w:p w14:paraId="29FC6FEB">
      <w:pPr>
        <w:snapToGrid w:val="0"/>
        <w:spacing w:line="360" w:lineRule="auto"/>
        <w:ind w:firstLine="480"/>
      </w:pPr>
      <w:r>
        <w:rPr>
          <w:rFonts w:hint="eastAsia"/>
        </w:rPr>
        <w:t>承包人提交工程用款计划的要求：</w:t>
      </w:r>
    </w:p>
    <w:p w14:paraId="54A0308C">
      <w:r>
        <w:rPr>
          <w:rFonts w:hint="eastAsia"/>
          <w:u w:val="single"/>
        </w:rPr>
        <w:t>每月</w:t>
      </w:r>
      <w:r>
        <w:rPr>
          <w:rFonts w:hint="eastAsia" w:eastAsia="Times New Roman"/>
          <w:u w:val="single"/>
        </w:rPr>
        <w:t>5</w:t>
      </w:r>
      <w:r>
        <w:rPr>
          <w:rFonts w:hint="eastAsia"/>
          <w:u w:val="single"/>
        </w:rPr>
        <w:t>日前提交工程进度用款计划。</w:t>
      </w:r>
    </w:p>
    <w:p w14:paraId="7A6BF076">
      <w:pPr>
        <w:pStyle w:val="4"/>
        <w:keepNext w:val="0"/>
        <w:keepLines w:val="0"/>
        <w:tabs>
          <w:tab w:val="left" w:pos="1620"/>
          <w:tab w:val="left" w:pos="2340"/>
        </w:tabs>
        <w:spacing w:before="120" w:after="120"/>
      </w:pPr>
      <w:r>
        <w:rPr>
          <w:rFonts w:hint="eastAsia"/>
        </w:rPr>
        <w:t>10 施工准备</w:t>
      </w:r>
      <w:bookmarkEnd w:id="169"/>
      <w:bookmarkEnd w:id="170"/>
      <w:bookmarkEnd w:id="171"/>
    </w:p>
    <w:p w14:paraId="1092121B">
      <w:pPr>
        <w:pStyle w:val="5"/>
        <w:tabs>
          <w:tab w:val="left" w:pos="540"/>
          <w:tab w:val="left" w:pos="900"/>
          <w:tab w:val="left" w:pos="2340"/>
        </w:tabs>
        <w:spacing w:before="120" w:after="156"/>
        <w:ind w:left="359"/>
        <w:jc w:val="left"/>
        <w:rPr>
          <w:rFonts w:ascii="宋体" w:hAnsi="宋体"/>
          <w:sz w:val="24"/>
        </w:rPr>
      </w:pPr>
      <w:bookmarkStart w:id="172" w:name="_Toc7228"/>
      <w:bookmarkStart w:id="173" w:name="_Toc19123"/>
      <w:bookmarkStart w:id="174" w:name="_Toc30321"/>
      <w:r>
        <w:rPr>
          <w:rFonts w:hint="eastAsia" w:ascii="宋体" w:hAnsi="宋体"/>
          <w:sz w:val="24"/>
        </w:rPr>
        <w:t>10.2 施工场地提供</w:t>
      </w:r>
      <w:bookmarkEnd w:id="172"/>
      <w:bookmarkEnd w:id="173"/>
      <w:bookmarkEnd w:id="174"/>
    </w:p>
    <w:p w14:paraId="3C8986CD">
      <w:pPr>
        <w:spacing w:line="360" w:lineRule="auto"/>
        <w:ind w:firstLine="480" w:firstLineChars="200"/>
        <w:jc w:val="both"/>
        <w:rPr>
          <w:rFonts w:ascii="黑体" w:hAnsi="黑体" w:eastAsia="黑体"/>
          <w:b/>
          <w:u w:val="single"/>
        </w:rPr>
      </w:pPr>
      <w:r>
        <w:rPr>
          <w:rFonts w:hint="eastAsia"/>
        </w:rPr>
        <w:t>(1)发包人提供给承包人的工地范围、时间及次序约定：</w:t>
      </w:r>
      <w:r>
        <w:rPr>
          <w:rFonts w:hint="eastAsia"/>
          <w:bCs/>
          <w:u w:val="single"/>
        </w:rPr>
        <w:t xml:space="preserve"> 按发包人及监理人根据现场情况确定。 </w:t>
      </w:r>
    </w:p>
    <w:p w14:paraId="43453289">
      <w:pPr>
        <w:snapToGrid w:val="0"/>
        <w:spacing w:line="360" w:lineRule="auto"/>
        <w:ind w:firstLine="480"/>
        <w:rPr>
          <w:u w:val="single"/>
        </w:rPr>
      </w:pPr>
      <w:r>
        <w:rPr>
          <w:rFonts w:hint="eastAsia"/>
        </w:rPr>
        <w:t xml:space="preserve"> (3)红线外临时占地租用费用承担约定：</w:t>
      </w:r>
      <w:r>
        <w:rPr>
          <w:rFonts w:hint="eastAsia"/>
          <w:u w:val="single"/>
        </w:rPr>
        <w:t>红线外临时占地（含占道）的租用手续及租用费已包含在合同价中</w:t>
      </w:r>
      <w:r>
        <w:rPr>
          <w:rFonts w:eastAsia="Times New Roman"/>
          <w:u w:val="single"/>
        </w:rPr>
        <w:t>，</w:t>
      </w:r>
      <w:r>
        <w:rPr>
          <w:rFonts w:hint="eastAsia"/>
          <w:u w:val="single"/>
        </w:rPr>
        <w:t>不因任何原因进行调整。</w:t>
      </w:r>
    </w:p>
    <w:p w14:paraId="2233C112">
      <w:pPr>
        <w:pStyle w:val="5"/>
        <w:tabs>
          <w:tab w:val="left" w:pos="540"/>
          <w:tab w:val="left" w:pos="900"/>
          <w:tab w:val="left" w:pos="2340"/>
        </w:tabs>
        <w:spacing w:before="120" w:after="156"/>
        <w:ind w:left="359"/>
        <w:jc w:val="left"/>
        <w:rPr>
          <w:rFonts w:ascii="宋体" w:hAnsi="宋体"/>
          <w:sz w:val="24"/>
        </w:rPr>
      </w:pPr>
      <w:bookmarkStart w:id="175" w:name="_Toc12659"/>
      <w:bookmarkStart w:id="176" w:name="_Toc9080"/>
      <w:bookmarkStart w:id="177" w:name="_Toc14001"/>
      <w:r>
        <w:rPr>
          <w:rFonts w:hint="eastAsia" w:ascii="宋体" w:hAnsi="宋体"/>
          <w:sz w:val="24"/>
        </w:rPr>
        <w:t>10.6 不利的外界障碍或条件</w:t>
      </w:r>
      <w:bookmarkEnd w:id="175"/>
      <w:bookmarkEnd w:id="176"/>
      <w:bookmarkEnd w:id="177"/>
    </w:p>
    <w:p w14:paraId="010E51CE">
      <w:pPr>
        <w:spacing w:line="360" w:lineRule="auto"/>
        <w:ind w:firstLine="480"/>
        <w:rPr>
          <w:u w:val="single"/>
        </w:rPr>
      </w:pPr>
      <w:r>
        <w:rPr>
          <w:rFonts w:hint="eastAsia"/>
        </w:rPr>
        <w:t>(3)本合同可能产生的不利的外界障碍或条件为：</w:t>
      </w:r>
    </w:p>
    <w:p w14:paraId="4A204245">
      <w:pPr>
        <w:spacing w:line="360" w:lineRule="auto"/>
        <w:ind w:firstLine="600"/>
      </w:pPr>
      <w:r>
        <w:rPr>
          <w:bCs/>
          <w:szCs w:val="21"/>
        </w:rPr>
        <w:fldChar w:fldCharType="begin"/>
      </w:r>
      <w:r>
        <w:rPr>
          <w:rFonts w:hint="eastAsia"/>
          <w:bCs/>
          <w:szCs w:val="21"/>
        </w:rPr>
        <w:instrText xml:space="preserve">eq \o\ac(□,</w:instrText>
      </w:r>
      <w:r>
        <w:rPr>
          <w:rFonts w:hint="eastAsia"/>
          <w:bCs/>
          <w:position w:val="2"/>
          <w:sz w:val="13"/>
          <w:szCs w:val="21"/>
        </w:rPr>
        <w:instrText xml:space="preserve">√</w:instrText>
      </w:r>
      <w:r>
        <w:rPr>
          <w:rFonts w:hint="eastAsia"/>
          <w:bCs/>
          <w:szCs w:val="21"/>
        </w:rPr>
        <w:instrText xml:space="preserve">)</w:instrText>
      </w:r>
      <w:r>
        <w:rPr>
          <w:bCs/>
          <w:szCs w:val="21"/>
        </w:rPr>
        <w:fldChar w:fldCharType="end"/>
      </w:r>
      <w:r>
        <w:rPr>
          <w:rFonts w:hint="eastAsia"/>
        </w:rPr>
        <w:t>施工现场地形、地质的改变；</w:t>
      </w:r>
    </w:p>
    <w:p w14:paraId="03C1947A">
      <w:pPr>
        <w:spacing w:line="360" w:lineRule="auto"/>
        <w:ind w:firstLine="600"/>
      </w:pPr>
      <w:r>
        <w:rPr>
          <w:bCs/>
          <w:szCs w:val="21"/>
        </w:rPr>
        <w:fldChar w:fldCharType="begin"/>
      </w:r>
      <w:r>
        <w:rPr>
          <w:rFonts w:hint="eastAsia"/>
          <w:bCs/>
          <w:szCs w:val="21"/>
        </w:rPr>
        <w:instrText xml:space="preserve">eq \o\ac(□,</w:instrText>
      </w:r>
      <w:r>
        <w:rPr>
          <w:rFonts w:hint="eastAsia"/>
          <w:bCs/>
          <w:position w:val="2"/>
          <w:sz w:val="13"/>
          <w:szCs w:val="21"/>
        </w:rPr>
        <w:instrText xml:space="preserve">√</w:instrText>
      </w:r>
      <w:r>
        <w:rPr>
          <w:rFonts w:hint="eastAsia"/>
          <w:bCs/>
          <w:szCs w:val="21"/>
        </w:rPr>
        <w:instrText xml:space="preserve">)</w:instrText>
      </w:r>
      <w:r>
        <w:rPr>
          <w:bCs/>
          <w:szCs w:val="21"/>
        </w:rPr>
        <w:fldChar w:fldCharType="end"/>
      </w:r>
      <w:r>
        <w:rPr>
          <w:rFonts w:hint="eastAsia"/>
        </w:rPr>
        <w:t>政府政策性停工；</w:t>
      </w:r>
    </w:p>
    <w:p w14:paraId="4993CF5C">
      <w:pPr>
        <w:spacing w:line="360" w:lineRule="auto"/>
        <w:ind w:firstLine="600"/>
        <w:rPr>
          <w:u w:val="single"/>
        </w:rPr>
      </w:pPr>
      <w:r>
        <w:rPr>
          <w:bCs/>
          <w:szCs w:val="21"/>
        </w:rPr>
        <w:fldChar w:fldCharType="begin"/>
      </w:r>
      <w:r>
        <w:rPr>
          <w:rFonts w:hint="eastAsia"/>
          <w:bCs/>
          <w:szCs w:val="21"/>
        </w:rPr>
        <w:instrText xml:space="preserve">eq \o\ac(□,</w:instrText>
      </w:r>
      <w:r>
        <w:rPr>
          <w:rFonts w:hint="eastAsia"/>
          <w:bCs/>
          <w:position w:val="2"/>
          <w:sz w:val="13"/>
          <w:szCs w:val="21"/>
        </w:rPr>
        <w:instrText xml:space="preserve">√</w:instrText>
      </w:r>
      <w:r>
        <w:rPr>
          <w:rFonts w:hint="eastAsia"/>
          <w:bCs/>
          <w:szCs w:val="21"/>
        </w:rPr>
        <w:instrText xml:space="preserve">)</w:instrText>
      </w:r>
      <w:r>
        <w:rPr>
          <w:bCs/>
          <w:szCs w:val="21"/>
        </w:rPr>
        <w:fldChar w:fldCharType="end"/>
      </w:r>
      <w:r>
        <w:rPr>
          <w:rFonts w:hint="eastAsia"/>
        </w:rPr>
        <w:t>其他：</w:t>
      </w:r>
      <w:r>
        <w:rPr>
          <w:rFonts w:hint="eastAsia" w:cs="Times New Roman"/>
          <w:bCs/>
          <w:spacing w:val="-10"/>
          <w:u w:val="single"/>
        </w:rPr>
        <w:t>如不利的外界障碍或条件属于有经验的承包人应当预见的范围，则不属于承包人申请工期顺延及费用补偿的理由。</w:t>
      </w:r>
    </w:p>
    <w:p w14:paraId="43F5B9AE">
      <w:pPr>
        <w:pStyle w:val="4"/>
        <w:keepNext w:val="0"/>
        <w:keepLines w:val="0"/>
        <w:tabs>
          <w:tab w:val="left" w:pos="540"/>
          <w:tab w:val="left" w:pos="1620"/>
          <w:tab w:val="left" w:pos="2340"/>
        </w:tabs>
        <w:spacing w:before="120" w:after="120"/>
        <w:ind w:left="178"/>
      </w:pPr>
      <w:bookmarkStart w:id="178" w:name="_Toc28085"/>
      <w:bookmarkStart w:id="179" w:name="_Toc7040"/>
      <w:bookmarkStart w:id="180" w:name="_Toc28215"/>
      <w:r>
        <w:rPr>
          <w:rFonts w:hint="eastAsia"/>
        </w:rPr>
        <w:t>12 暂停施工和恢复施工</w:t>
      </w:r>
      <w:bookmarkEnd w:id="178"/>
      <w:bookmarkEnd w:id="179"/>
      <w:bookmarkEnd w:id="180"/>
    </w:p>
    <w:p w14:paraId="5B96DBE1">
      <w:pPr>
        <w:pStyle w:val="5"/>
        <w:tabs>
          <w:tab w:val="left" w:pos="540"/>
          <w:tab w:val="left" w:pos="900"/>
        </w:tabs>
        <w:spacing w:before="120" w:after="156"/>
        <w:ind w:left="359"/>
        <w:jc w:val="left"/>
        <w:rPr>
          <w:rFonts w:ascii="宋体" w:hAnsi="宋体"/>
          <w:sz w:val="24"/>
          <w:szCs w:val="24"/>
        </w:rPr>
      </w:pPr>
      <w:r>
        <w:rPr>
          <w:rFonts w:hint="eastAsia" w:ascii="宋体" w:hAnsi="宋体"/>
          <w:sz w:val="24"/>
        </w:rPr>
        <w:t>12.</w:t>
      </w:r>
      <w:r>
        <w:rPr>
          <w:rFonts w:hint="eastAsia" w:ascii="宋体" w:hAnsi="宋体"/>
          <w:sz w:val="24"/>
          <w:lang w:val="en-US"/>
        </w:rPr>
        <w:t>1</w:t>
      </w:r>
      <w:r>
        <w:rPr>
          <w:rFonts w:ascii="宋体" w:hAnsi="宋体"/>
          <w:sz w:val="24"/>
          <w:szCs w:val="24"/>
        </w:rPr>
        <w:t>发包人原因引起的暂停施工</w:t>
      </w:r>
    </w:p>
    <w:p w14:paraId="04007FA9">
      <w:pPr>
        <w:spacing w:line="360" w:lineRule="auto"/>
        <w:ind w:firstLine="480" w:firstLineChars="200"/>
        <w:jc w:val="both"/>
        <w:rPr>
          <w:rFonts w:cs="Times New Roman"/>
          <w:u w:val="single"/>
        </w:rPr>
      </w:pPr>
      <w:r>
        <w:rPr>
          <w:rFonts w:hint="eastAsia" w:cs="Times New Roman"/>
          <w:u w:val="single"/>
        </w:rPr>
        <w:t>发包人代表认为确有必要暂停施工时，应当以书面形式要求承包人暂停施工，并在提出要求后48小时内提出书面处理意见。承包人应当按发包人代表要求停止施工，并妥善保护已完工程。承包人实施发包人代表作出的处理意见后，可以书面形式提出复工要求，待监理单位及发包人同意后方可复工。</w:t>
      </w:r>
    </w:p>
    <w:p w14:paraId="29309172">
      <w:pPr>
        <w:spacing w:line="360" w:lineRule="auto"/>
        <w:ind w:firstLine="480" w:firstLineChars="200"/>
        <w:jc w:val="both"/>
        <w:rPr>
          <w:rFonts w:cs="Times New Roman"/>
          <w:u w:val="single"/>
        </w:rPr>
      </w:pPr>
      <w:r>
        <w:rPr>
          <w:rFonts w:hint="eastAsia" w:cs="Times New Roman"/>
          <w:u w:val="single"/>
        </w:rPr>
        <w:t>因发包人原因的暂停应列明暂停的日期及预计暂停的期限。所造成部分工程或工程的暂停，竣工日期延误的，竣工日期相应顺延。累计停工时间在90天内产生的费用，包含在承包人投标报价中；累计停工时间在90天以上，超出90天之后实际产生且已支付的大型施工生产机械停滞费、脚手架使用费、现场安保费、场地租赁费，可由发包人予以补偿；因承包人原因造成停工的，由承包人承担发生的费用，工期不予顺延。</w:t>
      </w:r>
    </w:p>
    <w:p w14:paraId="11B5BE92">
      <w:pPr>
        <w:pStyle w:val="5"/>
        <w:tabs>
          <w:tab w:val="left" w:pos="540"/>
          <w:tab w:val="left" w:pos="900"/>
          <w:tab w:val="left" w:pos="2340"/>
        </w:tabs>
        <w:spacing w:before="120" w:after="156"/>
        <w:ind w:left="359"/>
        <w:jc w:val="left"/>
        <w:rPr>
          <w:rFonts w:ascii="宋体" w:hAnsi="宋体"/>
          <w:sz w:val="24"/>
        </w:rPr>
      </w:pPr>
      <w:bookmarkStart w:id="181" w:name="_Toc11856"/>
      <w:bookmarkStart w:id="182" w:name="_Toc13119"/>
      <w:bookmarkStart w:id="183" w:name="_Toc3058"/>
      <w:r>
        <w:rPr>
          <w:rFonts w:hint="eastAsia" w:ascii="宋体" w:hAnsi="宋体"/>
          <w:sz w:val="24"/>
        </w:rPr>
        <w:t>12.2 承包人原因引起的暂停施工</w:t>
      </w:r>
      <w:bookmarkEnd w:id="181"/>
      <w:bookmarkEnd w:id="182"/>
      <w:bookmarkEnd w:id="183"/>
    </w:p>
    <w:p w14:paraId="31FD477F">
      <w:pPr>
        <w:spacing w:line="360" w:lineRule="auto"/>
        <w:ind w:firstLine="480" w:firstLineChars="200"/>
        <w:jc w:val="both"/>
        <w:rPr>
          <w:u w:val="single"/>
        </w:rPr>
      </w:pPr>
      <w:r>
        <w:t>因承包人原因引起的暂停施工，承包人在收到监理人复工指示后复工的</w:t>
      </w:r>
      <w:r>
        <w:rPr>
          <w:rFonts w:hint="eastAsia"/>
        </w:rPr>
        <w:t>期限为：</w:t>
      </w:r>
      <w:r>
        <w:rPr>
          <w:rFonts w:hint="eastAsia"/>
          <w:u w:val="single"/>
        </w:rPr>
        <w:t>发包人或监理人书面指令要求复工，如承包人不认真采取有效的复工措施，造成工期延误，可视为承包人违约，由承包人承担违约责任。</w:t>
      </w:r>
    </w:p>
    <w:p w14:paraId="2FF17A92">
      <w:pPr>
        <w:pStyle w:val="5"/>
        <w:tabs>
          <w:tab w:val="left" w:pos="540"/>
          <w:tab w:val="left" w:pos="900"/>
          <w:tab w:val="left" w:pos="2340"/>
        </w:tabs>
        <w:spacing w:before="120" w:after="156"/>
        <w:ind w:left="359"/>
        <w:jc w:val="left"/>
        <w:rPr>
          <w:rFonts w:ascii="宋体" w:hAnsi="宋体" w:cs="Times New Roman"/>
          <w:sz w:val="24"/>
          <w:lang w:val="en-US"/>
        </w:rPr>
      </w:pPr>
      <w:r>
        <w:rPr>
          <w:rFonts w:hint="eastAsia" w:ascii="宋体" w:hAnsi="宋体" w:cs="Times New Roman"/>
          <w:sz w:val="24"/>
          <w:lang w:val="en-US"/>
        </w:rPr>
        <w:t>12.4紧急情况下的暂停施工</w:t>
      </w:r>
    </w:p>
    <w:p w14:paraId="48636F52">
      <w:pPr>
        <w:spacing w:line="360" w:lineRule="auto"/>
        <w:ind w:firstLine="480" w:firstLineChars="200"/>
        <w:jc w:val="both"/>
      </w:pPr>
      <w:r>
        <w:t>内容删除，修改为：因紧急情况需暂停施工，且监理人未及时下达暂停施工指示的，承包人可先暂停施工，并及时通知监理人。监理人应在接到通知后24小时内发出指示，监理人不同意承包人暂停施工的，应说明理由，承包人对监理人的答复有异议，按照第31条〔争议解决〕约定处理。</w:t>
      </w:r>
    </w:p>
    <w:p w14:paraId="7BEBDB60">
      <w:pPr>
        <w:pStyle w:val="4"/>
        <w:keepNext w:val="0"/>
        <w:keepLines w:val="0"/>
        <w:tabs>
          <w:tab w:val="left" w:pos="540"/>
          <w:tab w:val="left" w:pos="1620"/>
          <w:tab w:val="left" w:pos="2340"/>
        </w:tabs>
        <w:spacing w:before="120" w:after="120"/>
        <w:ind w:left="178"/>
      </w:pPr>
      <w:bookmarkStart w:id="184" w:name="_Toc28294"/>
      <w:bookmarkStart w:id="185" w:name="_Toc9236"/>
      <w:bookmarkStart w:id="186" w:name="_Toc13547"/>
      <w:r>
        <w:rPr>
          <w:rFonts w:hint="eastAsia"/>
        </w:rPr>
        <w:t>13 工期及延误</w:t>
      </w:r>
      <w:bookmarkEnd w:id="184"/>
      <w:bookmarkEnd w:id="185"/>
      <w:bookmarkEnd w:id="186"/>
    </w:p>
    <w:p w14:paraId="6B5EDB1A">
      <w:pPr>
        <w:snapToGrid w:val="0"/>
        <w:spacing w:line="360" w:lineRule="auto"/>
        <w:ind w:firstLine="482"/>
        <w:rPr>
          <w:b/>
        </w:rPr>
      </w:pPr>
      <w:r>
        <w:rPr>
          <w:rFonts w:hint="eastAsia" w:eastAsia="Times New Roman"/>
          <w:b/>
        </w:rPr>
        <w:t>13.1</w:t>
      </w:r>
      <w:r>
        <w:rPr>
          <w:rFonts w:hint="eastAsia"/>
          <w:b/>
        </w:rPr>
        <w:t>工期</w:t>
      </w:r>
    </w:p>
    <w:p w14:paraId="6B075090">
      <w:pPr>
        <w:snapToGrid w:val="0"/>
        <w:spacing w:line="360" w:lineRule="auto"/>
        <w:ind w:firstLine="480"/>
      </w:pPr>
      <w:r>
        <w:rPr>
          <w:rFonts w:hint="eastAsia"/>
        </w:rPr>
        <w:t>本工程单项工程的工期约定：</w:t>
      </w:r>
    </w:p>
    <w:p w14:paraId="067EB4CF">
      <w:pPr>
        <w:spacing w:line="360" w:lineRule="auto"/>
        <w:ind w:firstLine="480"/>
      </w:pPr>
      <w:r>
        <w:rPr>
          <w:rFonts w:hint="eastAsia"/>
        </w:rPr>
        <w:t>开工日期：年月日</w:t>
      </w:r>
      <w:r>
        <w:rPr>
          <w:rFonts w:hint="eastAsia"/>
          <w:b/>
          <w:bCs/>
          <w:spacing w:val="-20"/>
          <w:u w:val="single"/>
        </w:rPr>
        <w:t>（以监理工程师发出的开工令中确定的开工日期为准）</w:t>
      </w:r>
      <w:r>
        <w:rPr>
          <w:rFonts w:hint="eastAsia"/>
        </w:rPr>
        <w:t>；</w:t>
      </w:r>
    </w:p>
    <w:p w14:paraId="18FF32FD">
      <w:pPr>
        <w:spacing w:line="360" w:lineRule="auto"/>
        <w:ind w:firstLine="480"/>
        <w:rPr>
          <w:u w:val="single"/>
        </w:rPr>
      </w:pPr>
      <w:r>
        <w:rPr>
          <w:rFonts w:hint="eastAsia"/>
        </w:rPr>
        <w:t>竣工日期：年月日；</w:t>
      </w:r>
    </w:p>
    <w:p w14:paraId="05273C5B">
      <w:pPr>
        <w:spacing w:line="360" w:lineRule="auto"/>
        <w:ind w:firstLine="480"/>
      </w:pPr>
      <w:r>
        <w:rPr>
          <w:rFonts w:hint="eastAsia"/>
        </w:rPr>
        <w:t>合同工期总日历天数天。</w:t>
      </w:r>
    </w:p>
    <w:p w14:paraId="17CBEFE3">
      <w:pPr>
        <w:snapToGrid w:val="0"/>
        <w:spacing w:line="360" w:lineRule="auto"/>
        <w:ind w:firstLine="482"/>
        <w:rPr>
          <w:b/>
        </w:rPr>
      </w:pPr>
      <w:r>
        <w:rPr>
          <w:rFonts w:hint="eastAsia" w:eastAsia="Times New Roman"/>
          <w:b/>
        </w:rPr>
        <w:t>13.2</w:t>
      </w:r>
      <w:r>
        <w:rPr>
          <w:rFonts w:hint="eastAsia"/>
          <w:b/>
        </w:rPr>
        <w:t>因发包人原因导致工期延误</w:t>
      </w:r>
    </w:p>
    <w:p w14:paraId="7CECC1E8">
      <w:pPr>
        <w:snapToGrid w:val="0"/>
        <w:spacing w:line="360" w:lineRule="auto"/>
        <w:ind w:firstLine="480"/>
      </w:pPr>
      <w:r>
        <w:rPr>
          <w:rFonts w:hint="eastAsia"/>
        </w:rPr>
        <w:t>(7)因发包人原因导致工期延误的其他情形：</w:t>
      </w:r>
    </w:p>
    <w:p w14:paraId="4982F434">
      <w:pPr>
        <w:snapToGrid w:val="0"/>
        <w:spacing w:line="360" w:lineRule="auto"/>
        <w:ind w:firstLine="480"/>
        <w:rPr>
          <w:u w:val="single"/>
        </w:rPr>
      </w:pPr>
      <w:r>
        <w:rPr>
          <w:rFonts w:hint="eastAsia"/>
          <w:u w:val="single"/>
        </w:rPr>
        <w:t>因发包人导致工期延误，工期相应顺延，发包人不给予任何补偿、赔偿。</w:t>
      </w:r>
    </w:p>
    <w:p w14:paraId="6D648841">
      <w:pPr>
        <w:snapToGrid w:val="0"/>
        <w:spacing w:line="360" w:lineRule="auto"/>
        <w:ind w:firstLine="482"/>
        <w:rPr>
          <w:b/>
        </w:rPr>
      </w:pPr>
      <w:r>
        <w:rPr>
          <w:rFonts w:hint="eastAsia" w:eastAsia="Times New Roman"/>
          <w:b/>
        </w:rPr>
        <w:t>13.3</w:t>
      </w:r>
      <w:r>
        <w:rPr>
          <w:rFonts w:hint="eastAsia"/>
          <w:b/>
        </w:rPr>
        <w:t>因承包人原因导致工期延误</w:t>
      </w:r>
    </w:p>
    <w:p w14:paraId="1BCC181F">
      <w:pPr>
        <w:snapToGrid w:val="0"/>
        <w:spacing w:line="360" w:lineRule="auto"/>
        <w:ind w:firstLine="480"/>
        <w:rPr>
          <w:u w:val="single"/>
        </w:rPr>
      </w:pPr>
      <w:r>
        <w:rPr>
          <w:rFonts w:hint="eastAsia"/>
        </w:rPr>
        <w:t>逾期竣工违约金计算方法：</w:t>
      </w:r>
      <w:r>
        <w:rPr>
          <w:rFonts w:hint="eastAsia"/>
          <w:u w:val="single"/>
        </w:rPr>
        <w:t>因承包人的原因造成单项工程延误，承包人需赔偿延期违约金，按合同金额的</w:t>
      </w:r>
      <w:r>
        <w:rPr>
          <w:rFonts w:eastAsia="Times New Roman"/>
          <w:u w:val="single"/>
        </w:rPr>
        <w:t>0.01%</w:t>
      </w:r>
      <w:r>
        <w:rPr>
          <w:rFonts w:hint="eastAsia"/>
          <w:u w:val="single"/>
        </w:rPr>
        <w:t>元</w:t>
      </w:r>
      <w:r>
        <w:rPr>
          <w:u w:val="single"/>
        </w:rPr>
        <w:t>/天支付；因承包人原因导致总工期每延误</w:t>
      </w:r>
      <w:r>
        <w:rPr>
          <w:rFonts w:eastAsia="Times New Roman"/>
          <w:u w:val="single"/>
        </w:rPr>
        <w:t xml:space="preserve"> 1 </w:t>
      </w:r>
      <w:r>
        <w:rPr>
          <w:rFonts w:hint="eastAsia"/>
          <w:u w:val="single"/>
        </w:rPr>
        <w:t>天，承包人向发包人支付违约金，按合同金额的</w:t>
      </w:r>
      <w:r>
        <w:rPr>
          <w:rFonts w:eastAsia="Times New Roman"/>
          <w:u w:val="single"/>
        </w:rPr>
        <w:t>0.03%</w:t>
      </w:r>
      <w:r>
        <w:rPr>
          <w:rFonts w:hint="eastAsia"/>
          <w:u w:val="single"/>
        </w:rPr>
        <w:t>元</w:t>
      </w:r>
      <w:r>
        <w:rPr>
          <w:u w:val="single"/>
        </w:rPr>
        <w:t>/天支付；上述违约金发包人有权在工程进度款支付时直接扣除。</w:t>
      </w:r>
    </w:p>
    <w:p w14:paraId="25EFDA36">
      <w:pPr>
        <w:snapToGrid w:val="0"/>
        <w:spacing w:line="360" w:lineRule="auto"/>
        <w:ind w:firstLine="480"/>
      </w:pPr>
      <w:r>
        <w:rPr>
          <w:rFonts w:hint="eastAsia"/>
          <w:u w:val="single"/>
        </w:rPr>
        <w:t>若因承包人原因严重延误节点工期和合同工期（指单项工程或总工期连续延误 30 天或累计延误60天的），发包人对承包人的合同履约评价评定为“不合格”，发包人将提请建设行政主管部门对其作不良行为记录。发包人将拒绝承包人3年内参加发包人其它工程的投标。同时发包人有权单方面解除本合同，没收承包人的履约保函，由此造成的一切损失均由承包人承担。</w:t>
      </w:r>
    </w:p>
    <w:p w14:paraId="7EB6C01D">
      <w:pPr>
        <w:snapToGrid w:val="0"/>
        <w:spacing w:line="360" w:lineRule="auto"/>
        <w:ind w:firstLine="482"/>
        <w:rPr>
          <w:b/>
        </w:rPr>
      </w:pPr>
      <w:r>
        <w:rPr>
          <w:rFonts w:hint="eastAsia" w:eastAsia="Times New Roman"/>
          <w:b/>
        </w:rPr>
        <w:t>13.4</w:t>
      </w:r>
      <w:r>
        <w:rPr>
          <w:rFonts w:hint="eastAsia"/>
          <w:b/>
        </w:rPr>
        <w:t>提前竣工</w:t>
      </w:r>
    </w:p>
    <w:p w14:paraId="256F4262">
      <w:pPr>
        <w:snapToGrid w:val="0"/>
        <w:spacing w:line="360" w:lineRule="auto"/>
        <w:ind w:firstLine="480"/>
      </w:pPr>
      <w:r>
        <w:rPr>
          <w:rFonts w:hint="eastAsia" w:eastAsia="Times New Roman"/>
        </w:rPr>
        <w:t>(3)</w:t>
      </w:r>
      <w:r>
        <w:rPr>
          <w:rFonts w:hint="eastAsia"/>
        </w:rPr>
        <w:t>提前竣工奖励费及限额约定：承包人每提前一天竣工奖励</w:t>
      </w:r>
      <w:r>
        <w:rPr>
          <w:rFonts w:hint="eastAsia" w:eastAsia="Times New Roman"/>
          <w:u w:val="single"/>
        </w:rPr>
        <w:t>/</w:t>
      </w:r>
      <w:r>
        <w:rPr>
          <w:rFonts w:hint="eastAsia"/>
        </w:rPr>
        <w:t>；奖励总额不超过签约合同价的</w:t>
      </w:r>
      <w:r>
        <w:rPr>
          <w:rFonts w:hint="eastAsia" w:eastAsia="Times New Roman"/>
          <w:u w:val="single"/>
        </w:rPr>
        <w:t>/</w:t>
      </w:r>
      <w:r>
        <w:rPr>
          <w:rFonts w:hint="eastAsia"/>
        </w:rPr>
        <w:t>。</w:t>
      </w:r>
    </w:p>
    <w:p w14:paraId="1F89CE0C">
      <w:pPr>
        <w:snapToGrid w:val="0"/>
        <w:spacing w:line="360" w:lineRule="auto"/>
        <w:ind w:left="480" w:leftChars="200"/>
      </w:pPr>
      <w:r>
        <w:rPr>
          <w:rFonts w:hint="eastAsia" w:eastAsia="Times New Roman"/>
        </w:rPr>
        <w:t>(4)</w:t>
      </w:r>
      <w:r>
        <w:rPr>
          <w:rFonts w:hint="eastAsia"/>
        </w:rPr>
        <w:t>《深圳市建设工程施工工期定额》缺项的专业工程压缩工期补偿费用计算方法：</w:t>
      </w:r>
      <w:r>
        <w:rPr>
          <w:rFonts w:hint="eastAsia" w:eastAsia="Times New Roman"/>
          <w:u w:val="single"/>
        </w:rPr>
        <w:t>/</w:t>
      </w:r>
    </w:p>
    <w:p w14:paraId="1230F06F">
      <w:pPr>
        <w:snapToGrid w:val="0"/>
        <w:spacing w:line="360" w:lineRule="auto"/>
        <w:ind w:firstLine="480"/>
      </w:pPr>
      <w:r>
        <w:rPr>
          <w:rFonts w:hint="eastAsia"/>
        </w:rPr>
        <w:t>需采取特殊措施以缩短工期的专业工程及压缩工期补偿费用计算方法：</w:t>
      </w:r>
    </w:p>
    <w:p w14:paraId="48B4FAAC">
      <w:pPr>
        <w:snapToGrid w:val="0"/>
        <w:spacing w:line="360" w:lineRule="auto"/>
        <w:ind w:firstLine="480"/>
        <w:rPr>
          <w:u w:val="single"/>
        </w:rPr>
      </w:pPr>
      <w:r>
        <w:rPr>
          <w:rFonts w:hint="eastAsia" w:eastAsia="Times New Roman"/>
          <w:u w:val="single"/>
        </w:rPr>
        <w:t>/</w:t>
      </w:r>
    </w:p>
    <w:p w14:paraId="76F0D96A">
      <w:pPr>
        <w:pStyle w:val="4"/>
        <w:keepNext w:val="0"/>
        <w:keepLines w:val="0"/>
        <w:tabs>
          <w:tab w:val="left" w:pos="540"/>
          <w:tab w:val="left" w:pos="1620"/>
          <w:tab w:val="left" w:pos="2340"/>
        </w:tabs>
        <w:spacing w:before="120" w:after="120"/>
        <w:ind w:left="178"/>
      </w:pPr>
      <w:bookmarkStart w:id="187" w:name="_Toc29856"/>
      <w:bookmarkStart w:id="188" w:name="_Toc31468"/>
      <w:bookmarkStart w:id="189" w:name="_Toc13356"/>
      <w:r>
        <w:rPr>
          <w:rFonts w:hint="eastAsia"/>
        </w:rPr>
        <w:t>14 材料设备的供应和检测</w:t>
      </w:r>
      <w:bookmarkEnd w:id="187"/>
      <w:bookmarkEnd w:id="188"/>
      <w:bookmarkEnd w:id="189"/>
    </w:p>
    <w:p w14:paraId="215ADD38">
      <w:pPr>
        <w:pStyle w:val="5"/>
        <w:tabs>
          <w:tab w:val="left" w:pos="540"/>
          <w:tab w:val="left" w:pos="900"/>
          <w:tab w:val="left" w:pos="2340"/>
        </w:tabs>
        <w:spacing w:before="120" w:after="156"/>
        <w:ind w:left="359"/>
        <w:jc w:val="left"/>
        <w:rPr>
          <w:rFonts w:ascii="宋体" w:hAnsi="宋体"/>
          <w:sz w:val="24"/>
        </w:rPr>
      </w:pPr>
      <w:bookmarkStart w:id="190" w:name="_Toc17872"/>
      <w:bookmarkStart w:id="191" w:name="_Toc430"/>
      <w:bookmarkStart w:id="192" w:name="_Toc5120"/>
      <w:r>
        <w:rPr>
          <w:rFonts w:hint="eastAsia" w:ascii="宋体" w:hAnsi="宋体"/>
          <w:sz w:val="24"/>
        </w:rPr>
        <w:t>14.1 发包人供应材料设备</w:t>
      </w:r>
      <w:bookmarkEnd w:id="190"/>
      <w:bookmarkEnd w:id="191"/>
      <w:bookmarkEnd w:id="192"/>
    </w:p>
    <w:p w14:paraId="46F9F299">
      <w:pPr>
        <w:spacing w:line="360" w:lineRule="auto"/>
        <w:ind w:firstLine="480"/>
      </w:pPr>
      <w:r>
        <w:rPr>
          <w:rFonts w:hint="eastAsia"/>
        </w:rPr>
        <w:t>(1)发包人供应材料设备清单：</w:t>
      </w:r>
      <w:r>
        <w:rPr>
          <w:rFonts w:hint="eastAsia"/>
          <w:u w:val="single"/>
        </w:rPr>
        <w:t>详见附件二</w:t>
      </w:r>
    </w:p>
    <w:p w14:paraId="7CA3132A">
      <w:pPr>
        <w:spacing w:line="360" w:lineRule="auto"/>
        <w:jc w:val="center"/>
        <w:rPr>
          <w:b/>
          <w:bCs/>
        </w:rPr>
      </w:pPr>
      <w:r>
        <w:rPr>
          <w:rFonts w:hint="eastAsia"/>
          <w:b/>
        </w:rPr>
        <w:t>发包人供应材料设备清单</w:t>
      </w:r>
    </w:p>
    <w:tbl>
      <w:tblPr>
        <w:tblStyle w:val="11"/>
        <w:tblW w:w="8804" w:type="dxa"/>
        <w:tblInd w:w="9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06"/>
        <w:gridCol w:w="851"/>
        <w:gridCol w:w="1276"/>
        <w:gridCol w:w="850"/>
        <w:gridCol w:w="851"/>
        <w:gridCol w:w="850"/>
        <w:gridCol w:w="851"/>
        <w:gridCol w:w="850"/>
        <w:gridCol w:w="709"/>
      </w:tblGrid>
      <w:tr w14:paraId="1C239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10" w:type="dxa"/>
            <w:noWrap/>
            <w:vAlign w:val="center"/>
          </w:tcPr>
          <w:p w14:paraId="3738DC16">
            <w:pPr>
              <w:ind w:left="-105" w:right="-105"/>
              <w:jc w:val="center"/>
            </w:pPr>
            <w:r>
              <w:rPr>
                <w:rFonts w:hint="eastAsia"/>
              </w:rPr>
              <w:t>序</w:t>
            </w:r>
          </w:p>
          <w:p w14:paraId="38DE5B54">
            <w:pPr>
              <w:ind w:left="-105" w:right="-105"/>
              <w:jc w:val="center"/>
            </w:pPr>
            <w:r>
              <w:rPr>
                <w:rFonts w:hint="eastAsia"/>
              </w:rPr>
              <w:t>号</w:t>
            </w:r>
          </w:p>
        </w:tc>
        <w:tc>
          <w:tcPr>
            <w:tcW w:w="1206" w:type="dxa"/>
            <w:noWrap/>
            <w:vAlign w:val="center"/>
          </w:tcPr>
          <w:p w14:paraId="728C3FA8">
            <w:pPr>
              <w:ind w:left="-105" w:right="-105"/>
              <w:jc w:val="center"/>
            </w:pPr>
            <w:r>
              <w:rPr>
                <w:rFonts w:hint="eastAsia"/>
              </w:rPr>
              <w:t>材料设备</w:t>
            </w:r>
          </w:p>
          <w:p w14:paraId="00B0E8F8">
            <w:pPr>
              <w:ind w:left="-105" w:right="-105"/>
              <w:jc w:val="center"/>
            </w:pPr>
            <w:r>
              <w:rPr>
                <w:rFonts w:hint="eastAsia"/>
              </w:rPr>
              <w:t>名称</w:t>
            </w:r>
          </w:p>
        </w:tc>
        <w:tc>
          <w:tcPr>
            <w:tcW w:w="851" w:type="dxa"/>
            <w:noWrap/>
            <w:vAlign w:val="center"/>
          </w:tcPr>
          <w:p w14:paraId="30944F03">
            <w:pPr>
              <w:ind w:left="-105" w:right="-105"/>
              <w:jc w:val="center"/>
            </w:pPr>
            <w:r>
              <w:rPr>
                <w:rFonts w:hint="eastAsia"/>
              </w:rPr>
              <w:t>规格</w:t>
            </w:r>
          </w:p>
          <w:p w14:paraId="471AE1D8">
            <w:pPr>
              <w:ind w:left="-105" w:right="-105"/>
              <w:jc w:val="center"/>
            </w:pPr>
            <w:r>
              <w:rPr>
                <w:rFonts w:hint="eastAsia"/>
              </w:rPr>
              <w:t>型号</w:t>
            </w:r>
          </w:p>
        </w:tc>
        <w:tc>
          <w:tcPr>
            <w:tcW w:w="1276" w:type="dxa"/>
            <w:noWrap/>
            <w:vAlign w:val="center"/>
          </w:tcPr>
          <w:p w14:paraId="144A7C55">
            <w:pPr>
              <w:ind w:left="-105" w:right="-105"/>
              <w:jc w:val="center"/>
            </w:pPr>
            <w:r>
              <w:rPr>
                <w:rFonts w:hint="eastAsia"/>
              </w:rPr>
              <w:t>生产厂家</w:t>
            </w:r>
          </w:p>
        </w:tc>
        <w:tc>
          <w:tcPr>
            <w:tcW w:w="850" w:type="dxa"/>
            <w:noWrap/>
            <w:vAlign w:val="center"/>
          </w:tcPr>
          <w:p w14:paraId="6593B834">
            <w:pPr>
              <w:ind w:left="-105" w:right="-105"/>
              <w:jc w:val="center"/>
            </w:pPr>
            <w:r>
              <w:rPr>
                <w:rFonts w:hint="eastAsia"/>
              </w:rPr>
              <w:t>单位</w:t>
            </w:r>
          </w:p>
        </w:tc>
        <w:tc>
          <w:tcPr>
            <w:tcW w:w="851" w:type="dxa"/>
            <w:noWrap/>
            <w:vAlign w:val="center"/>
          </w:tcPr>
          <w:p w14:paraId="6D78F2A0">
            <w:pPr>
              <w:ind w:left="-105" w:right="-105"/>
              <w:jc w:val="center"/>
            </w:pPr>
            <w:r>
              <w:rPr>
                <w:rFonts w:hint="eastAsia"/>
              </w:rPr>
              <w:t>数量</w:t>
            </w:r>
          </w:p>
        </w:tc>
        <w:tc>
          <w:tcPr>
            <w:tcW w:w="850" w:type="dxa"/>
            <w:noWrap/>
            <w:vAlign w:val="center"/>
          </w:tcPr>
          <w:p w14:paraId="355E4B67">
            <w:pPr>
              <w:ind w:left="-105" w:right="-105"/>
              <w:jc w:val="center"/>
            </w:pPr>
            <w:r>
              <w:rPr>
                <w:rFonts w:hint="eastAsia"/>
              </w:rPr>
              <w:t>单价</w:t>
            </w:r>
          </w:p>
          <w:p w14:paraId="7353C579">
            <w:pPr>
              <w:ind w:left="-105" w:right="-105"/>
              <w:jc w:val="center"/>
            </w:pPr>
            <w:r>
              <w:rPr>
                <w:rFonts w:hint="eastAsia"/>
              </w:rPr>
              <w:t>(元)</w:t>
            </w:r>
          </w:p>
        </w:tc>
        <w:tc>
          <w:tcPr>
            <w:tcW w:w="851" w:type="dxa"/>
            <w:noWrap/>
            <w:vAlign w:val="center"/>
          </w:tcPr>
          <w:p w14:paraId="5512B14B">
            <w:pPr>
              <w:ind w:left="-105" w:right="-105"/>
              <w:jc w:val="center"/>
            </w:pPr>
            <w:r>
              <w:rPr>
                <w:rFonts w:hint="eastAsia"/>
              </w:rPr>
              <w:t>总价</w:t>
            </w:r>
          </w:p>
          <w:p w14:paraId="60169B89">
            <w:pPr>
              <w:ind w:left="-105" w:right="-105"/>
              <w:jc w:val="center"/>
            </w:pPr>
            <w:r>
              <w:rPr>
                <w:rFonts w:hint="eastAsia"/>
              </w:rPr>
              <w:t>(元)</w:t>
            </w:r>
          </w:p>
        </w:tc>
        <w:tc>
          <w:tcPr>
            <w:tcW w:w="850" w:type="dxa"/>
            <w:noWrap/>
            <w:vAlign w:val="center"/>
          </w:tcPr>
          <w:p w14:paraId="2F918449">
            <w:pPr>
              <w:ind w:left="-105" w:right="-105"/>
              <w:jc w:val="center"/>
            </w:pPr>
            <w:r>
              <w:rPr>
                <w:rFonts w:hint="eastAsia"/>
              </w:rPr>
              <w:t>质量</w:t>
            </w:r>
          </w:p>
          <w:p w14:paraId="4B13DC08">
            <w:pPr>
              <w:ind w:left="-105" w:right="-105"/>
              <w:jc w:val="center"/>
            </w:pPr>
            <w:r>
              <w:rPr>
                <w:rFonts w:hint="eastAsia"/>
              </w:rPr>
              <w:t>等级</w:t>
            </w:r>
          </w:p>
        </w:tc>
        <w:tc>
          <w:tcPr>
            <w:tcW w:w="709" w:type="dxa"/>
            <w:noWrap/>
            <w:vAlign w:val="center"/>
          </w:tcPr>
          <w:p w14:paraId="05FA81F5">
            <w:pPr>
              <w:ind w:left="-105" w:right="-105"/>
              <w:jc w:val="center"/>
            </w:pPr>
            <w:r>
              <w:rPr>
                <w:rFonts w:hint="eastAsia"/>
              </w:rPr>
              <w:t>时间</w:t>
            </w:r>
          </w:p>
          <w:p w14:paraId="714ECBD6">
            <w:pPr>
              <w:ind w:left="-105" w:right="-105"/>
              <w:jc w:val="center"/>
            </w:pPr>
            <w:r>
              <w:rPr>
                <w:rFonts w:hint="eastAsia"/>
              </w:rPr>
              <w:t>地点</w:t>
            </w:r>
          </w:p>
        </w:tc>
      </w:tr>
      <w:tr w14:paraId="5EFF1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03239AA3">
            <w:pPr>
              <w:spacing w:line="360" w:lineRule="auto"/>
            </w:pPr>
          </w:p>
        </w:tc>
        <w:tc>
          <w:tcPr>
            <w:tcW w:w="1206" w:type="dxa"/>
            <w:noWrap/>
            <w:vAlign w:val="bottom"/>
          </w:tcPr>
          <w:p w14:paraId="441CEAC4">
            <w:pPr>
              <w:spacing w:line="360" w:lineRule="auto"/>
            </w:pPr>
          </w:p>
        </w:tc>
        <w:tc>
          <w:tcPr>
            <w:tcW w:w="851" w:type="dxa"/>
            <w:noWrap/>
            <w:vAlign w:val="bottom"/>
          </w:tcPr>
          <w:p w14:paraId="6CFEEA16">
            <w:pPr>
              <w:spacing w:line="360" w:lineRule="auto"/>
            </w:pPr>
          </w:p>
        </w:tc>
        <w:tc>
          <w:tcPr>
            <w:tcW w:w="1276" w:type="dxa"/>
            <w:noWrap/>
            <w:vAlign w:val="bottom"/>
          </w:tcPr>
          <w:p w14:paraId="23F7D01A">
            <w:pPr>
              <w:spacing w:line="360" w:lineRule="auto"/>
            </w:pPr>
          </w:p>
        </w:tc>
        <w:tc>
          <w:tcPr>
            <w:tcW w:w="850" w:type="dxa"/>
            <w:noWrap/>
            <w:vAlign w:val="bottom"/>
          </w:tcPr>
          <w:p w14:paraId="702AA0E4">
            <w:pPr>
              <w:spacing w:line="360" w:lineRule="auto"/>
            </w:pPr>
          </w:p>
        </w:tc>
        <w:tc>
          <w:tcPr>
            <w:tcW w:w="851" w:type="dxa"/>
            <w:noWrap/>
            <w:vAlign w:val="bottom"/>
          </w:tcPr>
          <w:p w14:paraId="14857078">
            <w:pPr>
              <w:spacing w:line="360" w:lineRule="auto"/>
            </w:pPr>
          </w:p>
        </w:tc>
        <w:tc>
          <w:tcPr>
            <w:tcW w:w="850" w:type="dxa"/>
            <w:noWrap/>
            <w:vAlign w:val="bottom"/>
          </w:tcPr>
          <w:p w14:paraId="67214E7A">
            <w:pPr>
              <w:spacing w:line="360" w:lineRule="auto"/>
            </w:pPr>
          </w:p>
        </w:tc>
        <w:tc>
          <w:tcPr>
            <w:tcW w:w="851" w:type="dxa"/>
            <w:noWrap/>
            <w:vAlign w:val="bottom"/>
          </w:tcPr>
          <w:p w14:paraId="5C4E69FB">
            <w:pPr>
              <w:spacing w:line="360" w:lineRule="auto"/>
            </w:pPr>
          </w:p>
        </w:tc>
        <w:tc>
          <w:tcPr>
            <w:tcW w:w="850" w:type="dxa"/>
            <w:noWrap/>
            <w:vAlign w:val="bottom"/>
          </w:tcPr>
          <w:p w14:paraId="712D4A73">
            <w:pPr>
              <w:spacing w:line="360" w:lineRule="auto"/>
            </w:pPr>
          </w:p>
        </w:tc>
        <w:tc>
          <w:tcPr>
            <w:tcW w:w="709" w:type="dxa"/>
            <w:noWrap/>
            <w:vAlign w:val="bottom"/>
          </w:tcPr>
          <w:p w14:paraId="07E47E17">
            <w:pPr>
              <w:spacing w:line="360" w:lineRule="auto"/>
            </w:pPr>
          </w:p>
        </w:tc>
      </w:tr>
      <w:tr w14:paraId="76D90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549AB797">
            <w:pPr>
              <w:spacing w:line="360" w:lineRule="auto"/>
            </w:pPr>
          </w:p>
        </w:tc>
        <w:tc>
          <w:tcPr>
            <w:tcW w:w="1206" w:type="dxa"/>
            <w:noWrap/>
            <w:vAlign w:val="bottom"/>
          </w:tcPr>
          <w:p w14:paraId="269FD580">
            <w:pPr>
              <w:spacing w:line="360" w:lineRule="auto"/>
            </w:pPr>
          </w:p>
        </w:tc>
        <w:tc>
          <w:tcPr>
            <w:tcW w:w="851" w:type="dxa"/>
            <w:noWrap/>
            <w:vAlign w:val="bottom"/>
          </w:tcPr>
          <w:p w14:paraId="00F1BE47">
            <w:pPr>
              <w:spacing w:line="360" w:lineRule="auto"/>
            </w:pPr>
          </w:p>
        </w:tc>
        <w:tc>
          <w:tcPr>
            <w:tcW w:w="1276" w:type="dxa"/>
            <w:noWrap/>
            <w:vAlign w:val="bottom"/>
          </w:tcPr>
          <w:p w14:paraId="1918047D">
            <w:pPr>
              <w:spacing w:line="360" w:lineRule="auto"/>
            </w:pPr>
          </w:p>
        </w:tc>
        <w:tc>
          <w:tcPr>
            <w:tcW w:w="850" w:type="dxa"/>
            <w:noWrap/>
            <w:vAlign w:val="bottom"/>
          </w:tcPr>
          <w:p w14:paraId="78052686">
            <w:pPr>
              <w:spacing w:line="360" w:lineRule="auto"/>
            </w:pPr>
          </w:p>
        </w:tc>
        <w:tc>
          <w:tcPr>
            <w:tcW w:w="851" w:type="dxa"/>
            <w:noWrap/>
            <w:vAlign w:val="bottom"/>
          </w:tcPr>
          <w:p w14:paraId="3C41E7CB">
            <w:pPr>
              <w:spacing w:line="360" w:lineRule="auto"/>
            </w:pPr>
          </w:p>
        </w:tc>
        <w:tc>
          <w:tcPr>
            <w:tcW w:w="850" w:type="dxa"/>
            <w:noWrap/>
            <w:vAlign w:val="bottom"/>
          </w:tcPr>
          <w:p w14:paraId="729C7D00">
            <w:pPr>
              <w:spacing w:line="360" w:lineRule="auto"/>
            </w:pPr>
          </w:p>
        </w:tc>
        <w:tc>
          <w:tcPr>
            <w:tcW w:w="851" w:type="dxa"/>
            <w:noWrap/>
            <w:vAlign w:val="bottom"/>
          </w:tcPr>
          <w:p w14:paraId="5A3BCD9C">
            <w:pPr>
              <w:spacing w:line="360" w:lineRule="auto"/>
            </w:pPr>
          </w:p>
        </w:tc>
        <w:tc>
          <w:tcPr>
            <w:tcW w:w="850" w:type="dxa"/>
            <w:noWrap/>
            <w:vAlign w:val="bottom"/>
          </w:tcPr>
          <w:p w14:paraId="5F865082">
            <w:pPr>
              <w:spacing w:line="360" w:lineRule="auto"/>
            </w:pPr>
          </w:p>
        </w:tc>
        <w:tc>
          <w:tcPr>
            <w:tcW w:w="709" w:type="dxa"/>
            <w:noWrap/>
            <w:vAlign w:val="bottom"/>
          </w:tcPr>
          <w:p w14:paraId="0249B557">
            <w:pPr>
              <w:spacing w:line="360" w:lineRule="auto"/>
            </w:pPr>
          </w:p>
        </w:tc>
      </w:tr>
      <w:tr w14:paraId="36F4E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74D04C5F">
            <w:pPr>
              <w:spacing w:line="360" w:lineRule="auto"/>
            </w:pPr>
          </w:p>
        </w:tc>
        <w:tc>
          <w:tcPr>
            <w:tcW w:w="1206" w:type="dxa"/>
            <w:noWrap/>
            <w:vAlign w:val="bottom"/>
          </w:tcPr>
          <w:p w14:paraId="566DD083">
            <w:pPr>
              <w:spacing w:line="360" w:lineRule="auto"/>
            </w:pPr>
          </w:p>
        </w:tc>
        <w:tc>
          <w:tcPr>
            <w:tcW w:w="851" w:type="dxa"/>
            <w:noWrap/>
            <w:vAlign w:val="bottom"/>
          </w:tcPr>
          <w:p w14:paraId="0B4505C8">
            <w:pPr>
              <w:spacing w:line="360" w:lineRule="auto"/>
            </w:pPr>
          </w:p>
        </w:tc>
        <w:tc>
          <w:tcPr>
            <w:tcW w:w="1276" w:type="dxa"/>
            <w:noWrap/>
            <w:vAlign w:val="bottom"/>
          </w:tcPr>
          <w:p w14:paraId="4BD03C15">
            <w:pPr>
              <w:spacing w:line="360" w:lineRule="auto"/>
            </w:pPr>
          </w:p>
        </w:tc>
        <w:tc>
          <w:tcPr>
            <w:tcW w:w="850" w:type="dxa"/>
            <w:noWrap/>
            <w:vAlign w:val="bottom"/>
          </w:tcPr>
          <w:p w14:paraId="7E8F4214">
            <w:pPr>
              <w:spacing w:line="360" w:lineRule="auto"/>
            </w:pPr>
          </w:p>
        </w:tc>
        <w:tc>
          <w:tcPr>
            <w:tcW w:w="851" w:type="dxa"/>
            <w:noWrap/>
            <w:vAlign w:val="bottom"/>
          </w:tcPr>
          <w:p w14:paraId="0E4D9B25">
            <w:pPr>
              <w:spacing w:line="360" w:lineRule="auto"/>
            </w:pPr>
          </w:p>
        </w:tc>
        <w:tc>
          <w:tcPr>
            <w:tcW w:w="850" w:type="dxa"/>
            <w:noWrap/>
            <w:vAlign w:val="bottom"/>
          </w:tcPr>
          <w:p w14:paraId="720C825B">
            <w:pPr>
              <w:spacing w:line="360" w:lineRule="auto"/>
            </w:pPr>
          </w:p>
        </w:tc>
        <w:tc>
          <w:tcPr>
            <w:tcW w:w="851" w:type="dxa"/>
            <w:noWrap/>
            <w:vAlign w:val="bottom"/>
          </w:tcPr>
          <w:p w14:paraId="632D5766">
            <w:pPr>
              <w:spacing w:line="360" w:lineRule="auto"/>
            </w:pPr>
          </w:p>
        </w:tc>
        <w:tc>
          <w:tcPr>
            <w:tcW w:w="850" w:type="dxa"/>
            <w:noWrap/>
            <w:vAlign w:val="bottom"/>
          </w:tcPr>
          <w:p w14:paraId="79C5506C">
            <w:pPr>
              <w:spacing w:line="360" w:lineRule="auto"/>
            </w:pPr>
          </w:p>
        </w:tc>
        <w:tc>
          <w:tcPr>
            <w:tcW w:w="709" w:type="dxa"/>
            <w:noWrap/>
            <w:vAlign w:val="bottom"/>
          </w:tcPr>
          <w:p w14:paraId="2084CC76">
            <w:pPr>
              <w:spacing w:line="360" w:lineRule="auto"/>
            </w:pPr>
          </w:p>
        </w:tc>
      </w:tr>
      <w:tr w14:paraId="0CC63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29AA54CD">
            <w:pPr>
              <w:spacing w:line="360" w:lineRule="auto"/>
            </w:pPr>
          </w:p>
        </w:tc>
        <w:tc>
          <w:tcPr>
            <w:tcW w:w="1206" w:type="dxa"/>
            <w:noWrap/>
            <w:vAlign w:val="bottom"/>
          </w:tcPr>
          <w:p w14:paraId="5B49F555">
            <w:pPr>
              <w:spacing w:line="360" w:lineRule="auto"/>
            </w:pPr>
          </w:p>
        </w:tc>
        <w:tc>
          <w:tcPr>
            <w:tcW w:w="851" w:type="dxa"/>
            <w:noWrap/>
            <w:vAlign w:val="bottom"/>
          </w:tcPr>
          <w:p w14:paraId="44D1C9D3">
            <w:pPr>
              <w:spacing w:line="360" w:lineRule="auto"/>
            </w:pPr>
          </w:p>
        </w:tc>
        <w:tc>
          <w:tcPr>
            <w:tcW w:w="1276" w:type="dxa"/>
            <w:noWrap/>
            <w:vAlign w:val="bottom"/>
          </w:tcPr>
          <w:p w14:paraId="70D01BA6">
            <w:pPr>
              <w:spacing w:line="360" w:lineRule="auto"/>
            </w:pPr>
          </w:p>
        </w:tc>
        <w:tc>
          <w:tcPr>
            <w:tcW w:w="850" w:type="dxa"/>
            <w:noWrap/>
            <w:vAlign w:val="bottom"/>
          </w:tcPr>
          <w:p w14:paraId="3F8A8C27">
            <w:pPr>
              <w:spacing w:line="360" w:lineRule="auto"/>
            </w:pPr>
          </w:p>
        </w:tc>
        <w:tc>
          <w:tcPr>
            <w:tcW w:w="851" w:type="dxa"/>
            <w:noWrap/>
            <w:vAlign w:val="bottom"/>
          </w:tcPr>
          <w:p w14:paraId="261ED4F8">
            <w:pPr>
              <w:spacing w:line="360" w:lineRule="auto"/>
            </w:pPr>
          </w:p>
        </w:tc>
        <w:tc>
          <w:tcPr>
            <w:tcW w:w="850" w:type="dxa"/>
            <w:noWrap/>
            <w:vAlign w:val="bottom"/>
          </w:tcPr>
          <w:p w14:paraId="34817B52">
            <w:pPr>
              <w:spacing w:line="360" w:lineRule="auto"/>
            </w:pPr>
          </w:p>
        </w:tc>
        <w:tc>
          <w:tcPr>
            <w:tcW w:w="851" w:type="dxa"/>
            <w:noWrap/>
            <w:vAlign w:val="bottom"/>
          </w:tcPr>
          <w:p w14:paraId="2FA46766">
            <w:pPr>
              <w:spacing w:line="360" w:lineRule="auto"/>
            </w:pPr>
          </w:p>
        </w:tc>
        <w:tc>
          <w:tcPr>
            <w:tcW w:w="850" w:type="dxa"/>
            <w:noWrap/>
            <w:vAlign w:val="bottom"/>
          </w:tcPr>
          <w:p w14:paraId="4713D7DA">
            <w:pPr>
              <w:spacing w:line="360" w:lineRule="auto"/>
            </w:pPr>
          </w:p>
        </w:tc>
        <w:tc>
          <w:tcPr>
            <w:tcW w:w="709" w:type="dxa"/>
            <w:noWrap/>
            <w:vAlign w:val="bottom"/>
          </w:tcPr>
          <w:p w14:paraId="7DA52CE9">
            <w:pPr>
              <w:spacing w:line="360" w:lineRule="auto"/>
            </w:pPr>
          </w:p>
        </w:tc>
      </w:tr>
      <w:tr w14:paraId="16578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3917DAB0">
            <w:pPr>
              <w:spacing w:line="360" w:lineRule="auto"/>
            </w:pPr>
          </w:p>
        </w:tc>
        <w:tc>
          <w:tcPr>
            <w:tcW w:w="1206" w:type="dxa"/>
            <w:noWrap/>
            <w:vAlign w:val="bottom"/>
          </w:tcPr>
          <w:p w14:paraId="7F1E5BB0">
            <w:pPr>
              <w:spacing w:line="360" w:lineRule="auto"/>
            </w:pPr>
          </w:p>
        </w:tc>
        <w:tc>
          <w:tcPr>
            <w:tcW w:w="851" w:type="dxa"/>
            <w:noWrap/>
            <w:vAlign w:val="bottom"/>
          </w:tcPr>
          <w:p w14:paraId="2A096AEB">
            <w:pPr>
              <w:spacing w:line="360" w:lineRule="auto"/>
            </w:pPr>
          </w:p>
        </w:tc>
        <w:tc>
          <w:tcPr>
            <w:tcW w:w="1276" w:type="dxa"/>
            <w:noWrap/>
            <w:vAlign w:val="bottom"/>
          </w:tcPr>
          <w:p w14:paraId="4F789E21">
            <w:pPr>
              <w:spacing w:line="360" w:lineRule="auto"/>
            </w:pPr>
          </w:p>
        </w:tc>
        <w:tc>
          <w:tcPr>
            <w:tcW w:w="850" w:type="dxa"/>
            <w:noWrap/>
            <w:vAlign w:val="bottom"/>
          </w:tcPr>
          <w:p w14:paraId="02CAC96A">
            <w:pPr>
              <w:spacing w:line="360" w:lineRule="auto"/>
            </w:pPr>
          </w:p>
        </w:tc>
        <w:tc>
          <w:tcPr>
            <w:tcW w:w="851" w:type="dxa"/>
            <w:noWrap/>
            <w:vAlign w:val="bottom"/>
          </w:tcPr>
          <w:p w14:paraId="27B5D905">
            <w:pPr>
              <w:spacing w:line="360" w:lineRule="auto"/>
            </w:pPr>
          </w:p>
        </w:tc>
        <w:tc>
          <w:tcPr>
            <w:tcW w:w="850" w:type="dxa"/>
            <w:noWrap/>
            <w:vAlign w:val="bottom"/>
          </w:tcPr>
          <w:p w14:paraId="3B573CD1">
            <w:pPr>
              <w:spacing w:line="360" w:lineRule="auto"/>
            </w:pPr>
          </w:p>
        </w:tc>
        <w:tc>
          <w:tcPr>
            <w:tcW w:w="851" w:type="dxa"/>
            <w:noWrap/>
            <w:vAlign w:val="bottom"/>
          </w:tcPr>
          <w:p w14:paraId="72B099ED">
            <w:pPr>
              <w:spacing w:line="360" w:lineRule="auto"/>
            </w:pPr>
          </w:p>
        </w:tc>
        <w:tc>
          <w:tcPr>
            <w:tcW w:w="850" w:type="dxa"/>
            <w:noWrap/>
            <w:vAlign w:val="bottom"/>
          </w:tcPr>
          <w:p w14:paraId="528A4D9E">
            <w:pPr>
              <w:spacing w:line="360" w:lineRule="auto"/>
            </w:pPr>
          </w:p>
        </w:tc>
        <w:tc>
          <w:tcPr>
            <w:tcW w:w="709" w:type="dxa"/>
            <w:noWrap/>
            <w:vAlign w:val="bottom"/>
          </w:tcPr>
          <w:p w14:paraId="6D042470">
            <w:pPr>
              <w:spacing w:line="360" w:lineRule="auto"/>
            </w:pPr>
          </w:p>
        </w:tc>
      </w:tr>
      <w:tr w14:paraId="08002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30D20978">
            <w:pPr>
              <w:spacing w:line="360" w:lineRule="auto"/>
            </w:pPr>
          </w:p>
        </w:tc>
        <w:tc>
          <w:tcPr>
            <w:tcW w:w="1206" w:type="dxa"/>
            <w:noWrap/>
            <w:vAlign w:val="bottom"/>
          </w:tcPr>
          <w:p w14:paraId="1C5A2D34">
            <w:pPr>
              <w:spacing w:line="360" w:lineRule="auto"/>
            </w:pPr>
          </w:p>
        </w:tc>
        <w:tc>
          <w:tcPr>
            <w:tcW w:w="851" w:type="dxa"/>
            <w:noWrap/>
            <w:vAlign w:val="bottom"/>
          </w:tcPr>
          <w:p w14:paraId="32ED6E40">
            <w:pPr>
              <w:spacing w:line="360" w:lineRule="auto"/>
            </w:pPr>
          </w:p>
        </w:tc>
        <w:tc>
          <w:tcPr>
            <w:tcW w:w="1276" w:type="dxa"/>
            <w:noWrap/>
            <w:vAlign w:val="bottom"/>
          </w:tcPr>
          <w:p w14:paraId="2001B0F1">
            <w:pPr>
              <w:spacing w:line="360" w:lineRule="auto"/>
            </w:pPr>
          </w:p>
        </w:tc>
        <w:tc>
          <w:tcPr>
            <w:tcW w:w="850" w:type="dxa"/>
            <w:noWrap/>
            <w:vAlign w:val="bottom"/>
          </w:tcPr>
          <w:p w14:paraId="7524ABD7">
            <w:pPr>
              <w:spacing w:line="360" w:lineRule="auto"/>
            </w:pPr>
          </w:p>
        </w:tc>
        <w:tc>
          <w:tcPr>
            <w:tcW w:w="851" w:type="dxa"/>
            <w:noWrap/>
            <w:vAlign w:val="bottom"/>
          </w:tcPr>
          <w:p w14:paraId="0075235B">
            <w:pPr>
              <w:spacing w:line="360" w:lineRule="auto"/>
            </w:pPr>
          </w:p>
        </w:tc>
        <w:tc>
          <w:tcPr>
            <w:tcW w:w="850" w:type="dxa"/>
            <w:noWrap/>
            <w:vAlign w:val="bottom"/>
          </w:tcPr>
          <w:p w14:paraId="6D2AA08F">
            <w:pPr>
              <w:spacing w:line="360" w:lineRule="auto"/>
            </w:pPr>
          </w:p>
        </w:tc>
        <w:tc>
          <w:tcPr>
            <w:tcW w:w="851" w:type="dxa"/>
            <w:noWrap/>
            <w:vAlign w:val="bottom"/>
          </w:tcPr>
          <w:p w14:paraId="6FD25150">
            <w:pPr>
              <w:spacing w:line="360" w:lineRule="auto"/>
            </w:pPr>
          </w:p>
        </w:tc>
        <w:tc>
          <w:tcPr>
            <w:tcW w:w="850" w:type="dxa"/>
            <w:noWrap/>
            <w:vAlign w:val="bottom"/>
          </w:tcPr>
          <w:p w14:paraId="6F50AC00">
            <w:pPr>
              <w:spacing w:line="360" w:lineRule="auto"/>
            </w:pPr>
          </w:p>
        </w:tc>
        <w:tc>
          <w:tcPr>
            <w:tcW w:w="709" w:type="dxa"/>
            <w:noWrap/>
            <w:vAlign w:val="bottom"/>
          </w:tcPr>
          <w:p w14:paraId="7B5E73A1">
            <w:pPr>
              <w:spacing w:line="360" w:lineRule="auto"/>
            </w:pPr>
          </w:p>
        </w:tc>
      </w:tr>
      <w:tr w14:paraId="28311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10" w:type="dxa"/>
            <w:noWrap/>
            <w:vAlign w:val="bottom"/>
          </w:tcPr>
          <w:p w14:paraId="54BEB9F3">
            <w:pPr>
              <w:spacing w:line="360" w:lineRule="auto"/>
            </w:pPr>
          </w:p>
        </w:tc>
        <w:tc>
          <w:tcPr>
            <w:tcW w:w="1206" w:type="dxa"/>
            <w:noWrap/>
            <w:vAlign w:val="bottom"/>
          </w:tcPr>
          <w:p w14:paraId="51D2151D">
            <w:pPr>
              <w:spacing w:line="360" w:lineRule="auto"/>
            </w:pPr>
          </w:p>
        </w:tc>
        <w:tc>
          <w:tcPr>
            <w:tcW w:w="851" w:type="dxa"/>
            <w:noWrap/>
            <w:vAlign w:val="bottom"/>
          </w:tcPr>
          <w:p w14:paraId="37946294">
            <w:pPr>
              <w:spacing w:line="360" w:lineRule="auto"/>
            </w:pPr>
          </w:p>
        </w:tc>
        <w:tc>
          <w:tcPr>
            <w:tcW w:w="1276" w:type="dxa"/>
            <w:noWrap/>
            <w:vAlign w:val="bottom"/>
          </w:tcPr>
          <w:p w14:paraId="20EA47C0">
            <w:pPr>
              <w:spacing w:line="360" w:lineRule="auto"/>
            </w:pPr>
          </w:p>
        </w:tc>
        <w:tc>
          <w:tcPr>
            <w:tcW w:w="850" w:type="dxa"/>
            <w:noWrap/>
            <w:vAlign w:val="bottom"/>
          </w:tcPr>
          <w:p w14:paraId="0C9DF053">
            <w:pPr>
              <w:spacing w:line="360" w:lineRule="auto"/>
            </w:pPr>
          </w:p>
        </w:tc>
        <w:tc>
          <w:tcPr>
            <w:tcW w:w="851" w:type="dxa"/>
            <w:noWrap/>
            <w:vAlign w:val="bottom"/>
          </w:tcPr>
          <w:p w14:paraId="3BA82398">
            <w:pPr>
              <w:spacing w:line="360" w:lineRule="auto"/>
            </w:pPr>
          </w:p>
        </w:tc>
        <w:tc>
          <w:tcPr>
            <w:tcW w:w="850" w:type="dxa"/>
            <w:noWrap/>
            <w:vAlign w:val="bottom"/>
          </w:tcPr>
          <w:p w14:paraId="47CDC112">
            <w:pPr>
              <w:spacing w:line="360" w:lineRule="auto"/>
            </w:pPr>
          </w:p>
        </w:tc>
        <w:tc>
          <w:tcPr>
            <w:tcW w:w="851" w:type="dxa"/>
            <w:noWrap/>
            <w:vAlign w:val="bottom"/>
          </w:tcPr>
          <w:p w14:paraId="6DBC674D">
            <w:pPr>
              <w:spacing w:line="360" w:lineRule="auto"/>
            </w:pPr>
          </w:p>
        </w:tc>
        <w:tc>
          <w:tcPr>
            <w:tcW w:w="850" w:type="dxa"/>
            <w:noWrap/>
            <w:vAlign w:val="bottom"/>
          </w:tcPr>
          <w:p w14:paraId="6AAF7280">
            <w:pPr>
              <w:spacing w:line="360" w:lineRule="auto"/>
            </w:pPr>
          </w:p>
        </w:tc>
        <w:tc>
          <w:tcPr>
            <w:tcW w:w="709" w:type="dxa"/>
            <w:noWrap/>
            <w:vAlign w:val="bottom"/>
          </w:tcPr>
          <w:p w14:paraId="6DD405B7">
            <w:pPr>
              <w:spacing w:line="360" w:lineRule="auto"/>
            </w:pPr>
          </w:p>
        </w:tc>
      </w:tr>
    </w:tbl>
    <w:p w14:paraId="18E3B667">
      <w:pPr>
        <w:spacing w:line="360" w:lineRule="auto"/>
        <w:ind w:firstLine="480"/>
      </w:pPr>
      <w:r>
        <w:rPr>
          <w:rFonts w:hint="eastAsia"/>
        </w:rPr>
        <w:t>(3)发包人供应材料设备保管费(包括装卸费)的费率为：</w:t>
      </w:r>
      <w:r>
        <w:rPr>
          <w:rFonts w:hint="eastAsia" w:cs="Times New Roman"/>
          <w:u w:val="single"/>
        </w:rPr>
        <w:t xml:space="preserve"> /</w:t>
      </w:r>
    </w:p>
    <w:p w14:paraId="7D8ED866">
      <w:pPr>
        <w:pStyle w:val="5"/>
        <w:tabs>
          <w:tab w:val="left" w:pos="540"/>
          <w:tab w:val="left" w:pos="900"/>
          <w:tab w:val="left" w:pos="2340"/>
        </w:tabs>
        <w:spacing w:before="120" w:after="156"/>
        <w:ind w:left="359"/>
        <w:jc w:val="left"/>
        <w:rPr>
          <w:rFonts w:ascii="宋体" w:hAnsi="宋体"/>
          <w:sz w:val="24"/>
        </w:rPr>
      </w:pPr>
      <w:bookmarkStart w:id="193" w:name="_Toc9387"/>
      <w:bookmarkStart w:id="194" w:name="_Toc15473"/>
      <w:bookmarkStart w:id="195" w:name="_Toc16692"/>
      <w:r>
        <w:rPr>
          <w:rFonts w:ascii="宋体" w:hAnsi="宋体"/>
          <w:sz w:val="24"/>
        </w:rPr>
        <w:t xml:space="preserve">14.2 </w:t>
      </w:r>
      <w:r>
        <w:rPr>
          <w:rFonts w:hint="eastAsia" w:ascii="宋体" w:hAnsi="宋体"/>
          <w:sz w:val="24"/>
        </w:rPr>
        <w:t>发包人供应材料设备的结算</w:t>
      </w:r>
      <w:bookmarkEnd w:id="193"/>
      <w:bookmarkEnd w:id="194"/>
      <w:bookmarkEnd w:id="195"/>
    </w:p>
    <w:p w14:paraId="165C00E9">
      <w:pPr>
        <w:ind w:firstLine="360" w:firstLineChars="150"/>
      </w:pPr>
      <w:r>
        <w:rPr>
          <w:rFonts w:hint="eastAsia"/>
        </w:rPr>
        <w:t>发包人供应材料设备的结算</w:t>
      </w:r>
      <w:r>
        <w:rPr>
          <w:rFonts w:hint="eastAsia"/>
          <w:bCs/>
        </w:rPr>
        <w:t>方式</w:t>
      </w:r>
      <w:r>
        <w:rPr>
          <w:rFonts w:hint="eastAsia"/>
        </w:rPr>
        <w:t>：</w:t>
      </w:r>
      <w:r>
        <w:rPr>
          <w:rFonts w:hint="eastAsia" w:eastAsia="Times New Roman"/>
          <w:u w:val="single"/>
        </w:rPr>
        <w:t>/</w:t>
      </w:r>
    </w:p>
    <w:p w14:paraId="0AAA2F5E">
      <w:pPr>
        <w:spacing w:line="360" w:lineRule="auto"/>
        <w:ind w:firstLine="120" w:firstLineChars="50"/>
        <w:rPr>
          <w:bCs/>
          <w:u w:val="single"/>
        </w:rPr>
      </w:pPr>
      <w:r>
        <w:rPr>
          <w:rFonts w:hint="eastAsia"/>
        </w:rPr>
        <w:t xml:space="preserve"> (3)承包人实际使用量小于合理数量时节约的费用分配方式：</w:t>
      </w:r>
      <w:r>
        <w:rPr>
          <w:rFonts w:hint="eastAsia" w:cs="Times New Roman"/>
          <w:u w:val="single"/>
        </w:rPr>
        <w:t xml:space="preserve"> /</w:t>
      </w:r>
    </w:p>
    <w:p w14:paraId="465D4A49">
      <w:pPr>
        <w:pStyle w:val="5"/>
        <w:tabs>
          <w:tab w:val="left" w:pos="540"/>
          <w:tab w:val="left" w:pos="900"/>
          <w:tab w:val="left" w:pos="2340"/>
        </w:tabs>
        <w:spacing w:before="120" w:after="156"/>
        <w:ind w:left="359"/>
        <w:jc w:val="left"/>
        <w:rPr>
          <w:rFonts w:ascii="宋体" w:hAnsi="宋体"/>
          <w:sz w:val="24"/>
        </w:rPr>
      </w:pPr>
      <w:bookmarkStart w:id="196" w:name="_Toc29316"/>
      <w:bookmarkStart w:id="197" w:name="_Toc14128"/>
      <w:bookmarkStart w:id="198" w:name="_Toc27079"/>
      <w:r>
        <w:rPr>
          <w:rFonts w:hint="eastAsia" w:ascii="宋体" w:hAnsi="宋体"/>
          <w:sz w:val="24"/>
        </w:rPr>
        <w:t>14.4 承包人采购材料设备</w:t>
      </w:r>
      <w:bookmarkEnd w:id="196"/>
      <w:bookmarkEnd w:id="197"/>
      <w:bookmarkEnd w:id="198"/>
    </w:p>
    <w:p w14:paraId="3FA9E080">
      <w:pPr>
        <w:widowControl w:val="0"/>
        <w:spacing w:line="360" w:lineRule="auto"/>
        <w:ind w:firstLine="480"/>
        <w:jc w:val="both"/>
        <w:rPr>
          <w:u w:val="single"/>
        </w:rPr>
      </w:pPr>
      <w:r>
        <w:rPr>
          <w:rFonts w:hint="eastAsia"/>
        </w:rPr>
        <w:t>承包人采购材料设备的约定：</w:t>
      </w:r>
      <w:r>
        <w:rPr>
          <w:rFonts w:hint="eastAsia"/>
          <w:u w:val="single"/>
        </w:rPr>
        <w:t>项目综合单价中包含人工、材料、机械、工期、安全、质量、安全文明、降尘降噪等一切措施费用，包配合、清运、破损修复、验收移交、规费、税金（提供一般纳税人增值税专用发票）、办理相关手续，及本拆除工程工作范围内的其他一切费用。</w:t>
      </w:r>
    </w:p>
    <w:p w14:paraId="560DBBE3">
      <w:pPr>
        <w:pStyle w:val="5"/>
        <w:tabs>
          <w:tab w:val="left" w:pos="540"/>
          <w:tab w:val="left" w:pos="900"/>
          <w:tab w:val="left" w:pos="2340"/>
        </w:tabs>
        <w:spacing w:before="120" w:after="156"/>
        <w:ind w:left="359"/>
        <w:jc w:val="left"/>
        <w:rPr>
          <w:rFonts w:ascii="宋体" w:hAnsi="宋体"/>
          <w:sz w:val="24"/>
        </w:rPr>
      </w:pPr>
      <w:bookmarkStart w:id="199" w:name="_Toc26563"/>
      <w:bookmarkStart w:id="200" w:name="_Toc12919"/>
      <w:bookmarkStart w:id="201" w:name="_Toc25773"/>
      <w:r>
        <w:rPr>
          <w:rFonts w:hint="eastAsia" w:ascii="宋体" w:hAnsi="宋体"/>
          <w:sz w:val="24"/>
        </w:rPr>
        <w:t>14.6 材料和工程设备的替代</w:t>
      </w:r>
      <w:bookmarkEnd w:id="199"/>
      <w:bookmarkEnd w:id="200"/>
      <w:bookmarkEnd w:id="201"/>
    </w:p>
    <w:p w14:paraId="57733E3C">
      <w:pPr>
        <w:spacing w:line="360" w:lineRule="auto"/>
        <w:ind w:firstLine="480"/>
        <w:rPr>
          <w:u w:val="single"/>
        </w:rPr>
      </w:pPr>
      <w:r>
        <w:rPr>
          <w:rFonts w:hint="eastAsia"/>
        </w:rPr>
        <w:t>(2)承包人需使用替代材料设备应向监理人提出申请的时限：</w:t>
      </w:r>
      <w:r>
        <w:rPr>
          <w:rFonts w:hint="eastAsia" w:cs="Times New Roman"/>
          <w:u w:val="single"/>
        </w:rPr>
        <w:t>承包人进场后30天内</w:t>
      </w:r>
      <w:r>
        <w:rPr>
          <w:rFonts w:hint="eastAsia"/>
        </w:rPr>
        <w:t>，监理人应发出书面指示的时限：</w:t>
      </w:r>
      <w:r>
        <w:rPr>
          <w:rFonts w:hint="eastAsia"/>
          <w:u w:val="single"/>
        </w:rPr>
        <w:t xml:space="preserve"> 收</w:t>
      </w:r>
      <w:r>
        <w:rPr>
          <w:rFonts w:hint="eastAsia" w:cs="Times New Roman"/>
          <w:u w:val="single"/>
        </w:rPr>
        <w:t>到承包人书面申请后30天内</w:t>
      </w:r>
      <w:r>
        <w:rPr>
          <w:rFonts w:hint="eastAsia"/>
        </w:rPr>
        <w:t>；</w:t>
      </w:r>
    </w:p>
    <w:p w14:paraId="0FAF1515">
      <w:r>
        <w:rPr>
          <w:rFonts w:hint="eastAsia"/>
        </w:rPr>
        <w:t>使用替代材料设备增减合同价格和产生费用的承担方式：</w:t>
      </w:r>
      <w:r>
        <w:rPr>
          <w:rFonts w:hint="eastAsia"/>
          <w:u w:val="single"/>
        </w:rPr>
        <w:t>不作调整</w:t>
      </w:r>
      <w:r>
        <w:rPr>
          <w:rFonts w:ascii="Times New Roman" w:hAnsi="Times New Roman" w:cs="Times New Roman"/>
          <w:u w:val="single"/>
        </w:rPr>
        <w:t>，承包人自行承担</w:t>
      </w:r>
      <w:r>
        <w:rPr>
          <w:rFonts w:hint="eastAsia" w:cs="Times New Roman"/>
          <w:u w:val="single"/>
        </w:rPr>
        <w:t>。</w:t>
      </w:r>
    </w:p>
    <w:p w14:paraId="27C66AEF">
      <w:pPr>
        <w:pStyle w:val="5"/>
        <w:tabs>
          <w:tab w:val="left" w:pos="540"/>
          <w:tab w:val="left" w:pos="900"/>
          <w:tab w:val="left" w:pos="2340"/>
        </w:tabs>
        <w:spacing w:before="120" w:after="156"/>
        <w:ind w:left="359"/>
        <w:jc w:val="left"/>
        <w:rPr>
          <w:rFonts w:ascii="宋体" w:hAnsi="宋体"/>
          <w:sz w:val="24"/>
        </w:rPr>
      </w:pPr>
      <w:bookmarkStart w:id="202" w:name="_Toc27211"/>
      <w:bookmarkStart w:id="203" w:name="_Toc19946"/>
      <w:bookmarkStart w:id="204" w:name="_Toc22589"/>
      <w:r>
        <w:rPr>
          <w:rFonts w:hint="eastAsia" w:ascii="宋体" w:hAnsi="宋体"/>
          <w:sz w:val="24"/>
        </w:rPr>
        <w:t>14.7 材料设备的检验</w:t>
      </w:r>
      <w:bookmarkEnd w:id="202"/>
      <w:bookmarkEnd w:id="203"/>
      <w:bookmarkEnd w:id="204"/>
    </w:p>
    <w:p w14:paraId="4E1CFCC8">
      <w:pPr>
        <w:spacing w:line="360" w:lineRule="auto"/>
        <w:ind w:firstLine="480"/>
      </w:pPr>
      <w:r>
        <w:rPr>
          <w:rFonts w:hint="eastAsia"/>
        </w:rPr>
        <w:t>(1)用于本工程的材料设备的检验要求：</w:t>
      </w:r>
    </w:p>
    <w:p w14:paraId="26AEB01E">
      <w:pPr>
        <w:snapToGrid w:val="0"/>
        <w:spacing w:line="360" w:lineRule="auto"/>
        <w:ind w:firstLine="480"/>
      </w:pPr>
      <w:r>
        <w:rPr>
          <w:rFonts w:hint="eastAsia" w:cs="Times New Roman"/>
          <w:u w:val="single"/>
        </w:rPr>
        <w:t>符合《深圳市房屋拆除工程管理办法》《深圳市建筑废弃物减排与利用条例》（</w:t>
      </w:r>
      <w:r>
        <w:rPr>
          <w:rFonts w:cs="Times New Roman"/>
          <w:u w:val="single"/>
        </w:rPr>
        <w:t>2009年10月1日起施行）、《深圳市人民政府办公厅关于进一步加强建筑废弃物减排与利用工作的通知》（深府办函[2012]130号）等文件规定及国家、省、市相关强制性标准</w:t>
      </w:r>
      <w:r>
        <w:rPr>
          <w:rFonts w:hint="eastAsia" w:cs="Times New Roman"/>
          <w:u w:val="single"/>
        </w:rPr>
        <w:t xml:space="preserve">。                </w:t>
      </w:r>
      <w:r>
        <w:rPr>
          <w:rFonts w:hint="eastAsia"/>
        </w:rPr>
        <w:t>本工程的材料设备检验机构为：</w:t>
      </w:r>
      <w:r>
        <w:rPr>
          <w:rFonts w:hint="eastAsia"/>
          <w:u w:val="single"/>
        </w:rPr>
        <w:t>/</w:t>
      </w:r>
      <w:r>
        <w:rPr>
          <w:rFonts w:hint="eastAsia"/>
        </w:rPr>
        <w:t>。</w:t>
      </w:r>
    </w:p>
    <w:p w14:paraId="14096141">
      <w:pPr>
        <w:pStyle w:val="4"/>
        <w:keepNext w:val="0"/>
        <w:keepLines w:val="0"/>
        <w:tabs>
          <w:tab w:val="left" w:pos="540"/>
          <w:tab w:val="left" w:pos="1620"/>
          <w:tab w:val="left" w:pos="2340"/>
        </w:tabs>
        <w:spacing w:before="120" w:after="120"/>
        <w:ind w:left="178"/>
      </w:pPr>
      <w:bookmarkStart w:id="205" w:name="_Toc25987"/>
      <w:bookmarkStart w:id="206" w:name="_Toc20892"/>
      <w:bookmarkStart w:id="207" w:name="_Toc7686"/>
      <w:r>
        <w:rPr>
          <w:rFonts w:hint="eastAsia"/>
        </w:rPr>
        <w:t>15 工程质量和检测</w:t>
      </w:r>
      <w:bookmarkEnd w:id="205"/>
      <w:bookmarkEnd w:id="206"/>
      <w:bookmarkEnd w:id="207"/>
    </w:p>
    <w:p w14:paraId="64D3DED5">
      <w:pPr>
        <w:pStyle w:val="5"/>
        <w:tabs>
          <w:tab w:val="left" w:pos="540"/>
          <w:tab w:val="left" w:pos="900"/>
          <w:tab w:val="left" w:pos="2340"/>
          <w:tab w:val="left" w:pos="4032"/>
        </w:tabs>
        <w:spacing w:before="0" w:after="0" w:line="360" w:lineRule="auto"/>
        <w:ind w:left="359"/>
        <w:jc w:val="left"/>
        <w:rPr>
          <w:rFonts w:ascii="宋体" w:hAnsi="宋体"/>
          <w:sz w:val="24"/>
        </w:rPr>
      </w:pPr>
      <w:bookmarkStart w:id="208" w:name="_Toc1473"/>
      <w:bookmarkStart w:id="209" w:name="_Toc27517"/>
      <w:bookmarkStart w:id="210" w:name="_Toc7866"/>
      <w:r>
        <w:rPr>
          <w:rFonts w:hint="eastAsia" w:ascii="宋体" w:hAnsi="宋体"/>
          <w:sz w:val="24"/>
        </w:rPr>
        <w:t>15.7 工程质量检测费用</w:t>
      </w:r>
      <w:bookmarkEnd w:id="208"/>
      <w:bookmarkEnd w:id="209"/>
      <w:bookmarkEnd w:id="210"/>
    </w:p>
    <w:p w14:paraId="6BAEA92B">
      <w:pPr>
        <w:ind w:firstLine="360" w:firstLineChars="150"/>
      </w:pPr>
      <w:r>
        <w:rPr>
          <w:rFonts w:hint="eastAsia"/>
        </w:rPr>
        <w:t>本工程质量检验检测项目包括：</w:t>
      </w:r>
      <w:r>
        <w:rPr>
          <w:rFonts w:hint="eastAsia" w:eastAsia="Times New Roman"/>
          <w:u w:val="single"/>
        </w:rPr>
        <w:t>/</w:t>
      </w:r>
    </w:p>
    <w:p w14:paraId="09590741">
      <w:pPr>
        <w:pStyle w:val="4"/>
        <w:keepNext w:val="0"/>
        <w:keepLines w:val="0"/>
        <w:tabs>
          <w:tab w:val="left" w:pos="540"/>
          <w:tab w:val="left" w:pos="1620"/>
          <w:tab w:val="left" w:pos="2340"/>
        </w:tabs>
        <w:spacing w:before="120" w:after="120"/>
        <w:ind w:left="178"/>
      </w:pPr>
      <w:bookmarkStart w:id="211" w:name="_Toc12910"/>
      <w:bookmarkStart w:id="212" w:name="_Toc11133"/>
      <w:bookmarkStart w:id="213" w:name="_Toc23859"/>
      <w:r>
        <w:rPr>
          <w:rFonts w:hint="eastAsia"/>
        </w:rPr>
        <w:t>16 工程试运行</w:t>
      </w:r>
      <w:bookmarkEnd w:id="211"/>
      <w:bookmarkEnd w:id="212"/>
      <w:bookmarkEnd w:id="213"/>
    </w:p>
    <w:p w14:paraId="4270EDBD">
      <w:pPr>
        <w:pStyle w:val="5"/>
        <w:tabs>
          <w:tab w:val="left" w:pos="540"/>
          <w:tab w:val="left" w:pos="900"/>
          <w:tab w:val="left" w:pos="2340"/>
        </w:tabs>
        <w:spacing w:before="120" w:after="156"/>
        <w:ind w:left="359"/>
        <w:jc w:val="left"/>
        <w:rPr>
          <w:rFonts w:ascii="宋体" w:hAnsi="宋体"/>
          <w:sz w:val="24"/>
        </w:rPr>
      </w:pPr>
      <w:bookmarkStart w:id="214" w:name="_Toc21873"/>
      <w:bookmarkStart w:id="215" w:name="_Toc18618"/>
      <w:bookmarkStart w:id="216" w:name="_Toc22767"/>
      <w:r>
        <w:rPr>
          <w:rFonts w:hint="eastAsia" w:ascii="宋体" w:hAnsi="宋体"/>
          <w:sz w:val="24"/>
        </w:rPr>
        <w:t>16.1 工程试运行内容和程序</w:t>
      </w:r>
      <w:bookmarkEnd w:id="214"/>
      <w:bookmarkEnd w:id="215"/>
      <w:bookmarkEnd w:id="216"/>
    </w:p>
    <w:p w14:paraId="5803C263">
      <w:pPr>
        <w:ind w:firstLine="240" w:firstLineChars="100"/>
      </w:pPr>
      <w:r>
        <w:rPr>
          <w:rFonts w:hint="eastAsia"/>
        </w:rPr>
        <w:t>工程试运行的内容及其费用承担方式：</w:t>
      </w:r>
      <w:r>
        <w:rPr>
          <w:rFonts w:hint="eastAsia" w:eastAsia="Times New Roman"/>
          <w:u w:val="single"/>
        </w:rPr>
        <w:t>/</w:t>
      </w:r>
    </w:p>
    <w:p w14:paraId="3E4D4085">
      <w:pPr>
        <w:pStyle w:val="4"/>
        <w:keepNext w:val="0"/>
        <w:keepLines w:val="0"/>
        <w:tabs>
          <w:tab w:val="left" w:pos="540"/>
          <w:tab w:val="left" w:pos="1620"/>
          <w:tab w:val="left" w:pos="2340"/>
        </w:tabs>
        <w:spacing w:before="120" w:after="120"/>
        <w:ind w:left="178"/>
      </w:pPr>
      <w:bookmarkStart w:id="217" w:name="_Toc15766"/>
      <w:bookmarkStart w:id="218" w:name="_Toc5211"/>
      <w:bookmarkStart w:id="219" w:name="_Toc1469"/>
      <w:r>
        <w:rPr>
          <w:rFonts w:hint="eastAsia"/>
        </w:rPr>
        <w:t>17 安全文明施工</w:t>
      </w:r>
      <w:bookmarkEnd w:id="217"/>
      <w:bookmarkEnd w:id="218"/>
      <w:bookmarkEnd w:id="219"/>
    </w:p>
    <w:p w14:paraId="42EFD56C">
      <w:pPr>
        <w:pStyle w:val="5"/>
        <w:tabs>
          <w:tab w:val="left" w:pos="540"/>
          <w:tab w:val="left" w:pos="900"/>
          <w:tab w:val="left" w:pos="2340"/>
          <w:tab w:val="left" w:pos="4032"/>
        </w:tabs>
        <w:spacing w:before="120" w:after="156"/>
        <w:ind w:left="359"/>
        <w:jc w:val="left"/>
        <w:rPr>
          <w:rFonts w:ascii="宋体" w:hAnsi="宋体"/>
          <w:sz w:val="24"/>
        </w:rPr>
      </w:pPr>
      <w:bookmarkStart w:id="220" w:name="_Toc30654"/>
      <w:bookmarkStart w:id="221" w:name="_Toc12954"/>
      <w:bookmarkStart w:id="222" w:name="_Toc10128"/>
      <w:r>
        <w:rPr>
          <w:rFonts w:hint="eastAsia" w:ascii="宋体" w:hAnsi="宋体"/>
          <w:sz w:val="24"/>
        </w:rPr>
        <w:t>17.1发包人的安全文明施工责任</w:t>
      </w:r>
      <w:bookmarkEnd w:id="220"/>
      <w:bookmarkEnd w:id="221"/>
      <w:bookmarkEnd w:id="222"/>
    </w:p>
    <w:p w14:paraId="48333740">
      <w:pPr>
        <w:adjustRightInd w:val="0"/>
        <w:snapToGrid w:val="0"/>
        <w:spacing w:line="360" w:lineRule="auto"/>
        <w:ind w:firstLine="480" w:firstLineChars="200"/>
        <w:rPr>
          <w:u w:val="single"/>
        </w:rPr>
      </w:pPr>
      <w:r>
        <w:rPr>
          <w:rFonts w:hint="eastAsia"/>
          <w:snapToGrid w:val="0"/>
        </w:rPr>
        <w:t>(6)发包人应承担的安全文明施工责任：</w:t>
      </w:r>
      <w:r>
        <w:rPr>
          <w:rFonts w:hint="eastAsia"/>
          <w:u w:val="single"/>
        </w:rPr>
        <w:t xml:space="preserve"> 1、发包人配合承包人进行房屋拆除前逐户验收及锁匙移交工作，采用书面形式办理移交手续。</w:t>
      </w:r>
    </w:p>
    <w:p w14:paraId="312BC64F">
      <w:pPr>
        <w:adjustRightInd w:val="0"/>
        <w:snapToGrid w:val="0"/>
        <w:spacing w:line="360" w:lineRule="auto"/>
        <w:ind w:firstLine="480" w:firstLineChars="200"/>
        <w:rPr>
          <w:u w:val="single"/>
        </w:rPr>
      </w:pPr>
      <w:r>
        <w:rPr>
          <w:rFonts w:hint="eastAsia"/>
          <w:u w:val="single"/>
        </w:rPr>
        <w:t>2、发包人根据项目建筑物拆除工程的实际情况决定各个单体工程的开工时间，并以书面形式通知承包人。发包人根据需要安排具体拆除（或停止拆除）的时间，承包人必须服从发包人安排及做好相应的配合。合同范围内的各单体工程之间拆除施工间歇，发包人不承担任何费用。</w:t>
      </w:r>
    </w:p>
    <w:p w14:paraId="2ABA7175">
      <w:pPr>
        <w:adjustRightInd w:val="0"/>
        <w:snapToGrid w:val="0"/>
        <w:spacing w:line="360" w:lineRule="auto"/>
        <w:ind w:firstLine="480" w:firstLineChars="200"/>
        <w:rPr>
          <w:u w:val="single"/>
        </w:rPr>
      </w:pPr>
      <w:r>
        <w:rPr>
          <w:rFonts w:hint="eastAsia"/>
          <w:u w:val="single"/>
        </w:rPr>
        <w:t>3、发包人有权对承包人的施工方案、安全保障措施、工程进度、质量、管理等进行检查监督，对承包人施工方案、安全保障措施等不完善的方面，发包人有权提出完善整改意见。</w:t>
      </w:r>
    </w:p>
    <w:p w14:paraId="2680E713">
      <w:pPr>
        <w:adjustRightInd w:val="0"/>
        <w:snapToGrid w:val="0"/>
        <w:spacing w:line="360" w:lineRule="auto"/>
        <w:ind w:firstLine="480" w:firstLineChars="200"/>
        <w:rPr>
          <w:u w:val="single"/>
        </w:rPr>
      </w:pPr>
      <w:r>
        <w:rPr>
          <w:rFonts w:hint="eastAsia"/>
          <w:u w:val="single"/>
        </w:rPr>
        <w:t>4、发包人有权对承包人在施工中的违规操作进行制止。</w:t>
      </w:r>
    </w:p>
    <w:p w14:paraId="10C25DD2">
      <w:pPr>
        <w:adjustRightInd w:val="0"/>
        <w:snapToGrid w:val="0"/>
        <w:spacing w:line="360" w:lineRule="auto"/>
        <w:ind w:firstLine="480" w:firstLineChars="200"/>
        <w:rPr>
          <w:u w:val="single"/>
        </w:rPr>
      </w:pPr>
      <w:r>
        <w:rPr>
          <w:rFonts w:hint="eastAsia"/>
          <w:u w:val="single"/>
        </w:rPr>
        <w:t>5、发包人有权对承包人违法违规行为进行处罚。</w:t>
      </w:r>
    </w:p>
    <w:p w14:paraId="3400D4EF">
      <w:r>
        <w:rPr>
          <w:rFonts w:hint="eastAsia"/>
          <w:u w:val="single"/>
        </w:rPr>
        <w:t>6、发包人有权委托监理单位（项目管理单位）对本拆除工程进行管理。若发包人进行委托，承包人需服从发包人的统筹安排，全力配合监理单位（项目管理单位）在职权范围内的工作。</w:t>
      </w:r>
    </w:p>
    <w:p w14:paraId="794C14A7">
      <w:pPr>
        <w:pStyle w:val="5"/>
        <w:tabs>
          <w:tab w:val="left" w:pos="540"/>
          <w:tab w:val="left" w:pos="900"/>
          <w:tab w:val="left" w:pos="2340"/>
          <w:tab w:val="left" w:pos="4032"/>
        </w:tabs>
        <w:spacing w:before="120" w:after="156"/>
        <w:ind w:left="359"/>
        <w:jc w:val="left"/>
        <w:rPr>
          <w:rFonts w:ascii="宋体" w:hAnsi="宋体"/>
          <w:sz w:val="24"/>
        </w:rPr>
      </w:pPr>
      <w:bookmarkStart w:id="223" w:name="_Toc147"/>
      <w:bookmarkStart w:id="224" w:name="_Toc6212"/>
      <w:bookmarkStart w:id="225" w:name="_Toc10706"/>
      <w:r>
        <w:rPr>
          <w:rFonts w:hint="eastAsia" w:ascii="宋体" w:hAnsi="宋体"/>
          <w:sz w:val="24"/>
        </w:rPr>
        <w:t>17.2 承包人的安全文明施工责任</w:t>
      </w:r>
      <w:bookmarkEnd w:id="223"/>
      <w:bookmarkEnd w:id="224"/>
      <w:bookmarkEnd w:id="225"/>
    </w:p>
    <w:p w14:paraId="0B50D97F">
      <w:pPr>
        <w:adjustRightInd w:val="0"/>
        <w:snapToGrid w:val="0"/>
        <w:spacing w:line="360" w:lineRule="auto"/>
        <w:ind w:firstLine="480" w:firstLineChars="200"/>
        <w:rPr>
          <w:rFonts w:cs="Times New Roman"/>
          <w:bCs/>
          <w:snapToGrid w:val="0"/>
          <w:kern w:val="2"/>
        </w:rPr>
      </w:pPr>
      <w:r>
        <w:rPr>
          <w:rFonts w:hint="eastAsia" w:cs="Times New Roman"/>
          <w:bCs/>
          <w:snapToGrid w:val="0"/>
          <w:kern w:val="2"/>
        </w:rPr>
        <w:t>(9)承包人应承担的安全文明施工责任：</w:t>
      </w:r>
    </w:p>
    <w:p w14:paraId="7C64FC10">
      <w:pPr>
        <w:adjustRightInd w:val="0"/>
        <w:snapToGrid w:val="0"/>
        <w:spacing w:line="360" w:lineRule="auto"/>
        <w:ind w:firstLine="482" w:firstLineChars="200"/>
        <w:rPr>
          <w:b/>
          <w:bCs/>
          <w:u w:val="single"/>
        </w:rPr>
      </w:pPr>
      <w:r>
        <w:rPr>
          <w:rFonts w:hint="eastAsia"/>
          <w:b/>
          <w:bCs/>
          <w:u w:val="single"/>
        </w:rPr>
        <w:t>（一）质量管理</w:t>
      </w:r>
    </w:p>
    <w:p w14:paraId="579B49F7">
      <w:pPr>
        <w:adjustRightInd w:val="0"/>
        <w:snapToGrid w:val="0"/>
        <w:spacing w:line="360" w:lineRule="auto"/>
        <w:ind w:firstLine="480" w:firstLineChars="200"/>
        <w:rPr>
          <w:u w:val="single"/>
        </w:rPr>
      </w:pPr>
      <w:r>
        <w:rPr>
          <w:rFonts w:hint="eastAsia"/>
          <w:u w:val="single"/>
        </w:rPr>
        <w:t>1、工程质量按国家及行业的有关技术规范组织及设计文件中的技术要求进行施工，确保工程质量。</w:t>
      </w:r>
    </w:p>
    <w:p w14:paraId="1ABE9365">
      <w:pPr>
        <w:adjustRightInd w:val="0"/>
        <w:snapToGrid w:val="0"/>
        <w:spacing w:line="360" w:lineRule="auto"/>
        <w:ind w:firstLine="480" w:firstLineChars="200"/>
        <w:rPr>
          <w:u w:val="single"/>
        </w:rPr>
      </w:pPr>
      <w:r>
        <w:rPr>
          <w:rFonts w:hint="eastAsia"/>
          <w:u w:val="single"/>
        </w:rPr>
        <w:t>2、完成所有建筑物、构筑物、附着物拆除工程，拆除后严禁回填生活垃圾，拆除建筑物、构筑物、附着物范围内外严禁堆放生活垃圾。</w:t>
      </w:r>
    </w:p>
    <w:p w14:paraId="529CE6F6">
      <w:pPr>
        <w:adjustRightInd w:val="0"/>
        <w:snapToGrid w:val="0"/>
        <w:spacing w:line="360" w:lineRule="auto"/>
        <w:ind w:firstLine="480" w:firstLineChars="200"/>
        <w:rPr>
          <w:u w:val="single"/>
        </w:rPr>
      </w:pPr>
      <w:r>
        <w:rPr>
          <w:rFonts w:hint="eastAsia"/>
          <w:u w:val="single"/>
        </w:rPr>
        <w:t>3、承包人应拆除场地内所有建筑物及附属构筑物的地上建筑主体以以原建筑物首层地面为准。承包人完成渣土清运后移交给发包人场地时，任何地方标高均不得高于原首层地面标高（标高差均在正负10cm）整平场地。</w:t>
      </w:r>
    </w:p>
    <w:p w14:paraId="3DFAE4BB">
      <w:pPr>
        <w:adjustRightInd w:val="0"/>
        <w:snapToGrid w:val="0"/>
        <w:spacing w:line="360" w:lineRule="auto"/>
        <w:ind w:firstLine="480" w:firstLineChars="200"/>
        <w:rPr>
          <w:u w:val="single"/>
        </w:rPr>
      </w:pPr>
      <w:r>
        <w:rPr>
          <w:rFonts w:hint="eastAsia"/>
          <w:u w:val="single"/>
        </w:rPr>
        <w:t>4、承包人进场拆除施工前，必须对被拆除物及其周围进行详细踏勘，对拆除施工全面规划，编制拆除施工组织设计和安全技术措施，特别是临近市政道路的单体建筑物，要求承包人有专项的单体拆除施工组织设计和安全技术措施，（要求施工期内必须采用全封闭围挡，且围挡在拆除工程结束后做原状保留，至发包人通知拆除围挡时为止，相邻片区的围挡应保持风格统一，围挡交界处，承包人应自行与相邻施工单位协调确定工作量，避免发生矛盾，若因协调不当造成工期延误，将按照本合同第28条违约责任条款处理），并经发包人及相关部门审核通过后方可进行施工。</w:t>
      </w:r>
    </w:p>
    <w:p w14:paraId="235D0A25">
      <w:pPr>
        <w:adjustRightInd w:val="0"/>
        <w:snapToGrid w:val="0"/>
        <w:spacing w:line="360" w:lineRule="auto"/>
        <w:ind w:firstLine="480" w:firstLineChars="200"/>
        <w:rPr>
          <w:u w:val="single"/>
        </w:rPr>
      </w:pPr>
      <w:r>
        <w:rPr>
          <w:rFonts w:hint="eastAsia"/>
          <w:u w:val="single"/>
        </w:rPr>
        <w:t>5、本次拆除工程质量严格按照工程范围要求，并做好场内及周边设备设施、管道及周围建筑物、树木的保护工作，无任何受损事件发生；综合废弃物及时清运至场外，且综合废弃物处理质量满足深圳市相关要求。</w:t>
      </w:r>
    </w:p>
    <w:p w14:paraId="20AB2263">
      <w:pPr>
        <w:adjustRightInd w:val="0"/>
        <w:snapToGrid w:val="0"/>
        <w:spacing w:line="360" w:lineRule="auto"/>
        <w:ind w:firstLine="480" w:firstLineChars="200"/>
        <w:rPr>
          <w:u w:val="single"/>
        </w:rPr>
      </w:pPr>
      <w:r>
        <w:rPr>
          <w:rFonts w:hint="eastAsia"/>
          <w:u w:val="single"/>
        </w:rPr>
        <w:t>6、承包人在施工现场必须配备合格、齐全的管理人员，建立完善的质量、进度保证体系，制定详细的场内及周边设备设施、管道及周围建筑物、行人、车辆、树木的保护方案，并严格落实。</w:t>
      </w:r>
    </w:p>
    <w:p w14:paraId="3BB1FC10">
      <w:pPr>
        <w:adjustRightInd w:val="0"/>
        <w:snapToGrid w:val="0"/>
        <w:spacing w:line="360" w:lineRule="auto"/>
        <w:ind w:firstLine="480" w:firstLineChars="200"/>
        <w:rPr>
          <w:u w:val="single"/>
        </w:rPr>
      </w:pPr>
      <w:r>
        <w:rPr>
          <w:rFonts w:hint="eastAsia"/>
          <w:u w:val="single"/>
        </w:rPr>
        <w:t>7、应按有关规范、设计要求及发包人的指令进行施工，随时接受发包人的检查，为检查提供便利条件，及时根据要求向发包人提供与工程质量有关的技术资料并按检查结果进行整改。</w:t>
      </w:r>
    </w:p>
    <w:p w14:paraId="56DEBDE7">
      <w:pPr>
        <w:adjustRightInd w:val="0"/>
        <w:snapToGrid w:val="0"/>
        <w:spacing w:line="360" w:lineRule="auto"/>
        <w:ind w:firstLine="480" w:firstLineChars="200"/>
        <w:rPr>
          <w:u w:val="single"/>
        </w:rPr>
      </w:pPr>
      <w:r>
        <w:rPr>
          <w:rFonts w:hint="eastAsia"/>
          <w:u w:val="single"/>
        </w:rPr>
        <w:t>8、各项验收资料需按发包人要求时间内（以现场工期为准）完成并自检合格后提交监理单位及发包方验收。如不按时提交发包人将按情节严重给予每天5000元及以上罚款。</w:t>
      </w:r>
    </w:p>
    <w:p w14:paraId="78913E60">
      <w:pPr>
        <w:adjustRightInd w:val="0"/>
        <w:snapToGrid w:val="0"/>
        <w:spacing w:line="360" w:lineRule="auto"/>
        <w:ind w:firstLine="482" w:firstLineChars="200"/>
        <w:rPr>
          <w:b/>
          <w:bCs/>
          <w:u w:val="single"/>
        </w:rPr>
      </w:pPr>
      <w:r>
        <w:rPr>
          <w:rFonts w:hint="eastAsia"/>
          <w:b/>
          <w:bCs/>
          <w:u w:val="single"/>
        </w:rPr>
        <w:t>（二）安全文明施工管理</w:t>
      </w:r>
    </w:p>
    <w:p w14:paraId="6C3D3F99">
      <w:pPr>
        <w:adjustRightInd w:val="0"/>
        <w:snapToGrid w:val="0"/>
        <w:spacing w:line="360" w:lineRule="auto"/>
        <w:ind w:firstLine="480" w:firstLineChars="200"/>
        <w:rPr>
          <w:u w:val="single"/>
        </w:rPr>
      </w:pPr>
      <w:r>
        <w:rPr>
          <w:rFonts w:hint="eastAsia"/>
          <w:u w:val="single"/>
        </w:rPr>
        <w:t>1、除非有发包人明确书面拆除指令，承包人有责任对现场的水、电、气设施及地下构筑物进行保护，如承包人未履行上述义务，造成水、电、气设施和地下构筑物毁坏，全部由承包人负责修复并承担由此所发生的费用，由此造成的工期不予顺延。</w:t>
      </w:r>
    </w:p>
    <w:p w14:paraId="64DD926E">
      <w:pPr>
        <w:adjustRightInd w:val="0"/>
        <w:snapToGrid w:val="0"/>
        <w:spacing w:line="360" w:lineRule="auto"/>
        <w:ind w:firstLine="480" w:firstLineChars="200"/>
        <w:rPr>
          <w:u w:val="single"/>
        </w:rPr>
      </w:pPr>
      <w:r>
        <w:rPr>
          <w:rFonts w:hint="eastAsia"/>
          <w:u w:val="single"/>
        </w:rPr>
        <w:t>2、承包人拆除施工人员应当经培训，并取得《拆除施工管理员上岗证》或《建筑工人（拆除工）上岗证》后方可上岗。</w:t>
      </w:r>
    </w:p>
    <w:p w14:paraId="40075FE3">
      <w:pPr>
        <w:adjustRightInd w:val="0"/>
        <w:snapToGrid w:val="0"/>
        <w:spacing w:line="360" w:lineRule="auto"/>
        <w:ind w:firstLine="480" w:firstLineChars="200"/>
        <w:rPr>
          <w:u w:val="single"/>
        </w:rPr>
      </w:pPr>
      <w:r>
        <w:rPr>
          <w:rFonts w:hint="eastAsia"/>
          <w:u w:val="single"/>
        </w:rPr>
        <w:t>3、拆除工程噪声应符合国家《建筑施工场界噪声限值》的规定和深圳市相关规定。临近住宅区域夜间不得进行拆除施工，必须进行夜间施工的，应经发包人同意后，由承包人向拆除工程所在地的有关部门提出申请，获准后施工。</w:t>
      </w:r>
    </w:p>
    <w:p w14:paraId="2682110B">
      <w:pPr>
        <w:adjustRightInd w:val="0"/>
        <w:snapToGrid w:val="0"/>
        <w:spacing w:line="360" w:lineRule="auto"/>
        <w:ind w:firstLine="480" w:firstLineChars="200"/>
        <w:rPr>
          <w:u w:val="single"/>
        </w:rPr>
      </w:pPr>
      <w:r>
        <w:rPr>
          <w:rFonts w:hint="eastAsia"/>
          <w:u w:val="single"/>
        </w:rPr>
        <w:t>4、人工拆除主要扬尘环节应有控制措施，机械拆除、爆破拆除或垃圾清运，应采用湿法作业，或配备洒水车，确保拆除时无粉尘飞扬。</w:t>
      </w:r>
    </w:p>
    <w:p w14:paraId="03B4D7D1">
      <w:pPr>
        <w:adjustRightInd w:val="0"/>
        <w:snapToGrid w:val="0"/>
        <w:spacing w:line="360" w:lineRule="auto"/>
        <w:ind w:firstLine="480" w:firstLineChars="200"/>
        <w:rPr>
          <w:u w:val="single"/>
        </w:rPr>
      </w:pPr>
      <w:r>
        <w:rPr>
          <w:rFonts w:hint="eastAsia"/>
          <w:u w:val="single"/>
        </w:rPr>
        <w:t>5、建筑废弃物的综合减排回收利用处理方案应与国家和省、市所倡导的节能、节水、环保、可持续发展、循环经济的政策法规相符。</w:t>
      </w:r>
    </w:p>
    <w:p w14:paraId="33D14DCE">
      <w:pPr>
        <w:adjustRightInd w:val="0"/>
        <w:snapToGrid w:val="0"/>
        <w:spacing w:line="360" w:lineRule="auto"/>
        <w:ind w:firstLine="480" w:firstLineChars="200"/>
        <w:rPr>
          <w:u w:val="single"/>
        </w:rPr>
      </w:pPr>
      <w:r>
        <w:rPr>
          <w:rFonts w:hint="eastAsia"/>
          <w:u w:val="single"/>
        </w:rPr>
        <w:t>6、建筑垃圾清运车辆，出施工场地前必须经过仔细清洗。经监理工程师同意后才可发车。</w:t>
      </w:r>
    </w:p>
    <w:p w14:paraId="76247BA4">
      <w:pPr>
        <w:adjustRightInd w:val="0"/>
        <w:snapToGrid w:val="0"/>
        <w:spacing w:line="360" w:lineRule="auto"/>
        <w:ind w:firstLine="480" w:firstLineChars="200"/>
        <w:rPr>
          <w:u w:val="single"/>
        </w:rPr>
      </w:pPr>
      <w:r>
        <w:rPr>
          <w:rFonts w:hint="eastAsia"/>
          <w:u w:val="single"/>
        </w:rPr>
        <w:t>7、本项目拆除工程应符合《深圳市房屋拆除工程管理办法》、《深圳市建筑废弃物减排与利用条例》（2009年10月1日起施行）、《深圳市人民政府办公厅关于进一步加强建筑废弃物减排与利用工作的通知》（深府办函[2012]130号）等文件规定，施工期间若政府有关部门出台新的规定，则依据新规定实施，相应费用均已包含在投标报价中，不做调整。</w:t>
      </w:r>
    </w:p>
    <w:p w14:paraId="098952AB">
      <w:pPr>
        <w:adjustRightInd w:val="0"/>
        <w:snapToGrid w:val="0"/>
        <w:spacing w:line="360" w:lineRule="auto"/>
        <w:ind w:firstLine="480" w:firstLineChars="200"/>
        <w:rPr>
          <w:u w:val="single"/>
        </w:rPr>
      </w:pPr>
      <w:r>
        <w:rPr>
          <w:rFonts w:hint="eastAsia"/>
          <w:u w:val="single"/>
        </w:rPr>
        <w:t>8、防护棚搭设要求应满足《深圳市建设工程安全文明施工十项标准》要求。</w:t>
      </w:r>
    </w:p>
    <w:p w14:paraId="105059D3">
      <w:pPr>
        <w:adjustRightInd w:val="0"/>
        <w:snapToGrid w:val="0"/>
        <w:spacing w:line="360" w:lineRule="auto"/>
        <w:ind w:firstLine="480" w:firstLineChars="200"/>
        <w:rPr>
          <w:u w:val="single"/>
        </w:rPr>
      </w:pPr>
      <w:r>
        <w:rPr>
          <w:rFonts w:hint="eastAsia"/>
          <w:u w:val="single"/>
        </w:rPr>
        <w:t>9、拆除施工采用的脚手架、安全网，必须由专业人员按设计方案搭设，由有关专业人员验收后方可使用，水平作业时操作人员应保持安全距离。</w:t>
      </w:r>
    </w:p>
    <w:p w14:paraId="435190E1">
      <w:pPr>
        <w:adjustRightInd w:val="0"/>
        <w:snapToGrid w:val="0"/>
        <w:spacing w:line="360" w:lineRule="auto"/>
        <w:ind w:firstLine="480" w:firstLineChars="200"/>
        <w:rPr>
          <w:u w:val="single"/>
        </w:rPr>
      </w:pPr>
      <w:r>
        <w:rPr>
          <w:rFonts w:hint="eastAsia"/>
          <w:u w:val="single"/>
        </w:rPr>
        <w:t>10、安全防护设施验收时应按类别逐项查验，并有验收记录。</w:t>
      </w:r>
    </w:p>
    <w:p w14:paraId="1BE987B4">
      <w:pPr>
        <w:adjustRightInd w:val="0"/>
        <w:snapToGrid w:val="0"/>
        <w:spacing w:line="360" w:lineRule="auto"/>
        <w:ind w:firstLine="480" w:firstLineChars="200"/>
        <w:rPr>
          <w:u w:val="single"/>
        </w:rPr>
      </w:pPr>
      <w:r>
        <w:rPr>
          <w:rFonts w:hint="eastAsia"/>
          <w:u w:val="single"/>
        </w:rPr>
        <w:t>11、作业人员必须配备相应的劳动保护用品，并正确使用。</w:t>
      </w:r>
    </w:p>
    <w:p w14:paraId="0C79C41A">
      <w:pPr>
        <w:adjustRightInd w:val="0"/>
        <w:snapToGrid w:val="0"/>
        <w:spacing w:line="360" w:lineRule="auto"/>
        <w:ind w:firstLine="480" w:firstLineChars="200"/>
        <w:rPr>
          <w:u w:val="single"/>
        </w:rPr>
      </w:pPr>
      <w:r>
        <w:rPr>
          <w:rFonts w:hint="eastAsia"/>
          <w:u w:val="single"/>
        </w:rPr>
        <w:t>12、施工单位必须依据拆除工程安全施工组织设计或安全专项施工方案施工，在拆除施工现场划定危险区域并设置警戒线和相关的安全标志，应派专人监管。</w:t>
      </w:r>
    </w:p>
    <w:p w14:paraId="00ACC1FB">
      <w:pPr>
        <w:adjustRightInd w:val="0"/>
        <w:snapToGrid w:val="0"/>
        <w:spacing w:line="360" w:lineRule="auto"/>
        <w:ind w:firstLine="480" w:firstLineChars="200"/>
        <w:rPr>
          <w:u w:val="single"/>
        </w:rPr>
      </w:pPr>
      <w:r>
        <w:rPr>
          <w:rFonts w:hint="eastAsia"/>
          <w:u w:val="single"/>
        </w:rPr>
        <w:t>13、房屋拆除施工现场应对毗邻建筑物、构筑物、地下管线、电气设施（含户外柜、临时箱变、配电室）等采取专项防护措施。房屋拆除施工危及周边安全的，应立即停工；采取相应整改措施并确认安全后，方可恢复施工。拆除施工严禁立体交叉作业。</w:t>
      </w:r>
    </w:p>
    <w:p w14:paraId="2A9A8588">
      <w:pPr>
        <w:adjustRightInd w:val="0"/>
        <w:snapToGrid w:val="0"/>
        <w:spacing w:line="360" w:lineRule="auto"/>
        <w:ind w:firstLine="480" w:firstLineChars="200"/>
        <w:rPr>
          <w:u w:val="single"/>
        </w:rPr>
      </w:pPr>
      <w:r>
        <w:rPr>
          <w:rFonts w:hint="eastAsia"/>
          <w:u w:val="single"/>
        </w:rPr>
        <w:t>14、承包方应为施工人员应办理相关手续，签订劳动合同，购买人身意外险，配备齐全及合格的劳动防护用品；进场前需进行安全培训，考试合格后方可上岗作业；特种作业人员应取得相关资质证书。</w:t>
      </w:r>
    </w:p>
    <w:p w14:paraId="42E4CF61">
      <w:pPr>
        <w:adjustRightInd w:val="0"/>
        <w:snapToGrid w:val="0"/>
        <w:spacing w:line="360" w:lineRule="auto"/>
        <w:ind w:firstLine="480" w:firstLineChars="200"/>
        <w:rPr>
          <w:u w:val="single"/>
        </w:rPr>
      </w:pPr>
      <w:r>
        <w:rPr>
          <w:rFonts w:hint="eastAsia"/>
          <w:u w:val="single"/>
        </w:rPr>
        <w:t>15、拆除工程施工前，必须对施工作业人员进行书面安全技术交底。</w:t>
      </w:r>
    </w:p>
    <w:p w14:paraId="05F94BA2">
      <w:pPr>
        <w:adjustRightInd w:val="0"/>
        <w:snapToGrid w:val="0"/>
        <w:spacing w:line="360" w:lineRule="auto"/>
        <w:ind w:firstLine="480" w:firstLineChars="200"/>
        <w:rPr>
          <w:u w:val="single"/>
        </w:rPr>
      </w:pPr>
      <w:r>
        <w:rPr>
          <w:rFonts w:hint="eastAsia"/>
          <w:u w:val="single"/>
        </w:rPr>
        <w:t>16、房屋拆除开始前，需联合监理及相关单位对房屋及周边安全情况进行核查，检查合格后，应立即对相关拆除区域及拆除涉及到的危险区域进行警示隔离，派专人监管，在确保安全后方可开展拆除工作。</w:t>
      </w:r>
    </w:p>
    <w:p w14:paraId="06A4A638">
      <w:pPr>
        <w:adjustRightInd w:val="0"/>
        <w:snapToGrid w:val="0"/>
        <w:spacing w:line="360" w:lineRule="auto"/>
        <w:ind w:firstLine="480" w:firstLineChars="200"/>
        <w:rPr>
          <w:u w:val="single"/>
        </w:rPr>
      </w:pPr>
      <w:r>
        <w:rPr>
          <w:rFonts w:hint="eastAsia"/>
          <w:u w:val="single"/>
        </w:rPr>
        <w:t>17、在恶劣的气候条件下，严禁进行拆除作业。</w:t>
      </w:r>
    </w:p>
    <w:p w14:paraId="53E932C7">
      <w:pPr>
        <w:adjustRightInd w:val="0"/>
        <w:snapToGrid w:val="0"/>
        <w:spacing w:line="360" w:lineRule="auto"/>
        <w:ind w:firstLine="480" w:firstLineChars="200"/>
        <w:rPr>
          <w:u w:val="single"/>
        </w:rPr>
      </w:pPr>
      <w:r>
        <w:rPr>
          <w:rFonts w:hint="eastAsia"/>
          <w:u w:val="single"/>
        </w:rPr>
        <w:t>18、当日拆除施工结束后，所有机械设备应远离被拆除建筑。施工期间的临时设施应与被拆除建筑保持安全距离。</w:t>
      </w:r>
    </w:p>
    <w:p w14:paraId="75DCD123">
      <w:pPr>
        <w:adjustRightInd w:val="0"/>
        <w:snapToGrid w:val="0"/>
        <w:spacing w:line="360" w:lineRule="auto"/>
        <w:ind w:firstLine="480" w:firstLineChars="200"/>
        <w:rPr>
          <w:u w:val="single"/>
        </w:rPr>
      </w:pPr>
      <w:r>
        <w:rPr>
          <w:rFonts w:hint="eastAsia"/>
          <w:u w:val="single"/>
        </w:rPr>
        <w:t>19、施工现场临时用电必须按照国家现行标准《施工现场临时用电安全技术规范》JGJ46-2005的有关规定执行。</w:t>
      </w:r>
    </w:p>
    <w:p w14:paraId="6344235C">
      <w:pPr>
        <w:adjustRightInd w:val="0"/>
        <w:snapToGrid w:val="0"/>
        <w:spacing w:line="360" w:lineRule="auto"/>
        <w:ind w:firstLine="480" w:firstLineChars="200"/>
        <w:rPr>
          <w:u w:val="single"/>
        </w:rPr>
      </w:pPr>
      <w:r>
        <w:rPr>
          <w:rFonts w:hint="eastAsia"/>
          <w:u w:val="single"/>
        </w:rPr>
        <w:t>20、施工现场应建立健全动火管理制度。施工作业动火时，必须履行动火审批手续，领取动火证后方可在指定时间、地点作业。作业时应配备专人监护，作业后应必须确认无火源危险后，方可离开作业地点。</w:t>
      </w:r>
    </w:p>
    <w:p w14:paraId="4DE5FC14">
      <w:pPr>
        <w:adjustRightInd w:val="0"/>
        <w:snapToGrid w:val="0"/>
        <w:spacing w:line="360" w:lineRule="auto"/>
        <w:ind w:firstLine="480" w:firstLineChars="200"/>
        <w:rPr>
          <w:u w:val="single"/>
        </w:rPr>
      </w:pPr>
      <w:r>
        <w:rPr>
          <w:rFonts w:hint="eastAsia"/>
          <w:u w:val="single"/>
        </w:rPr>
        <w:t>21、拆除建筑时，当遇到易燃、可燃物及保温材料时，严禁明火作业。</w:t>
      </w:r>
    </w:p>
    <w:p w14:paraId="55AB748B">
      <w:pPr>
        <w:adjustRightInd w:val="0"/>
        <w:snapToGrid w:val="0"/>
        <w:spacing w:line="360" w:lineRule="auto"/>
        <w:ind w:firstLine="480" w:firstLineChars="200"/>
        <w:rPr>
          <w:u w:val="single"/>
        </w:rPr>
      </w:pPr>
      <w:r>
        <w:rPr>
          <w:rFonts w:hint="eastAsia"/>
          <w:u w:val="single"/>
        </w:rPr>
        <w:t>22、拆除工程施工过程中，当发生重大险情或生产事故时应及时启动应急预案排除险情，组织抢救，保护事故现场，并向发包人及有关部门报告。</w:t>
      </w:r>
    </w:p>
    <w:p w14:paraId="61BA16CA">
      <w:pPr>
        <w:adjustRightInd w:val="0"/>
        <w:snapToGrid w:val="0"/>
        <w:spacing w:line="360" w:lineRule="auto"/>
        <w:ind w:firstLine="480" w:firstLineChars="200"/>
        <w:rPr>
          <w:u w:val="single"/>
        </w:rPr>
      </w:pPr>
      <w:r>
        <w:rPr>
          <w:rFonts w:hint="eastAsia"/>
          <w:u w:val="single"/>
        </w:rPr>
        <w:t>23、使用深圳市围挡提升改造工程的新型钢结构围挡对本工程四周红线范围进行围挡封闭，在围挡外侧张贴（悬挂）有关宣传、警示标语，并在围挡内侧搭设6~12m高的钢管脚手架（挂防尘网）防止扬尘向外扩散污染环境。围挡要求符合《深圳市建设工程施工围挡改造提升工作方案》（深建质安〔2017〕264号）以及《深圳市住房和建设局关于进一步做好建设工程施工围挡改造提升工作的紧急通知》（深建质安〔2018〕30号），围挡喷涂按发包人要求实施，围挡费用已包含在投标报价中。</w:t>
      </w:r>
    </w:p>
    <w:p w14:paraId="507252C7">
      <w:pPr>
        <w:adjustRightInd w:val="0"/>
        <w:snapToGrid w:val="0"/>
        <w:spacing w:line="360" w:lineRule="auto"/>
        <w:ind w:firstLine="480" w:firstLineChars="200"/>
        <w:rPr>
          <w:u w:val="single"/>
        </w:rPr>
      </w:pPr>
      <w:r>
        <w:rPr>
          <w:rFonts w:hint="eastAsia"/>
          <w:u w:val="single"/>
        </w:rPr>
        <w:t>24、在每个工程拆除范围内设置至少一个入口和一个出口，在出口处设置洗车槽对离开工地的泥头车等车辆进行冲洗，保证市政道路的清洁，严禁将污水直接排放至市政管网。</w:t>
      </w:r>
    </w:p>
    <w:p w14:paraId="3BC4439F">
      <w:pPr>
        <w:adjustRightInd w:val="0"/>
        <w:snapToGrid w:val="0"/>
        <w:spacing w:line="360" w:lineRule="auto"/>
        <w:ind w:firstLine="480" w:firstLineChars="200"/>
        <w:rPr>
          <w:u w:val="single"/>
        </w:rPr>
      </w:pPr>
      <w:r>
        <w:rPr>
          <w:rFonts w:hint="eastAsia"/>
          <w:u w:val="single"/>
        </w:rPr>
        <w:t>25、工地各出入口应安装监控摄像头及照明设备，摄像头的分辨率及照度应满足能清晰记录车牌及反映车辆冲洗情况的要求，录像记录要求连续保存 1 个月以上。</w:t>
      </w:r>
    </w:p>
    <w:p w14:paraId="0D6D7520">
      <w:pPr>
        <w:adjustRightInd w:val="0"/>
        <w:snapToGrid w:val="0"/>
        <w:spacing w:line="360" w:lineRule="auto"/>
        <w:ind w:firstLine="480" w:firstLineChars="200"/>
        <w:rPr>
          <w:u w:val="single"/>
        </w:rPr>
      </w:pPr>
      <w:r>
        <w:rPr>
          <w:rFonts w:hint="eastAsia"/>
          <w:u w:val="single"/>
        </w:rPr>
        <w:t>26、清运渣土的车辆应封闭或覆盖，出入现场时应有专人指挥。清运渣土的作业时间及路线应遵循深圳市有关规定。</w:t>
      </w:r>
    </w:p>
    <w:p w14:paraId="7AFAC9EF">
      <w:pPr>
        <w:adjustRightInd w:val="0"/>
        <w:snapToGrid w:val="0"/>
        <w:spacing w:line="360" w:lineRule="auto"/>
        <w:ind w:firstLine="480" w:firstLineChars="200"/>
        <w:rPr>
          <w:u w:val="single"/>
        </w:rPr>
      </w:pPr>
      <w:r>
        <w:rPr>
          <w:rFonts w:hint="eastAsia"/>
          <w:u w:val="single"/>
        </w:rPr>
        <w:t>27、对地下的各类管线，承包单位应在地面上设置明显标识。对水电气的检查井、污水井应采取相应的保护措施。</w:t>
      </w:r>
    </w:p>
    <w:p w14:paraId="2EB39E7B">
      <w:pPr>
        <w:adjustRightInd w:val="0"/>
        <w:snapToGrid w:val="0"/>
        <w:spacing w:line="360" w:lineRule="auto"/>
        <w:ind w:firstLine="480" w:firstLineChars="200"/>
        <w:rPr>
          <w:u w:val="single"/>
        </w:rPr>
      </w:pPr>
      <w:r>
        <w:rPr>
          <w:rFonts w:hint="eastAsia"/>
          <w:u w:val="single"/>
        </w:rPr>
        <w:t>28、承包单位应按规定编制环境污染防治实施方案，切实做好房屋拆除作业现场扬尘、噪声等污染的防控，并接受建设行政主管部门及环保部门的监督管理。</w:t>
      </w:r>
    </w:p>
    <w:p w14:paraId="604FB693">
      <w:pPr>
        <w:adjustRightInd w:val="0"/>
        <w:snapToGrid w:val="0"/>
        <w:spacing w:line="360" w:lineRule="auto"/>
        <w:ind w:firstLine="480" w:firstLineChars="200"/>
        <w:rPr>
          <w:u w:val="single"/>
        </w:rPr>
      </w:pPr>
      <w:r>
        <w:rPr>
          <w:rFonts w:hint="eastAsia"/>
          <w:u w:val="single"/>
        </w:rPr>
        <w:t>31、拆除项目工地须按每1000平方米配置一台移动雾炮设施，单个雾炮机覆盖半径不小于30米。</w:t>
      </w:r>
    </w:p>
    <w:p w14:paraId="67F693AA">
      <w:pPr>
        <w:adjustRightInd w:val="0"/>
        <w:snapToGrid w:val="0"/>
        <w:spacing w:line="360" w:lineRule="auto"/>
        <w:ind w:firstLine="480" w:firstLineChars="200"/>
        <w:rPr>
          <w:u w:val="single"/>
        </w:rPr>
      </w:pPr>
      <w:r>
        <w:rPr>
          <w:rFonts w:hint="eastAsia"/>
          <w:u w:val="single"/>
        </w:rPr>
        <w:t>32、承包人需严格执行发包人有关质量安全文明的管理制度。</w:t>
      </w:r>
    </w:p>
    <w:p w14:paraId="03107255">
      <w:pPr>
        <w:pStyle w:val="5"/>
        <w:tabs>
          <w:tab w:val="left" w:pos="540"/>
          <w:tab w:val="left" w:pos="900"/>
          <w:tab w:val="left" w:pos="2340"/>
          <w:tab w:val="left" w:pos="4032"/>
        </w:tabs>
        <w:spacing w:before="120" w:after="156"/>
        <w:ind w:left="359"/>
        <w:jc w:val="left"/>
        <w:rPr>
          <w:rFonts w:ascii="宋体" w:hAnsi="宋体"/>
          <w:sz w:val="24"/>
        </w:rPr>
      </w:pPr>
      <w:bookmarkStart w:id="226" w:name="_Toc30242"/>
      <w:bookmarkStart w:id="227" w:name="_Toc26441"/>
      <w:bookmarkStart w:id="228" w:name="_Toc6836"/>
      <w:r>
        <w:rPr>
          <w:rFonts w:hint="eastAsia" w:ascii="宋体" w:hAnsi="宋体"/>
          <w:sz w:val="24"/>
        </w:rPr>
        <w:t>17.</w:t>
      </w:r>
      <w:r>
        <w:rPr>
          <w:rFonts w:ascii="宋体" w:hAnsi="宋体"/>
          <w:sz w:val="24"/>
        </w:rPr>
        <w:t>8</w:t>
      </w:r>
      <w:r>
        <w:rPr>
          <w:rFonts w:hint="eastAsia" w:ascii="宋体" w:hAnsi="宋体"/>
          <w:sz w:val="24"/>
        </w:rPr>
        <w:t xml:space="preserve"> 承包人的环境保护责任</w:t>
      </w:r>
      <w:bookmarkEnd w:id="226"/>
      <w:bookmarkEnd w:id="227"/>
      <w:bookmarkEnd w:id="228"/>
    </w:p>
    <w:p w14:paraId="76E2BE9A">
      <w:pPr>
        <w:widowControl w:val="0"/>
        <w:tabs>
          <w:tab w:val="left" w:pos="1620"/>
          <w:tab w:val="left" w:pos="2340"/>
        </w:tabs>
        <w:spacing w:line="360" w:lineRule="auto"/>
        <w:ind w:firstLine="480"/>
        <w:jc w:val="both"/>
        <w:rPr>
          <w:rFonts w:cs="Times New Roman"/>
          <w:u w:val="single"/>
        </w:rPr>
      </w:pPr>
      <w:r>
        <w:rPr>
          <w:rFonts w:hint="eastAsia"/>
        </w:rPr>
        <w:t>(</w:t>
      </w:r>
      <w:r>
        <w:t>1</w:t>
      </w:r>
      <w:r>
        <w:rPr>
          <w:rFonts w:hint="eastAsia"/>
        </w:rPr>
        <w:t>)建筑废弃物排放的具体约定：</w:t>
      </w:r>
      <w:r>
        <w:rPr>
          <w:rFonts w:hint="eastAsia" w:cs="Times New Roman"/>
          <w:u w:val="single"/>
        </w:rPr>
        <w:t>符合深圳市最新规定。违规排放造成的一切不利后果均由承包人承担，如造成发包人损失（包括但不限于行政罚款、第三方索赔、律师费、诉讼费、仲裁费、调查取证费、公证费、保全费），承包人应承担赔偿责任。</w:t>
      </w:r>
    </w:p>
    <w:p w14:paraId="7189B03F">
      <w:pPr>
        <w:pStyle w:val="4"/>
        <w:keepNext w:val="0"/>
        <w:keepLines w:val="0"/>
        <w:tabs>
          <w:tab w:val="left" w:pos="540"/>
          <w:tab w:val="left" w:pos="1620"/>
          <w:tab w:val="left" w:pos="2340"/>
        </w:tabs>
        <w:spacing w:before="120" w:after="120"/>
        <w:ind w:left="178"/>
      </w:pPr>
      <w:bookmarkStart w:id="229" w:name="_Toc20616"/>
      <w:bookmarkStart w:id="230" w:name="_Toc861"/>
      <w:bookmarkStart w:id="231" w:name="_Toc14974"/>
      <w:r>
        <w:rPr>
          <w:rFonts w:hint="eastAsia"/>
        </w:rPr>
        <w:t>18 余泥渣土运输</w:t>
      </w:r>
      <w:bookmarkEnd w:id="229"/>
      <w:bookmarkEnd w:id="230"/>
      <w:bookmarkEnd w:id="231"/>
    </w:p>
    <w:p w14:paraId="26C44A68">
      <w:pPr>
        <w:pStyle w:val="5"/>
        <w:tabs>
          <w:tab w:val="left" w:pos="540"/>
          <w:tab w:val="left" w:pos="900"/>
          <w:tab w:val="left" w:pos="2340"/>
        </w:tabs>
        <w:spacing w:before="120" w:after="156"/>
        <w:ind w:left="359"/>
        <w:jc w:val="left"/>
        <w:rPr>
          <w:rFonts w:ascii="宋体" w:hAnsi="宋体"/>
          <w:sz w:val="24"/>
        </w:rPr>
      </w:pPr>
      <w:bookmarkStart w:id="232" w:name="_Toc18946"/>
      <w:bookmarkStart w:id="233" w:name="_Toc743"/>
      <w:bookmarkStart w:id="234" w:name="_Toc12629"/>
      <w:r>
        <w:rPr>
          <w:rFonts w:hint="eastAsia" w:ascii="宋体" w:hAnsi="宋体"/>
          <w:sz w:val="24"/>
        </w:rPr>
        <w:t>18.2 承包人自行运输</w:t>
      </w:r>
      <w:bookmarkEnd w:id="232"/>
      <w:bookmarkEnd w:id="233"/>
      <w:bookmarkEnd w:id="234"/>
    </w:p>
    <w:p w14:paraId="3863613E">
      <w:pPr>
        <w:spacing w:line="360" w:lineRule="auto"/>
        <w:ind w:firstLine="480"/>
      </w:pPr>
      <w:r>
        <w:rPr>
          <w:rFonts w:hint="eastAsia"/>
        </w:rPr>
        <w:t>(2)</w:t>
      </w:r>
      <w:r>
        <w:t>承包人不具备</w:t>
      </w:r>
      <w:r>
        <w:rPr>
          <w:rFonts w:hint="eastAsia"/>
        </w:rPr>
        <w:t>通用条款</w:t>
      </w:r>
      <w:r>
        <w:t>第</w:t>
      </w:r>
      <w:r>
        <w:rPr>
          <w:rFonts w:hint="eastAsia"/>
        </w:rPr>
        <w:t>18</w:t>
      </w:r>
      <w:r>
        <w:t>.1款</w:t>
      </w:r>
      <w:r>
        <w:rPr>
          <w:rFonts w:hint="eastAsia"/>
        </w:rPr>
        <w:t>相关</w:t>
      </w:r>
      <w:r>
        <w:t>证件</w:t>
      </w:r>
      <w:r>
        <w:rPr>
          <w:rFonts w:hint="eastAsia"/>
        </w:rPr>
        <w:t>，不具备</w:t>
      </w:r>
      <w:r>
        <w:t>余泥渣土运输任务</w:t>
      </w:r>
      <w:r>
        <w:rPr>
          <w:rFonts w:hint="eastAsia"/>
        </w:rPr>
        <w:t>能力</w:t>
      </w:r>
      <w:r>
        <w:t>而自行承担余泥渣土运输任务，应支付违约金</w:t>
      </w:r>
      <w:r>
        <w:rPr>
          <w:rFonts w:hint="eastAsia" w:cs="Times New Roman"/>
          <w:u w:val="single"/>
        </w:rPr>
        <w:t xml:space="preserve"> 2万元/次  </w:t>
      </w:r>
      <w:r>
        <w:t>。</w:t>
      </w:r>
    </w:p>
    <w:p w14:paraId="60E7CC3C">
      <w:pPr>
        <w:pStyle w:val="5"/>
        <w:tabs>
          <w:tab w:val="left" w:pos="540"/>
          <w:tab w:val="left" w:pos="900"/>
          <w:tab w:val="left" w:pos="2340"/>
        </w:tabs>
        <w:spacing w:before="120" w:after="156"/>
        <w:ind w:left="359"/>
        <w:jc w:val="left"/>
        <w:rPr>
          <w:rFonts w:ascii="宋体" w:hAnsi="宋体"/>
          <w:sz w:val="24"/>
        </w:rPr>
      </w:pPr>
      <w:bookmarkStart w:id="235" w:name="_Toc6917"/>
      <w:bookmarkStart w:id="236" w:name="_Toc31692"/>
      <w:bookmarkStart w:id="237" w:name="_Toc15425"/>
      <w:r>
        <w:rPr>
          <w:rFonts w:hint="eastAsia" w:ascii="宋体" w:hAnsi="宋体"/>
          <w:sz w:val="24"/>
        </w:rPr>
        <w:t xml:space="preserve">18.3 </w:t>
      </w:r>
      <w:r>
        <w:rPr>
          <w:rFonts w:ascii="宋体" w:hAnsi="宋体"/>
          <w:sz w:val="24"/>
        </w:rPr>
        <w:t>余泥渣土运输</w:t>
      </w:r>
      <w:r>
        <w:rPr>
          <w:rFonts w:hint="eastAsia" w:ascii="宋体" w:hAnsi="宋体"/>
          <w:sz w:val="24"/>
        </w:rPr>
        <w:t>分包</w:t>
      </w:r>
      <w:bookmarkEnd w:id="235"/>
      <w:bookmarkEnd w:id="236"/>
      <w:bookmarkEnd w:id="237"/>
    </w:p>
    <w:p w14:paraId="56B10E83">
      <w:pPr>
        <w:spacing w:line="360" w:lineRule="auto"/>
        <w:ind w:firstLine="480"/>
      </w:pPr>
      <w:r>
        <w:rPr>
          <w:rFonts w:hint="eastAsia"/>
        </w:rPr>
        <w:t>(3)</w:t>
      </w:r>
      <w:r>
        <w:t>承包人将余泥渣土运输任务分包给不</w:t>
      </w:r>
      <w:r>
        <w:rPr>
          <w:rFonts w:hint="eastAsia"/>
        </w:rPr>
        <w:t>具备相应运输资质的单位</w:t>
      </w:r>
      <w:r>
        <w:t>时，应支付违约金</w:t>
      </w:r>
      <w:r>
        <w:rPr>
          <w:rFonts w:hint="eastAsia" w:cs="Times New Roman"/>
          <w:u w:val="single"/>
        </w:rPr>
        <w:t xml:space="preserve">2万元/次   </w:t>
      </w:r>
      <w:r>
        <w:t>。</w:t>
      </w:r>
    </w:p>
    <w:p w14:paraId="638645EB">
      <w:pPr>
        <w:pStyle w:val="5"/>
        <w:tabs>
          <w:tab w:val="left" w:pos="540"/>
          <w:tab w:val="left" w:pos="900"/>
          <w:tab w:val="left" w:pos="2340"/>
        </w:tabs>
        <w:spacing w:before="120" w:after="156"/>
        <w:ind w:left="359"/>
        <w:jc w:val="left"/>
        <w:rPr>
          <w:rFonts w:ascii="宋体" w:hAnsi="宋体"/>
          <w:sz w:val="24"/>
        </w:rPr>
      </w:pPr>
      <w:bookmarkStart w:id="238" w:name="_Toc8962"/>
      <w:bookmarkStart w:id="239" w:name="_Toc16604"/>
      <w:bookmarkStart w:id="240" w:name="_Toc3726"/>
      <w:r>
        <w:rPr>
          <w:rFonts w:hint="eastAsia" w:ascii="宋体" w:hAnsi="宋体"/>
          <w:sz w:val="24"/>
        </w:rPr>
        <w:t xml:space="preserve">18.5 </w:t>
      </w:r>
      <w:r>
        <w:rPr>
          <w:rFonts w:ascii="宋体" w:hAnsi="宋体"/>
          <w:sz w:val="24"/>
        </w:rPr>
        <w:t>余泥渣土运输车辆和</w:t>
      </w:r>
      <w:r>
        <w:rPr>
          <w:rFonts w:hint="eastAsia" w:ascii="宋体" w:hAnsi="宋体"/>
          <w:sz w:val="24"/>
        </w:rPr>
        <w:t>驾驶员</w:t>
      </w:r>
      <w:bookmarkEnd w:id="238"/>
      <w:bookmarkEnd w:id="239"/>
      <w:bookmarkEnd w:id="240"/>
    </w:p>
    <w:p w14:paraId="14E39D55">
      <w:pPr>
        <w:spacing w:line="360" w:lineRule="auto"/>
        <w:ind w:firstLine="480"/>
      </w:pPr>
      <w:r>
        <w:rPr>
          <w:rFonts w:hint="eastAsia"/>
        </w:rPr>
        <w:t>(2)</w:t>
      </w:r>
      <w:r>
        <w:t>在承包人</w:t>
      </w:r>
      <w:r>
        <w:rPr>
          <w:rFonts w:hint="eastAsia"/>
        </w:rPr>
        <w:t>按通用条款第18.2款自行完成</w:t>
      </w:r>
      <w:r>
        <w:t>余泥渣土运输任务时，其安排的余泥渣土运输车辆</w:t>
      </w:r>
      <w:r>
        <w:rPr>
          <w:rFonts w:hint="eastAsia"/>
        </w:rPr>
        <w:t>和</w:t>
      </w:r>
      <w:r>
        <w:t>驾驶员</w:t>
      </w:r>
      <w:r>
        <w:rPr>
          <w:rFonts w:hint="eastAsia"/>
        </w:rPr>
        <w:t>有关信息见下表</w:t>
      </w:r>
      <w:r>
        <w:rPr>
          <w:rFonts w:hint="eastAsia"/>
          <w:bCs/>
        </w:rPr>
        <w:t>(可另附页)</w:t>
      </w:r>
      <w:r>
        <w:t>：</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1315"/>
        <w:gridCol w:w="1315"/>
        <w:gridCol w:w="1316"/>
        <w:gridCol w:w="1315"/>
        <w:gridCol w:w="1315"/>
        <w:gridCol w:w="1316"/>
      </w:tblGrid>
      <w:tr w14:paraId="1096B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14:paraId="5FB58EF5">
            <w:pPr>
              <w:spacing w:line="360" w:lineRule="auto"/>
              <w:ind w:left="-107" w:right="-107"/>
              <w:jc w:val="center"/>
            </w:pPr>
            <w:r>
              <w:rPr>
                <w:rFonts w:hint="eastAsia"/>
              </w:rPr>
              <w:t>序号</w:t>
            </w:r>
          </w:p>
        </w:tc>
        <w:tc>
          <w:tcPr>
            <w:tcW w:w="1315" w:type="dxa"/>
            <w:tcBorders>
              <w:top w:val="single" w:color="auto" w:sz="4" w:space="0"/>
              <w:left w:val="single" w:color="auto" w:sz="4" w:space="0"/>
              <w:bottom w:val="single" w:color="auto" w:sz="4" w:space="0"/>
              <w:right w:val="single" w:color="auto" w:sz="4" w:space="0"/>
            </w:tcBorders>
            <w:vAlign w:val="center"/>
          </w:tcPr>
          <w:p w14:paraId="21ABDBDD">
            <w:pPr>
              <w:spacing w:line="360" w:lineRule="auto"/>
              <w:ind w:left="-107" w:right="-107"/>
              <w:jc w:val="center"/>
            </w:pPr>
            <w:r>
              <w:rPr>
                <w:rFonts w:hint="eastAsia"/>
              </w:rPr>
              <w:t>车牌号码</w:t>
            </w:r>
          </w:p>
        </w:tc>
        <w:tc>
          <w:tcPr>
            <w:tcW w:w="1315" w:type="dxa"/>
            <w:tcBorders>
              <w:top w:val="single" w:color="auto" w:sz="4" w:space="0"/>
              <w:left w:val="single" w:color="auto" w:sz="4" w:space="0"/>
              <w:bottom w:val="single" w:color="auto" w:sz="4" w:space="0"/>
              <w:right w:val="single" w:color="auto" w:sz="4" w:space="0"/>
            </w:tcBorders>
            <w:vAlign w:val="center"/>
          </w:tcPr>
          <w:p w14:paraId="2B7827C5">
            <w:pPr>
              <w:spacing w:line="360" w:lineRule="auto"/>
              <w:ind w:left="-107" w:right="-107"/>
              <w:jc w:val="center"/>
            </w:pPr>
            <w:r>
              <w:rPr>
                <w:rFonts w:hint="eastAsia"/>
              </w:rPr>
              <w:t>车型</w:t>
            </w:r>
          </w:p>
        </w:tc>
        <w:tc>
          <w:tcPr>
            <w:tcW w:w="1316" w:type="dxa"/>
            <w:tcBorders>
              <w:top w:val="single" w:color="auto" w:sz="4" w:space="0"/>
              <w:left w:val="single" w:color="auto" w:sz="4" w:space="0"/>
              <w:bottom w:val="single" w:color="auto" w:sz="4" w:space="0"/>
              <w:right w:val="single" w:color="auto" w:sz="4" w:space="0"/>
            </w:tcBorders>
            <w:vAlign w:val="center"/>
          </w:tcPr>
          <w:p w14:paraId="4ADEAC88">
            <w:pPr>
              <w:spacing w:line="360" w:lineRule="auto"/>
              <w:ind w:left="-107" w:right="-107"/>
              <w:jc w:val="center"/>
            </w:pPr>
            <w:r>
              <w:rPr>
                <w:rFonts w:hint="eastAsia"/>
              </w:rPr>
              <w:t>车辆证件号</w:t>
            </w:r>
          </w:p>
        </w:tc>
        <w:tc>
          <w:tcPr>
            <w:tcW w:w="1315" w:type="dxa"/>
            <w:tcBorders>
              <w:top w:val="single" w:color="auto" w:sz="4" w:space="0"/>
              <w:left w:val="single" w:color="auto" w:sz="4" w:space="0"/>
              <w:bottom w:val="single" w:color="auto" w:sz="4" w:space="0"/>
              <w:right w:val="single" w:color="auto" w:sz="4" w:space="0"/>
            </w:tcBorders>
            <w:vAlign w:val="center"/>
          </w:tcPr>
          <w:p w14:paraId="33A970DE">
            <w:pPr>
              <w:spacing w:line="360" w:lineRule="auto"/>
              <w:ind w:left="-107" w:right="-107"/>
              <w:jc w:val="center"/>
            </w:pPr>
            <w:r>
              <w:rPr>
                <w:rFonts w:hint="eastAsia"/>
              </w:rPr>
              <w:t>驾驶员姓名</w:t>
            </w:r>
          </w:p>
        </w:tc>
        <w:tc>
          <w:tcPr>
            <w:tcW w:w="1315" w:type="dxa"/>
            <w:tcBorders>
              <w:top w:val="single" w:color="auto" w:sz="4" w:space="0"/>
              <w:left w:val="single" w:color="auto" w:sz="4" w:space="0"/>
              <w:bottom w:val="single" w:color="auto" w:sz="4" w:space="0"/>
              <w:right w:val="single" w:color="auto" w:sz="4" w:space="0"/>
            </w:tcBorders>
            <w:vAlign w:val="center"/>
          </w:tcPr>
          <w:p w14:paraId="4146334E">
            <w:pPr>
              <w:spacing w:line="360" w:lineRule="auto"/>
              <w:ind w:left="-107" w:right="-107"/>
              <w:jc w:val="center"/>
            </w:pPr>
            <w:r>
              <w:rPr>
                <w:rFonts w:hint="eastAsia"/>
              </w:rPr>
              <w:t>驾驶证件号</w:t>
            </w:r>
          </w:p>
        </w:tc>
        <w:tc>
          <w:tcPr>
            <w:tcW w:w="1316" w:type="dxa"/>
            <w:tcBorders>
              <w:top w:val="single" w:color="auto" w:sz="4" w:space="0"/>
              <w:left w:val="single" w:color="auto" w:sz="4" w:space="0"/>
              <w:bottom w:val="single" w:color="auto" w:sz="4" w:space="0"/>
              <w:right w:val="single" w:color="auto" w:sz="4" w:space="0"/>
            </w:tcBorders>
            <w:vAlign w:val="center"/>
          </w:tcPr>
          <w:p w14:paraId="0BDEF103">
            <w:pPr>
              <w:spacing w:line="360" w:lineRule="auto"/>
              <w:ind w:right="-107"/>
              <w:jc w:val="center"/>
            </w:pPr>
            <w:r>
              <w:rPr>
                <w:rFonts w:hint="eastAsia"/>
              </w:rPr>
              <w:t>备注</w:t>
            </w:r>
          </w:p>
        </w:tc>
      </w:tr>
      <w:tr w14:paraId="119A1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14:paraId="4BBB795E">
            <w:pPr>
              <w:spacing w:line="360" w:lineRule="auto"/>
              <w:jc w:val="center"/>
            </w:pPr>
            <w:r>
              <w:t>1</w:t>
            </w:r>
          </w:p>
        </w:tc>
        <w:tc>
          <w:tcPr>
            <w:tcW w:w="1315" w:type="dxa"/>
            <w:tcBorders>
              <w:top w:val="single" w:color="auto" w:sz="4" w:space="0"/>
              <w:left w:val="single" w:color="auto" w:sz="4" w:space="0"/>
              <w:bottom w:val="single" w:color="auto" w:sz="4" w:space="0"/>
              <w:right w:val="single" w:color="auto" w:sz="4" w:space="0"/>
            </w:tcBorders>
            <w:vAlign w:val="bottom"/>
          </w:tcPr>
          <w:p w14:paraId="3FC54074">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3B320E8A">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3D81DF0E">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D514772">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BB02153">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28CE95CE">
            <w:pPr>
              <w:spacing w:line="360" w:lineRule="auto"/>
            </w:pPr>
          </w:p>
        </w:tc>
      </w:tr>
      <w:tr w14:paraId="0FA36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14:paraId="2B50D203">
            <w:pPr>
              <w:spacing w:line="360" w:lineRule="auto"/>
              <w:jc w:val="center"/>
            </w:pPr>
            <w:r>
              <w:t>2</w:t>
            </w:r>
          </w:p>
        </w:tc>
        <w:tc>
          <w:tcPr>
            <w:tcW w:w="1315" w:type="dxa"/>
            <w:tcBorders>
              <w:top w:val="single" w:color="auto" w:sz="4" w:space="0"/>
              <w:left w:val="single" w:color="auto" w:sz="4" w:space="0"/>
              <w:bottom w:val="single" w:color="auto" w:sz="4" w:space="0"/>
              <w:right w:val="single" w:color="auto" w:sz="4" w:space="0"/>
            </w:tcBorders>
            <w:vAlign w:val="bottom"/>
          </w:tcPr>
          <w:p w14:paraId="7D351A66">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3BA64C56">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0AF76DD9">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32E736C">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765998B7">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7398CB06">
            <w:pPr>
              <w:spacing w:line="360" w:lineRule="auto"/>
            </w:pPr>
          </w:p>
        </w:tc>
      </w:tr>
      <w:tr w14:paraId="3138A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1FD7CFC3">
            <w:pPr>
              <w:spacing w:line="360" w:lineRule="auto"/>
              <w:jc w:val="center"/>
            </w:pPr>
            <w:r>
              <w:rPr>
                <w:rFonts w:hint="eastAsia"/>
              </w:rPr>
              <w:t>3</w:t>
            </w:r>
          </w:p>
        </w:tc>
        <w:tc>
          <w:tcPr>
            <w:tcW w:w="1315" w:type="dxa"/>
            <w:tcBorders>
              <w:top w:val="single" w:color="auto" w:sz="4" w:space="0"/>
              <w:left w:val="single" w:color="auto" w:sz="4" w:space="0"/>
              <w:bottom w:val="single" w:color="auto" w:sz="4" w:space="0"/>
              <w:right w:val="single" w:color="auto" w:sz="4" w:space="0"/>
            </w:tcBorders>
            <w:vAlign w:val="bottom"/>
          </w:tcPr>
          <w:p w14:paraId="397D22E3">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1979BF9">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0D34A0AF">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32FE8124">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2BC72E7">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05881C31">
            <w:pPr>
              <w:spacing w:line="360" w:lineRule="auto"/>
            </w:pPr>
          </w:p>
        </w:tc>
      </w:tr>
      <w:tr w14:paraId="07A4F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241ADBB8">
            <w:pPr>
              <w:spacing w:line="360" w:lineRule="auto"/>
              <w:jc w:val="center"/>
            </w:pPr>
            <w:r>
              <w:t>4</w:t>
            </w:r>
          </w:p>
        </w:tc>
        <w:tc>
          <w:tcPr>
            <w:tcW w:w="1315" w:type="dxa"/>
            <w:tcBorders>
              <w:top w:val="single" w:color="auto" w:sz="4" w:space="0"/>
              <w:left w:val="single" w:color="auto" w:sz="4" w:space="0"/>
              <w:bottom w:val="single" w:color="auto" w:sz="4" w:space="0"/>
              <w:right w:val="single" w:color="auto" w:sz="4" w:space="0"/>
            </w:tcBorders>
            <w:vAlign w:val="bottom"/>
          </w:tcPr>
          <w:p w14:paraId="1CC7CCAE">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6C13A2C3">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5066C47F">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24B2C0BC">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E6C721D">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738AA506">
            <w:pPr>
              <w:spacing w:line="360" w:lineRule="auto"/>
            </w:pPr>
          </w:p>
        </w:tc>
      </w:tr>
      <w:tr w14:paraId="7490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1270BBEA">
            <w:pPr>
              <w:spacing w:line="360" w:lineRule="auto"/>
              <w:jc w:val="center"/>
            </w:pPr>
            <w:r>
              <w:rPr>
                <w:rFonts w:hint="eastAsia"/>
              </w:rPr>
              <w:t>5</w:t>
            </w:r>
          </w:p>
        </w:tc>
        <w:tc>
          <w:tcPr>
            <w:tcW w:w="1315" w:type="dxa"/>
            <w:tcBorders>
              <w:top w:val="single" w:color="auto" w:sz="4" w:space="0"/>
              <w:left w:val="single" w:color="auto" w:sz="4" w:space="0"/>
              <w:bottom w:val="single" w:color="auto" w:sz="4" w:space="0"/>
              <w:right w:val="single" w:color="auto" w:sz="4" w:space="0"/>
            </w:tcBorders>
            <w:vAlign w:val="bottom"/>
          </w:tcPr>
          <w:p w14:paraId="547A9495">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7A7B127F">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50FDC742">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42A5AA7">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1E957F09">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19893066">
            <w:pPr>
              <w:spacing w:line="360" w:lineRule="auto"/>
            </w:pPr>
          </w:p>
        </w:tc>
      </w:tr>
      <w:tr w14:paraId="65F6D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08339DB0">
            <w:pPr>
              <w:spacing w:line="360" w:lineRule="auto"/>
              <w:jc w:val="center"/>
            </w:pPr>
            <w:r>
              <w:rPr>
                <w:rFonts w:hint="eastAsia"/>
              </w:rPr>
              <w:t>6</w:t>
            </w:r>
          </w:p>
        </w:tc>
        <w:tc>
          <w:tcPr>
            <w:tcW w:w="1315" w:type="dxa"/>
            <w:tcBorders>
              <w:top w:val="single" w:color="auto" w:sz="4" w:space="0"/>
              <w:left w:val="single" w:color="auto" w:sz="4" w:space="0"/>
              <w:bottom w:val="single" w:color="auto" w:sz="4" w:space="0"/>
              <w:right w:val="single" w:color="auto" w:sz="4" w:space="0"/>
            </w:tcBorders>
            <w:vAlign w:val="bottom"/>
          </w:tcPr>
          <w:p w14:paraId="74720413">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1D6F4C64">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725D986E">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2059B14C">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2A6C604">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6D84F7BC">
            <w:pPr>
              <w:spacing w:line="360" w:lineRule="auto"/>
            </w:pPr>
          </w:p>
        </w:tc>
      </w:tr>
      <w:tr w14:paraId="51DEC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75589A30">
            <w:pPr>
              <w:spacing w:line="360" w:lineRule="auto"/>
              <w:jc w:val="center"/>
            </w:pPr>
            <w:r>
              <w:rPr>
                <w:rFonts w:hint="eastAsia"/>
              </w:rPr>
              <w:t>7</w:t>
            </w:r>
          </w:p>
        </w:tc>
        <w:tc>
          <w:tcPr>
            <w:tcW w:w="1315" w:type="dxa"/>
            <w:tcBorders>
              <w:top w:val="single" w:color="auto" w:sz="4" w:space="0"/>
              <w:left w:val="single" w:color="auto" w:sz="4" w:space="0"/>
              <w:bottom w:val="single" w:color="auto" w:sz="4" w:space="0"/>
              <w:right w:val="single" w:color="auto" w:sz="4" w:space="0"/>
            </w:tcBorders>
            <w:vAlign w:val="bottom"/>
          </w:tcPr>
          <w:p w14:paraId="78C60BE8">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63764596">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4F16C44F">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2662C900">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A4F3489">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62C449D4">
            <w:pPr>
              <w:spacing w:line="360" w:lineRule="auto"/>
            </w:pPr>
          </w:p>
        </w:tc>
      </w:tr>
      <w:tr w14:paraId="1E23D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3CBEE932">
            <w:pPr>
              <w:spacing w:line="360" w:lineRule="auto"/>
              <w:jc w:val="center"/>
            </w:pPr>
            <w:r>
              <w:rPr>
                <w:rFonts w:hint="eastAsia"/>
              </w:rPr>
              <w:t>8</w:t>
            </w:r>
          </w:p>
        </w:tc>
        <w:tc>
          <w:tcPr>
            <w:tcW w:w="1315" w:type="dxa"/>
            <w:tcBorders>
              <w:top w:val="single" w:color="auto" w:sz="4" w:space="0"/>
              <w:left w:val="single" w:color="auto" w:sz="4" w:space="0"/>
              <w:bottom w:val="single" w:color="auto" w:sz="4" w:space="0"/>
              <w:right w:val="single" w:color="auto" w:sz="4" w:space="0"/>
            </w:tcBorders>
            <w:vAlign w:val="bottom"/>
          </w:tcPr>
          <w:p w14:paraId="244C6D1D">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6FA8F823">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49EBB5F3">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10D96423">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582A73E1">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56BC03D3">
            <w:pPr>
              <w:spacing w:line="360" w:lineRule="auto"/>
            </w:pPr>
          </w:p>
        </w:tc>
      </w:tr>
      <w:tr w14:paraId="7FB94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7C93D65E">
            <w:pPr>
              <w:spacing w:line="360" w:lineRule="auto"/>
              <w:jc w:val="center"/>
            </w:pPr>
            <w:r>
              <w:rPr>
                <w:rFonts w:hint="eastAsia"/>
              </w:rPr>
              <w:t>9</w:t>
            </w:r>
          </w:p>
        </w:tc>
        <w:tc>
          <w:tcPr>
            <w:tcW w:w="1315" w:type="dxa"/>
            <w:tcBorders>
              <w:top w:val="single" w:color="auto" w:sz="4" w:space="0"/>
              <w:left w:val="single" w:color="auto" w:sz="4" w:space="0"/>
              <w:bottom w:val="single" w:color="auto" w:sz="4" w:space="0"/>
              <w:right w:val="single" w:color="auto" w:sz="4" w:space="0"/>
            </w:tcBorders>
            <w:vAlign w:val="bottom"/>
          </w:tcPr>
          <w:p w14:paraId="6C1BABFD">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6B972910">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0E96BABC">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54B8F919">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4808E9B9">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30133F53">
            <w:pPr>
              <w:spacing w:line="360" w:lineRule="auto"/>
            </w:pPr>
          </w:p>
        </w:tc>
      </w:tr>
      <w:tr w14:paraId="334BE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vAlign w:val="center"/>
          </w:tcPr>
          <w:p w14:paraId="596E6520">
            <w:pPr>
              <w:spacing w:line="360" w:lineRule="auto"/>
              <w:jc w:val="center"/>
            </w:pPr>
            <w:r>
              <w:rPr>
                <w:rFonts w:hint="eastAsia"/>
              </w:rPr>
              <w:t>10</w:t>
            </w:r>
          </w:p>
        </w:tc>
        <w:tc>
          <w:tcPr>
            <w:tcW w:w="1315" w:type="dxa"/>
            <w:tcBorders>
              <w:top w:val="single" w:color="auto" w:sz="4" w:space="0"/>
              <w:left w:val="single" w:color="auto" w:sz="4" w:space="0"/>
              <w:bottom w:val="single" w:color="auto" w:sz="4" w:space="0"/>
              <w:right w:val="single" w:color="auto" w:sz="4" w:space="0"/>
            </w:tcBorders>
            <w:vAlign w:val="bottom"/>
          </w:tcPr>
          <w:p w14:paraId="4284BE19">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8EC4297">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4F921CD0">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3C1080A7">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8F541BE">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6C4EC04D">
            <w:pPr>
              <w:spacing w:line="360" w:lineRule="auto"/>
            </w:pPr>
          </w:p>
        </w:tc>
      </w:tr>
      <w:tr w14:paraId="290FC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14:paraId="699ADE37">
            <w:pPr>
              <w:spacing w:line="360" w:lineRule="auto"/>
              <w:jc w:val="center"/>
            </w:pPr>
            <w:r>
              <w:rPr>
                <w:rFonts w:hint="eastAsia"/>
              </w:rPr>
              <w:t>…</w:t>
            </w:r>
          </w:p>
        </w:tc>
        <w:tc>
          <w:tcPr>
            <w:tcW w:w="1315" w:type="dxa"/>
            <w:tcBorders>
              <w:top w:val="single" w:color="auto" w:sz="4" w:space="0"/>
              <w:left w:val="single" w:color="auto" w:sz="4" w:space="0"/>
              <w:bottom w:val="single" w:color="auto" w:sz="4" w:space="0"/>
              <w:right w:val="single" w:color="auto" w:sz="4" w:space="0"/>
            </w:tcBorders>
            <w:vAlign w:val="bottom"/>
          </w:tcPr>
          <w:p w14:paraId="4E890B4D">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8912F28">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67A39DBF">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04F16942">
            <w:pPr>
              <w:spacing w:line="360" w:lineRule="auto"/>
            </w:pPr>
          </w:p>
        </w:tc>
        <w:tc>
          <w:tcPr>
            <w:tcW w:w="1315" w:type="dxa"/>
            <w:tcBorders>
              <w:top w:val="single" w:color="auto" w:sz="4" w:space="0"/>
              <w:left w:val="single" w:color="auto" w:sz="4" w:space="0"/>
              <w:bottom w:val="single" w:color="auto" w:sz="4" w:space="0"/>
              <w:right w:val="single" w:color="auto" w:sz="4" w:space="0"/>
            </w:tcBorders>
            <w:vAlign w:val="bottom"/>
          </w:tcPr>
          <w:p w14:paraId="39EFFA94">
            <w:pPr>
              <w:spacing w:line="360" w:lineRule="auto"/>
            </w:pPr>
          </w:p>
        </w:tc>
        <w:tc>
          <w:tcPr>
            <w:tcW w:w="1316" w:type="dxa"/>
            <w:tcBorders>
              <w:top w:val="single" w:color="auto" w:sz="4" w:space="0"/>
              <w:left w:val="single" w:color="auto" w:sz="4" w:space="0"/>
              <w:bottom w:val="single" w:color="auto" w:sz="4" w:space="0"/>
              <w:right w:val="single" w:color="auto" w:sz="4" w:space="0"/>
            </w:tcBorders>
            <w:vAlign w:val="bottom"/>
          </w:tcPr>
          <w:p w14:paraId="043CFF32">
            <w:pPr>
              <w:spacing w:line="360" w:lineRule="auto"/>
            </w:pPr>
          </w:p>
        </w:tc>
      </w:tr>
    </w:tbl>
    <w:p w14:paraId="114C503B">
      <w:pPr>
        <w:spacing w:line="360" w:lineRule="auto"/>
        <w:ind w:firstLine="480"/>
      </w:pPr>
      <w:r>
        <w:rPr>
          <w:rFonts w:hint="eastAsia"/>
        </w:rPr>
        <w:t>(5)</w:t>
      </w:r>
      <w:r>
        <w:t>承包人安排的车辆不符合通用条款第</w:t>
      </w:r>
      <w:r>
        <w:rPr>
          <w:rFonts w:hint="eastAsia"/>
        </w:rPr>
        <w:t>18</w:t>
      </w:r>
      <w:r>
        <w:t>.</w:t>
      </w:r>
      <w:r>
        <w:rPr>
          <w:rFonts w:hint="eastAsia"/>
        </w:rPr>
        <w:t>5(1)</w:t>
      </w:r>
      <w:r>
        <w:t>款规定的证件要求</w:t>
      </w:r>
      <w:r>
        <w:rPr>
          <w:rFonts w:hint="eastAsia"/>
        </w:rPr>
        <w:t>，或未如实向监理工程师报送车辆和驾驶员信息，或</w:t>
      </w:r>
      <w:r>
        <w:t>未依程序自行改变车辆和专职驾驶员名单，承包人应</w:t>
      </w:r>
      <w:r>
        <w:rPr>
          <w:rFonts w:hint="eastAsia"/>
        </w:rPr>
        <w:t>向发包人</w:t>
      </w:r>
      <w:r>
        <w:t>支付违约金：</w:t>
      </w:r>
      <w:r>
        <w:rPr>
          <w:rFonts w:hint="eastAsia"/>
          <w:u w:val="single"/>
        </w:rPr>
        <w:t xml:space="preserve">    5000      </w:t>
      </w:r>
      <w:r>
        <w:t>元/车·次</w:t>
      </w:r>
      <w:r>
        <w:rPr>
          <w:rFonts w:hint="eastAsia"/>
        </w:rPr>
        <w:t>。</w:t>
      </w:r>
    </w:p>
    <w:p w14:paraId="632CB604">
      <w:pPr>
        <w:pStyle w:val="5"/>
        <w:tabs>
          <w:tab w:val="left" w:pos="540"/>
          <w:tab w:val="left" w:pos="900"/>
          <w:tab w:val="left" w:pos="2340"/>
        </w:tabs>
        <w:spacing w:before="120" w:after="156"/>
        <w:ind w:left="359"/>
        <w:jc w:val="left"/>
        <w:rPr>
          <w:rFonts w:ascii="宋体" w:hAnsi="宋体"/>
          <w:sz w:val="24"/>
        </w:rPr>
      </w:pPr>
      <w:bookmarkStart w:id="241" w:name="_Toc14901"/>
      <w:bookmarkStart w:id="242" w:name="_Toc20753"/>
      <w:bookmarkStart w:id="243" w:name="_Toc20064"/>
      <w:r>
        <w:rPr>
          <w:rFonts w:hint="eastAsia" w:ascii="宋体" w:hAnsi="宋体"/>
          <w:sz w:val="24"/>
        </w:rPr>
        <w:t xml:space="preserve">18.6 </w:t>
      </w:r>
      <w:r>
        <w:rPr>
          <w:rFonts w:ascii="宋体" w:hAnsi="宋体"/>
          <w:sz w:val="24"/>
        </w:rPr>
        <w:t>专职检查</w:t>
      </w:r>
      <w:r>
        <w:rPr>
          <w:rFonts w:hint="eastAsia" w:ascii="宋体" w:hAnsi="宋体"/>
          <w:sz w:val="24"/>
        </w:rPr>
        <w:t>人员</w:t>
      </w:r>
      <w:bookmarkEnd w:id="241"/>
      <w:bookmarkEnd w:id="242"/>
      <w:bookmarkEnd w:id="243"/>
    </w:p>
    <w:p w14:paraId="65622D20">
      <w:pPr>
        <w:spacing w:line="360" w:lineRule="auto"/>
        <w:ind w:firstLine="480"/>
      </w:pPr>
      <w:r>
        <w:t>承包人指定专职检查</w:t>
      </w:r>
      <w:r>
        <w:rPr>
          <w:rFonts w:hint="eastAsia"/>
        </w:rPr>
        <w:t>人员姓名</w:t>
      </w:r>
      <w:r>
        <w:t>：</w:t>
      </w:r>
      <w:r>
        <w:rPr>
          <w:rFonts w:hint="eastAsia"/>
        </w:rPr>
        <w:t xml:space="preserve">。                                        </w:t>
      </w:r>
    </w:p>
    <w:p w14:paraId="7D9A858C">
      <w:pPr>
        <w:spacing w:line="360" w:lineRule="auto"/>
        <w:ind w:firstLine="480"/>
        <w:rPr>
          <w:bCs/>
          <w:u w:val="single"/>
        </w:rPr>
      </w:pPr>
      <w:r>
        <w:t>检查内容：</w:t>
      </w:r>
      <w:r>
        <w:rPr>
          <w:u w:val="single"/>
        </w:rPr>
        <w:t>(1)车辆及司机证照是否齐全，是否符合交通安全法规和安全生产管理规定；(2)车辆装载是否符合交通安全法规和深圳市安全文明施工的相关要求；(3)车辆及司机证照是否符合合同约定，或是否按合同约定程序进行变更等</w:t>
      </w:r>
      <w:r>
        <w:rPr>
          <w:rFonts w:hint="eastAsia"/>
          <w:u w:val="single"/>
        </w:rPr>
        <w:t>。</w:t>
      </w:r>
    </w:p>
    <w:p w14:paraId="20524FD9">
      <w:pPr>
        <w:pStyle w:val="5"/>
        <w:tabs>
          <w:tab w:val="left" w:pos="540"/>
          <w:tab w:val="left" w:pos="900"/>
          <w:tab w:val="left" w:pos="2340"/>
        </w:tabs>
        <w:spacing w:before="120" w:after="156"/>
        <w:ind w:left="359"/>
        <w:jc w:val="left"/>
        <w:rPr>
          <w:rFonts w:ascii="宋体" w:hAnsi="宋体"/>
          <w:sz w:val="24"/>
        </w:rPr>
      </w:pPr>
      <w:bookmarkStart w:id="244" w:name="_Toc13963"/>
      <w:bookmarkStart w:id="245" w:name="_Toc9530"/>
      <w:bookmarkStart w:id="246" w:name="_Toc23544"/>
      <w:r>
        <w:rPr>
          <w:rFonts w:hint="eastAsia" w:ascii="宋体" w:hAnsi="宋体"/>
          <w:sz w:val="24"/>
        </w:rPr>
        <w:t xml:space="preserve">18.7 </w:t>
      </w:r>
      <w:r>
        <w:rPr>
          <w:rFonts w:ascii="宋体" w:hAnsi="宋体"/>
          <w:sz w:val="24"/>
        </w:rPr>
        <w:t>余泥渣土</w:t>
      </w:r>
      <w:r>
        <w:rPr>
          <w:rFonts w:hint="eastAsia" w:ascii="宋体" w:hAnsi="宋体"/>
          <w:sz w:val="24"/>
        </w:rPr>
        <w:t>安全文明运输</w:t>
      </w:r>
      <w:bookmarkEnd w:id="244"/>
      <w:bookmarkEnd w:id="245"/>
      <w:bookmarkEnd w:id="246"/>
    </w:p>
    <w:p w14:paraId="4CC8E21B">
      <w:pPr>
        <w:spacing w:line="360" w:lineRule="auto"/>
        <w:ind w:firstLine="480"/>
      </w:pPr>
      <w:r>
        <w:t>承包人违反通用条款第</w:t>
      </w:r>
      <w:r>
        <w:rPr>
          <w:rFonts w:hint="eastAsia"/>
        </w:rPr>
        <w:t>18</w:t>
      </w:r>
      <w:r>
        <w:t>.</w:t>
      </w:r>
      <w:r>
        <w:rPr>
          <w:rFonts w:hint="eastAsia"/>
        </w:rPr>
        <w:t>7</w:t>
      </w:r>
      <w:r>
        <w:t>款约定，对发现问题拒不履行其应尽的合同义务，应支付违约金</w:t>
      </w:r>
      <w:r>
        <w:rPr>
          <w:rFonts w:hint="eastAsia"/>
          <w:u w:val="single"/>
        </w:rPr>
        <w:t xml:space="preserve"> 1</w:t>
      </w:r>
      <w:r>
        <w:rPr>
          <w:rFonts w:hint="eastAsia" w:cs="Times New Roman"/>
          <w:u w:val="single"/>
        </w:rPr>
        <w:t xml:space="preserve">万元/车/次   </w:t>
      </w:r>
      <w:r>
        <w:t>。</w:t>
      </w:r>
    </w:p>
    <w:p w14:paraId="395F9D97">
      <w:pPr>
        <w:pStyle w:val="5"/>
        <w:tabs>
          <w:tab w:val="left" w:pos="540"/>
          <w:tab w:val="left" w:pos="900"/>
          <w:tab w:val="left" w:pos="2340"/>
        </w:tabs>
        <w:spacing w:before="120" w:after="156"/>
        <w:ind w:left="359"/>
        <w:jc w:val="left"/>
        <w:rPr>
          <w:rFonts w:ascii="宋体" w:hAnsi="宋体"/>
          <w:sz w:val="24"/>
        </w:rPr>
      </w:pPr>
      <w:bookmarkStart w:id="247" w:name="_Toc1695"/>
      <w:bookmarkStart w:id="248" w:name="_Toc8699"/>
      <w:r>
        <w:rPr>
          <w:rFonts w:hint="eastAsia" w:ascii="宋体" w:hAnsi="宋体"/>
          <w:sz w:val="24"/>
        </w:rPr>
        <w:t>18.8 检查纠正责任</w:t>
      </w:r>
      <w:bookmarkEnd w:id="247"/>
      <w:bookmarkEnd w:id="248"/>
    </w:p>
    <w:p w14:paraId="05F824D0">
      <w:pPr>
        <w:spacing w:line="360" w:lineRule="auto"/>
        <w:ind w:left="120" w:firstLine="360"/>
      </w:pPr>
      <w:r>
        <w:t>承包人指定的专职检查人员未履行合同约定的检查纠正职责，承包人应支违约金</w:t>
      </w:r>
      <w:r>
        <w:rPr>
          <w:rFonts w:hint="eastAsia"/>
          <w:u w:val="single"/>
        </w:rPr>
        <w:t xml:space="preserve">   1</w:t>
      </w:r>
      <w:r>
        <w:rPr>
          <w:rFonts w:hint="eastAsia" w:cs="Times New Roman"/>
          <w:u w:val="single"/>
        </w:rPr>
        <w:t xml:space="preserve">万元/车/次   </w:t>
      </w:r>
      <w:r>
        <w:t>。</w:t>
      </w:r>
    </w:p>
    <w:p w14:paraId="1B7FB7FE">
      <w:pPr>
        <w:pStyle w:val="4"/>
        <w:keepNext w:val="0"/>
        <w:keepLines w:val="0"/>
        <w:tabs>
          <w:tab w:val="left" w:pos="540"/>
          <w:tab w:val="left" w:pos="720"/>
          <w:tab w:val="left" w:pos="1620"/>
          <w:tab w:val="left" w:pos="2340"/>
        </w:tabs>
        <w:spacing w:before="120" w:after="120"/>
        <w:ind w:left="178"/>
      </w:pPr>
      <w:bookmarkStart w:id="249" w:name="_Toc31832"/>
      <w:bookmarkStart w:id="250" w:name="_Toc27333"/>
      <w:bookmarkStart w:id="251" w:name="_Toc17209"/>
      <w:r>
        <w:t xml:space="preserve">20 </w:t>
      </w:r>
      <w:r>
        <w:rPr>
          <w:rFonts w:hint="eastAsia"/>
        </w:rPr>
        <w:t>合同价格的确定和调整</w:t>
      </w:r>
      <w:bookmarkEnd w:id="249"/>
      <w:bookmarkEnd w:id="250"/>
      <w:bookmarkEnd w:id="251"/>
    </w:p>
    <w:p w14:paraId="634F36CA">
      <w:pPr>
        <w:pStyle w:val="5"/>
        <w:tabs>
          <w:tab w:val="left" w:pos="540"/>
          <w:tab w:val="left" w:pos="900"/>
          <w:tab w:val="left" w:pos="2340"/>
        </w:tabs>
        <w:spacing w:before="120" w:after="156"/>
        <w:ind w:left="359"/>
        <w:jc w:val="left"/>
        <w:rPr>
          <w:rFonts w:ascii="宋体" w:hAnsi="宋体"/>
          <w:sz w:val="24"/>
        </w:rPr>
      </w:pPr>
      <w:bookmarkStart w:id="252" w:name="_Toc1712"/>
      <w:bookmarkStart w:id="253" w:name="_Toc32623"/>
      <w:bookmarkStart w:id="254" w:name="_Toc30019"/>
      <w:r>
        <w:rPr>
          <w:rFonts w:hint="eastAsia" w:ascii="宋体" w:hAnsi="宋体"/>
          <w:sz w:val="24"/>
        </w:rPr>
        <w:t>20.1 签约合同价的确定</w:t>
      </w:r>
      <w:bookmarkEnd w:id="252"/>
      <w:bookmarkEnd w:id="253"/>
      <w:bookmarkEnd w:id="254"/>
    </w:p>
    <w:p w14:paraId="74DB6D1C">
      <w:pPr>
        <w:spacing w:line="360" w:lineRule="auto"/>
        <w:rPr>
          <w:bCs/>
          <w:u w:val="single"/>
        </w:rPr>
      </w:pPr>
      <w:r>
        <w:rPr>
          <w:rFonts w:hint="eastAsia"/>
        </w:rPr>
        <w:t>（3）综合单价包含的风险范围：</w:t>
      </w:r>
      <w:r>
        <w:rPr>
          <w:rFonts w:hint="eastAsia"/>
          <w:u w:val="single"/>
        </w:rPr>
        <w:t>①承包人的投标综合单价须综合考虑工料机的涨价风险（合同规定可以调差的工料机除外）；②合同中明示停工由承包人承担的风险；③合同中明示承包人投标报价综合考虑的风险费用及隐含的有经验的承包商可以或应该预见的，为完成整体工程内容所必须考虑的其他风险</w:t>
      </w:r>
      <w:r>
        <w:rPr>
          <w:rFonts w:hint="eastAsia" w:cs="Times New Roman"/>
          <w:u w:val="single"/>
        </w:rPr>
        <w:t>。</w:t>
      </w:r>
    </w:p>
    <w:p w14:paraId="1994B0A1">
      <w:pPr>
        <w:pStyle w:val="5"/>
        <w:tabs>
          <w:tab w:val="left" w:pos="540"/>
          <w:tab w:val="left" w:pos="900"/>
          <w:tab w:val="left" w:pos="2340"/>
        </w:tabs>
        <w:spacing w:before="120" w:after="156"/>
        <w:ind w:left="359"/>
        <w:jc w:val="left"/>
        <w:rPr>
          <w:rFonts w:ascii="宋体" w:hAnsi="宋体"/>
          <w:sz w:val="24"/>
        </w:rPr>
      </w:pPr>
      <w:bookmarkStart w:id="255" w:name="_Toc6238"/>
      <w:bookmarkStart w:id="256" w:name="_Toc15782"/>
      <w:bookmarkStart w:id="257" w:name="_Toc30162"/>
      <w:r>
        <w:rPr>
          <w:rFonts w:hint="eastAsia" w:ascii="宋体" w:hAnsi="宋体"/>
          <w:sz w:val="24"/>
        </w:rPr>
        <w:t>20.2 合同价格的调整</w:t>
      </w:r>
      <w:bookmarkEnd w:id="255"/>
      <w:bookmarkEnd w:id="256"/>
      <w:bookmarkEnd w:id="257"/>
    </w:p>
    <w:p w14:paraId="41B747B3">
      <w:pPr>
        <w:spacing w:line="360" w:lineRule="auto"/>
        <w:rPr>
          <w:bCs/>
          <w:u w:val="single"/>
        </w:rPr>
      </w:pPr>
      <w:r>
        <w:t>(11)</w:t>
      </w:r>
      <w:r>
        <w:rPr>
          <w:rFonts w:hint="eastAsia"/>
        </w:rPr>
        <w:t>本工程</w:t>
      </w:r>
      <w:r>
        <w:t>合同价格调整</w:t>
      </w:r>
      <w:r>
        <w:rPr>
          <w:rFonts w:hint="eastAsia"/>
        </w:rPr>
        <w:t>的其他约定：</w:t>
      </w:r>
      <w:r>
        <w:rPr>
          <w:rFonts w:hint="eastAsia"/>
          <w:u w:val="single"/>
        </w:rPr>
        <w:t>/</w:t>
      </w:r>
    </w:p>
    <w:p w14:paraId="4FF4FEAE">
      <w:pPr>
        <w:pStyle w:val="5"/>
        <w:tabs>
          <w:tab w:val="left" w:pos="540"/>
          <w:tab w:val="left" w:pos="900"/>
          <w:tab w:val="left" w:pos="2340"/>
        </w:tabs>
        <w:spacing w:before="120" w:after="156"/>
        <w:ind w:left="359"/>
        <w:jc w:val="left"/>
        <w:rPr>
          <w:rFonts w:ascii="宋体" w:hAnsi="宋体"/>
          <w:sz w:val="24"/>
        </w:rPr>
      </w:pPr>
      <w:bookmarkStart w:id="258" w:name="_Toc4007"/>
      <w:bookmarkStart w:id="259" w:name="_Toc28638"/>
      <w:bookmarkStart w:id="260" w:name="_Toc20086"/>
      <w:r>
        <w:rPr>
          <w:rFonts w:hint="eastAsia" w:ascii="宋体" w:hAnsi="宋体"/>
          <w:sz w:val="24"/>
        </w:rPr>
        <w:t>20.4 工料机调差</w:t>
      </w:r>
      <w:bookmarkEnd w:id="258"/>
      <w:bookmarkEnd w:id="259"/>
      <w:bookmarkEnd w:id="260"/>
    </w:p>
    <w:p w14:paraId="1F68C113">
      <w:pPr>
        <w:widowControl w:val="0"/>
        <w:spacing w:line="360" w:lineRule="auto"/>
        <w:jc w:val="both"/>
        <w:rPr>
          <w:kern w:val="2"/>
          <w:szCs w:val="22"/>
        </w:rPr>
      </w:pPr>
      <w:r>
        <w:rPr>
          <w:rFonts w:hint="eastAsia"/>
        </w:rPr>
        <w:t>(2)用于本工程的人工、主要材料及机械使用发生价格波动时的约定如下：</w:t>
      </w:r>
      <w:r>
        <w:rPr>
          <w:rFonts w:hint="eastAsia" w:cs="Times New Roman"/>
          <w:u w:val="single"/>
        </w:rPr>
        <w:t xml:space="preserve">人工调差见专用条款20.6条约定，材料调差见专用条款第20.5条约定，机械不调差。  </w:t>
      </w:r>
    </w:p>
    <w:p w14:paraId="1F1BF84D">
      <w:pPr>
        <w:spacing w:line="360" w:lineRule="auto"/>
        <w:ind w:firstLine="480"/>
        <w:rPr>
          <w:rFonts w:cs="Times New Roman"/>
          <w:u w:val="single"/>
        </w:rPr>
      </w:pPr>
      <w:r>
        <w:t>(3)主要材料是指用于本工程的某种材料价款总额达到签约合同价的</w:t>
      </w:r>
      <w:r>
        <w:rPr>
          <w:rFonts w:cs="Times New Roman"/>
          <w:u w:val="single"/>
        </w:rPr>
        <w:t>5 %</w:t>
      </w:r>
    </w:p>
    <w:p w14:paraId="5FF724B1">
      <w:pPr>
        <w:spacing w:line="360" w:lineRule="auto"/>
        <w:ind w:firstLine="480" w:firstLineChars="200"/>
        <w:rPr>
          <w:bCs/>
          <w:u w:val="single"/>
        </w:rPr>
      </w:pPr>
      <w:r>
        <w:t>(4)发包人和承包人根据本工程的具体实际，约定用于本工程的未达到第20.4(3)</w:t>
      </w:r>
      <w:r>
        <w:rPr>
          <w:rFonts w:hint="eastAsia"/>
        </w:rPr>
        <w:t>项约定比例的其它材料中可调差的材料种类为：</w:t>
      </w:r>
      <w:r>
        <w:rPr>
          <w:rFonts w:hint="eastAsia" w:cs="Times New Roman"/>
          <w:u w:val="single"/>
        </w:rPr>
        <w:t>/</w:t>
      </w:r>
    </w:p>
    <w:p w14:paraId="5329F9A3">
      <w:pPr>
        <w:spacing w:line="360" w:lineRule="auto"/>
        <w:ind w:firstLine="480"/>
      </w:pPr>
      <w:r>
        <w:rPr>
          <w:rFonts w:hint="eastAsia"/>
        </w:rPr>
        <w:t>(5)本工程工料机调差费用的计算和支付约定如下：</w:t>
      </w:r>
    </w:p>
    <w:p w14:paraId="30C247DA">
      <w:pPr>
        <w:spacing w:line="360" w:lineRule="auto"/>
        <w:ind w:firstLine="480"/>
      </w:pPr>
      <w:r>
        <w:drawing>
          <wp:inline distT="0" distB="0" distL="114300" distR="114300">
            <wp:extent cx="152400" cy="142875"/>
            <wp:effectExtent l="0" t="0" r="0" b="952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与其相关的工程完工后进行计算并同期支付。</w:t>
      </w:r>
    </w:p>
    <w:p w14:paraId="67AC0BE4">
      <w:pPr>
        <w:spacing w:line="360" w:lineRule="auto"/>
        <w:ind w:firstLine="480"/>
      </w:pPr>
      <w:r>
        <w:rPr>
          <w:rFonts w:hint="eastAsia" w:cs="Times New Roman"/>
        </w:rPr>
        <w:t xml:space="preserve">☑ </w:t>
      </w:r>
      <w:r>
        <w:rPr>
          <w:rFonts w:hint="eastAsia"/>
        </w:rPr>
        <w:t>竣工结算时一次性计算和支付。</w:t>
      </w:r>
    </w:p>
    <w:p w14:paraId="7CF7428E">
      <w:pPr>
        <w:spacing w:line="360" w:lineRule="auto"/>
        <w:ind w:firstLine="480"/>
        <w:rPr>
          <w:u w:val="single"/>
        </w:rPr>
      </w:pPr>
      <w:r>
        <w:drawing>
          <wp:inline distT="0" distB="0" distL="114300" distR="114300">
            <wp:extent cx="152400" cy="142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其他方式。具体约定为：</w:t>
      </w:r>
    </w:p>
    <w:p w14:paraId="0FEDB109">
      <w:pPr>
        <w:spacing w:line="360" w:lineRule="auto"/>
        <w:ind w:firstLine="480"/>
        <w:rPr>
          <w:u w:val="single"/>
        </w:rPr>
      </w:pPr>
    </w:p>
    <w:p w14:paraId="03840EB8">
      <w:pPr>
        <w:pStyle w:val="5"/>
        <w:tabs>
          <w:tab w:val="left" w:pos="540"/>
          <w:tab w:val="left" w:pos="900"/>
          <w:tab w:val="left" w:pos="2340"/>
        </w:tabs>
        <w:spacing w:before="120" w:after="156"/>
        <w:ind w:left="359"/>
        <w:jc w:val="left"/>
        <w:rPr>
          <w:rFonts w:ascii="宋体" w:hAnsi="宋体"/>
          <w:sz w:val="24"/>
        </w:rPr>
      </w:pPr>
      <w:bookmarkStart w:id="261" w:name="_Toc605"/>
      <w:bookmarkStart w:id="262" w:name="_Toc18007"/>
      <w:bookmarkStart w:id="263" w:name="_Toc10606"/>
      <w:r>
        <w:rPr>
          <w:rFonts w:hint="eastAsia" w:ascii="宋体" w:hAnsi="宋体"/>
          <w:sz w:val="24"/>
        </w:rPr>
        <w:t>20.5 材料调差</w:t>
      </w:r>
      <w:bookmarkEnd w:id="261"/>
      <w:bookmarkEnd w:id="262"/>
      <w:bookmarkEnd w:id="263"/>
    </w:p>
    <w:p w14:paraId="3020B17F">
      <w:pPr>
        <w:spacing w:line="360" w:lineRule="auto"/>
        <w:ind w:firstLine="480"/>
      </w:pPr>
      <w:r>
        <w:rPr>
          <w:rFonts w:hint="eastAsia"/>
        </w:rPr>
        <w:t>用于本工程的按照20.4(3)、(4)款确定的可调差材料发生价格波动时合同价格的调整方法为：</w:t>
      </w:r>
    </w:p>
    <w:p w14:paraId="1FA8D045">
      <w:pPr>
        <w:spacing w:line="360" w:lineRule="auto"/>
        <w:ind w:firstLine="480"/>
      </w:pPr>
      <w:r>
        <w:drawing>
          <wp:inline distT="0" distB="0" distL="114300" distR="114300">
            <wp:extent cx="152400" cy="142875"/>
            <wp:effectExtent l="0" t="0" r="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（1）加权平均法。</w:t>
      </w:r>
    </w:p>
    <w:p w14:paraId="74AFCB77">
      <w:pPr>
        <w:spacing w:line="360" w:lineRule="auto"/>
        <w:ind w:firstLine="480"/>
      </w:pPr>
      <w:r>
        <w:rPr>
          <w:rFonts w:ascii="Wingdings 2" w:hAnsi="Wingdings 2" w:cs="Times New Roman"/>
        </w:rPr>
        <w:sym w:font="Wingdings 2" w:char="F052"/>
      </w:r>
      <w:r>
        <w:rPr>
          <w:rFonts w:hint="eastAsia"/>
        </w:rPr>
        <w:t>（2）算术平均法。</w:t>
      </w:r>
    </w:p>
    <w:p w14:paraId="725BBA0A">
      <w:pPr>
        <w:spacing w:line="360" w:lineRule="auto"/>
        <w:ind w:firstLine="480" w:firstLineChars="200"/>
        <w:rPr>
          <w:bCs/>
          <w:u w:val="single"/>
        </w:rPr>
      </w:pPr>
      <w:r>
        <w:drawing>
          <wp:inline distT="0" distB="0" distL="114300" distR="114300">
            <wp:extent cx="152400" cy="142875"/>
            <wp:effectExtent l="0" t="0" r="0" b="952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（3）其他方法。具体约定为：</w:t>
      </w:r>
      <w:r>
        <w:rPr>
          <w:rFonts w:hint="eastAsia"/>
          <w:u w:val="single"/>
        </w:rPr>
        <w:t xml:space="preserve">   /  </w:t>
      </w:r>
    </w:p>
    <w:p w14:paraId="11A897C0">
      <w:pPr>
        <w:spacing w:line="360" w:lineRule="auto"/>
        <w:ind w:firstLine="480"/>
      </w:pPr>
      <w:r>
        <w:rPr>
          <w:rFonts w:hint="eastAsia"/>
        </w:rPr>
        <w:t>调差公式中，P</w:t>
      </w:r>
      <w:r>
        <w:rPr>
          <w:rFonts w:hint="eastAsia"/>
          <w:vertAlign w:val="subscript"/>
        </w:rPr>
        <w:t>0</w:t>
      </w:r>
      <w:r>
        <w:rPr>
          <w:rFonts w:hint="eastAsia"/>
        </w:rPr>
        <w:t>为年月《深圳建设工程价格信息》某材料价格。</w:t>
      </w:r>
    </w:p>
    <w:p w14:paraId="133182B9">
      <w:pPr>
        <w:spacing w:line="360" w:lineRule="auto"/>
        <w:ind w:firstLine="480"/>
      </w:pPr>
      <w:r>
        <w:rPr>
          <w:rFonts w:hint="eastAsia"/>
        </w:rPr>
        <w:t>本合同Q</w:t>
      </w:r>
      <w:r>
        <w:rPr>
          <w:rFonts w:hint="eastAsia"/>
          <w:vertAlign w:val="subscript"/>
        </w:rPr>
        <w:t>总</w:t>
      </w:r>
      <w:r>
        <w:rPr>
          <w:rFonts w:hint="eastAsia"/>
        </w:rPr>
        <w:t>、Q</w:t>
      </w:r>
      <w:r>
        <w:rPr>
          <w:rFonts w:hint="eastAsia"/>
          <w:vertAlign w:val="subscript"/>
        </w:rPr>
        <w:t>i</w:t>
      </w:r>
      <w:r>
        <w:rPr>
          <w:rFonts w:hint="eastAsia"/>
        </w:rPr>
        <w:t>中，考虑的消耗量因素为：（注：只能选择一种方式，在选定的方式前的“□”内打“√”）</w:t>
      </w:r>
    </w:p>
    <w:p w14:paraId="5F3005BB">
      <w:pPr>
        <w:spacing w:line="360" w:lineRule="auto"/>
        <w:ind w:firstLine="480"/>
      </w:pPr>
      <w:r>
        <w:rPr>
          <w:rFonts w:hint="eastAsia"/>
        </w:rPr>
        <w:t>□投标报价中材料消耗量。</w:t>
      </w:r>
    </w:p>
    <w:p w14:paraId="05719C47">
      <w:pPr>
        <w:spacing w:line="360" w:lineRule="auto"/>
        <w:ind w:firstLine="480"/>
      </w:pPr>
      <w:r>
        <w:rPr>
          <w:rFonts w:hint="eastAsia"/>
        </w:rPr>
        <w:t>□定额消耗量。</w:t>
      </w:r>
    </w:p>
    <w:p w14:paraId="33119F82">
      <w:pPr>
        <w:spacing w:line="360" w:lineRule="auto"/>
        <w:ind w:firstLine="480"/>
      </w:pPr>
      <w:r>
        <w:rPr>
          <w:rFonts w:hint="eastAsia"/>
        </w:rPr>
        <w:t>□投标报价中材料消耗量和定额消耗量两者中最小值。</w:t>
      </w:r>
    </w:p>
    <w:p w14:paraId="5C4E65D6">
      <w:pPr>
        <w:spacing w:line="360" w:lineRule="auto"/>
        <w:ind w:firstLine="480"/>
        <w:rPr>
          <w:rFonts w:cs="Times New Roman"/>
          <w:u w:val="single"/>
          <w:lang w:val="zh-CN"/>
        </w:rPr>
      </w:pPr>
      <w:r>
        <w:rPr>
          <w:rFonts w:ascii="Wingdings 2" w:hAnsi="Wingdings 2"/>
        </w:rPr>
        <w:sym w:font="Wingdings 2" w:char="F052"/>
      </w:r>
      <w:r>
        <w:rPr>
          <w:rFonts w:hint="eastAsia"/>
        </w:rPr>
        <w:t>其他：</w:t>
      </w:r>
      <w:r>
        <w:rPr>
          <w:rFonts w:hint="eastAsia" w:cs="Times New Roman"/>
          <w:u w:val="single"/>
          <w:lang w:val="zh-CN"/>
        </w:rPr>
        <w:t>因施工过程中本合同约定可调差材料的价格</w:t>
      </w:r>
      <w:r>
        <w:rPr>
          <w:rFonts w:cs="Times New Roman"/>
          <w:u w:val="single"/>
          <w:lang w:val="zh-CN"/>
        </w:rPr>
        <w:t>(以《深圳建设工程价格信息》发布的价格信息为准)波动</w:t>
      </w:r>
      <w:r>
        <w:rPr>
          <w:rFonts w:hint="eastAsia" w:cs="Times New Roman"/>
          <w:u w:val="single"/>
        </w:rPr>
        <w:t>与</w:t>
      </w:r>
      <w:r>
        <w:rPr>
          <w:rFonts w:hint="eastAsia" w:cs="Times New Roman"/>
          <w:u w:val="single"/>
          <w:lang w:val="zh-CN"/>
        </w:rPr>
        <w:t>投标截止日期当月</w:t>
      </w:r>
      <w:r>
        <w:rPr>
          <w:rFonts w:hint="eastAsia" w:cs="Times New Roman"/>
          <w:u w:val="single"/>
        </w:rPr>
        <w:t>相比</w:t>
      </w:r>
      <w:r>
        <w:rPr>
          <w:rFonts w:hint="eastAsia" w:cs="Times New Roman"/>
          <w:u w:val="single"/>
          <w:lang w:val="zh-CN"/>
        </w:rPr>
        <w:t>超过±</w:t>
      </w:r>
      <w:r>
        <w:rPr>
          <w:rFonts w:cs="Times New Roman"/>
          <w:u w:val="single"/>
          <w:lang w:val="zh-CN"/>
        </w:rPr>
        <w:t>5％时，即可调增或调减。具体调价方法详见补充条款。</w:t>
      </w:r>
    </w:p>
    <w:p w14:paraId="58863057">
      <w:pPr>
        <w:spacing w:line="360" w:lineRule="auto"/>
        <w:ind w:firstLine="360" w:firstLineChars="150"/>
        <w:rPr>
          <w:rFonts w:cs="Times New Roman"/>
        </w:rPr>
      </w:pPr>
      <w:r>
        <w:rPr>
          <w:rFonts w:hint="eastAsia" w:cs="Times New Roman"/>
        </w:rPr>
        <w:t>如按照本合同</w:t>
      </w:r>
      <w:r>
        <w:rPr>
          <w:rFonts w:cs="Times New Roman"/>
        </w:rPr>
        <w:t>20.4⑶、⑷款确定的可调差材料价格在《深圳建设工程价格信息》未发布的，具体调差方式为：</w:t>
      </w:r>
      <w:r>
        <w:rPr>
          <w:rFonts w:hint="eastAsia" w:cs="Times New Roman"/>
          <w:u w:val="single"/>
        </w:rPr>
        <w:t>/</w:t>
      </w:r>
      <w:r>
        <w:rPr>
          <w:rFonts w:hint="eastAsia"/>
          <w:bCs/>
        </w:rPr>
        <w:t>。</w:t>
      </w:r>
    </w:p>
    <w:p w14:paraId="14BB9F16">
      <w:pPr>
        <w:pStyle w:val="5"/>
        <w:tabs>
          <w:tab w:val="left" w:pos="540"/>
          <w:tab w:val="left" w:pos="900"/>
          <w:tab w:val="left" w:pos="2340"/>
        </w:tabs>
        <w:spacing w:before="120" w:after="156"/>
        <w:ind w:left="359"/>
        <w:jc w:val="left"/>
        <w:rPr>
          <w:rFonts w:ascii="宋体" w:hAnsi="宋体"/>
          <w:sz w:val="24"/>
        </w:rPr>
      </w:pPr>
      <w:bookmarkStart w:id="264" w:name="_Toc14559"/>
      <w:bookmarkStart w:id="265" w:name="_Toc1054"/>
      <w:bookmarkStart w:id="266" w:name="_Toc31163"/>
      <w:r>
        <w:rPr>
          <w:rFonts w:hint="eastAsia" w:ascii="宋体" w:hAnsi="宋体"/>
          <w:sz w:val="24"/>
        </w:rPr>
        <w:t>20.6 人工、机械使用调差方法</w:t>
      </w:r>
      <w:bookmarkEnd w:id="264"/>
      <w:bookmarkEnd w:id="265"/>
      <w:bookmarkEnd w:id="266"/>
    </w:p>
    <w:p w14:paraId="725568FA">
      <w:pPr>
        <w:spacing w:line="360" w:lineRule="auto"/>
        <w:ind w:firstLine="480"/>
      </w:pPr>
      <w:r>
        <w:rPr>
          <w:rFonts w:hint="eastAsia"/>
          <w:bCs/>
        </w:rPr>
        <w:t>⑵用于本工程的人工发生价格波动时，</w:t>
      </w:r>
      <w:r>
        <w:rPr>
          <w:rFonts w:hint="eastAsia"/>
        </w:rPr>
        <w:t>合同价格的调整方法为：</w:t>
      </w:r>
    </w:p>
    <w:p w14:paraId="17892DCA">
      <w:pPr>
        <w:numPr>
          <w:ilvl w:val="0"/>
          <w:numId w:val="4"/>
        </w:numPr>
        <w:spacing w:line="360" w:lineRule="auto"/>
      </w:pPr>
      <w:r>
        <w:rPr>
          <w:rFonts w:hint="eastAsia"/>
        </w:rPr>
        <w:t>①按照20.5款调差公式，将公式中的材料价格替换为人工价格：</w:t>
      </w:r>
    </w:p>
    <w:p w14:paraId="26F9E65C">
      <w:pPr>
        <w:spacing w:line="360" w:lineRule="auto"/>
        <w:ind w:left="420" w:firstLine="480" w:firstLineChars="200"/>
      </w:pPr>
      <w:r>
        <w:rPr>
          <w:rFonts w:hint="eastAsia"/>
        </w:rPr>
        <w:t>□1.加权平均法。</w:t>
      </w:r>
    </w:p>
    <w:p w14:paraId="2459AA3E">
      <w:pPr>
        <w:spacing w:line="360" w:lineRule="auto"/>
        <w:ind w:left="420" w:firstLine="480" w:firstLineChars="200"/>
      </w:pPr>
      <w:r>
        <w:rPr>
          <w:rFonts w:ascii="Wingdings 2" w:hAnsi="Wingdings 2"/>
        </w:rPr>
        <w:sym w:font="Wingdings 2" w:char="F052"/>
      </w:r>
      <w:r>
        <w:rPr>
          <w:rFonts w:hint="eastAsia"/>
        </w:rPr>
        <w:t>2.算术平均法。</w:t>
      </w:r>
    </w:p>
    <w:p w14:paraId="30AE75F6">
      <w:pPr>
        <w:spacing w:line="360" w:lineRule="auto"/>
        <w:ind w:left="420"/>
      </w:pPr>
      <w:r>
        <w:drawing>
          <wp:inline distT="0" distB="0" distL="114300" distR="114300">
            <wp:extent cx="152400" cy="142875"/>
            <wp:effectExtent l="0" t="0" r="0" b="9525"/>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②人工费指数调差。</w:t>
      </w:r>
    </w:p>
    <w:p w14:paraId="2733CC7D">
      <w:pPr>
        <w:spacing w:line="360" w:lineRule="auto"/>
        <w:ind w:left="420" w:firstLine="480" w:firstLineChars="200"/>
      </w:pPr>
      <w:r>
        <w:rPr>
          <w:rFonts w:hint="eastAsia"/>
        </w:rPr>
        <w:t>调差公式中，</w:t>
      </w:r>
      <w:r>
        <w:t>I</w:t>
      </w:r>
      <w:r>
        <w:rPr>
          <w:vertAlign w:val="subscript"/>
        </w:rPr>
        <w:t>o</w:t>
      </w:r>
      <w:r>
        <w:rPr>
          <w:rFonts w:hint="eastAsia"/>
        </w:rPr>
        <w:t>为年月《深圳建设工程价格信息》某工种定额人工费指数。</w:t>
      </w:r>
    </w:p>
    <w:p w14:paraId="2BFE9C7A">
      <w:pPr>
        <w:spacing w:line="360" w:lineRule="auto"/>
        <w:ind w:left="420" w:firstLine="480" w:firstLineChars="200"/>
      </w:pPr>
      <w:r>
        <w:rPr>
          <w:rFonts w:hint="eastAsia"/>
        </w:rPr>
        <w:t>L</w:t>
      </w:r>
      <w:r>
        <w:rPr>
          <w:rFonts w:hint="eastAsia"/>
          <w:vertAlign w:val="subscript"/>
        </w:rPr>
        <w:t>总</w:t>
      </w:r>
      <w:r>
        <w:rPr>
          <w:rFonts w:hint="eastAsia"/>
        </w:rPr>
        <w:t>确定原则：（注：只能选择一种方式，在选定的方式前的“□”内打“√”）</w:t>
      </w:r>
    </w:p>
    <w:p w14:paraId="632E8F1A">
      <w:pPr>
        <w:spacing w:line="360" w:lineRule="auto"/>
        <w:ind w:left="420" w:firstLine="480" w:firstLineChars="200"/>
      </w:pPr>
      <w:r>
        <w:rPr>
          <w:rFonts w:hint="eastAsia"/>
        </w:rPr>
        <w:t>□按投标文件商务标书中某工种总人工费所占比例确定。</w:t>
      </w:r>
    </w:p>
    <w:p w14:paraId="7AD2CFAA">
      <w:pPr>
        <w:spacing w:line="360" w:lineRule="auto"/>
        <w:ind w:left="1320" w:leftChars="450" w:hanging="240" w:hangingChars="100"/>
      </w:pPr>
      <w:r>
        <w:rPr>
          <w:rFonts w:hint="eastAsia"/>
        </w:rPr>
        <w:t>□按合同价格（工料机调差前）的一定比例确定：普工总人工费为合同价格（工料机调差前）的%；技工总人工费为合同价格（工料机调差前）的%；高级技工总人工费为合同价格（工料机调差前）的%。</w:t>
      </w:r>
    </w:p>
    <w:p w14:paraId="6D7B2A3F">
      <w:pPr>
        <w:spacing w:line="360" w:lineRule="auto"/>
        <w:ind w:left="420" w:firstLine="480" w:firstLineChars="200"/>
      </w:pPr>
      <w:r>
        <w:rPr>
          <w:rFonts w:ascii="Wingdings 2" w:hAnsi="Wingdings 2"/>
        </w:rPr>
        <w:sym w:font="Wingdings 2" w:char="F0A3"/>
      </w:r>
      <w:r>
        <w:rPr>
          <w:rFonts w:hint="eastAsia"/>
        </w:rPr>
        <w:t>其他：。</w:t>
      </w:r>
    </w:p>
    <w:p w14:paraId="39E3E35B">
      <w:pPr>
        <w:spacing w:line="360" w:lineRule="auto"/>
        <w:ind w:firstLine="480"/>
        <w:rPr>
          <w:rFonts w:cs="Times New Roman"/>
          <w:u w:val="single"/>
        </w:rPr>
      </w:pPr>
      <w:r>
        <w:rPr>
          <w:rFonts w:ascii="Wingdings 2" w:hAnsi="Wingdings 2"/>
        </w:rPr>
        <w:sym w:font="Wingdings 2" w:char="F052"/>
      </w:r>
      <w:r>
        <w:rPr>
          <w:rFonts w:hint="eastAsia"/>
          <w:bCs/>
        </w:rPr>
        <w:t>③其他：</w:t>
      </w:r>
      <w:r>
        <w:rPr>
          <w:rFonts w:hint="eastAsia" w:cs="Times New Roman"/>
          <w:u w:val="single"/>
        </w:rPr>
        <w:t>工程施工期间，如深圳市建设工程造价管理站发布的《深圳建设工程价格信息》中定额人工费指数与投标截止当月发布的定额人工费指数相比</w:t>
      </w:r>
      <w:r>
        <w:rPr>
          <w:rFonts w:hint="eastAsia" w:cs="Times New Roman"/>
          <w:u w:val="single"/>
          <w:lang w:val="zh-CN"/>
        </w:rPr>
        <w:t>超过±5％时，即可调增或调减。</w:t>
      </w:r>
      <w:r>
        <w:rPr>
          <w:rFonts w:hint="eastAsia" w:cs="Times New Roman"/>
          <w:u w:val="single"/>
        </w:rPr>
        <w:t>调整公式如下：</w:t>
      </w:r>
    </w:p>
    <w:p w14:paraId="6C5E35CD">
      <w:pPr>
        <w:spacing w:line="360" w:lineRule="auto"/>
        <w:ind w:firstLine="480"/>
        <w:rPr>
          <w:rFonts w:cs="Times New Roman"/>
          <w:u w:val="single"/>
        </w:rPr>
      </w:pPr>
      <w:r>
        <w:rPr>
          <w:rFonts w:hint="eastAsia" w:cs="Times New Roman"/>
          <w:u w:val="single"/>
        </w:rPr>
        <w:t>当</w:t>
      </w:r>
      <w:r>
        <w:rPr>
          <w:rFonts w:ascii="Symbol" w:hAnsi="Symbol" w:cs="Times New Roman"/>
          <w:u w:val="single"/>
        </w:rPr>
        <w:sym w:font="Symbol" w:char="F060"/>
      </w:r>
      <w:r>
        <w:rPr>
          <w:rFonts w:hint="eastAsia" w:cs="Times New Roman"/>
          <w:u w:val="single"/>
        </w:rPr>
        <w:t>I /Io﹥1.05时，则：C增=L总×(</w:t>
      </w:r>
      <w:r>
        <w:rPr>
          <w:rFonts w:ascii="Symbol" w:hAnsi="Symbol" w:cs="Times New Roman"/>
          <w:u w:val="single"/>
        </w:rPr>
        <w:sym w:font="Symbol" w:char="F060"/>
      </w:r>
      <w:r>
        <w:rPr>
          <w:rFonts w:hint="eastAsia" w:cs="Times New Roman"/>
          <w:u w:val="single"/>
        </w:rPr>
        <w:t>I /Io-1.05)×（1+税金）</w:t>
      </w:r>
    </w:p>
    <w:p w14:paraId="481CE7E2">
      <w:pPr>
        <w:spacing w:line="360" w:lineRule="auto"/>
        <w:ind w:firstLine="480"/>
        <w:rPr>
          <w:rFonts w:cs="Times New Roman"/>
          <w:u w:val="single"/>
        </w:rPr>
      </w:pPr>
      <w:r>
        <w:rPr>
          <w:rFonts w:hint="eastAsia" w:cs="Times New Roman"/>
          <w:u w:val="single"/>
        </w:rPr>
        <w:t>当</w:t>
      </w:r>
      <w:r>
        <w:rPr>
          <w:rFonts w:ascii="Symbol" w:hAnsi="Symbol" w:cs="Times New Roman"/>
          <w:u w:val="single"/>
        </w:rPr>
        <w:sym w:font="Symbol" w:char="F060"/>
      </w:r>
      <w:r>
        <w:rPr>
          <w:rFonts w:hint="eastAsia" w:cs="Times New Roman"/>
          <w:u w:val="single"/>
        </w:rPr>
        <w:t>I /Io﹤0.95时，则：C减=L总×(0.95-</w:t>
      </w:r>
      <w:r>
        <w:rPr>
          <w:rFonts w:ascii="Symbol" w:hAnsi="Symbol" w:cs="Times New Roman"/>
          <w:u w:val="single"/>
        </w:rPr>
        <w:sym w:font="Symbol" w:char="F060"/>
      </w:r>
      <w:r>
        <w:rPr>
          <w:rFonts w:hint="eastAsia" w:cs="Times New Roman"/>
          <w:u w:val="single"/>
        </w:rPr>
        <w:t>I /Io)×（1+税金）</w:t>
      </w:r>
    </w:p>
    <w:p w14:paraId="10639704">
      <w:pPr>
        <w:spacing w:line="360" w:lineRule="auto"/>
        <w:ind w:firstLine="480"/>
        <w:rPr>
          <w:rFonts w:cs="Times New Roman"/>
          <w:u w:val="single"/>
        </w:rPr>
      </w:pPr>
      <w:r>
        <w:rPr>
          <w:rFonts w:hint="eastAsia" w:cs="Times New Roman"/>
          <w:u w:val="single"/>
        </w:rPr>
        <w:t>式中：</w:t>
      </w:r>
    </w:p>
    <w:p w14:paraId="53901DCA">
      <w:pPr>
        <w:spacing w:line="360" w:lineRule="auto"/>
        <w:ind w:firstLine="480"/>
        <w:rPr>
          <w:rFonts w:cs="Times New Roman"/>
          <w:u w:val="single"/>
        </w:rPr>
      </w:pPr>
      <w:r>
        <w:rPr>
          <w:rFonts w:ascii="Symbol" w:hAnsi="Symbol" w:cs="Times New Roman"/>
          <w:u w:val="single"/>
        </w:rPr>
        <w:sym w:font="Symbol" w:char="F060"/>
      </w:r>
      <w:r>
        <w:rPr>
          <w:rFonts w:hint="eastAsia" w:cs="Times New Roman"/>
          <w:u w:val="single"/>
        </w:rPr>
        <w:t xml:space="preserve">I  </w:t>
      </w:r>
      <w:r>
        <w:rPr>
          <w:rFonts w:hint="eastAsia" w:cs="Times New Roman"/>
          <w:u w:val="single"/>
        </w:rPr>
        <w:fldChar w:fldCharType="begin"/>
      </w:r>
      <w:r>
        <w:rPr>
          <w:rFonts w:hint="eastAsia" w:cs="Times New Roman"/>
          <w:u w:val="single"/>
        </w:rPr>
        <w:instrText xml:space="preserve"> QUOTE </w:instrText>
      </w:r>
      <w:r>
        <w:rPr>
          <w:rFonts w:cs="Times New Roman"/>
          <w:u w:val="single"/>
        </w:rPr>
        <w:pict>
          <v:shape id="_x0000_i1026" o:spt="75" type="#_x0000_t75" style="height:15pt;width:8.25pt;" filled="f" coordsize="21600,21600" equationxml="&lt;">
            <v:path/>
            <v:fill on="f" focussize="0,0"/>
            <v:stroke/>
            <v:imagedata r:id="rId9" chromakey="#FFFFFF" o:title=""/>
            <o:lock v:ext="edit" aspectratio="t"/>
            <w10:wrap type="none"/>
            <w10:anchorlock/>
          </v:shape>
        </w:pict>
      </w:r>
      <w:r>
        <w:rPr>
          <w:rFonts w:hint="eastAsia" w:cs="Times New Roman"/>
          <w:u w:val="single"/>
        </w:rPr>
        <w:fldChar w:fldCharType="end"/>
      </w:r>
      <w:r>
        <w:rPr>
          <w:rFonts w:hint="eastAsia" w:cs="Times New Roman"/>
          <w:u w:val="single"/>
        </w:rPr>
        <w:t>-施工期算术平均定额人工费指数，即</w:t>
      </w:r>
      <w:r>
        <w:rPr>
          <w:rFonts w:ascii="Symbol" w:hAnsi="Symbol" w:cs="Times New Roman"/>
          <w:u w:val="single"/>
        </w:rPr>
        <w:sym w:font="Symbol" w:char="F060"/>
      </w:r>
      <w:r>
        <w:rPr>
          <w:rFonts w:hint="eastAsia" w:cs="Times New Roman"/>
          <w:u w:val="single"/>
        </w:rPr>
        <w:t>I =(I1+I2+……+In)/n，In为施工期第n个月当月《深圳建设工程价格信息》某工种定额人工费指数）；</w:t>
      </w:r>
    </w:p>
    <w:p w14:paraId="477B1D40">
      <w:pPr>
        <w:spacing w:line="360" w:lineRule="auto"/>
        <w:ind w:firstLine="480"/>
        <w:rPr>
          <w:rFonts w:cs="Times New Roman"/>
          <w:u w:val="single"/>
        </w:rPr>
      </w:pPr>
      <w:r>
        <w:rPr>
          <w:rFonts w:hint="eastAsia" w:cs="Times New Roman"/>
          <w:u w:val="single"/>
        </w:rPr>
        <w:t>Io-投标截止当月发布的定额人工费指数；</w:t>
      </w:r>
    </w:p>
    <w:p w14:paraId="237966D5">
      <w:pPr>
        <w:spacing w:line="360" w:lineRule="auto"/>
        <w:ind w:firstLine="480"/>
        <w:rPr>
          <w:rFonts w:cs="Times New Roman"/>
          <w:u w:val="single"/>
        </w:rPr>
      </w:pPr>
      <w:r>
        <w:rPr>
          <w:rFonts w:hint="eastAsia" w:cs="Times New Roman"/>
          <w:u w:val="single"/>
        </w:rPr>
        <w:t>C增─调增合同价格；</w:t>
      </w:r>
    </w:p>
    <w:p w14:paraId="552125CF">
      <w:pPr>
        <w:spacing w:line="360" w:lineRule="auto"/>
        <w:ind w:firstLine="480"/>
        <w:rPr>
          <w:rFonts w:cs="Times New Roman"/>
          <w:u w:val="single"/>
        </w:rPr>
      </w:pPr>
      <w:r>
        <w:rPr>
          <w:rFonts w:hint="eastAsia" w:cs="Times New Roman"/>
          <w:u w:val="single"/>
        </w:rPr>
        <w:t>C减─调减合同价格；</w:t>
      </w:r>
    </w:p>
    <w:p w14:paraId="05055332">
      <w:pPr>
        <w:spacing w:line="360" w:lineRule="auto"/>
        <w:ind w:firstLine="480"/>
        <w:rPr>
          <w:rFonts w:cs="Times New Roman"/>
          <w:u w:val="single"/>
        </w:rPr>
      </w:pPr>
      <w:r>
        <w:rPr>
          <w:rFonts w:hint="eastAsia" w:cs="Times New Roman"/>
          <w:u w:val="single"/>
        </w:rPr>
        <w:t>L总─本工程某工种总人工费，按结算价格（结算价格不含清单中总价包干、以项为单位部分）</w:t>
      </w:r>
    </w:p>
    <w:p w14:paraId="7DC935C9">
      <w:pPr>
        <w:spacing w:line="360" w:lineRule="auto"/>
        <w:ind w:firstLine="480"/>
        <w:rPr>
          <w:rFonts w:cs="Times New Roman"/>
          <w:u w:val="single"/>
        </w:rPr>
      </w:pPr>
      <w:r>
        <w:rPr>
          <w:rFonts w:hint="eastAsia" w:cs="Times New Roman"/>
          <w:u w:val="single"/>
        </w:rPr>
        <w:t>1.施工期的约定如下：</w:t>
      </w:r>
    </w:p>
    <w:p w14:paraId="20EFA883">
      <w:pPr>
        <w:spacing w:line="360" w:lineRule="auto"/>
        <w:ind w:firstLine="480"/>
        <w:rPr>
          <w:rFonts w:cs="Times New Roman"/>
          <w:u w:val="single"/>
        </w:rPr>
      </w:pPr>
      <w:r>
        <w:rPr>
          <w:rFonts w:ascii="Wingdings 2" w:hAnsi="Wingdings 2" w:cs="Times New Roman"/>
        </w:rPr>
        <w:sym w:font="Wingdings 2" w:char="F0A3"/>
      </w:r>
      <w:r>
        <w:rPr>
          <w:rFonts w:hint="eastAsia" w:cs="Times New Roman"/>
          <w:u w:val="single"/>
        </w:rPr>
        <w:t>基坑支护及土石方工程、桩基工程</w:t>
      </w:r>
    </w:p>
    <w:p w14:paraId="34C95418">
      <w:pPr>
        <w:spacing w:line="360" w:lineRule="auto"/>
        <w:ind w:firstLine="480"/>
        <w:rPr>
          <w:rFonts w:cs="Times New Roman"/>
          <w:u w:val="single"/>
        </w:rPr>
      </w:pPr>
      <w:r>
        <w:rPr>
          <w:rFonts w:hint="eastAsia" w:cs="Times New Roman"/>
          <w:u w:val="single"/>
        </w:rPr>
        <w:t>施工期：从合同约定施工开始日期的当期为起始月份至地下室底板浇筑之前为终止月份。</w:t>
      </w:r>
    </w:p>
    <w:p w14:paraId="0BEC1531">
      <w:pPr>
        <w:spacing w:line="360" w:lineRule="auto"/>
        <w:ind w:firstLine="480"/>
        <w:rPr>
          <w:rFonts w:cs="Times New Roman"/>
          <w:u w:val="single"/>
        </w:rPr>
      </w:pPr>
      <w:r>
        <w:rPr>
          <w:rFonts w:ascii="Wingdings 2" w:hAnsi="Wingdings 2" w:cs="Times New Roman"/>
        </w:rPr>
        <w:sym w:font="Wingdings 2" w:char="F052"/>
      </w:r>
      <w:r>
        <w:rPr>
          <w:rFonts w:hint="eastAsia" w:cs="Times New Roman"/>
          <w:u w:val="single"/>
        </w:rPr>
        <w:t>地下室及主体地上工程</w:t>
      </w:r>
    </w:p>
    <w:p w14:paraId="12D1A5C5">
      <w:pPr>
        <w:spacing w:line="360" w:lineRule="auto"/>
        <w:ind w:firstLine="480"/>
        <w:rPr>
          <w:rFonts w:cs="Times New Roman"/>
          <w:u w:val="single"/>
        </w:rPr>
      </w:pPr>
      <w:r>
        <w:rPr>
          <w:rFonts w:hint="eastAsia" w:cs="Times New Roman"/>
          <w:u w:val="single"/>
        </w:rPr>
        <w:t>施工期：自地下室底板开始浇筑施工为起始月份至项目最后一栋楼主体结构封顶后第</w:t>
      </w:r>
      <w:r>
        <w:rPr>
          <w:rFonts w:cs="Times New Roman"/>
          <w:u w:val="single"/>
        </w:rPr>
        <w:t>6个月的当期为终止月份。</w:t>
      </w:r>
    </w:p>
    <w:p w14:paraId="6A4E8E59">
      <w:pPr>
        <w:pStyle w:val="5"/>
        <w:tabs>
          <w:tab w:val="left" w:pos="540"/>
          <w:tab w:val="left" w:pos="900"/>
          <w:tab w:val="left" w:pos="2340"/>
        </w:tabs>
        <w:spacing w:before="120" w:after="156" w:line="360" w:lineRule="auto"/>
        <w:ind w:left="359"/>
        <w:jc w:val="left"/>
        <w:rPr>
          <w:rFonts w:ascii="宋体" w:hAnsi="宋体"/>
          <w:sz w:val="24"/>
        </w:rPr>
      </w:pPr>
      <w:bookmarkStart w:id="267" w:name="_Toc6627"/>
      <w:bookmarkStart w:id="268" w:name="_Toc27944"/>
      <w:bookmarkStart w:id="269" w:name="_Toc8489"/>
      <w:r>
        <w:rPr>
          <w:rFonts w:hint="eastAsia" w:ascii="宋体" w:hAnsi="宋体"/>
          <w:sz w:val="24"/>
        </w:rPr>
        <w:t>20.8中标净下浮率</w:t>
      </w:r>
      <w:bookmarkEnd w:id="267"/>
      <w:bookmarkEnd w:id="268"/>
      <w:bookmarkEnd w:id="269"/>
    </w:p>
    <w:p w14:paraId="00807353">
      <w:pPr>
        <w:spacing w:line="360" w:lineRule="auto"/>
        <w:ind w:firstLine="480"/>
      </w:pPr>
      <w:r>
        <w:rPr>
          <w:rFonts w:hint="eastAsia"/>
        </w:rPr>
        <w:t>本工程中标净下浮率为：</w:t>
      </w:r>
      <w:r>
        <w:rPr>
          <w:rFonts w:hint="eastAsia"/>
          <w:u w:val="single"/>
        </w:rPr>
        <w:t xml:space="preserve">          %</w:t>
      </w:r>
      <w:r>
        <w:rPr>
          <w:rFonts w:hint="eastAsia"/>
        </w:rPr>
        <w:t>。</w:t>
      </w:r>
    </w:p>
    <w:p w14:paraId="5456F3D8">
      <w:pPr>
        <w:spacing w:line="360" w:lineRule="auto"/>
        <w:ind w:firstLine="480"/>
      </w:pPr>
      <w:r>
        <w:rPr>
          <w:rFonts w:hint="eastAsia" w:cs="Times New Roman"/>
          <w:kern w:val="2"/>
        </w:rPr>
        <w:t>注：净下浮比率F=[1－中标价（扣除安全文明施工费、其他工程、创优及节点奖励、暂列金等不可竞争费）÷招标控制价（扣除安全文明施工费、其他工程、创优及节点奖励、暂列金等不可竞争费）]×100%。</w:t>
      </w:r>
    </w:p>
    <w:p w14:paraId="7C9EAAD7">
      <w:pPr>
        <w:pStyle w:val="5"/>
        <w:tabs>
          <w:tab w:val="left" w:pos="540"/>
          <w:tab w:val="left" w:pos="900"/>
          <w:tab w:val="left" w:pos="2340"/>
        </w:tabs>
        <w:spacing w:before="120" w:after="156"/>
        <w:ind w:left="359"/>
        <w:jc w:val="left"/>
        <w:rPr>
          <w:rFonts w:ascii="宋体" w:hAnsi="宋体"/>
          <w:sz w:val="24"/>
        </w:rPr>
      </w:pPr>
      <w:bookmarkStart w:id="270" w:name="_Toc30195"/>
      <w:bookmarkStart w:id="271" w:name="_Toc3592"/>
      <w:bookmarkStart w:id="272" w:name="_Toc23975"/>
      <w:r>
        <w:rPr>
          <w:rFonts w:hint="eastAsia" w:ascii="宋体" w:hAnsi="宋体"/>
          <w:sz w:val="24"/>
        </w:rPr>
        <w:t>20.9 询价采购</w:t>
      </w:r>
      <w:bookmarkEnd w:id="270"/>
      <w:bookmarkEnd w:id="271"/>
      <w:bookmarkEnd w:id="272"/>
    </w:p>
    <w:p w14:paraId="24F98564">
      <w:pPr>
        <w:adjustRightInd w:val="0"/>
        <w:snapToGrid w:val="0"/>
        <w:spacing w:after="200" w:line="360" w:lineRule="auto"/>
        <w:ind w:firstLine="480"/>
      </w:pPr>
      <w:r>
        <w:t>(2)</w:t>
      </w:r>
      <w:r>
        <w:rPr>
          <w:rFonts w:hint="eastAsia"/>
        </w:rPr>
        <w:t>询价采购的网络服务平台为：</w:t>
      </w:r>
    </w:p>
    <w:p w14:paraId="6065A609">
      <w:pPr>
        <w:spacing w:line="360" w:lineRule="auto"/>
        <w:ind w:firstLine="480" w:firstLineChars="200"/>
        <w:rPr>
          <w:rFonts w:cs="Times New Roman"/>
          <w:bCs/>
          <w:u w:val="single"/>
        </w:rPr>
      </w:pPr>
      <w:r>
        <w:rPr>
          <w:rFonts w:hint="eastAsia" w:cs="Times New Roman"/>
          <w:bCs/>
          <w:u w:val="single"/>
        </w:rPr>
        <w:t>■http://xj.jiaoyi365.com（筑龙）；</w:t>
      </w:r>
    </w:p>
    <w:p w14:paraId="2C5D1A34">
      <w:pPr>
        <w:spacing w:line="360" w:lineRule="auto"/>
        <w:ind w:firstLine="480" w:firstLineChars="200"/>
        <w:rPr>
          <w:rFonts w:cs="Times New Roman"/>
          <w:bCs/>
          <w:u w:val="single"/>
        </w:rPr>
      </w:pPr>
      <w:r>
        <w:rPr>
          <w:rFonts w:hint="eastAsia" w:cs="Times New Roman"/>
          <w:bCs/>
          <w:u w:val="single"/>
        </w:rPr>
        <w:t>■http://www.51xjcg.com（斯维尔）；</w:t>
      </w:r>
    </w:p>
    <w:p w14:paraId="198B14EA">
      <w:pPr>
        <w:spacing w:line="360" w:lineRule="auto"/>
        <w:ind w:firstLine="480" w:firstLineChars="200"/>
        <w:rPr>
          <w:rFonts w:cs="Times New Roman"/>
          <w:bCs/>
          <w:u w:val="single"/>
        </w:rPr>
      </w:pPr>
      <w:r>
        <w:rPr>
          <w:rFonts w:hint="eastAsia" w:cs="Times New Roman"/>
          <w:bCs/>
          <w:u w:val="single"/>
        </w:rPr>
        <w:t>注：深圳市住房和建设局通过公开招标确定并授予北京筑龙信息技术有限责任公司、深圳市斯维尔科技有限公司两家单位深圳市建设工程材料设备询价采购网络服务平台的特许经营权。</w:t>
      </w:r>
    </w:p>
    <w:p w14:paraId="5EB13FB2">
      <w:pPr>
        <w:spacing w:line="360" w:lineRule="auto"/>
        <w:ind w:firstLine="480"/>
      </w:pPr>
      <w:r>
        <w:t>(</w:t>
      </w:r>
      <w:r>
        <w:rPr>
          <w:rFonts w:hint="eastAsia"/>
        </w:rPr>
        <w:t>3</w:t>
      </w:r>
      <w:r>
        <w:t>)</w:t>
      </w:r>
      <w:r>
        <w:rPr>
          <w:rFonts w:hint="eastAsia"/>
        </w:rPr>
        <w:t>①询价采购小组的组成和成立流程等要求为：</w:t>
      </w:r>
      <w:r>
        <w:rPr>
          <w:rFonts w:hint="eastAsia"/>
          <w:bCs/>
          <w:u w:val="single"/>
        </w:rPr>
        <w:t>按《关于建设工程招标投标改革的若干规定》（深府【2015】73号）、《深圳市建设工程材料设备询价采购办法》的相关规定及以发包人要求为准。</w:t>
      </w:r>
    </w:p>
    <w:p w14:paraId="6893A3ED">
      <w:pPr>
        <w:spacing w:line="360" w:lineRule="auto"/>
        <w:rPr>
          <w:bCs/>
          <w:u w:val="single"/>
        </w:rPr>
      </w:pPr>
      <w:r>
        <w:rPr>
          <w:rFonts w:hint="eastAsia"/>
        </w:rPr>
        <w:t>②询价采购文件编制和审核流程等要求为：</w:t>
      </w:r>
      <w:r>
        <w:rPr>
          <w:rFonts w:hint="eastAsia"/>
          <w:u w:val="single"/>
        </w:rPr>
        <w:t>按《关于建设工程招标投标改革的若干规定》（深府【2015】73号）、《深圳市建设工程材料设备询价采购办法》的相关规定及以发包人要求为准。</w:t>
      </w:r>
    </w:p>
    <w:p w14:paraId="74587233">
      <w:pPr>
        <w:pStyle w:val="4"/>
        <w:keepNext w:val="0"/>
        <w:keepLines w:val="0"/>
        <w:tabs>
          <w:tab w:val="left" w:pos="540"/>
          <w:tab w:val="left" w:pos="720"/>
          <w:tab w:val="left" w:pos="1620"/>
          <w:tab w:val="left" w:pos="2340"/>
        </w:tabs>
        <w:spacing w:before="120" w:after="120"/>
        <w:ind w:left="178"/>
      </w:pPr>
      <w:bookmarkStart w:id="273" w:name="_Toc11692"/>
      <w:bookmarkStart w:id="274" w:name="_Toc23694"/>
      <w:bookmarkStart w:id="275" w:name="_Toc3618"/>
      <w:r>
        <w:rPr>
          <w:rFonts w:hint="eastAsia"/>
        </w:rPr>
        <w:t>21暂估价和暂列金额</w:t>
      </w:r>
      <w:bookmarkEnd w:id="273"/>
      <w:bookmarkEnd w:id="274"/>
      <w:bookmarkEnd w:id="275"/>
    </w:p>
    <w:p w14:paraId="6AA80129">
      <w:pPr>
        <w:pStyle w:val="5"/>
        <w:tabs>
          <w:tab w:val="left" w:pos="540"/>
          <w:tab w:val="left" w:pos="900"/>
          <w:tab w:val="left" w:pos="2340"/>
        </w:tabs>
        <w:spacing w:before="120" w:after="156"/>
        <w:ind w:left="359"/>
        <w:jc w:val="left"/>
        <w:rPr>
          <w:rFonts w:ascii="宋体" w:hAnsi="宋体"/>
          <w:sz w:val="24"/>
        </w:rPr>
      </w:pPr>
      <w:bookmarkStart w:id="276" w:name="_Toc24499"/>
      <w:bookmarkStart w:id="277" w:name="_Toc17766"/>
      <w:bookmarkStart w:id="278" w:name="_Toc10516"/>
      <w:r>
        <w:rPr>
          <w:rFonts w:hint="eastAsia" w:ascii="宋体" w:hAnsi="宋体"/>
          <w:sz w:val="24"/>
        </w:rPr>
        <w:t>21.1材料设备暂估价</w:t>
      </w:r>
      <w:bookmarkEnd w:id="276"/>
      <w:bookmarkEnd w:id="277"/>
      <w:bookmarkEnd w:id="278"/>
    </w:p>
    <w:p w14:paraId="5806BA3E">
      <w:pPr>
        <w:spacing w:line="360" w:lineRule="auto"/>
        <w:ind w:firstLine="480"/>
      </w:pPr>
      <w:r>
        <w:rPr>
          <w:rFonts w:hint="eastAsia"/>
        </w:rPr>
        <w:t xml:space="preserve">(1)本工程暂估的材料设备的名称、规格、单位和暂估单价见下表：                             (本表可另附页) </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2630"/>
        <w:gridCol w:w="2288"/>
        <w:gridCol w:w="900"/>
        <w:gridCol w:w="2074"/>
      </w:tblGrid>
      <w:tr w14:paraId="272F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62" w:type="dxa"/>
            <w:tcBorders>
              <w:top w:val="single" w:color="auto" w:sz="4" w:space="0"/>
              <w:left w:val="single" w:color="auto" w:sz="4" w:space="0"/>
              <w:bottom w:val="single" w:color="auto" w:sz="4" w:space="0"/>
              <w:right w:val="single" w:color="auto" w:sz="4" w:space="0"/>
            </w:tcBorders>
            <w:vAlign w:val="center"/>
          </w:tcPr>
          <w:p w14:paraId="4CC634E5">
            <w:pPr>
              <w:spacing w:line="360" w:lineRule="auto"/>
              <w:ind w:left="-107" w:right="-107"/>
              <w:jc w:val="center"/>
            </w:pPr>
            <w:r>
              <w:rPr>
                <w:rFonts w:hint="eastAsia"/>
              </w:rPr>
              <w:t>序号</w:t>
            </w:r>
          </w:p>
        </w:tc>
        <w:tc>
          <w:tcPr>
            <w:tcW w:w="2630" w:type="dxa"/>
            <w:tcBorders>
              <w:top w:val="single" w:color="auto" w:sz="4" w:space="0"/>
              <w:left w:val="single" w:color="auto" w:sz="4" w:space="0"/>
              <w:bottom w:val="single" w:color="auto" w:sz="4" w:space="0"/>
              <w:right w:val="single" w:color="auto" w:sz="4" w:space="0"/>
            </w:tcBorders>
            <w:vAlign w:val="center"/>
          </w:tcPr>
          <w:p w14:paraId="6FC39459">
            <w:pPr>
              <w:spacing w:line="360" w:lineRule="auto"/>
              <w:ind w:left="-107" w:right="-107"/>
              <w:jc w:val="center"/>
            </w:pPr>
            <w:r>
              <w:rPr>
                <w:rFonts w:hint="eastAsia"/>
              </w:rPr>
              <w:t>暂估的材料设备名称</w:t>
            </w:r>
          </w:p>
        </w:tc>
        <w:tc>
          <w:tcPr>
            <w:tcW w:w="2288" w:type="dxa"/>
            <w:tcBorders>
              <w:top w:val="single" w:color="auto" w:sz="4" w:space="0"/>
              <w:left w:val="single" w:color="auto" w:sz="4" w:space="0"/>
              <w:bottom w:val="single" w:color="auto" w:sz="4" w:space="0"/>
              <w:right w:val="single" w:color="auto" w:sz="4" w:space="0"/>
            </w:tcBorders>
            <w:vAlign w:val="center"/>
          </w:tcPr>
          <w:p w14:paraId="53ADA123">
            <w:pPr>
              <w:spacing w:line="360" w:lineRule="auto"/>
              <w:ind w:left="-107" w:right="-107"/>
              <w:jc w:val="center"/>
            </w:pPr>
            <w:r>
              <w:rPr>
                <w:rFonts w:hint="eastAsia"/>
              </w:rPr>
              <w:t>规格</w:t>
            </w:r>
          </w:p>
        </w:tc>
        <w:tc>
          <w:tcPr>
            <w:tcW w:w="900" w:type="dxa"/>
            <w:tcBorders>
              <w:top w:val="single" w:color="auto" w:sz="4" w:space="0"/>
              <w:left w:val="single" w:color="auto" w:sz="4" w:space="0"/>
              <w:bottom w:val="single" w:color="auto" w:sz="4" w:space="0"/>
              <w:right w:val="single" w:color="auto" w:sz="4" w:space="0"/>
            </w:tcBorders>
            <w:vAlign w:val="center"/>
          </w:tcPr>
          <w:p w14:paraId="13A90100">
            <w:pPr>
              <w:spacing w:line="360" w:lineRule="auto"/>
              <w:ind w:right="-107"/>
              <w:jc w:val="center"/>
            </w:pPr>
            <w:r>
              <w:rPr>
                <w:rFonts w:hint="eastAsia"/>
              </w:rPr>
              <w:t>单位</w:t>
            </w:r>
          </w:p>
        </w:tc>
        <w:tc>
          <w:tcPr>
            <w:tcW w:w="2074" w:type="dxa"/>
            <w:tcBorders>
              <w:top w:val="single" w:color="auto" w:sz="4" w:space="0"/>
              <w:left w:val="single" w:color="auto" w:sz="4" w:space="0"/>
              <w:bottom w:val="single" w:color="auto" w:sz="4" w:space="0"/>
              <w:right w:val="single" w:color="auto" w:sz="4" w:space="0"/>
            </w:tcBorders>
            <w:vAlign w:val="center"/>
          </w:tcPr>
          <w:p w14:paraId="7F848682">
            <w:pPr>
              <w:spacing w:line="360" w:lineRule="auto"/>
              <w:ind w:left="-107" w:right="-107"/>
              <w:jc w:val="center"/>
            </w:pPr>
            <w:r>
              <w:rPr>
                <w:rFonts w:hint="eastAsia"/>
              </w:rPr>
              <w:t>暂估单价（元）</w:t>
            </w:r>
          </w:p>
        </w:tc>
      </w:tr>
      <w:tr w14:paraId="739AD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62" w:type="dxa"/>
            <w:tcBorders>
              <w:top w:val="single" w:color="auto" w:sz="4" w:space="0"/>
              <w:left w:val="single" w:color="auto" w:sz="4" w:space="0"/>
              <w:bottom w:val="single" w:color="auto" w:sz="4" w:space="0"/>
              <w:right w:val="single" w:color="auto" w:sz="4" w:space="0"/>
            </w:tcBorders>
            <w:vAlign w:val="center"/>
          </w:tcPr>
          <w:p w14:paraId="4D5425F3">
            <w:pPr>
              <w:spacing w:line="360" w:lineRule="auto"/>
              <w:jc w:val="center"/>
            </w:pPr>
            <w:r>
              <w:t>1</w:t>
            </w:r>
          </w:p>
        </w:tc>
        <w:tc>
          <w:tcPr>
            <w:tcW w:w="2630" w:type="dxa"/>
            <w:tcBorders>
              <w:top w:val="single" w:color="auto" w:sz="4" w:space="0"/>
              <w:left w:val="single" w:color="auto" w:sz="4" w:space="0"/>
              <w:bottom w:val="single" w:color="auto" w:sz="4" w:space="0"/>
              <w:right w:val="single" w:color="auto" w:sz="4" w:space="0"/>
            </w:tcBorders>
            <w:vAlign w:val="bottom"/>
          </w:tcPr>
          <w:p w14:paraId="7AE611C5">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35ED465B">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15A272C7">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19EA5766">
            <w:pPr>
              <w:spacing w:line="360" w:lineRule="auto"/>
            </w:pPr>
          </w:p>
        </w:tc>
      </w:tr>
      <w:tr w14:paraId="62C0C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62" w:type="dxa"/>
            <w:tcBorders>
              <w:top w:val="single" w:color="auto" w:sz="4" w:space="0"/>
              <w:left w:val="single" w:color="auto" w:sz="4" w:space="0"/>
              <w:bottom w:val="single" w:color="auto" w:sz="4" w:space="0"/>
              <w:right w:val="single" w:color="auto" w:sz="4" w:space="0"/>
            </w:tcBorders>
            <w:vAlign w:val="center"/>
          </w:tcPr>
          <w:p w14:paraId="29A1E0B8">
            <w:pPr>
              <w:spacing w:line="360" w:lineRule="auto"/>
              <w:jc w:val="center"/>
            </w:pPr>
            <w:r>
              <w:t>2</w:t>
            </w:r>
          </w:p>
        </w:tc>
        <w:tc>
          <w:tcPr>
            <w:tcW w:w="2630" w:type="dxa"/>
            <w:tcBorders>
              <w:top w:val="single" w:color="auto" w:sz="4" w:space="0"/>
              <w:left w:val="single" w:color="auto" w:sz="4" w:space="0"/>
              <w:bottom w:val="single" w:color="auto" w:sz="4" w:space="0"/>
              <w:right w:val="single" w:color="auto" w:sz="4" w:space="0"/>
            </w:tcBorders>
            <w:vAlign w:val="bottom"/>
          </w:tcPr>
          <w:p w14:paraId="280A7023">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3863A362">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0F52CE30">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77FC7E47">
            <w:pPr>
              <w:spacing w:line="360" w:lineRule="auto"/>
            </w:pPr>
          </w:p>
        </w:tc>
      </w:tr>
      <w:tr w14:paraId="73791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62" w:type="dxa"/>
            <w:tcBorders>
              <w:top w:val="single" w:color="auto" w:sz="4" w:space="0"/>
              <w:left w:val="single" w:color="auto" w:sz="4" w:space="0"/>
              <w:bottom w:val="single" w:color="auto" w:sz="4" w:space="0"/>
              <w:right w:val="single" w:color="auto" w:sz="4" w:space="0"/>
            </w:tcBorders>
            <w:vAlign w:val="center"/>
          </w:tcPr>
          <w:p w14:paraId="46BA9CDB">
            <w:pPr>
              <w:spacing w:line="360" w:lineRule="auto"/>
              <w:jc w:val="center"/>
            </w:pPr>
            <w:r>
              <w:rPr>
                <w:rFonts w:hint="eastAsia"/>
              </w:rPr>
              <w:t>3</w:t>
            </w:r>
          </w:p>
        </w:tc>
        <w:tc>
          <w:tcPr>
            <w:tcW w:w="2630" w:type="dxa"/>
            <w:tcBorders>
              <w:top w:val="single" w:color="auto" w:sz="4" w:space="0"/>
              <w:left w:val="single" w:color="auto" w:sz="4" w:space="0"/>
              <w:bottom w:val="single" w:color="auto" w:sz="4" w:space="0"/>
              <w:right w:val="single" w:color="auto" w:sz="4" w:space="0"/>
            </w:tcBorders>
            <w:vAlign w:val="bottom"/>
          </w:tcPr>
          <w:p w14:paraId="75A7D9E5">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39A13B17">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44E6F49E">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6F9C90FF">
            <w:pPr>
              <w:spacing w:line="360" w:lineRule="auto"/>
            </w:pPr>
          </w:p>
        </w:tc>
      </w:tr>
      <w:tr w14:paraId="76822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vAlign w:val="center"/>
          </w:tcPr>
          <w:p w14:paraId="11F0DE55">
            <w:pPr>
              <w:spacing w:line="360" w:lineRule="auto"/>
              <w:jc w:val="center"/>
            </w:pPr>
            <w:r>
              <w:t>4</w:t>
            </w:r>
          </w:p>
        </w:tc>
        <w:tc>
          <w:tcPr>
            <w:tcW w:w="2630" w:type="dxa"/>
            <w:tcBorders>
              <w:top w:val="single" w:color="auto" w:sz="4" w:space="0"/>
              <w:left w:val="single" w:color="auto" w:sz="4" w:space="0"/>
              <w:bottom w:val="single" w:color="auto" w:sz="4" w:space="0"/>
              <w:right w:val="single" w:color="auto" w:sz="4" w:space="0"/>
            </w:tcBorders>
            <w:vAlign w:val="bottom"/>
          </w:tcPr>
          <w:p w14:paraId="33FFEE86">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4E8B2718">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43287583">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476FDE89">
            <w:pPr>
              <w:spacing w:line="360" w:lineRule="auto"/>
            </w:pPr>
          </w:p>
        </w:tc>
      </w:tr>
      <w:tr w14:paraId="216BDC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62" w:type="dxa"/>
            <w:tcBorders>
              <w:top w:val="single" w:color="auto" w:sz="4" w:space="0"/>
              <w:left w:val="single" w:color="auto" w:sz="4" w:space="0"/>
              <w:bottom w:val="single" w:color="auto" w:sz="4" w:space="0"/>
              <w:right w:val="single" w:color="auto" w:sz="4" w:space="0"/>
            </w:tcBorders>
            <w:vAlign w:val="center"/>
          </w:tcPr>
          <w:p w14:paraId="6A12695A">
            <w:pPr>
              <w:spacing w:line="360" w:lineRule="auto"/>
              <w:jc w:val="center"/>
            </w:pPr>
            <w:r>
              <w:rPr>
                <w:rFonts w:hint="eastAsia"/>
              </w:rPr>
              <w:t>5</w:t>
            </w:r>
          </w:p>
        </w:tc>
        <w:tc>
          <w:tcPr>
            <w:tcW w:w="2630" w:type="dxa"/>
            <w:tcBorders>
              <w:top w:val="single" w:color="auto" w:sz="4" w:space="0"/>
              <w:left w:val="single" w:color="auto" w:sz="4" w:space="0"/>
              <w:bottom w:val="single" w:color="auto" w:sz="4" w:space="0"/>
              <w:right w:val="single" w:color="auto" w:sz="4" w:space="0"/>
            </w:tcBorders>
            <w:vAlign w:val="bottom"/>
          </w:tcPr>
          <w:p w14:paraId="799A899E">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6FFEA38C">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51D5B5DE">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719829D1">
            <w:pPr>
              <w:spacing w:line="360" w:lineRule="auto"/>
            </w:pPr>
          </w:p>
        </w:tc>
      </w:tr>
      <w:tr w14:paraId="1547D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14:paraId="5FAC00A9">
            <w:pPr>
              <w:spacing w:line="360" w:lineRule="auto"/>
              <w:jc w:val="center"/>
            </w:pPr>
            <w:r>
              <w:rPr>
                <w:rFonts w:hint="eastAsia"/>
              </w:rPr>
              <w:t>6</w:t>
            </w:r>
          </w:p>
        </w:tc>
        <w:tc>
          <w:tcPr>
            <w:tcW w:w="2630" w:type="dxa"/>
            <w:tcBorders>
              <w:top w:val="single" w:color="auto" w:sz="4" w:space="0"/>
              <w:left w:val="single" w:color="auto" w:sz="4" w:space="0"/>
              <w:bottom w:val="single" w:color="auto" w:sz="4" w:space="0"/>
              <w:right w:val="single" w:color="auto" w:sz="4" w:space="0"/>
            </w:tcBorders>
            <w:vAlign w:val="bottom"/>
          </w:tcPr>
          <w:p w14:paraId="7E2CC7FB">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62992880">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5D45CB2D">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6A388D74">
            <w:pPr>
              <w:spacing w:line="360" w:lineRule="auto"/>
            </w:pPr>
          </w:p>
        </w:tc>
      </w:tr>
      <w:tr w14:paraId="023EE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62" w:type="dxa"/>
            <w:tcBorders>
              <w:top w:val="single" w:color="auto" w:sz="4" w:space="0"/>
              <w:left w:val="single" w:color="auto" w:sz="4" w:space="0"/>
              <w:bottom w:val="single" w:color="auto" w:sz="4" w:space="0"/>
              <w:right w:val="single" w:color="auto" w:sz="4" w:space="0"/>
            </w:tcBorders>
            <w:vAlign w:val="center"/>
          </w:tcPr>
          <w:p w14:paraId="508FBE49">
            <w:pPr>
              <w:spacing w:line="360" w:lineRule="auto"/>
              <w:jc w:val="center"/>
            </w:pPr>
            <w:r>
              <w:rPr>
                <w:rFonts w:hint="eastAsia"/>
              </w:rPr>
              <w:t>…</w:t>
            </w:r>
          </w:p>
        </w:tc>
        <w:tc>
          <w:tcPr>
            <w:tcW w:w="2630" w:type="dxa"/>
            <w:tcBorders>
              <w:top w:val="single" w:color="auto" w:sz="4" w:space="0"/>
              <w:left w:val="single" w:color="auto" w:sz="4" w:space="0"/>
              <w:bottom w:val="single" w:color="auto" w:sz="4" w:space="0"/>
              <w:right w:val="single" w:color="auto" w:sz="4" w:space="0"/>
            </w:tcBorders>
            <w:vAlign w:val="bottom"/>
          </w:tcPr>
          <w:p w14:paraId="10F9D86F">
            <w:pPr>
              <w:spacing w:line="360" w:lineRule="auto"/>
            </w:pPr>
          </w:p>
        </w:tc>
        <w:tc>
          <w:tcPr>
            <w:tcW w:w="2288" w:type="dxa"/>
            <w:tcBorders>
              <w:top w:val="single" w:color="auto" w:sz="4" w:space="0"/>
              <w:left w:val="single" w:color="auto" w:sz="4" w:space="0"/>
              <w:bottom w:val="single" w:color="auto" w:sz="4" w:space="0"/>
              <w:right w:val="single" w:color="auto" w:sz="4" w:space="0"/>
            </w:tcBorders>
            <w:vAlign w:val="bottom"/>
          </w:tcPr>
          <w:p w14:paraId="45E5013E">
            <w:pPr>
              <w:spacing w:line="360" w:lineRule="auto"/>
            </w:pPr>
          </w:p>
        </w:tc>
        <w:tc>
          <w:tcPr>
            <w:tcW w:w="900" w:type="dxa"/>
            <w:tcBorders>
              <w:top w:val="single" w:color="auto" w:sz="4" w:space="0"/>
              <w:left w:val="single" w:color="auto" w:sz="4" w:space="0"/>
              <w:bottom w:val="single" w:color="auto" w:sz="4" w:space="0"/>
              <w:right w:val="single" w:color="auto" w:sz="4" w:space="0"/>
            </w:tcBorders>
            <w:vAlign w:val="bottom"/>
          </w:tcPr>
          <w:p w14:paraId="4547667F">
            <w:pPr>
              <w:spacing w:line="360" w:lineRule="auto"/>
            </w:pPr>
          </w:p>
        </w:tc>
        <w:tc>
          <w:tcPr>
            <w:tcW w:w="2074" w:type="dxa"/>
            <w:tcBorders>
              <w:top w:val="single" w:color="auto" w:sz="4" w:space="0"/>
              <w:left w:val="single" w:color="auto" w:sz="4" w:space="0"/>
              <w:bottom w:val="single" w:color="auto" w:sz="4" w:space="0"/>
              <w:right w:val="single" w:color="auto" w:sz="4" w:space="0"/>
            </w:tcBorders>
            <w:vAlign w:val="bottom"/>
          </w:tcPr>
          <w:p w14:paraId="6BF2CCF5">
            <w:pPr>
              <w:spacing w:line="360" w:lineRule="auto"/>
            </w:pPr>
          </w:p>
        </w:tc>
      </w:tr>
    </w:tbl>
    <w:p w14:paraId="36B403E4">
      <w:pPr>
        <w:spacing w:line="360" w:lineRule="auto"/>
        <w:ind w:firstLine="480"/>
        <w:rPr>
          <w:rFonts w:cs="Times New Roman"/>
          <w:bCs/>
          <w:u w:val="single"/>
        </w:rPr>
      </w:pPr>
      <w:r>
        <w:rPr>
          <w:rFonts w:hint="eastAsia"/>
        </w:rPr>
        <w:t>(3)如21.1⑴款所述暂估的材料设备不属于按规定必须招标的，按照以下方式确定该材料设备单价：</w:t>
      </w:r>
      <w:r>
        <w:rPr>
          <w:rFonts w:hint="eastAsia"/>
          <w:bCs/>
          <w:u w:val="single"/>
        </w:rPr>
        <w:t xml:space="preserve">按《关于建设工程招标投标改革的若干规定》（深府【2015】73号）、《深圳市建设工程材料设备询价采购办法》的相关规定执行。 </w:t>
      </w:r>
    </w:p>
    <w:p w14:paraId="65386BD9">
      <w:pPr>
        <w:pStyle w:val="5"/>
        <w:tabs>
          <w:tab w:val="left" w:pos="540"/>
          <w:tab w:val="left" w:pos="900"/>
          <w:tab w:val="left" w:pos="2340"/>
        </w:tabs>
        <w:spacing w:before="120" w:after="156"/>
        <w:ind w:left="359"/>
        <w:jc w:val="left"/>
        <w:rPr>
          <w:rFonts w:ascii="宋体" w:hAnsi="宋体"/>
          <w:sz w:val="24"/>
        </w:rPr>
      </w:pPr>
      <w:bookmarkStart w:id="279" w:name="_Toc4647"/>
      <w:bookmarkStart w:id="280" w:name="_Toc18237"/>
      <w:bookmarkStart w:id="281" w:name="_Toc31786"/>
      <w:r>
        <w:rPr>
          <w:rFonts w:ascii="宋体" w:hAnsi="宋体"/>
          <w:sz w:val="24"/>
        </w:rPr>
        <w:t>21.2专业工程暂估价</w:t>
      </w:r>
      <w:bookmarkEnd w:id="279"/>
      <w:bookmarkEnd w:id="280"/>
      <w:bookmarkEnd w:id="281"/>
    </w:p>
    <w:p w14:paraId="56D5DD4E">
      <w:pPr>
        <w:spacing w:line="360" w:lineRule="auto"/>
        <w:ind w:firstLine="480"/>
      </w:pPr>
      <w:r>
        <w:rPr>
          <w:rFonts w:hint="eastAsia"/>
        </w:rPr>
        <w:t>(1)本工程暂估的专业工程的名称和暂估价款：                                    (本表可另附页)</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0"/>
        <w:gridCol w:w="5040"/>
        <w:gridCol w:w="2520"/>
      </w:tblGrid>
      <w:tr w14:paraId="37A1D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vAlign w:val="center"/>
          </w:tcPr>
          <w:p w14:paraId="7F842C45">
            <w:pPr>
              <w:spacing w:line="360" w:lineRule="auto"/>
              <w:ind w:left="-107" w:right="-107"/>
              <w:jc w:val="center"/>
            </w:pPr>
            <w:r>
              <w:rPr>
                <w:rFonts w:hint="eastAsia"/>
              </w:rPr>
              <w:t>序号</w:t>
            </w:r>
          </w:p>
        </w:tc>
        <w:tc>
          <w:tcPr>
            <w:tcW w:w="5040" w:type="dxa"/>
            <w:tcBorders>
              <w:top w:val="single" w:color="auto" w:sz="4" w:space="0"/>
              <w:left w:val="single" w:color="auto" w:sz="4" w:space="0"/>
              <w:bottom w:val="single" w:color="auto" w:sz="4" w:space="0"/>
              <w:right w:val="single" w:color="auto" w:sz="4" w:space="0"/>
            </w:tcBorders>
            <w:vAlign w:val="center"/>
          </w:tcPr>
          <w:p w14:paraId="3DC3BC66">
            <w:pPr>
              <w:spacing w:line="360" w:lineRule="auto"/>
              <w:ind w:left="-107" w:right="-107"/>
              <w:jc w:val="center"/>
            </w:pPr>
            <w:r>
              <w:rPr>
                <w:rFonts w:hint="eastAsia"/>
              </w:rPr>
              <w:t>暂估的专业工程名称</w:t>
            </w:r>
          </w:p>
        </w:tc>
        <w:tc>
          <w:tcPr>
            <w:tcW w:w="2520" w:type="dxa"/>
            <w:tcBorders>
              <w:top w:val="single" w:color="auto" w:sz="4" w:space="0"/>
              <w:left w:val="single" w:color="auto" w:sz="4" w:space="0"/>
              <w:bottom w:val="single" w:color="auto" w:sz="4" w:space="0"/>
              <w:right w:val="single" w:color="auto" w:sz="4" w:space="0"/>
            </w:tcBorders>
            <w:vAlign w:val="center"/>
          </w:tcPr>
          <w:p w14:paraId="67556338">
            <w:pPr>
              <w:spacing w:line="360" w:lineRule="auto"/>
              <w:ind w:left="-107" w:right="-107"/>
              <w:jc w:val="center"/>
            </w:pPr>
            <w:r>
              <w:rPr>
                <w:rFonts w:hint="eastAsia"/>
              </w:rPr>
              <w:t>暂估价款(万元)</w:t>
            </w:r>
          </w:p>
        </w:tc>
      </w:tr>
      <w:tr w14:paraId="4B972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900" w:type="dxa"/>
            <w:tcBorders>
              <w:top w:val="single" w:color="auto" w:sz="4" w:space="0"/>
              <w:left w:val="single" w:color="auto" w:sz="4" w:space="0"/>
              <w:bottom w:val="single" w:color="auto" w:sz="4" w:space="0"/>
              <w:right w:val="single" w:color="auto" w:sz="4" w:space="0"/>
            </w:tcBorders>
            <w:vAlign w:val="center"/>
          </w:tcPr>
          <w:p w14:paraId="5106B470">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1DB9A156">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4BEB070D">
            <w:pPr>
              <w:spacing w:line="360" w:lineRule="auto"/>
            </w:pPr>
          </w:p>
        </w:tc>
      </w:tr>
      <w:tr w14:paraId="0AB97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00" w:type="dxa"/>
            <w:tcBorders>
              <w:top w:val="single" w:color="auto" w:sz="4" w:space="0"/>
              <w:left w:val="single" w:color="auto" w:sz="4" w:space="0"/>
              <w:bottom w:val="single" w:color="auto" w:sz="4" w:space="0"/>
              <w:right w:val="single" w:color="auto" w:sz="4" w:space="0"/>
            </w:tcBorders>
            <w:vAlign w:val="center"/>
          </w:tcPr>
          <w:p w14:paraId="28BC1B1D">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238046BB">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242DD96A">
            <w:pPr>
              <w:spacing w:line="360" w:lineRule="auto"/>
              <w:jc w:val="center"/>
            </w:pPr>
          </w:p>
        </w:tc>
      </w:tr>
      <w:tr w14:paraId="25635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900" w:type="dxa"/>
            <w:tcBorders>
              <w:top w:val="single" w:color="auto" w:sz="4" w:space="0"/>
              <w:left w:val="single" w:color="auto" w:sz="4" w:space="0"/>
              <w:bottom w:val="single" w:color="auto" w:sz="4" w:space="0"/>
              <w:right w:val="single" w:color="auto" w:sz="4" w:space="0"/>
            </w:tcBorders>
            <w:vAlign w:val="center"/>
          </w:tcPr>
          <w:p w14:paraId="454DA1F5">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54FEAC16">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6CA3A238">
            <w:pPr>
              <w:spacing w:line="360" w:lineRule="auto"/>
            </w:pPr>
          </w:p>
        </w:tc>
      </w:tr>
      <w:tr w14:paraId="62294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0" w:type="dxa"/>
            <w:tcBorders>
              <w:top w:val="single" w:color="auto" w:sz="4" w:space="0"/>
              <w:left w:val="single" w:color="auto" w:sz="4" w:space="0"/>
              <w:bottom w:val="single" w:color="auto" w:sz="4" w:space="0"/>
              <w:right w:val="single" w:color="auto" w:sz="4" w:space="0"/>
            </w:tcBorders>
            <w:vAlign w:val="center"/>
          </w:tcPr>
          <w:p w14:paraId="4B305CB2">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3B9760A9">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481DDF13">
            <w:pPr>
              <w:spacing w:line="360" w:lineRule="auto"/>
            </w:pPr>
          </w:p>
        </w:tc>
      </w:tr>
      <w:tr w14:paraId="11C4F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vAlign w:val="center"/>
          </w:tcPr>
          <w:p w14:paraId="0B556A63">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351A8758">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404BDDB4">
            <w:pPr>
              <w:spacing w:line="360" w:lineRule="auto"/>
            </w:pPr>
          </w:p>
        </w:tc>
      </w:tr>
      <w:tr w14:paraId="35F9B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vAlign w:val="center"/>
          </w:tcPr>
          <w:p w14:paraId="75EB4320">
            <w:pPr>
              <w:spacing w:line="360" w:lineRule="auto"/>
              <w:jc w:val="center"/>
            </w:pPr>
          </w:p>
        </w:tc>
        <w:tc>
          <w:tcPr>
            <w:tcW w:w="5040" w:type="dxa"/>
            <w:tcBorders>
              <w:top w:val="single" w:color="auto" w:sz="4" w:space="0"/>
              <w:left w:val="single" w:color="auto" w:sz="4" w:space="0"/>
              <w:bottom w:val="single" w:color="auto" w:sz="4" w:space="0"/>
              <w:right w:val="single" w:color="auto" w:sz="4" w:space="0"/>
            </w:tcBorders>
            <w:vAlign w:val="bottom"/>
          </w:tcPr>
          <w:p w14:paraId="1539D5C9">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23B696D4">
            <w:pPr>
              <w:spacing w:line="360" w:lineRule="auto"/>
            </w:pPr>
          </w:p>
        </w:tc>
      </w:tr>
      <w:tr w14:paraId="797CD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900" w:type="dxa"/>
            <w:tcBorders>
              <w:top w:val="single" w:color="auto" w:sz="4" w:space="0"/>
              <w:left w:val="single" w:color="auto" w:sz="4" w:space="0"/>
              <w:bottom w:val="single" w:color="auto" w:sz="4" w:space="0"/>
              <w:right w:val="single" w:color="auto" w:sz="4" w:space="0"/>
            </w:tcBorders>
            <w:vAlign w:val="center"/>
          </w:tcPr>
          <w:p w14:paraId="640A077A">
            <w:pPr>
              <w:spacing w:line="360" w:lineRule="auto"/>
              <w:jc w:val="center"/>
            </w:pPr>
            <w:r>
              <w:rPr>
                <w:rFonts w:hint="eastAsia"/>
              </w:rPr>
              <w:t>合计</w:t>
            </w:r>
          </w:p>
        </w:tc>
        <w:tc>
          <w:tcPr>
            <w:tcW w:w="5040" w:type="dxa"/>
            <w:tcBorders>
              <w:top w:val="single" w:color="auto" w:sz="4" w:space="0"/>
              <w:left w:val="single" w:color="auto" w:sz="4" w:space="0"/>
              <w:bottom w:val="single" w:color="auto" w:sz="4" w:space="0"/>
              <w:right w:val="single" w:color="auto" w:sz="4" w:space="0"/>
            </w:tcBorders>
            <w:vAlign w:val="bottom"/>
          </w:tcPr>
          <w:p w14:paraId="55B39D12">
            <w:pPr>
              <w:spacing w:line="360" w:lineRule="auto"/>
            </w:pPr>
          </w:p>
        </w:tc>
        <w:tc>
          <w:tcPr>
            <w:tcW w:w="2520" w:type="dxa"/>
            <w:tcBorders>
              <w:top w:val="single" w:color="auto" w:sz="4" w:space="0"/>
              <w:left w:val="single" w:color="auto" w:sz="4" w:space="0"/>
              <w:bottom w:val="single" w:color="auto" w:sz="4" w:space="0"/>
              <w:right w:val="single" w:color="auto" w:sz="4" w:space="0"/>
            </w:tcBorders>
            <w:vAlign w:val="bottom"/>
          </w:tcPr>
          <w:p w14:paraId="6A5BE46D">
            <w:pPr>
              <w:spacing w:line="360" w:lineRule="auto"/>
            </w:pPr>
          </w:p>
        </w:tc>
      </w:tr>
    </w:tbl>
    <w:p w14:paraId="1F20B9F0">
      <w:pPr>
        <w:tabs>
          <w:tab w:val="left" w:pos="1620"/>
          <w:tab w:val="left" w:pos="2340"/>
        </w:tabs>
        <w:spacing w:line="360" w:lineRule="auto"/>
        <w:ind w:firstLine="480" w:firstLineChars="200"/>
        <w:rPr>
          <w:rFonts w:cs="Times New Roman"/>
          <w:u w:val="single"/>
        </w:rPr>
      </w:pPr>
      <w:r>
        <w:rPr>
          <w:rFonts w:hint="eastAsia"/>
        </w:rPr>
        <w:t xml:space="preserve"> (3)不属于按规定必须招标的暂估的专业工程结算价款的确定方法：</w:t>
      </w:r>
    </w:p>
    <w:p w14:paraId="55DAE880">
      <w:pPr>
        <w:tabs>
          <w:tab w:val="left" w:pos="1620"/>
          <w:tab w:val="left" w:pos="2340"/>
        </w:tabs>
        <w:spacing w:line="360" w:lineRule="auto"/>
        <w:ind w:firstLine="480" w:firstLineChars="200"/>
        <w:rPr>
          <w:rFonts w:cs="Times New Roman"/>
          <w:u w:val="single"/>
        </w:rPr>
      </w:pPr>
      <w:r>
        <w:rPr>
          <w:rFonts w:hint="eastAsia" w:cs="Times New Roman"/>
          <w:u w:val="single"/>
        </w:rPr>
        <w:t>①</w:t>
      </w:r>
      <w:r>
        <w:rPr>
          <w:rFonts w:cs="Times New Roman"/>
          <w:u w:val="single"/>
        </w:rPr>
        <w:t>有合同单价的采用合同单价；</w:t>
      </w:r>
    </w:p>
    <w:p w14:paraId="6F8B2052">
      <w:pPr>
        <w:tabs>
          <w:tab w:val="left" w:pos="1620"/>
          <w:tab w:val="left" w:pos="2340"/>
        </w:tabs>
        <w:spacing w:line="360" w:lineRule="auto"/>
        <w:ind w:firstLine="480" w:firstLineChars="200"/>
        <w:rPr>
          <w:rFonts w:cs="Times New Roman"/>
          <w:u w:val="single"/>
        </w:rPr>
      </w:pPr>
      <w:r>
        <w:rPr>
          <w:rFonts w:hint="eastAsia" w:cs="Times New Roman"/>
          <w:u w:val="single"/>
        </w:rPr>
        <w:t>②</w:t>
      </w:r>
      <w:r>
        <w:rPr>
          <w:rFonts w:cs="Times New Roman"/>
          <w:u w:val="single"/>
        </w:rPr>
        <w:t>有类似合同单价的采用类似合同单价</w:t>
      </w:r>
      <w:r>
        <w:rPr>
          <w:rFonts w:hint="eastAsia" w:cs="Times New Roman"/>
          <w:u w:val="single"/>
        </w:rPr>
        <w:t>，</w:t>
      </w:r>
      <w:r>
        <w:rPr>
          <w:rFonts w:cs="Times New Roman"/>
          <w:u w:val="single"/>
        </w:rPr>
        <w:t>类似项目是指采用的材料、施工工艺和方法基本相似，不增加关键线路上工程的施工时间的项目；</w:t>
      </w:r>
    </w:p>
    <w:p w14:paraId="7E48E2EA">
      <w:pPr>
        <w:numPr>
          <w:ilvl w:val="0"/>
          <w:numId w:val="5"/>
        </w:numPr>
        <w:tabs>
          <w:tab w:val="left" w:pos="1620"/>
          <w:tab w:val="left" w:pos="2340"/>
        </w:tabs>
        <w:spacing w:line="360" w:lineRule="auto"/>
        <w:ind w:firstLine="480" w:firstLineChars="200"/>
        <w:rPr>
          <w:rFonts w:cs="Times New Roman"/>
          <w:u w:val="single"/>
        </w:rPr>
      </w:pPr>
      <w:r>
        <w:rPr>
          <w:rFonts w:hint="eastAsia" w:cs="Times New Roman"/>
          <w:u w:val="single"/>
        </w:rPr>
        <w:t>③</w:t>
      </w:r>
      <w:r>
        <w:rPr>
          <w:rFonts w:cs="Times New Roman"/>
          <w:u w:val="single"/>
        </w:rPr>
        <w:t>无合同单价或类似项目合同单价的，新增单价计价方式为：</w:t>
      </w:r>
      <w:r>
        <w:rPr>
          <w:rFonts w:hint="eastAsia" w:cs="Times New Roman"/>
          <w:u w:val="single"/>
        </w:rPr>
        <w:t>1）清单和计价标准：采用《建设工程工程量清单计价规范》（GB50500—2013）及补充规范，深圳现行定额及有关规定；2）取费标准：按深圳市建设工程造价管理站于投标</w:t>
      </w:r>
      <w:r>
        <w:rPr>
          <w:rFonts w:hint="eastAsia"/>
          <w:u w:val="single"/>
        </w:rPr>
        <w:t>截止当日</w:t>
      </w:r>
      <w:r>
        <w:rPr>
          <w:rFonts w:hint="eastAsia" w:cs="Times New Roman"/>
          <w:u w:val="single"/>
        </w:rPr>
        <w:t>已发布执行的最新《深圳市建设工程计价费率标准》的推荐费率及营改增推荐费率计取；施工过程中若规费、税金发生变化的，从新的费/税率执行之日开始，对于已经发包人确认应支付且承包人已开具发票部分的款项，执行原费/税率；对于未经发包人确认或未开票部分的款项，执行变化后的费/税率；3）人工、材料设备价格：有信息价的按对应内容施工期间《深圳建设工程价格信息》的算术平均价；施工期间信息价没有的按对应内容施工开始前6个月信息价计入，</w:t>
      </w:r>
      <w:r>
        <w:rPr>
          <w:rFonts w:cs="Times New Roman"/>
          <w:u w:val="single"/>
        </w:rPr>
        <w:t>采取就近期信息价参考的原则选择确定</w:t>
      </w:r>
      <w:r>
        <w:rPr>
          <w:rFonts w:hint="eastAsia" w:cs="Times New Roman"/>
          <w:u w:val="single"/>
        </w:rPr>
        <w:t>；仍没有的</w:t>
      </w:r>
      <w:r>
        <w:rPr>
          <w:rFonts w:hint="eastAsia" w:cs="Times New Roman"/>
          <w:kern w:val="2"/>
          <w:u w:val="single"/>
        </w:rPr>
        <w:t>，按市场询价。市场询价的材料设备超过20万的按《关于建设工程招标投标改革的若干规定》（深府【2015】73号）、《深圳市建设工程材料设备询价采购办法》的相关规定执行。并应由发包人提出技术标准和最高限价，承包人按上述规定确定该材料设备价。市场询价的材料设备价未超过20万元的，由发包人、承包人等参与询价单位以询价方式确定并联签确认</w:t>
      </w:r>
      <w:r>
        <w:rPr>
          <w:rFonts w:hint="eastAsia" w:cs="Times New Roman"/>
          <w:u w:val="single"/>
        </w:rPr>
        <w:t>；采用施工期信息价的人工、材料设备价格不再参与工料机调差。</w:t>
      </w:r>
    </w:p>
    <w:p w14:paraId="35BAAECE">
      <w:pPr>
        <w:tabs>
          <w:tab w:val="left" w:pos="1620"/>
          <w:tab w:val="left" w:pos="2340"/>
        </w:tabs>
        <w:spacing w:line="360" w:lineRule="auto"/>
        <w:ind w:firstLine="480" w:firstLineChars="200"/>
        <w:rPr>
          <w:rFonts w:cs="Times New Roman"/>
          <w:u w:val="single"/>
        </w:rPr>
      </w:pPr>
      <w:r>
        <w:rPr>
          <w:rFonts w:hint="eastAsia" w:cs="Times New Roman"/>
          <w:u w:val="single"/>
        </w:rPr>
        <w:t>④按以上原则计算后，按投标报价中所报净下浮率下浮。</w:t>
      </w:r>
      <w:r>
        <w:rPr>
          <w:rFonts w:hint="eastAsia" w:cs="Times New Roman"/>
          <w:kern w:val="2"/>
          <w:u w:val="single"/>
        </w:rPr>
        <w:t>结算时按实际发生工作量计算，不发生不计取费用。</w:t>
      </w:r>
    </w:p>
    <w:p w14:paraId="53186047">
      <w:pPr>
        <w:pStyle w:val="4"/>
        <w:keepNext w:val="0"/>
        <w:keepLines w:val="0"/>
        <w:tabs>
          <w:tab w:val="left" w:pos="540"/>
          <w:tab w:val="left" w:pos="720"/>
          <w:tab w:val="left" w:pos="1620"/>
          <w:tab w:val="left" w:pos="2340"/>
        </w:tabs>
        <w:spacing w:before="120" w:after="120"/>
        <w:ind w:left="178"/>
      </w:pPr>
      <w:bookmarkStart w:id="282" w:name="_Toc15411"/>
      <w:bookmarkStart w:id="283" w:name="_Toc30231"/>
      <w:bookmarkStart w:id="284" w:name="_Toc11835"/>
      <w:r>
        <w:rPr>
          <w:rFonts w:hint="eastAsia"/>
        </w:rPr>
        <w:t>22 工程量计量</w:t>
      </w:r>
      <w:bookmarkEnd w:id="282"/>
      <w:bookmarkEnd w:id="283"/>
      <w:bookmarkEnd w:id="284"/>
    </w:p>
    <w:p w14:paraId="2414BAC1">
      <w:pPr>
        <w:pStyle w:val="5"/>
        <w:tabs>
          <w:tab w:val="left" w:pos="540"/>
          <w:tab w:val="left" w:pos="900"/>
          <w:tab w:val="left" w:pos="2340"/>
        </w:tabs>
        <w:spacing w:before="120" w:after="156"/>
        <w:ind w:left="359"/>
        <w:jc w:val="left"/>
        <w:rPr>
          <w:rFonts w:ascii="宋体" w:hAnsi="宋体"/>
          <w:sz w:val="24"/>
        </w:rPr>
      </w:pPr>
      <w:bookmarkStart w:id="285" w:name="_Toc19050"/>
      <w:bookmarkStart w:id="286" w:name="_Toc11585"/>
      <w:bookmarkStart w:id="287" w:name="_Toc20979"/>
      <w:r>
        <w:rPr>
          <w:rFonts w:hint="eastAsia" w:ascii="宋体" w:hAnsi="宋体"/>
          <w:sz w:val="24"/>
        </w:rPr>
        <w:t>22.3工程量计算规则</w:t>
      </w:r>
      <w:bookmarkEnd w:id="285"/>
      <w:bookmarkEnd w:id="286"/>
      <w:bookmarkEnd w:id="287"/>
    </w:p>
    <w:p w14:paraId="4E32B64A">
      <w:pPr>
        <w:spacing w:line="360" w:lineRule="auto"/>
        <w:ind w:firstLine="480"/>
        <w:rPr>
          <w:u w:val="single"/>
        </w:rPr>
      </w:pPr>
      <w:r>
        <w:rPr>
          <w:rFonts w:hint="eastAsia"/>
        </w:rPr>
        <w:t>本工程的工程量计算规则采用：</w:t>
      </w:r>
    </w:p>
    <w:p w14:paraId="6D942DDA">
      <w:pPr>
        <w:spacing w:line="360" w:lineRule="auto"/>
        <w:ind w:left="178" w:firstLine="480"/>
      </w:pPr>
      <w:r>
        <w:rPr>
          <w:rFonts w:hint="eastAsia" w:ascii="MS Mincho" w:hAnsi="MS Mincho" w:eastAsia="MS Mincho" w:cs="MS Mincho"/>
        </w:rPr>
        <w:t>☑</w:t>
      </w:r>
      <w:r>
        <w:rPr>
          <w:rFonts w:hint="eastAsia"/>
        </w:rPr>
        <w:t>《建设工程工程量清单计价规范》(GB50500—2013)；</w:t>
      </w:r>
    </w:p>
    <w:p w14:paraId="49A7333B">
      <w:pPr>
        <w:spacing w:line="360" w:lineRule="auto"/>
        <w:ind w:left="178" w:firstLine="480"/>
      </w:pPr>
      <w:r>
        <w:rPr>
          <w:rFonts w:hint="eastAsia" w:ascii="MS Mincho" w:hAnsi="MS Mincho" w:eastAsia="MS Mincho" w:cs="MS Mincho"/>
        </w:rPr>
        <w:t>☑</w:t>
      </w:r>
      <w:r>
        <w:rPr>
          <w:rFonts w:hint="eastAsia"/>
        </w:rPr>
        <w:t>《深圳市建设工程计价规程》（2017）；</w:t>
      </w:r>
    </w:p>
    <w:p w14:paraId="4C3F367E">
      <w:pPr>
        <w:spacing w:line="360" w:lineRule="auto"/>
        <w:ind w:left="178" w:firstLine="480"/>
        <w:rPr>
          <w:bCs/>
          <w:u w:val="single"/>
        </w:rPr>
      </w:pPr>
      <w:r>
        <w:rPr>
          <w:rFonts w:hint="eastAsia" w:ascii="MS Mincho" w:hAnsi="MS Mincho" w:eastAsia="MS Mincho" w:cs="MS Mincho"/>
        </w:rPr>
        <w:t xml:space="preserve">☑ </w:t>
      </w:r>
      <w:r>
        <w:rPr>
          <w:rFonts w:hint="eastAsia"/>
        </w:rPr>
        <w:t>其它工程量计算规则：</w:t>
      </w:r>
      <w:r>
        <w:rPr>
          <w:rFonts w:hint="eastAsia"/>
          <w:u w:val="single"/>
        </w:rPr>
        <w:t>详见工程量清单编制说明。</w:t>
      </w:r>
    </w:p>
    <w:p w14:paraId="72314660">
      <w:pPr>
        <w:pStyle w:val="4"/>
        <w:keepNext w:val="0"/>
        <w:keepLines w:val="0"/>
        <w:tabs>
          <w:tab w:val="left" w:pos="540"/>
          <w:tab w:val="left" w:pos="720"/>
          <w:tab w:val="left" w:pos="1620"/>
          <w:tab w:val="left" w:pos="2340"/>
        </w:tabs>
        <w:spacing w:before="120" w:after="120"/>
        <w:ind w:left="178"/>
      </w:pPr>
      <w:bookmarkStart w:id="288" w:name="_Toc14310"/>
      <w:bookmarkStart w:id="289" w:name="_Toc32333"/>
      <w:bookmarkStart w:id="290" w:name="_Toc12852"/>
      <w:r>
        <w:rPr>
          <w:rFonts w:hint="eastAsia"/>
        </w:rPr>
        <w:t>23 工程款支付</w:t>
      </w:r>
      <w:bookmarkEnd w:id="288"/>
      <w:bookmarkEnd w:id="289"/>
      <w:bookmarkEnd w:id="290"/>
    </w:p>
    <w:p w14:paraId="3DF775C1">
      <w:pPr>
        <w:snapToGrid w:val="0"/>
        <w:spacing w:line="360" w:lineRule="auto"/>
        <w:ind w:firstLine="480"/>
        <w:rPr>
          <w:rFonts w:hint="eastAsia" w:ascii="宋体" w:hAnsi="宋体" w:eastAsia="宋体" w:cs="宋体"/>
          <w:lang w:val="en-US" w:eastAsia="zh-CN"/>
        </w:rPr>
      </w:pPr>
      <w:bookmarkStart w:id="291" w:name="_Toc18587"/>
      <w:bookmarkStart w:id="292" w:name="_Toc32401"/>
      <w:bookmarkStart w:id="293" w:name="_Toc15310"/>
      <w:r>
        <w:rPr>
          <w:rFonts w:hint="eastAsia" w:ascii="宋体" w:hAnsi="宋体" w:eastAsia="宋体" w:cs="宋体"/>
          <w:lang w:val="en-US" w:eastAsia="zh-CN"/>
        </w:rPr>
        <w:t>1. 本工程无预付款，工程竣工验收通过后支付合同价的85%；</w:t>
      </w:r>
    </w:p>
    <w:p w14:paraId="00410764">
      <w:pPr>
        <w:snapToGrid w:val="0"/>
        <w:spacing w:line="360" w:lineRule="auto"/>
        <w:ind w:firstLine="480"/>
        <w:rPr>
          <w:rFonts w:hint="default" w:ascii="宋体" w:hAnsi="宋体" w:eastAsia="宋体" w:cs="宋体"/>
          <w:lang w:val="en-US" w:eastAsia="zh-CN"/>
        </w:rPr>
      </w:pPr>
      <w:r>
        <w:rPr>
          <w:rFonts w:hint="eastAsia" w:ascii="宋体" w:hAnsi="宋体" w:eastAsia="宋体" w:cs="宋体"/>
          <w:lang w:val="en-US" w:eastAsia="zh-CN"/>
        </w:rPr>
        <w:t>2. 工程结算审核完成后，按结算审核价支付剩余全部款项。</w:t>
      </w:r>
    </w:p>
    <w:p w14:paraId="7790C153">
      <w:pPr>
        <w:snapToGrid w:val="0"/>
        <w:spacing w:line="360" w:lineRule="auto"/>
        <w:ind w:firstLine="480"/>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sz w:val="24"/>
          <w:szCs w:val="24"/>
          <w:u w:val="none"/>
        </w:rPr>
        <w:t>承包人应提前15日提供合规等额的发票，逾期未提供的，付款期限顺延</w:t>
      </w:r>
      <w:r>
        <w:rPr>
          <w:rFonts w:hint="eastAsia" w:cs="宋体"/>
          <w:sz w:val="24"/>
          <w:szCs w:val="24"/>
          <w:u w:val="none"/>
          <w:lang w:eastAsia="zh-CN"/>
        </w:rPr>
        <w:t>。</w:t>
      </w:r>
    </w:p>
    <w:p w14:paraId="6B194BBC">
      <w:pPr>
        <w:snapToGrid w:val="0"/>
        <w:spacing w:line="360" w:lineRule="auto"/>
        <w:ind w:firstLine="482"/>
        <w:rPr>
          <w:b/>
        </w:rPr>
      </w:pPr>
      <w:r>
        <w:rPr>
          <w:rFonts w:hint="eastAsia" w:eastAsia="Times New Roman"/>
          <w:b/>
        </w:rPr>
        <w:t>23.5</w:t>
      </w:r>
      <w:r>
        <w:rPr>
          <w:rFonts w:hint="eastAsia"/>
          <w:b/>
        </w:rPr>
        <w:t>工人工资支付</w:t>
      </w:r>
    </w:p>
    <w:p w14:paraId="54FCFC27">
      <w:pPr>
        <w:snapToGrid w:val="0"/>
        <w:spacing w:line="360" w:lineRule="auto"/>
        <w:ind w:firstLine="480"/>
        <w:rPr>
          <w:b/>
          <w:bCs/>
        </w:rPr>
      </w:pPr>
      <w:r>
        <w:rPr>
          <w:rFonts w:hint="eastAsia"/>
          <w:b/>
          <w:bCs/>
        </w:rPr>
        <w:t>本工程工人工资支付约定如下：</w:t>
      </w:r>
    </w:p>
    <w:p w14:paraId="1B345279">
      <w:pPr>
        <w:snapToGrid w:val="0"/>
        <w:spacing w:line="360" w:lineRule="auto"/>
        <w:ind w:firstLine="480"/>
        <w:rPr>
          <w:u w:val="single"/>
        </w:rPr>
      </w:pPr>
      <w:r>
        <w:rPr>
          <w:rFonts w:hint="eastAsia"/>
          <w:b/>
          <w:bCs/>
          <w:u w:val="single"/>
        </w:rPr>
        <w:t>因承包人未按约定支付工人工资，及至发生劳资纠纷或集体信访、投诉的，发包人有权在履约保证金中先行垫付工人工资。</w:t>
      </w:r>
    </w:p>
    <w:p w14:paraId="072BBD19">
      <w:pPr>
        <w:snapToGrid w:val="0"/>
        <w:spacing w:line="360" w:lineRule="auto"/>
        <w:ind w:firstLine="482"/>
        <w:rPr>
          <w:b/>
        </w:rPr>
      </w:pPr>
      <w:r>
        <w:rPr>
          <w:rFonts w:hint="eastAsia" w:eastAsia="Times New Roman"/>
          <w:b/>
        </w:rPr>
        <w:t>23.6</w:t>
      </w:r>
      <w:r>
        <w:rPr>
          <w:rFonts w:hint="eastAsia"/>
          <w:b/>
        </w:rPr>
        <w:t>工程款专款专用</w:t>
      </w:r>
    </w:p>
    <w:p w14:paraId="22B50220">
      <w:pPr>
        <w:snapToGrid w:val="0"/>
        <w:spacing w:line="360" w:lineRule="auto"/>
        <w:ind w:firstLine="480"/>
      </w:pPr>
      <w:r>
        <w:rPr>
          <w:rFonts w:hint="eastAsia"/>
        </w:rPr>
        <w:t>发包人有权采取以下方式对对承包人的工程款使用情况进行监管：</w:t>
      </w:r>
    </w:p>
    <w:p w14:paraId="02C83F35">
      <w:pPr>
        <w:snapToGrid w:val="0"/>
        <w:spacing w:line="360" w:lineRule="auto"/>
        <w:ind w:firstLine="480"/>
      </w:pPr>
      <w:r>
        <w:rPr>
          <w:rFonts w:hint="eastAsia"/>
        </w:rPr>
        <w:t>■</w:t>
      </w:r>
      <w:r>
        <w:rPr>
          <w:rFonts w:hint="eastAsia"/>
          <w:b/>
        </w:rPr>
        <w:t>资金共管</w:t>
      </w:r>
      <w:r>
        <w:rPr>
          <w:rFonts w:hint="eastAsia"/>
        </w:rPr>
        <w:t>：发包人可要求承包人建立共管账户，工程进度款支付到以发包人名义设立的共管账户中，承包人对外向外支付时需得到发包人的批准，并加盖发包人指定人员的印签。资金共管的范围包括但不限于工程预付款、工程进度款、安全文明措施费等。</w:t>
      </w:r>
    </w:p>
    <w:p w14:paraId="5A32E8B4">
      <w:pPr>
        <w:snapToGrid w:val="0"/>
        <w:spacing w:line="360" w:lineRule="auto"/>
        <w:ind w:firstLine="480"/>
      </w:pPr>
      <w:r>
        <w:rPr>
          <w:rFonts w:hint="eastAsia"/>
        </w:rPr>
        <w:t>■</w:t>
      </w:r>
      <w:r>
        <w:rPr>
          <w:rFonts w:hint="eastAsia"/>
          <w:b/>
        </w:rPr>
        <w:t>暂停支付</w:t>
      </w:r>
      <w:r>
        <w:rPr>
          <w:rFonts w:hint="eastAsia"/>
        </w:rPr>
        <w:t>：发包人有权在下一期中支付时暂停支付与承包人挪用款额相等的工程款；</w:t>
      </w:r>
    </w:p>
    <w:p w14:paraId="79BB6F1A">
      <w:pPr>
        <w:snapToGrid w:val="0"/>
        <w:spacing w:line="360" w:lineRule="auto"/>
        <w:ind w:firstLine="480"/>
      </w:pPr>
      <w:r>
        <w:rPr>
          <w:rFonts w:hint="eastAsia"/>
        </w:rPr>
        <w:t>■</w:t>
      </w:r>
      <w:r>
        <w:rPr>
          <w:rFonts w:hint="eastAsia"/>
          <w:b/>
        </w:rPr>
        <w:t>代付分包工程款和材料款</w:t>
      </w:r>
      <w:r>
        <w:rPr>
          <w:rFonts w:hint="eastAsia"/>
        </w:rPr>
        <w:t>：发包人有权根据承包人与分包人（含劳务分包人）、材料供应商的期中结算，在应付承包人的进度款中扣除并代为支付该期分包工程款与材料款；</w:t>
      </w:r>
    </w:p>
    <w:p w14:paraId="4952A4E9">
      <w:r>
        <w:rPr>
          <w:rFonts w:hint="eastAsia"/>
        </w:rPr>
        <w:t>□ 其他：</w:t>
      </w:r>
    </w:p>
    <w:bookmarkEnd w:id="291"/>
    <w:bookmarkEnd w:id="292"/>
    <w:bookmarkEnd w:id="293"/>
    <w:p w14:paraId="2A2E5F01">
      <w:pPr>
        <w:snapToGrid w:val="0"/>
        <w:spacing w:line="360" w:lineRule="auto"/>
        <w:rPr>
          <w:b/>
          <w:sz w:val="28"/>
          <w:szCs w:val="28"/>
        </w:rPr>
      </w:pPr>
      <w:r>
        <w:rPr>
          <w:rFonts w:hint="eastAsia" w:eastAsia="Times New Roman"/>
          <w:b/>
          <w:sz w:val="28"/>
          <w:szCs w:val="28"/>
        </w:rPr>
        <w:t>24</w:t>
      </w:r>
      <w:r>
        <w:rPr>
          <w:rFonts w:hint="eastAsia"/>
          <w:b/>
          <w:sz w:val="28"/>
          <w:szCs w:val="28"/>
        </w:rPr>
        <w:t>工程变更</w:t>
      </w:r>
    </w:p>
    <w:p w14:paraId="3755AFBB">
      <w:pPr>
        <w:snapToGrid w:val="0"/>
        <w:spacing w:line="360" w:lineRule="auto"/>
        <w:ind w:firstLine="482"/>
        <w:rPr>
          <w:b/>
        </w:rPr>
      </w:pPr>
      <w:r>
        <w:rPr>
          <w:rFonts w:hint="eastAsia" w:eastAsia="Times New Roman"/>
          <w:b/>
        </w:rPr>
        <w:t>24.3</w:t>
      </w:r>
      <w:r>
        <w:rPr>
          <w:rFonts w:hint="eastAsia"/>
          <w:b/>
        </w:rPr>
        <w:t>工程变更程序</w:t>
      </w:r>
    </w:p>
    <w:p w14:paraId="40D2F906">
      <w:pPr>
        <w:snapToGrid w:val="0"/>
        <w:spacing w:line="360" w:lineRule="auto"/>
        <w:ind w:firstLine="480"/>
      </w:pPr>
      <w:r>
        <w:rPr>
          <w:rFonts w:hint="eastAsia"/>
        </w:rPr>
        <w:t>本工程的工程变更（包括设计变更、现场签证等）的管理规定如下：</w:t>
      </w:r>
    </w:p>
    <w:p w14:paraId="67997A47">
      <w:pPr>
        <w:snapToGrid w:val="0"/>
        <w:spacing w:line="360" w:lineRule="auto"/>
        <w:ind w:firstLine="480"/>
        <w:rPr>
          <w:u w:val="single"/>
        </w:rPr>
      </w:pPr>
      <w:r>
        <w:rPr>
          <w:rFonts w:hint="eastAsia" w:eastAsia="Times New Roman"/>
          <w:u w:val="single"/>
        </w:rPr>
        <w:t>1</w:t>
      </w:r>
      <w:r>
        <w:rPr>
          <w:rFonts w:hint="eastAsia"/>
          <w:u w:val="single"/>
        </w:rPr>
        <w:t>）设计变更工程的报批程序按区政府工程变更管理规定及发包人变更审批程序的有关规定执行。凡未经审批同意的变更项目，承包人擅自实施的，费用自行承担，其所有后果均由承包人自行负责。</w:t>
      </w:r>
    </w:p>
    <w:p w14:paraId="7197DFC7">
      <w:pPr>
        <w:snapToGrid w:val="0"/>
        <w:spacing w:line="360" w:lineRule="auto"/>
        <w:ind w:firstLine="480"/>
        <w:rPr>
          <w:u w:val="single"/>
        </w:rPr>
      </w:pPr>
      <w:r>
        <w:rPr>
          <w:rFonts w:hint="eastAsia" w:eastAsia="Times New Roman"/>
          <w:u w:val="single"/>
        </w:rPr>
        <w:t>2</w:t>
      </w:r>
      <w:r>
        <w:rPr>
          <w:rFonts w:hint="eastAsia"/>
          <w:u w:val="single"/>
        </w:rPr>
        <w:t>）发包人向承包人发出变更工程价款的计价初稿或调整工期报告后，承包人应在5 日内予以确认或提出书面意见，逾期不确认也不提出修改意见的，视为同意。</w:t>
      </w:r>
    </w:p>
    <w:p w14:paraId="15EDB285">
      <w:pPr>
        <w:snapToGrid w:val="0"/>
        <w:spacing w:line="360" w:lineRule="auto"/>
        <w:rPr>
          <w:b/>
          <w:sz w:val="28"/>
          <w:szCs w:val="28"/>
        </w:rPr>
      </w:pPr>
      <w:r>
        <w:rPr>
          <w:rFonts w:hint="eastAsia" w:eastAsia="Times New Roman"/>
          <w:b/>
          <w:sz w:val="28"/>
          <w:szCs w:val="28"/>
        </w:rPr>
        <w:t>25</w:t>
      </w:r>
      <w:r>
        <w:rPr>
          <w:rFonts w:hint="eastAsia"/>
          <w:b/>
          <w:sz w:val="28"/>
          <w:szCs w:val="28"/>
        </w:rPr>
        <w:t>工程变更价款</w:t>
      </w:r>
    </w:p>
    <w:p w14:paraId="21C70933">
      <w:pPr>
        <w:snapToGrid w:val="0"/>
        <w:spacing w:line="360" w:lineRule="auto"/>
        <w:ind w:firstLine="482"/>
        <w:rPr>
          <w:b/>
        </w:rPr>
      </w:pPr>
      <w:r>
        <w:rPr>
          <w:rFonts w:hint="eastAsia" w:eastAsia="Times New Roman"/>
          <w:b/>
        </w:rPr>
        <w:t>25.1</w:t>
      </w:r>
      <w:r>
        <w:rPr>
          <w:rFonts w:hint="eastAsia"/>
          <w:b/>
        </w:rPr>
        <w:t>工程变更价款的确定方法</w:t>
      </w:r>
    </w:p>
    <w:p w14:paraId="40761ADE">
      <w:pPr>
        <w:snapToGrid w:val="0"/>
        <w:spacing w:line="360" w:lineRule="auto"/>
        <w:ind w:firstLine="480"/>
      </w:pPr>
      <w:r>
        <w:rPr>
          <w:rFonts w:hint="eastAsia" w:eastAsia="Times New Roman"/>
        </w:rPr>
        <w:t>(2)</w:t>
      </w:r>
      <w:r>
        <w:rPr>
          <w:rFonts w:hint="eastAsia"/>
        </w:rPr>
        <w:t>合同价格构成中的工程量清单项目单价中只有类似于变更工程的项目单价，可以参照类似项目单价确定变更价款。变更价款的确定方法：</w:t>
      </w:r>
    </w:p>
    <w:p w14:paraId="429905D1">
      <w:pPr>
        <w:snapToGrid w:val="0"/>
        <w:spacing w:line="360" w:lineRule="auto"/>
        <w:ind w:firstLine="480"/>
        <w:rPr>
          <w:u w:val="single"/>
        </w:rPr>
      </w:pPr>
      <w:r>
        <w:rPr>
          <w:rFonts w:hint="eastAsia"/>
          <w:u w:val="single"/>
        </w:rPr>
        <w:t xml:space="preserve">由承包人按照招标控制价的编制方法，材料单价采用变更通知单批准时的《深圳建设工程价格信息》（深圳建设工程信息价没有的材料，按照《深圳市建设工程材料设备询价采购办法》（深建规[2015]5号）的规定组织询价采购，市场询价的价格不下浮，计价时作补差处理）计算综合单价，确定变更工程的综合单价=综合单价×（1-中标下浮率）；最终以相关部门审核为准。                             </w:t>
      </w:r>
    </w:p>
    <w:p w14:paraId="0B3D35B5">
      <w:pPr>
        <w:snapToGrid w:val="0"/>
        <w:spacing w:line="360" w:lineRule="auto"/>
        <w:ind w:firstLine="480"/>
      </w:pPr>
      <w:r>
        <w:rPr>
          <w:rFonts w:hint="eastAsia" w:eastAsia="Times New Roman"/>
        </w:rPr>
        <w:t>(3)</w:t>
      </w:r>
      <w:r>
        <w:rPr>
          <w:rFonts w:hint="eastAsia"/>
        </w:rPr>
        <w:t>合同价格构成中的工程量清单项目单价中没有适用或类似于变更工程的项目单价时变更价款的确定方法：</w:t>
      </w:r>
    </w:p>
    <w:p w14:paraId="0E3093BB">
      <w:pPr>
        <w:snapToGrid w:val="0"/>
        <w:spacing w:line="360" w:lineRule="auto"/>
        <w:ind w:firstLine="480"/>
        <w:rPr>
          <w:u w:val="single"/>
        </w:rPr>
      </w:pPr>
      <w:r>
        <w:rPr>
          <w:rFonts w:hint="eastAsia"/>
          <w:u w:val="single"/>
        </w:rPr>
        <w:t>工程变更获发包人审批同意后，按照审定预算书的编制方法，采用工程内容实施时的《深圳建设工程价格信息》，计算出变更项目的综合单价，然后按照中标净下浮率对该综合单价进行下浮调整，确定变更项目的综合单价。</w:t>
      </w:r>
    </w:p>
    <w:p w14:paraId="245CD491">
      <w:pPr>
        <w:snapToGrid w:val="0"/>
        <w:spacing w:line="360" w:lineRule="auto"/>
        <w:ind w:firstLine="480"/>
        <w:rPr>
          <w:u w:val="single"/>
        </w:rPr>
      </w:pPr>
      <w:r>
        <w:rPr>
          <w:rFonts w:hint="eastAsia"/>
          <w:u w:val="single"/>
        </w:rPr>
        <w:t>对于《深圳建设工程价格信息》缺少的主要材料设备价格由发包人按照《深圳市建设工程材料设备询价采购办法》（深建规[2015] 5号）的规定组织询价采购，如需进行市场调查询价，则由发包人、承包人、设计人、监理人、造价咨询单位共同商榷确认，并报监理工程师、发包人审核，确定设备材料单价。</w:t>
      </w:r>
    </w:p>
    <w:p w14:paraId="64146E75">
      <w:pPr>
        <w:snapToGrid w:val="0"/>
        <w:spacing w:line="360" w:lineRule="auto"/>
        <w:ind w:firstLine="480"/>
        <w:rPr>
          <w:u w:val="single"/>
        </w:rPr>
      </w:pPr>
      <w:r>
        <w:rPr>
          <w:rFonts w:hint="eastAsia"/>
          <w:u w:val="single"/>
        </w:rPr>
        <w:t>需要通过询价确定设备材料单价的变更子目，其综合单价同样按照中标净下浮率对该综合单价进行下浮调整，但仅对询价材料调整价差。</w:t>
      </w:r>
    </w:p>
    <w:p w14:paraId="013E7EFB">
      <w:pPr>
        <w:snapToGrid w:val="0"/>
        <w:spacing w:line="360" w:lineRule="auto"/>
        <w:ind w:firstLine="480"/>
        <w:rPr>
          <w:u w:val="single"/>
        </w:rPr>
      </w:pPr>
      <w:r>
        <w:rPr>
          <w:rFonts w:hint="eastAsia"/>
          <w:u w:val="single"/>
        </w:rPr>
        <w:t>对于分部分项工程量清单，例如仅有砂浆强度等级发生变更，而其它构造作法未变化，则在工程结算时，仅调整砂浆价差，其它一律不作调整。</w:t>
      </w:r>
    </w:p>
    <w:p w14:paraId="092001AB">
      <w:pPr>
        <w:snapToGrid w:val="0"/>
        <w:spacing w:line="360" w:lineRule="auto"/>
        <w:ind w:firstLine="480"/>
        <w:rPr>
          <w:u w:val="single"/>
        </w:rPr>
      </w:pPr>
      <w:r>
        <w:rPr>
          <w:rFonts w:hint="eastAsia"/>
          <w:u w:val="single"/>
        </w:rPr>
        <w:t>变更的工程项目，承包人必须按上述计价方式确定的综合单价无条件、及时完成工程内容，否则，按严重违约处理。</w:t>
      </w:r>
    </w:p>
    <w:p w14:paraId="294DA480">
      <w:pPr>
        <w:snapToGrid w:val="0"/>
        <w:spacing w:line="360" w:lineRule="auto"/>
        <w:ind w:firstLine="480"/>
        <w:rPr>
          <w:u w:val="single"/>
        </w:rPr>
      </w:pPr>
      <w:r>
        <w:rPr>
          <w:rFonts w:hint="eastAsia"/>
          <w:u w:val="single"/>
        </w:rPr>
        <w:t>已按照变更实施时《深圳建设工程价格信息》计算的所有材料，在工程结算时不得重复进行材料差价调整。</w:t>
      </w:r>
    </w:p>
    <w:p w14:paraId="6B707DC8">
      <w:pPr>
        <w:snapToGrid w:val="0"/>
        <w:spacing w:line="360" w:lineRule="auto"/>
        <w:ind w:firstLine="480"/>
      </w:pPr>
      <w:r>
        <w:rPr>
          <w:rFonts w:hint="eastAsia" w:eastAsia="Times New Roman"/>
        </w:rPr>
        <w:t>(4)</w:t>
      </w:r>
      <w:r>
        <w:rPr>
          <w:rFonts w:hint="eastAsia"/>
        </w:rPr>
        <w:t>工程量清单中项目工程量增减幅度：</w:t>
      </w:r>
      <w:r>
        <w:rPr>
          <w:rFonts w:hint="eastAsia"/>
          <w:u w:val="single"/>
        </w:rPr>
        <w:t>不作要求。</w:t>
      </w:r>
    </w:p>
    <w:p w14:paraId="3A9C0502">
      <w:pPr>
        <w:snapToGrid w:val="0"/>
        <w:spacing w:line="360" w:lineRule="auto"/>
        <w:ind w:firstLine="482"/>
        <w:rPr>
          <w:b/>
        </w:rPr>
      </w:pPr>
      <w:r>
        <w:rPr>
          <w:rFonts w:hint="eastAsia" w:eastAsia="Times New Roman"/>
          <w:b/>
        </w:rPr>
        <w:t>25.3</w:t>
      </w:r>
      <w:r>
        <w:rPr>
          <w:rFonts w:hint="eastAsia"/>
          <w:b/>
        </w:rPr>
        <w:t>工程变更价款的确定程序</w:t>
      </w:r>
    </w:p>
    <w:p w14:paraId="2433671C">
      <w:pPr>
        <w:snapToGrid w:val="0"/>
        <w:spacing w:line="360" w:lineRule="auto"/>
        <w:ind w:firstLine="480"/>
      </w:pPr>
      <w:r>
        <w:rPr>
          <w:rFonts w:hint="eastAsia"/>
        </w:rPr>
        <w:t>本工程的工程变更价款按以下程序进行确定：</w:t>
      </w:r>
    </w:p>
    <w:p w14:paraId="6A455F67">
      <w:pPr>
        <w:snapToGrid w:val="0"/>
        <w:spacing w:line="360" w:lineRule="auto"/>
        <w:ind w:firstLine="480"/>
        <w:rPr>
          <w:u w:val="single"/>
        </w:rPr>
      </w:pPr>
      <w:r>
        <w:rPr>
          <w:rFonts w:hint="eastAsia" w:eastAsia="Times New Roman"/>
          <w:u w:val="single"/>
        </w:rPr>
        <w:t>1</w:t>
      </w:r>
      <w:r>
        <w:rPr>
          <w:rFonts w:hint="eastAsia"/>
          <w:u w:val="single"/>
        </w:rPr>
        <w:t>）设计变更工程的报批程序按区政府工程变更管理规定及发包人变更审批程序的有关规定执行。凡未经审批同意的变更项目，承包人擅自实施的，费用自行承担，其所有后果均由承包人自行负责。</w:t>
      </w:r>
    </w:p>
    <w:p w14:paraId="79FE663C">
      <w:pPr>
        <w:snapToGrid w:val="0"/>
        <w:spacing w:line="360" w:lineRule="auto"/>
        <w:ind w:firstLine="480"/>
        <w:rPr>
          <w:u w:val="single"/>
        </w:rPr>
      </w:pPr>
      <w:r>
        <w:rPr>
          <w:rFonts w:hint="eastAsia"/>
          <w:u w:val="single"/>
        </w:rPr>
        <w:t>（</w:t>
      </w:r>
      <w:r>
        <w:rPr>
          <w:rFonts w:hint="eastAsia" w:eastAsia="Times New Roman"/>
          <w:u w:val="single"/>
        </w:rPr>
        <w:t>2</w:t>
      </w:r>
      <w:r>
        <w:rPr>
          <w:rFonts w:hint="eastAsia"/>
          <w:u w:val="single"/>
        </w:rPr>
        <w:t>）发包人向承包人发出变更工程价款的计价初稿或调整工期报告后，承包人应在5 日内予以确认或提出书面意见，逾期不确认也不提出修改意见的，视为同意。</w:t>
      </w:r>
    </w:p>
    <w:p w14:paraId="0F710DB5">
      <w:pPr>
        <w:snapToGrid w:val="0"/>
        <w:spacing w:line="360" w:lineRule="auto"/>
        <w:ind w:firstLine="482"/>
        <w:rPr>
          <w:b/>
        </w:rPr>
      </w:pPr>
      <w:r>
        <w:rPr>
          <w:rFonts w:hint="eastAsia" w:eastAsia="Times New Roman"/>
          <w:b/>
        </w:rPr>
        <w:t>25.4</w:t>
      </w:r>
      <w:r>
        <w:rPr>
          <w:rFonts w:hint="eastAsia"/>
          <w:b/>
        </w:rPr>
        <w:t>工程量变化调整项目单价</w:t>
      </w:r>
    </w:p>
    <w:p w14:paraId="6DEE8CAF">
      <w:pPr>
        <w:snapToGrid w:val="0"/>
        <w:spacing w:line="360" w:lineRule="auto"/>
        <w:ind w:firstLine="480"/>
      </w:pPr>
      <w:r>
        <w:rPr>
          <w:rFonts w:hint="eastAsia"/>
        </w:rPr>
        <w:t>工程量清单中项目工程量增减幅度：</w:t>
      </w:r>
      <w:r>
        <w:rPr>
          <w:rFonts w:hint="eastAsia"/>
          <w:u w:val="single"/>
        </w:rPr>
        <w:t>不作要求。</w:t>
      </w:r>
    </w:p>
    <w:p w14:paraId="77644D73">
      <w:pPr>
        <w:snapToGrid w:val="0"/>
        <w:spacing w:line="360" w:lineRule="auto"/>
        <w:ind w:firstLine="480"/>
      </w:pPr>
      <w:r>
        <w:rPr>
          <w:rFonts w:hint="eastAsia"/>
        </w:rPr>
        <w:t>清单项目增加部分工程量或减少后剩余部分工程量的项目单价确定方法</w:t>
      </w:r>
    </w:p>
    <w:p w14:paraId="7FC99E18">
      <w:pPr>
        <w:snapToGrid w:val="0"/>
        <w:spacing w:line="360" w:lineRule="auto"/>
        <w:ind w:firstLine="480"/>
        <w:rPr>
          <w:u w:val="single"/>
        </w:rPr>
      </w:pPr>
      <w:r>
        <w:rPr>
          <w:rFonts w:hint="eastAsia"/>
          <w:u w:val="single"/>
        </w:rPr>
        <w:t>按合同现有的项目单价。若项目特征描述相同的清单子目出现不同报价，工程量增加时，取最低的投标报价，工程量减少时，取最高的投标报价。</w:t>
      </w:r>
    </w:p>
    <w:p w14:paraId="0FE40C47">
      <w:pPr>
        <w:snapToGrid w:val="0"/>
        <w:spacing w:line="360" w:lineRule="auto"/>
        <w:ind w:firstLine="482"/>
        <w:rPr>
          <w:b/>
        </w:rPr>
      </w:pPr>
      <w:r>
        <w:rPr>
          <w:rFonts w:hint="eastAsia" w:eastAsia="Times New Roman"/>
          <w:b/>
        </w:rPr>
        <w:t>25.6</w:t>
      </w:r>
      <w:r>
        <w:rPr>
          <w:rFonts w:hint="eastAsia"/>
          <w:b/>
        </w:rPr>
        <w:t>删减工作或工程的补偿</w:t>
      </w:r>
    </w:p>
    <w:p w14:paraId="0D930E97">
      <w:pPr>
        <w:snapToGrid w:val="0"/>
        <w:spacing w:line="360" w:lineRule="auto"/>
        <w:ind w:firstLine="480"/>
        <w:rPr>
          <w:u w:val="single"/>
        </w:rPr>
      </w:pPr>
      <w:r>
        <w:rPr>
          <w:rFonts w:hint="eastAsia"/>
        </w:rPr>
        <w:t>由于非承包人原因删减了本合同中的某项原定工作或工程，致使承包人发生的费用或（和）预期收益不能被包括在其他已支付或应支付的项目中，也未包含在任何替代的工作或工程中，发包人应按以下约定方式给予承包人补偿：</w:t>
      </w:r>
      <w:r>
        <w:rPr>
          <w:rFonts w:hint="eastAsia"/>
          <w:u w:val="single"/>
        </w:rPr>
        <w:t>不予补偿</w:t>
      </w:r>
    </w:p>
    <w:p w14:paraId="0CB8922F">
      <w:pPr>
        <w:pStyle w:val="4"/>
        <w:keepNext w:val="0"/>
        <w:keepLines w:val="0"/>
        <w:tabs>
          <w:tab w:val="left" w:pos="540"/>
          <w:tab w:val="left" w:pos="720"/>
          <w:tab w:val="left" w:pos="1620"/>
          <w:tab w:val="left" w:pos="2340"/>
        </w:tabs>
        <w:spacing w:before="120" w:after="120"/>
        <w:ind w:left="178"/>
        <w:rPr>
          <w:rFonts w:cs="Times New Roman"/>
        </w:rPr>
      </w:pPr>
      <w:bookmarkStart w:id="294" w:name="_Toc8321"/>
      <w:bookmarkStart w:id="295" w:name="_Toc17774"/>
      <w:bookmarkStart w:id="296" w:name="_Toc21105"/>
      <w:r>
        <w:rPr>
          <w:rFonts w:hint="eastAsia"/>
        </w:rPr>
        <w:t xml:space="preserve">26 </w:t>
      </w:r>
      <w:r>
        <w:rPr>
          <w:rFonts w:hint="eastAsia" w:cs="Times New Roman"/>
        </w:rPr>
        <w:t>过程结算</w:t>
      </w:r>
      <w:bookmarkEnd w:id="294"/>
      <w:bookmarkEnd w:id="295"/>
      <w:bookmarkEnd w:id="296"/>
    </w:p>
    <w:p w14:paraId="1394167E">
      <w:pPr>
        <w:pStyle w:val="5"/>
        <w:tabs>
          <w:tab w:val="left" w:pos="540"/>
          <w:tab w:val="left" w:pos="900"/>
          <w:tab w:val="left" w:pos="2340"/>
          <w:tab w:val="left" w:pos="4032"/>
        </w:tabs>
        <w:spacing w:before="120" w:after="156"/>
        <w:ind w:left="359"/>
        <w:jc w:val="left"/>
        <w:rPr>
          <w:rFonts w:ascii="宋体" w:hAnsi="宋体" w:cs="Times New Roman"/>
          <w:sz w:val="24"/>
        </w:rPr>
      </w:pPr>
      <w:bookmarkStart w:id="297" w:name="_Toc1271"/>
      <w:bookmarkStart w:id="298" w:name="_Toc17103"/>
      <w:bookmarkStart w:id="299" w:name="_Toc20453"/>
      <w:bookmarkStart w:id="300" w:name="_Toc18756"/>
      <w:bookmarkStart w:id="301" w:name="_Toc2614"/>
      <w:bookmarkStart w:id="302" w:name="_Toc14275"/>
      <w:bookmarkStart w:id="303" w:name="_Toc9024"/>
      <w:bookmarkStart w:id="304" w:name="_Toc23838"/>
      <w:r>
        <w:rPr>
          <w:rFonts w:hint="eastAsia" w:ascii="宋体" w:hAnsi="宋体" w:cs="Times New Roman"/>
          <w:sz w:val="24"/>
          <w:lang w:val="en-US"/>
        </w:rPr>
        <w:t>26.1</w:t>
      </w:r>
      <w:r>
        <w:rPr>
          <w:rFonts w:hint="eastAsia" w:ascii="宋体" w:hAnsi="宋体" w:cs="Times New Roman"/>
          <w:sz w:val="24"/>
        </w:rPr>
        <w:t>过程结算周期及验收要求</w:t>
      </w:r>
      <w:bookmarkEnd w:id="297"/>
      <w:bookmarkEnd w:id="298"/>
      <w:bookmarkEnd w:id="299"/>
      <w:bookmarkEnd w:id="300"/>
      <w:bookmarkEnd w:id="301"/>
      <w:bookmarkEnd w:id="302"/>
      <w:bookmarkEnd w:id="303"/>
      <w:bookmarkEnd w:id="304"/>
    </w:p>
    <w:p w14:paraId="1F7FE13E">
      <w:pPr>
        <w:spacing w:line="360" w:lineRule="auto"/>
        <w:ind w:firstLine="480"/>
        <w:rPr>
          <w:bCs/>
          <w:u w:val="single"/>
        </w:rPr>
      </w:pPr>
      <w:r>
        <w:rPr>
          <w:rFonts w:cs="Times New Roman"/>
          <w:kern w:val="2"/>
        </w:rPr>
        <w:t>发承包双方约定</w:t>
      </w:r>
      <w:r>
        <w:rPr>
          <w:rFonts w:hint="eastAsia" w:cs="Times New Roman"/>
          <w:kern w:val="2"/>
        </w:rPr>
        <w:t>的</w:t>
      </w:r>
      <w:r>
        <w:rPr>
          <w:rFonts w:cs="Times New Roman"/>
          <w:kern w:val="2"/>
        </w:rPr>
        <w:t>过程结算周期</w:t>
      </w:r>
      <w:r>
        <w:rPr>
          <w:rFonts w:hint="eastAsia" w:cs="Times New Roman"/>
          <w:kern w:val="2"/>
        </w:rPr>
        <w:t>：</w:t>
      </w:r>
      <w:r>
        <w:rPr>
          <w:rFonts w:hint="eastAsia"/>
          <w:bCs/>
          <w:u w:val="single"/>
        </w:rPr>
        <w:t xml:space="preserve">    无                                      </w:t>
      </w:r>
    </w:p>
    <w:p w14:paraId="392B3E91">
      <w:pPr>
        <w:spacing w:line="360" w:lineRule="auto"/>
        <w:ind w:firstLine="480"/>
        <w:rPr>
          <w:rFonts w:cs="Times New Roman"/>
          <w:kern w:val="2"/>
          <w:u w:val="single"/>
        </w:rPr>
      </w:pPr>
      <w:r>
        <w:rPr>
          <w:rFonts w:hint="eastAsia" w:cs="Times New Roman"/>
          <w:kern w:val="2"/>
        </w:rPr>
        <w:t>发承包双方约定的过</w:t>
      </w:r>
      <w:r>
        <w:rPr>
          <w:rFonts w:cs="Times New Roman"/>
          <w:kern w:val="2"/>
        </w:rPr>
        <w:t>程结算验收要求</w:t>
      </w:r>
      <w:r>
        <w:rPr>
          <w:rFonts w:hint="eastAsia" w:cs="Times New Roman"/>
          <w:kern w:val="2"/>
        </w:rPr>
        <w:t>：</w:t>
      </w:r>
      <w:r>
        <w:rPr>
          <w:rFonts w:hint="eastAsia" w:cs="Times New Roman"/>
          <w:kern w:val="2"/>
          <w:u w:val="single"/>
        </w:rPr>
        <w:t xml:space="preserve">     无                                </w:t>
      </w:r>
    </w:p>
    <w:p w14:paraId="105DA32F">
      <w:pPr>
        <w:pStyle w:val="5"/>
        <w:tabs>
          <w:tab w:val="left" w:pos="540"/>
          <w:tab w:val="left" w:pos="900"/>
          <w:tab w:val="left" w:pos="2340"/>
          <w:tab w:val="left" w:pos="4032"/>
        </w:tabs>
        <w:spacing w:before="120" w:after="156"/>
        <w:ind w:left="359"/>
        <w:jc w:val="left"/>
        <w:rPr>
          <w:rFonts w:ascii="宋体" w:hAnsi="宋体" w:cs="Times New Roman"/>
          <w:sz w:val="24"/>
        </w:rPr>
      </w:pPr>
      <w:bookmarkStart w:id="305" w:name="_Toc4914"/>
      <w:bookmarkStart w:id="306" w:name="_Toc25060"/>
      <w:bookmarkStart w:id="307" w:name="_Toc18356"/>
      <w:bookmarkStart w:id="308" w:name="_Toc1075"/>
      <w:bookmarkStart w:id="309" w:name="_Toc29622"/>
      <w:bookmarkStart w:id="310" w:name="_Toc10770"/>
      <w:bookmarkStart w:id="311" w:name="_Toc3916"/>
      <w:bookmarkStart w:id="312" w:name="_Toc6646"/>
      <w:r>
        <w:rPr>
          <w:rFonts w:hint="eastAsia" w:ascii="宋体" w:hAnsi="宋体" w:cs="Times New Roman"/>
          <w:sz w:val="24"/>
          <w:lang w:val="en-US"/>
        </w:rPr>
        <w:t>26.2</w:t>
      </w:r>
      <w:r>
        <w:rPr>
          <w:rFonts w:hint="eastAsia" w:ascii="宋体" w:hAnsi="宋体" w:cs="Times New Roman"/>
          <w:sz w:val="24"/>
        </w:rPr>
        <w:t>过程结算报告的编制和提交</w:t>
      </w:r>
      <w:bookmarkEnd w:id="305"/>
      <w:bookmarkEnd w:id="306"/>
      <w:bookmarkEnd w:id="307"/>
      <w:bookmarkEnd w:id="308"/>
      <w:bookmarkEnd w:id="309"/>
      <w:bookmarkEnd w:id="310"/>
      <w:bookmarkEnd w:id="311"/>
      <w:bookmarkEnd w:id="312"/>
    </w:p>
    <w:p w14:paraId="14A99D6D">
      <w:pPr>
        <w:spacing w:line="360" w:lineRule="auto"/>
        <w:ind w:firstLine="480"/>
        <w:rPr>
          <w:rFonts w:cs="Times New Roman"/>
          <w:kern w:val="2"/>
          <w:u w:val="single"/>
        </w:rPr>
      </w:pPr>
      <w:r>
        <w:rPr>
          <w:rFonts w:hint="eastAsia" w:cs="Times New Roman"/>
        </w:rPr>
        <w:t>(2)</w:t>
      </w:r>
      <w:r>
        <w:rPr>
          <w:rFonts w:hint="eastAsia" w:cs="Times New Roman"/>
          <w:kern w:val="2"/>
        </w:rPr>
        <w:t>承包人向发包人提交过程结算报告的时间为：</w:t>
      </w:r>
      <w:r>
        <w:rPr>
          <w:rFonts w:hint="eastAsia" w:cs="Times New Roman"/>
          <w:kern w:val="2"/>
          <w:u w:val="single"/>
        </w:rPr>
        <w:t xml:space="preserve">     无                                   </w:t>
      </w:r>
    </w:p>
    <w:p w14:paraId="0DC9EF96">
      <w:pPr>
        <w:pStyle w:val="5"/>
        <w:tabs>
          <w:tab w:val="left" w:pos="540"/>
          <w:tab w:val="left" w:pos="900"/>
          <w:tab w:val="left" w:pos="2340"/>
          <w:tab w:val="left" w:pos="4032"/>
        </w:tabs>
        <w:spacing w:before="120" w:after="156"/>
        <w:ind w:left="359"/>
        <w:jc w:val="left"/>
        <w:rPr>
          <w:rFonts w:ascii="宋体" w:hAnsi="宋体" w:cs="Times New Roman"/>
          <w:sz w:val="24"/>
        </w:rPr>
      </w:pPr>
      <w:bookmarkStart w:id="313" w:name="_Toc15377"/>
      <w:bookmarkStart w:id="314" w:name="_Toc16166"/>
      <w:bookmarkStart w:id="315" w:name="_Toc29365"/>
      <w:bookmarkStart w:id="316" w:name="_Toc20350"/>
      <w:bookmarkStart w:id="317" w:name="_Toc28123"/>
      <w:bookmarkStart w:id="318" w:name="_Toc18563"/>
      <w:bookmarkStart w:id="319" w:name="_Toc29138"/>
      <w:bookmarkStart w:id="320" w:name="_Toc3444"/>
      <w:r>
        <w:rPr>
          <w:rFonts w:hint="eastAsia" w:ascii="宋体" w:hAnsi="宋体" w:cs="Times New Roman"/>
          <w:sz w:val="24"/>
          <w:lang w:val="en-US"/>
        </w:rPr>
        <w:t>26.3</w:t>
      </w:r>
      <w:r>
        <w:rPr>
          <w:rFonts w:hint="eastAsia" w:ascii="宋体" w:hAnsi="宋体" w:cs="Times New Roman"/>
          <w:sz w:val="24"/>
        </w:rPr>
        <w:t>过程结算报告的核对和修改</w:t>
      </w:r>
      <w:bookmarkEnd w:id="313"/>
      <w:bookmarkEnd w:id="314"/>
      <w:bookmarkEnd w:id="315"/>
      <w:bookmarkEnd w:id="316"/>
      <w:bookmarkEnd w:id="317"/>
      <w:bookmarkEnd w:id="318"/>
      <w:bookmarkEnd w:id="319"/>
      <w:bookmarkEnd w:id="320"/>
    </w:p>
    <w:p w14:paraId="4D2BAE1C">
      <w:pPr>
        <w:spacing w:line="360" w:lineRule="auto"/>
        <w:ind w:firstLine="480"/>
        <w:rPr>
          <w:rFonts w:cs="Times New Roman"/>
          <w:kern w:val="2"/>
        </w:rPr>
      </w:pPr>
      <w:r>
        <w:t>(</w:t>
      </w:r>
      <w:r>
        <w:rPr>
          <w:rFonts w:hint="eastAsia"/>
        </w:rPr>
        <w:t>1</w:t>
      </w:r>
      <w:r>
        <w:t>)</w:t>
      </w:r>
      <w:r>
        <w:rPr>
          <w:rFonts w:hint="eastAsia" w:cs="Times New Roman"/>
          <w:kern w:val="2"/>
        </w:rPr>
        <w:t>发包人应在收到承包人提交的过程结算报告后</w:t>
      </w:r>
      <w:r>
        <w:rPr>
          <w:rFonts w:hint="eastAsia" w:cs="Times New Roman"/>
          <w:kern w:val="2"/>
          <w:u w:val="single"/>
        </w:rPr>
        <w:t xml:space="preserve">   /    </w:t>
      </w:r>
      <w:r>
        <w:rPr>
          <w:rFonts w:hint="eastAsia" w:cs="Times New Roman"/>
          <w:kern w:val="2"/>
        </w:rPr>
        <w:t>天内，对承包人提交的过程结算报告进行核对。</w:t>
      </w:r>
    </w:p>
    <w:p w14:paraId="2FB2C44D">
      <w:pPr>
        <w:spacing w:line="360" w:lineRule="auto"/>
        <w:ind w:firstLine="480"/>
        <w:rPr>
          <w:rFonts w:cs="Times New Roman"/>
          <w:kern w:val="2"/>
        </w:rPr>
      </w:pPr>
      <w:r>
        <w:rPr>
          <w:rFonts w:hint="eastAsia" w:cs="Times New Roman"/>
          <w:kern w:val="2"/>
        </w:rPr>
        <w:t>②承包人应在收到发包人相关书面通知后</w:t>
      </w:r>
      <w:r>
        <w:rPr>
          <w:rFonts w:hint="eastAsia" w:cs="Times New Roman"/>
          <w:kern w:val="2"/>
          <w:u w:val="single"/>
        </w:rPr>
        <w:t xml:space="preserve">    / </w:t>
      </w:r>
      <w:r>
        <w:rPr>
          <w:rFonts w:hint="eastAsia" w:cs="Times New Roman"/>
          <w:kern w:val="2"/>
        </w:rPr>
        <w:t>天内，向发包人提交经修改的过程结算报告或按要求补充结算资料，发包人应在收到承包人相关书面资料后</w:t>
      </w:r>
      <w:r>
        <w:rPr>
          <w:rFonts w:hint="eastAsia" w:cs="Times New Roman"/>
          <w:kern w:val="2"/>
          <w:u w:val="single"/>
        </w:rPr>
        <w:t xml:space="preserve">   /  </w:t>
      </w:r>
      <w:r>
        <w:rPr>
          <w:rFonts w:hint="eastAsia" w:cs="Times New Roman"/>
          <w:kern w:val="2"/>
        </w:rPr>
        <w:t xml:space="preserve"> 天内进行核对。</w:t>
      </w:r>
    </w:p>
    <w:p w14:paraId="5D1D44D7">
      <w:pPr>
        <w:spacing w:line="360" w:lineRule="auto"/>
        <w:ind w:firstLine="241" w:firstLineChars="100"/>
        <w:outlineLvl w:val="1"/>
        <w:rPr>
          <w:rFonts w:cs="Times New Roman"/>
          <w:b/>
          <w:bCs/>
          <w:szCs w:val="32"/>
        </w:rPr>
      </w:pPr>
      <w:bookmarkStart w:id="321" w:name="_Toc24077"/>
      <w:bookmarkStart w:id="322" w:name="_Toc16640"/>
      <w:bookmarkStart w:id="323" w:name="_Toc9813"/>
      <w:bookmarkStart w:id="324" w:name="_Toc11942"/>
      <w:bookmarkStart w:id="325" w:name="_Toc26486"/>
      <w:bookmarkStart w:id="326" w:name="_Toc14230"/>
      <w:bookmarkStart w:id="327" w:name="_Toc6932"/>
      <w:bookmarkStart w:id="328" w:name="_Toc25678"/>
      <w:r>
        <w:rPr>
          <w:rFonts w:hint="eastAsia" w:cs="Times New Roman"/>
          <w:b/>
          <w:bCs/>
          <w:szCs w:val="32"/>
        </w:rPr>
        <w:t>26.6过程结算支付</w:t>
      </w:r>
      <w:bookmarkEnd w:id="321"/>
      <w:bookmarkEnd w:id="322"/>
      <w:bookmarkEnd w:id="323"/>
      <w:bookmarkEnd w:id="324"/>
      <w:bookmarkEnd w:id="325"/>
      <w:bookmarkEnd w:id="326"/>
      <w:bookmarkEnd w:id="327"/>
      <w:bookmarkEnd w:id="328"/>
    </w:p>
    <w:p w14:paraId="5F9D5B50">
      <w:pPr>
        <w:spacing w:line="360" w:lineRule="auto"/>
        <w:ind w:firstLine="480"/>
      </w:pPr>
      <w:r>
        <w:rPr>
          <w:rFonts w:cs="Times New Roman"/>
        </w:rPr>
        <w:t>(3)</w:t>
      </w:r>
      <w:r>
        <w:rPr>
          <w:rFonts w:cs="Times New Roman"/>
          <w:kern w:val="2"/>
        </w:rPr>
        <w:t>发承包</w:t>
      </w:r>
      <w:r>
        <w:rPr>
          <w:rFonts w:hint="eastAsia" w:cs="Times New Roman"/>
          <w:kern w:val="2"/>
        </w:rPr>
        <w:t>双方</w:t>
      </w:r>
      <w:r>
        <w:rPr>
          <w:rFonts w:cs="Times New Roman"/>
          <w:kern w:val="2"/>
        </w:rPr>
        <w:t>约定修正时间为：</w:t>
      </w:r>
      <w:r>
        <w:rPr>
          <w:rFonts w:hint="eastAsia"/>
          <w:bCs/>
          <w:u w:val="single"/>
        </w:rPr>
        <w:t xml:space="preserve">       /                                        </w:t>
      </w:r>
    </w:p>
    <w:p w14:paraId="754244E8">
      <w:pPr>
        <w:spacing w:line="360" w:lineRule="auto"/>
        <w:ind w:firstLine="480"/>
        <w:rPr>
          <w:rFonts w:cs="Times New Roman"/>
          <w:kern w:val="2"/>
        </w:rPr>
      </w:pPr>
      <w:r>
        <w:rPr>
          <w:rFonts w:hint="eastAsia"/>
        </w:rPr>
        <w:t>(4)</w:t>
      </w:r>
      <w:r>
        <w:rPr>
          <w:rFonts w:cs="Times New Roman"/>
          <w:kern w:val="2"/>
        </w:rPr>
        <w:t>过程结算价款累计支付总额达到合同价格的</w:t>
      </w:r>
      <w:r>
        <w:rPr>
          <w:rFonts w:hint="eastAsia" w:cs="Times New Roman"/>
          <w:kern w:val="2"/>
          <w:u w:val="single"/>
        </w:rPr>
        <w:t>/</w:t>
      </w:r>
      <w:r>
        <w:rPr>
          <w:rFonts w:cs="Times New Roman"/>
          <w:kern w:val="2"/>
        </w:rPr>
        <w:t>%时，暂停支付。</w:t>
      </w:r>
    </w:p>
    <w:p w14:paraId="24749BC3">
      <w:pPr>
        <w:pStyle w:val="5"/>
        <w:tabs>
          <w:tab w:val="left" w:pos="540"/>
          <w:tab w:val="left" w:pos="900"/>
        </w:tabs>
        <w:spacing w:before="120" w:after="156"/>
        <w:ind w:firstLine="241" w:firstLineChars="100"/>
        <w:jc w:val="left"/>
        <w:rPr>
          <w:rFonts w:ascii="宋体" w:hAnsi="宋体" w:cs="Times New Roman"/>
          <w:sz w:val="24"/>
        </w:rPr>
      </w:pPr>
      <w:bookmarkStart w:id="329" w:name="_Toc15544"/>
      <w:bookmarkStart w:id="330" w:name="_Toc23209"/>
      <w:bookmarkStart w:id="331" w:name="_Toc28858"/>
      <w:bookmarkStart w:id="332" w:name="_Toc21608"/>
      <w:bookmarkStart w:id="333" w:name="_Toc11977"/>
      <w:bookmarkStart w:id="334" w:name="_Toc13922"/>
      <w:bookmarkStart w:id="335" w:name="_Toc17232"/>
      <w:bookmarkStart w:id="336" w:name="_Toc2721"/>
      <w:r>
        <w:rPr>
          <w:rFonts w:hint="eastAsia" w:ascii="宋体" w:hAnsi="宋体" w:cs="Times New Roman"/>
          <w:sz w:val="24"/>
          <w:lang w:val="en-US"/>
        </w:rPr>
        <w:t>26.7</w:t>
      </w:r>
      <w:r>
        <w:rPr>
          <w:rFonts w:hint="eastAsia" w:ascii="宋体" w:hAnsi="宋体" w:cs="Times New Roman"/>
          <w:sz w:val="24"/>
        </w:rPr>
        <w:t>过程结算暂定意见</w:t>
      </w:r>
      <w:bookmarkEnd w:id="329"/>
      <w:bookmarkEnd w:id="330"/>
      <w:bookmarkEnd w:id="331"/>
      <w:bookmarkEnd w:id="332"/>
      <w:bookmarkEnd w:id="333"/>
      <w:bookmarkEnd w:id="334"/>
      <w:bookmarkEnd w:id="335"/>
      <w:bookmarkEnd w:id="336"/>
    </w:p>
    <w:p w14:paraId="337A5C60">
      <w:pPr>
        <w:spacing w:line="360" w:lineRule="auto"/>
        <w:ind w:firstLine="480" w:firstLineChars="200"/>
        <w:rPr>
          <w:rFonts w:cs="Times New Roman"/>
          <w:kern w:val="2"/>
        </w:rPr>
      </w:pPr>
      <w:r>
        <w:rPr>
          <w:rFonts w:cs="Times New Roman"/>
          <w:kern w:val="2"/>
        </w:rPr>
        <w:t>发承包双方委托的第三方为：</w:t>
      </w:r>
      <w:r>
        <w:rPr>
          <w:rFonts w:hint="eastAsia"/>
          <w:u w:val="single"/>
        </w:rPr>
        <w:t xml:space="preserve">              /     </w:t>
      </w:r>
    </w:p>
    <w:p w14:paraId="304AEBD1">
      <w:pPr>
        <w:spacing w:line="360" w:lineRule="auto"/>
        <w:ind w:firstLine="480"/>
        <w:rPr>
          <w:rFonts w:cs="Times New Roman"/>
          <w:kern w:val="2"/>
        </w:rPr>
      </w:pPr>
      <w:r>
        <w:rPr>
          <w:rFonts w:cs="Times New Roman"/>
          <w:kern w:val="2"/>
        </w:rPr>
        <w:t>发承包双方应在收到第三方暂定结算意见后</w:t>
      </w:r>
      <w:r>
        <w:rPr>
          <w:rFonts w:hint="eastAsia" w:cs="Times New Roman"/>
          <w:kern w:val="2"/>
          <w:u w:val="single"/>
        </w:rPr>
        <w:t>/</w:t>
      </w:r>
      <w:r>
        <w:rPr>
          <w:rFonts w:cs="Times New Roman"/>
          <w:kern w:val="2"/>
        </w:rPr>
        <w:t>天内，对暂定结算意见予以确认或提出异议。</w:t>
      </w:r>
    </w:p>
    <w:p w14:paraId="45DF2C15">
      <w:pPr>
        <w:pStyle w:val="4"/>
        <w:keepNext w:val="0"/>
        <w:keepLines w:val="0"/>
        <w:tabs>
          <w:tab w:val="left" w:pos="540"/>
          <w:tab w:val="left" w:pos="720"/>
          <w:tab w:val="left" w:pos="1620"/>
          <w:tab w:val="left" w:pos="2340"/>
        </w:tabs>
        <w:spacing w:before="120" w:after="120"/>
        <w:ind w:left="178"/>
      </w:pPr>
      <w:bookmarkStart w:id="337" w:name="_Toc30767"/>
      <w:bookmarkStart w:id="338" w:name="_Toc31931"/>
      <w:bookmarkStart w:id="339" w:name="_Toc30877"/>
      <w:r>
        <w:rPr>
          <w:rFonts w:hint="eastAsia" w:cs="Times New Roman"/>
          <w:lang w:val="en-US"/>
        </w:rPr>
        <w:t>27</w:t>
      </w:r>
      <w:r>
        <w:rPr>
          <w:rFonts w:hint="eastAsia"/>
        </w:rPr>
        <w:t>竣工验收</w:t>
      </w:r>
      <w:bookmarkEnd w:id="337"/>
      <w:bookmarkEnd w:id="338"/>
      <w:bookmarkEnd w:id="339"/>
    </w:p>
    <w:p w14:paraId="6D135963">
      <w:pPr>
        <w:pStyle w:val="5"/>
        <w:tabs>
          <w:tab w:val="left" w:pos="540"/>
          <w:tab w:val="left" w:pos="900"/>
          <w:tab w:val="left" w:pos="2340"/>
          <w:tab w:val="left" w:pos="4032"/>
        </w:tabs>
        <w:spacing w:before="120" w:after="156"/>
        <w:ind w:left="359"/>
        <w:jc w:val="left"/>
        <w:rPr>
          <w:rFonts w:ascii="宋体" w:hAnsi="宋体"/>
          <w:sz w:val="24"/>
        </w:rPr>
      </w:pPr>
      <w:bookmarkStart w:id="340" w:name="_Toc11869"/>
      <w:bookmarkStart w:id="341" w:name="_Toc27172"/>
      <w:bookmarkStart w:id="342" w:name="_Toc10532"/>
      <w:r>
        <w:rPr>
          <w:rFonts w:hint="eastAsia" w:ascii="宋体" w:hAnsi="宋体"/>
          <w:sz w:val="24"/>
        </w:rPr>
        <w:t>2</w:t>
      </w:r>
      <w:r>
        <w:rPr>
          <w:rFonts w:hint="eastAsia" w:ascii="宋体" w:hAnsi="宋体"/>
          <w:sz w:val="24"/>
          <w:lang w:val="en-US"/>
        </w:rPr>
        <w:t>7</w:t>
      </w:r>
      <w:r>
        <w:rPr>
          <w:rFonts w:hint="eastAsia" w:ascii="宋体" w:hAnsi="宋体"/>
          <w:sz w:val="24"/>
        </w:rPr>
        <w:t>.1 竣工验收</w:t>
      </w:r>
      <w:bookmarkEnd w:id="340"/>
      <w:bookmarkEnd w:id="341"/>
      <w:bookmarkEnd w:id="342"/>
    </w:p>
    <w:p w14:paraId="63CA9285">
      <w:pPr>
        <w:spacing w:line="360" w:lineRule="auto"/>
        <w:ind w:firstLine="482"/>
        <w:jc w:val="both"/>
        <w:rPr>
          <w:rFonts w:cs="Times New Roman"/>
          <w:u w:val="single"/>
        </w:rPr>
      </w:pPr>
      <w:r>
        <w:t>(2)</w:t>
      </w:r>
      <w:r>
        <w:rPr>
          <w:rFonts w:hint="eastAsia"/>
        </w:rPr>
        <w:t>承包人提供竣工资料的约定：</w:t>
      </w:r>
      <w:r>
        <w:rPr>
          <w:rFonts w:hint="eastAsia" w:cs="Times New Roman"/>
          <w:u w:val="single"/>
        </w:rPr>
        <w:t>工程完成后，承包人应先进行自验，并配合监理单位组织初验，自验和初验合格后，承包人应向发包人提交竣工资料，并积极配合监理、发包人及质量监督的主管部门组织竣工验收，按发包人、监督部门及监理单位的要求提交有关验收资料、表格。竣工验收合格后，由承包人提供相应资料，按建设主管部门的要求办理竣工备案手续，逾期不办理者，承包人接受建设主管部门的有关处罚。</w:t>
      </w:r>
    </w:p>
    <w:p w14:paraId="04A2C499">
      <w:pPr>
        <w:spacing w:line="360" w:lineRule="auto"/>
        <w:ind w:firstLine="482"/>
        <w:jc w:val="both"/>
        <w:rPr>
          <w:rFonts w:cs="Times New Roman"/>
          <w:u w:val="single"/>
        </w:rPr>
      </w:pPr>
      <w:r>
        <w:rPr>
          <w:rFonts w:hint="eastAsia" w:cs="Times New Roman"/>
          <w:u w:val="single"/>
        </w:rPr>
        <w:t>工程具备竣工验收条件后14天内，按国家住建部、广东省及深圳市的有关规定和发包人的要求编制工程竣工资料（包括施工原始记录、照片等资料），向发包人提供完整的竣工资料（含电子文件）十二套及竣工验收报告；发包人收到竣工资料后，应在10天内审核，若不符合要求，发包人可提出修改意见。</w:t>
      </w:r>
    </w:p>
    <w:p w14:paraId="47A9CC3D">
      <w:pPr>
        <w:spacing w:line="360" w:lineRule="auto"/>
        <w:ind w:firstLine="482"/>
        <w:jc w:val="both"/>
        <w:rPr>
          <w:rFonts w:cs="Times New Roman"/>
          <w:u w:val="single"/>
        </w:rPr>
      </w:pPr>
      <w:r>
        <w:rPr>
          <w:rFonts w:hint="eastAsia" w:cs="Times New Roman"/>
          <w:u w:val="single"/>
        </w:rPr>
        <w:t>承包人按要求修改合格后报发包人，发包人在收到承包人的竣工验收报告后7天内应组织有关单位进行初步验收，并在7天内对工程质量予以认可或提出修改意见。承包人按要求修改，并承担由其自身原因造成的修改费用。竣工验收由发包人主持，承包人编制竣工图、竣工资料等的所有费用已含在签约合同价中。</w:t>
      </w:r>
    </w:p>
    <w:p w14:paraId="39E77E43">
      <w:pPr>
        <w:spacing w:line="360" w:lineRule="auto"/>
        <w:ind w:firstLine="482"/>
        <w:jc w:val="both"/>
        <w:rPr>
          <w:rFonts w:cs="Times New Roman"/>
          <w:u w:val="single"/>
        </w:rPr>
      </w:pPr>
      <w:r>
        <w:rPr>
          <w:rFonts w:hint="eastAsia" w:cs="Times New Roman"/>
          <w:u w:val="single"/>
        </w:rPr>
        <w:t>竣工验收合格后30天内由承包人及时向主管部门和监督部门备案（或办理竣工联合验收意见书）、取得竣工验收备案回执并将备案回执（竣工联合验收意见书）移交发包人；</w:t>
      </w:r>
    </w:p>
    <w:p w14:paraId="31F89533">
      <w:pPr>
        <w:widowControl w:val="0"/>
        <w:spacing w:line="360" w:lineRule="auto"/>
        <w:ind w:firstLine="482"/>
        <w:jc w:val="both"/>
        <w:rPr>
          <w:rFonts w:cs="Times New Roman"/>
          <w:u w:val="single"/>
        </w:rPr>
      </w:pPr>
      <w:r>
        <w:rPr>
          <w:rFonts w:hint="eastAsia" w:cs="Times New Roman"/>
          <w:u w:val="single"/>
        </w:rPr>
        <w:t>工程验收合格后30天内，承包人按深圳市城建档案馆有关竣工图及综合资料编制规定要求将本项目完整的竣工资料移交档案馆，并将移交证明交发包人。按深圳市城建档案馆、发包人及监理人要求向发包人移交完整竣工资料（包括竣工图纸、声像资料、影像资料）及竣工验收报告陆套包括原件一套和光盘陆套。承包人未向发包人移交资料移交证明、备案回执及竣工资料，发包人有权不办理结算。</w:t>
      </w:r>
    </w:p>
    <w:p w14:paraId="36C51D90">
      <w:pPr>
        <w:widowControl w:val="0"/>
        <w:spacing w:line="360" w:lineRule="auto"/>
        <w:ind w:firstLine="482"/>
        <w:jc w:val="both"/>
        <w:rPr>
          <w:rFonts w:cs="Times New Roman"/>
          <w:u w:val="single"/>
        </w:rPr>
      </w:pPr>
      <w:r>
        <w:rPr>
          <w:rFonts w:hint="eastAsia" w:cs="Times New Roman"/>
          <w:u w:val="single"/>
        </w:rPr>
        <w:t>承包人不在期限内配合发包人办理竣工验收备案手续或不提交符合要求的竣工验收资料的，每逾期一日，向发包人支付违约金10000元。同时，因承包人原因导致无法办理竣工验收备案手续的，因此造成发包人损失的，承包人应予赔偿，且发包人有权拒绝支付工程款。</w:t>
      </w:r>
    </w:p>
    <w:p w14:paraId="64B6418A">
      <w:pPr>
        <w:spacing w:line="360" w:lineRule="auto"/>
        <w:ind w:firstLine="482"/>
        <w:jc w:val="both"/>
        <w:rPr>
          <w:rFonts w:cs="Times New Roman"/>
          <w:u w:val="single"/>
        </w:rPr>
      </w:pPr>
      <w:r>
        <w:rPr>
          <w:rFonts w:hint="eastAsia" w:cs="Times New Roman"/>
          <w:u w:val="single"/>
        </w:rPr>
        <w:t>发包人收到承包人提交的竣工验收申请后21天内不组织竣工验收，或竣工验收工作完毕后7天内不提出修改意见，承包人应书面发函催告发包人验收，但不得视为本工程通过竣工验收。</w:t>
      </w:r>
    </w:p>
    <w:p w14:paraId="0E54E092">
      <w:pPr>
        <w:spacing w:line="360" w:lineRule="auto"/>
        <w:ind w:firstLine="482"/>
        <w:jc w:val="both"/>
        <w:rPr>
          <w:rFonts w:cs="Times New Roman"/>
          <w:u w:val="single"/>
        </w:rPr>
      </w:pPr>
      <w:r>
        <w:rPr>
          <w:rFonts w:hint="eastAsia" w:cs="Times New Roman"/>
          <w:u w:val="single"/>
        </w:rPr>
        <w:t>工程未经竣工验收或竣工验收未通过的，发包人不得使用，但承包人拒绝配合验收的除外，发包人仍可以向承包人主张质量责任。</w:t>
      </w:r>
    </w:p>
    <w:p w14:paraId="3245B78B">
      <w:pPr>
        <w:spacing w:line="360" w:lineRule="auto"/>
        <w:ind w:firstLine="482"/>
        <w:jc w:val="both"/>
        <w:rPr>
          <w:rFonts w:cs="Times New Roman"/>
        </w:rPr>
      </w:pPr>
      <w:r>
        <w:rPr>
          <w:rFonts w:hint="eastAsia" w:cs="Times New Roman"/>
        </w:rPr>
        <w:t xml:space="preserve">(7) 本工程中须单独进行竣工验收的单项工程为： </w:t>
      </w:r>
      <w:r>
        <w:rPr>
          <w:rFonts w:hint="eastAsia" w:cs="Times New Roman"/>
          <w:u w:val="single"/>
        </w:rPr>
        <w:t xml:space="preserve">       /            </w:t>
      </w:r>
    </w:p>
    <w:p w14:paraId="273A7055">
      <w:pPr>
        <w:pStyle w:val="5"/>
        <w:tabs>
          <w:tab w:val="left" w:pos="540"/>
          <w:tab w:val="left" w:pos="900"/>
          <w:tab w:val="left" w:pos="2340"/>
          <w:tab w:val="left" w:pos="4032"/>
        </w:tabs>
        <w:spacing w:before="120" w:after="156"/>
        <w:ind w:left="359"/>
        <w:jc w:val="left"/>
        <w:rPr>
          <w:rFonts w:ascii="宋体" w:hAnsi="宋体"/>
          <w:sz w:val="24"/>
        </w:rPr>
      </w:pPr>
      <w:bookmarkStart w:id="343" w:name="_Toc32418"/>
      <w:bookmarkStart w:id="344" w:name="_Toc20206"/>
      <w:bookmarkStart w:id="345" w:name="_Toc7453"/>
      <w:r>
        <w:rPr>
          <w:rFonts w:hint="eastAsia" w:ascii="宋体" w:hAnsi="宋体"/>
          <w:sz w:val="24"/>
        </w:rPr>
        <w:t>2</w:t>
      </w:r>
      <w:r>
        <w:rPr>
          <w:rFonts w:hint="eastAsia" w:ascii="宋体" w:hAnsi="宋体"/>
          <w:sz w:val="24"/>
          <w:lang w:val="en-US"/>
        </w:rPr>
        <w:t>7</w:t>
      </w:r>
      <w:r>
        <w:rPr>
          <w:rFonts w:hint="eastAsia" w:ascii="宋体" w:hAnsi="宋体"/>
          <w:sz w:val="24"/>
        </w:rPr>
        <w:t>.2 竣工验收合格后的移交和清理</w:t>
      </w:r>
      <w:bookmarkEnd w:id="343"/>
      <w:bookmarkEnd w:id="344"/>
      <w:bookmarkEnd w:id="345"/>
    </w:p>
    <w:p w14:paraId="7600E9DF">
      <w:pPr>
        <w:widowControl w:val="0"/>
        <w:spacing w:line="360" w:lineRule="auto"/>
        <w:ind w:firstLine="480"/>
        <w:jc w:val="both"/>
        <w:rPr>
          <w:rFonts w:cs="Times New Roman"/>
          <w:u w:val="single"/>
        </w:rPr>
      </w:pPr>
      <w:r>
        <w:rPr>
          <w:rFonts w:hint="eastAsia"/>
        </w:rPr>
        <w:t>(1)承包人不按时向发包人移交本工程的，每延迟一天，承包人向发包人支付违约金</w:t>
      </w:r>
      <w:r>
        <w:rPr>
          <w:rFonts w:hint="eastAsia" w:cs="Times New Roman"/>
          <w:u w:val="single"/>
        </w:rPr>
        <w:t>人民币3万元/天的违约金，</w:t>
      </w:r>
      <w:r>
        <w:rPr>
          <w:rFonts w:hint="eastAsia"/>
          <w:u w:val="single"/>
        </w:rPr>
        <w:t>累计最高违约金为合同协议书的签约合同价的5%。</w:t>
      </w:r>
      <w:r>
        <w:rPr>
          <w:rFonts w:hint="eastAsia" w:cs="Times New Roman"/>
          <w:u w:val="single"/>
        </w:rPr>
        <w:t>发包人有权视情况解除合同，并保留索赔权利。</w:t>
      </w:r>
    </w:p>
    <w:p w14:paraId="15C08453">
      <w:pPr>
        <w:spacing w:line="360" w:lineRule="auto"/>
        <w:rPr>
          <w:u w:val="single"/>
        </w:rPr>
      </w:pPr>
      <w:r>
        <w:rPr>
          <w:rFonts w:hint="eastAsia"/>
        </w:rPr>
        <w:t>(3)发包人无正当理由不接收工程的，发包人应承担以下违约责任：</w:t>
      </w:r>
      <w:r>
        <w:rPr>
          <w:rFonts w:hint="eastAsia"/>
          <w:u w:val="single"/>
        </w:rPr>
        <w:t xml:space="preserve">   /         </w:t>
      </w:r>
    </w:p>
    <w:p w14:paraId="1CA3D35B">
      <w:pPr>
        <w:pStyle w:val="5"/>
        <w:tabs>
          <w:tab w:val="left" w:pos="540"/>
          <w:tab w:val="left" w:pos="900"/>
          <w:tab w:val="left" w:pos="2340"/>
          <w:tab w:val="left" w:pos="4032"/>
        </w:tabs>
        <w:spacing w:before="120" w:after="156"/>
        <w:ind w:left="359"/>
        <w:jc w:val="left"/>
        <w:rPr>
          <w:rFonts w:ascii="宋体" w:hAnsi="宋体"/>
          <w:sz w:val="24"/>
        </w:rPr>
      </w:pPr>
      <w:bookmarkStart w:id="346" w:name="_Toc13732"/>
      <w:bookmarkStart w:id="347" w:name="_Toc25026"/>
      <w:bookmarkStart w:id="348" w:name="_Toc8658"/>
      <w:r>
        <w:rPr>
          <w:rFonts w:hint="eastAsia" w:ascii="宋体" w:hAnsi="宋体"/>
          <w:sz w:val="24"/>
        </w:rPr>
        <w:t>2</w:t>
      </w:r>
      <w:r>
        <w:rPr>
          <w:rFonts w:hint="eastAsia" w:ascii="宋体" w:hAnsi="宋体"/>
          <w:sz w:val="24"/>
          <w:lang w:val="en-US"/>
        </w:rPr>
        <w:t>7</w:t>
      </w:r>
      <w:r>
        <w:rPr>
          <w:rFonts w:hint="eastAsia" w:ascii="宋体" w:hAnsi="宋体"/>
          <w:sz w:val="24"/>
        </w:rPr>
        <w:t>.3 竣工验收质量不合格和重新验收</w:t>
      </w:r>
      <w:bookmarkEnd w:id="346"/>
      <w:bookmarkEnd w:id="347"/>
      <w:bookmarkEnd w:id="348"/>
    </w:p>
    <w:p w14:paraId="57DE0B5A">
      <w:pPr>
        <w:spacing w:line="360" w:lineRule="auto"/>
        <w:ind w:firstLine="480"/>
        <w:rPr>
          <w:u w:val="single"/>
        </w:rPr>
      </w:pPr>
      <w:r>
        <w:rPr>
          <w:rFonts w:hint="eastAsia"/>
        </w:rPr>
        <w:t>(1)如本工程竣工验收质量未达到本合同约定的标准，承包人应承担以下违约责任：</w:t>
      </w:r>
    </w:p>
    <w:p w14:paraId="6C1FA97A">
      <w:pPr>
        <w:widowControl w:val="0"/>
        <w:spacing w:line="360" w:lineRule="auto"/>
        <w:ind w:firstLine="480"/>
        <w:jc w:val="both"/>
        <w:rPr>
          <w:u w:val="single"/>
        </w:rPr>
      </w:pPr>
      <w:r>
        <w:rPr>
          <w:rFonts w:hint="eastAsia"/>
          <w:u w:val="single"/>
        </w:rPr>
        <w:t xml:space="preserve">  承包人负责返工或返修并承担由此产生的费用及相关的检验、验收费用，直至合格，并赔偿发包人由此造成的所有损失。该种情况下，工期不予顺延，同时承包人应向发包人支付数额不低于合同价5%的违约金。若在工期要求范围内未整改完毕或整改后仍达不到质量要求，发包人可以自行整改或委托第三方进行整改，按整改所需费用的5倍向承包人追究违约金。</w:t>
      </w:r>
    </w:p>
    <w:p w14:paraId="4158F820">
      <w:pPr>
        <w:pStyle w:val="5"/>
        <w:tabs>
          <w:tab w:val="left" w:pos="540"/>
          <w:tab w:val="left" w:pos="900"/>
          <w:tab w:val="left" w:pos="2340"/>
          <w:tab w:val="left" w:pos="4032"/>
        </w:tabs>
        <w:spacing w:before="120" w:after="156"/>
        <w:ind w:left="359"/>
        <w:jc w:val="left"/>
        <w:rPr>
          <w:rFonts w:ascii="宋体" w:hAnsi="宋体"/>
          <w:sz w:val="24"/>
        </w:rPr>
      </w:pPr>
      <w:bookmarkStart w:id="349" w:name="_Toc30455"/>
      <w:bookmarkStart w:id="350" w:name="_Toc19861"/>
      <w:bookmarkStart w:id="351" w:name="_Toc16053"/>
      <w:r>
        <w:rPr>
          <w:rFonts w:hint="eastAsia" w:ascii="宋体" w:hAnsi="宋体"/>
          <w:sz w:val="24"/>
        </w:rPr>
        <w:t>2</w:t>
      </w:r>
      <w:r>
        <w:rPr>
          <w:rFonts w:hint="eastAsia" w:ascii="宋体" w:hAnsi="宋体"/>
          <w:sz w:val="24"/>
          <w:lang w:val="en-US"/>
        </w:rPr>
        <w:t>7</w:t>
      </w:r>
      <w:r>
        <w:rPr>
          <w:rFonts w:hint="eastAsia" w:ascii="宋体" w:hAnsi="宋体"/>
          <w:sz w:val="24"/>
        </w:rPr>
        <w:t>.</w:t>
      </w:r>
      <w:r>
        <w:rPr>
          <w:rFonts w:ascii="宋体" w:hAnsi="宋体"/>
          <w:sz w:val="24"/>
        </w:rPr>
        <w:t>6</w:t>
      </w:r>
      <w:r>
        <w:rPr>
          <w:rFonts w:hint="eastAsia" w:ascii="宋体" w:hAnsi="宋体"/>
          <w:sz w:val="24"/>
        </w:rPr>
        <w:t xml:space="preserve"> 竣工验收工程质量争议处理</w:t>
      </w:r>
      <w:bookmarkEnd w:id="349"/>
      <w:bookmarkEnd w:id="350"/>
      <w:bookmarkEnd w:id="351"/>
    </w:p>
    <w:p w14:paraId="22068A39">
      <w:pPr>
        <w:spacing w:line="360" w:lineRule="auto"/>
      </w:pPr>
      <w:r>
        <w:rPr>
          <w:rFonts w:hint="eastAsia"/>
        </w:rPr>
        <w:t>发包人与承包人对竣工验收工程质量有争议时共同委托的质量检测鉴定机构为：</w:t>
      </w:r>
      <w:r>
        <w:rPr>
          <w:rFonts w:hint="eastAsia" w:cs="Times New Roman"/>
          <w:u w:val="single"/>
        </w:rPr>
        <w:t>深圳市房屋安全和工程质量检测鉴定中心或发包人认可的有资质的质量检测鉴定机构。</w:t>
      </w:r>
    </w:p>
    <w:p w14:paraId="71156A8A">
      <w:pPr>
        <w:pStyle w:val="5"/>
        <w:tabs>
          <w:tab w:val="left" w:pos="540"/>
          <w:tab w:val="left" w:pos="900"/>
          <w:tab w:val="left" w:pos="2340"/>
          <w:tab w:val="left" w:pos="4032"/>
        </w:tabs>
        <w:spacing w:before="120" w:after="156"/>
        <w:ind w:left="359"/>
        <w:jc w:val="left"/>
        <w:rPr>
          <w:rFonts w:ascii="宋体" w:hAnsi="宋体"/>
          <w:sz w:val="24"/>
        </w:rPr>
      </w:pPr>
      <w:bookmarkStart w:id="352" w:name="_Toc19084"/>
      <w:bookmarkStart w:id="353" w:name="_Toc2909"/>
      <w:bookmarkStart w:id="354" w:name="_Toc13977"/>
      <w:r>
        <w:rPr>
          <w:rFonts w:hint="eastAsia" w:ascii="宋体" w:hAnsi="宋体"/>
          <w:sz w:val="24"/>
        </w:rPr>
        <w:t>2</w:t>
      </w:r>
      <w:r>
        <w:rPr>
          <w:rFonts w:hint="eastAsia" w:ascii="宋体" w:hAnsi="宋体"/>
          <w:sz w:val="24"/>
          <w:lang w:val="en-US"/>
        </w:rPr>
        <w:t>7</w:t>
      </w:r>
      <w:r>
        <w:rPr>
          <w:rFonts w:hint="eastAsia" w:ascii="宋体" w:hAnsi="宋体"/>
          <w:sz w:val="24"/>
        </w:rPr>
        <w:t>.</w:t>
      </w:r>
      <w:r>
        <w:rPr>
          <w:rFonts w:ascii="宋体" w:hAnsi="宋体"/>
          <w:sz w:val="24"/>
        </w:rPr>
        <w:t>7</w:t>
      </w:r>
      <w:r>
        <w:rPr>
          <w:rFonts w:hint="eastAsia" w:ascii="宋体" w:hAnsi="宋体"/>
          <w:sz w:val="24"/>
        </w:rPr>
        <w:t xml:space="preserve"> 履约评价与优质优价</w:t>
      </w:r>
      <w:bookmarkEnd w:id="352"/>
      <w:bookmarkEnd w:id="353"/>
      <w:bookmarkEnd w:id="354"/>
    </w:p>
    <w:p w14:paraId="2F2E26DF">
      <w:pPr>
        <w:spacing w:line="360" w:lineRule="auto"/>
        <w:ind w:firstLine="480" w:firstLineChars="200"/>
        <w:rPr>
          <w:u w:val="single"/>
        </w:rPr>
      </w:pPr>
      <w:r>
        <w:rPr>
          <w:rFonts w:hint="eastAsia"/>
        </w:rPr>
        <w:t>(1) 发包人对承包人的履约评价约定(可另附页)：</w:t>
      </w:r>
      <w:r>
        <w:rPr>
          <w:rFonts w:hint="eastAsia"/>
          <w:bCs/>
          <w:u w:val="single"/>
        </w:rPr>
        <w:t xml:space="preserve">    。</w:t>
      </w:r>
    </w:p>
    <w:p w14:paraId="34FA4758">
      <w:pPr>
        <w:spacing w:line="360" w:lineRule="auto"/>
        <w:ind w:firstLine="480"/>
      </w:pPr>
      <w:r>
        <w:rPr>
          <w:rFonts w:hint="eastAsia"/>
        </w:rPr>
        <w:t>(2)履约评价奖励：发包人负责组织相关单位对承包人进行履约评价，对履约评价为良好及以上等级的，发包人应给予承包人本工程签约合同价的</w:t>
      </w:r>
      <w:r>
        <w:rPr>
          <w:rFonts w:hint="eastAsia"/>
          <w:u w:val="single"/>
        </w:rPr>
        <w:t xml:space="preserve">   /  </w:t>
      </w:r>
      <w:r>
        <w:rPr>
          <w:rFonts w:hint="eastAsia"/>
        </w:rPr>
        <w:t>%作为奖励。</w:t>
      </w:r>
    </w:p>
    <w:p w14:paraId="34FBB1D1">
      <w:pPr>
        <w:spacing w:line="360" w:lineRule="auto"/>
        <w:ind w:firstLine="480"/>
      </w:pPr>
      <w:r>
        <w:rPr>
          <w:rFonts w:hint="eastAsia"/>
        </w:rPr>
        <w:t>工程创优奖励：对履约评价为良好及以上等级，且取得</w:t>
      </w:r>
      <w:r>
        <w:rPr>
          <w:rFonts w:hint="eastAsia"/>
          <w:u w:val="single"/>
        </w:rPr>
        <w:t xml:space="preserve">       /    </w:t>
      </w:r>
      <w:r>
        <w:rPr>
          <w:rFonts w:hint="eastAsia"/>
        </w:rPr>
        <w:t>奖项的，发包人应在履约评价奖励基础上给予承包人追加本工程签约合同价的</w:t>
      </w:r>
      <w:r>
        <w:rPr>
          <w:rFonts w:hint="eastAsia"/>
          <w:u w:val="single"/>
        </w:rPr>
        <w:t xml:space="preserve">   /  </w:t>
      </w:r>
      <w:r>
        <w:rPr>
          <w:rFonts w:hint="eastAsia"/>
        </w:rPr>
        <w:t>%作为奖励。</w:t>
      </w:r>
    </w:p>
    <w:p w14:paraId="35D21CCC">
      <w:pPr>
        <w:pStyle w:val="4"/>
        <w:keepNext w:val="0"/>
        <w:keepLines w:val="0"/>
        <w:tabs>
          <w:tab w:val="left" w:pos="540"/>
          <w:tab w:val="left" w:pos="720"/>
          <w:tab w:val="left" w:pos="1620"/>
          <w:tab w:val="left" w:pos="2340"/>
        </w:tabs>
        <w:spacing w:before="120" w:after="120"/>
        <w:ind w:left="178"/>
      </w:pPr>
      <w:bookmarkStart w:id="355" w:name="_Toc2370"/>
      <w:bookmarkStart w:id="356" w:name="_Toc25305"/>
      <w:bookmarkStart w:id="357" w:name="_Toc30103"/>
      <w:r>
        <w:rPr>
          <w:rFonts w:hint="eastAsia"/>
        </w:rPr>
        <w:t>2</w:t>
      </w:r>
      <w:r>
        <w:rPr>
          <w:rFonts w:hint="eastAsia"/>
          <w:lang w:val="en-US"/>
        </w:rPr>
        <w:t>8</w:t>
      </w:r>
      <w:r>
        <w:rPr>
          <w:rFonts w:hint="eastAsia"/>
        </w:rPr>
        <w:t xml:space="preserve"> 竣工结算</w:t>
      </w:r>
      <w:bookmarkEnd w:id="355"/>
      <w:bookmarkEnd w:id="356"/>
      <w:bookmarkEnd w:id="357"/>
    </w:p>
    <w:p w14:paraId="4791207C">
      <w:pPr>
        <w:spacing w:line="360" w:lineRule="auto"/>
        <w:ind w:firstLine="480"/>
      </w:pPr>
      <w:bookmarkStart w:id="358" w:name="_Toc28109"/>
      <w:bookmarkStart w:id="359" w:name="_Toc1914"/>
      <w:r>
        <w:rPr>
          <w:rFonts w:hint="eastAsia"/>
        </w:rPr>
        <w:t>28.1 竣工结算书的编制和提交</w:t>
      </w:r>
      <w:bookmarkEnd w:id="358"/>
      <w:bookmarkEnd w:id="359"/>
    </w:p>
    <w:p w14:paraId="47C2F20E">
      <w:pPr>
        <w:spacing w:line="360" w:lineRule="auto"/>
        <w:ind w:firstLine="480"/>
      </w:pPr>
      <w:r>
        <w:t>(2)承包人向发包人提交竣工结算书及完整的结算资料的时间要求为本工程竣工验收合格后</w:t>
      </w:r>
      <w:r>
        <w:rPr>
          <w:rFonts w:hint="eastAsia"/>
          <w:u w:val="single"/>
        </w:rPr>
        <w:t>90</w:t>
      </w:r>
      <w:r>
        <w:rPr>
          <w:rFonts w:hint="eastAsia"/>
        </w:rPr>
        <w:t>天。</w:t>
      </w:r>
    </w:p>
    <w:p w14:paraId="5716BCE1">
      <w:pPr>
        <w:pStyle w:val="5"/>
        <w:tabs>
          <w:tab w:val="left" w:pos="540"/>
          <w:tab w:val="left" w:pos="900"/>
          <w:tab w:val="left" w:pos="2340"/>
          <w:tab w:val="left" w:pos="4032"/>
        </w:tabs>
        <w:spacing w:before="120" w:after="156"/>
        <w:ind w:left="359"/>
        <w:jc w:val="left"/>
        <w:rPr>
          <w:rFonts w:ascii="宋体" w:hAnsi="宋体"/>
          <w:sz w:val="24"/>
        </w:rPr>
      </w:pPr>
      <w:bookmarkStart w:id="360" w:name="_Toc3128"/>
      <w:bookmarkStart w:id="361" w:name="_Toc27238"/>
      <w:bookmarkStart w:id="362" w:name="_Toc25807"/>
      <w:r>
        <w:rPr>
          <w:rFonts w:hint="eastAsia" w:ascii="宋体" w:hAnsi="宋体"/>
          <w:sz w:val="24"/>
        </w:rPr>
        <w:t>2</w:t>
      </w:r>
      <w:r>
        <w:rPr>
          <w:rFonts w:hint="eastAsia" w:ascii="宋体" w:hAnsi="宋体"/>
          <w:sz w:val="24"/>
          <w:lang w:val="en-US"/>
        </w:rPr>
        <w:t>8</w:t>
      </w:r>
      <w:r>
        <w:rPr>
          <w:rFonts w:hint="eastAsia" w:ascii="宋体" w:hAnsi="宋体"/>
          <w:sz w:val="24"/>
        </w:rPr>
        <w:t>.2 竣工结算书的核对和修改</w:t>
      </w:r>
      <w:bookmarkEnd w:id="360"/>
      <w:bookmarkEnd w:id="361"/>
      <w:bookmarkEnd w:id="362"/>
    </w:p>
    <w:p w14:paraId="10CED6CB">
      <w:pPr>
        <w:spacing w:line="360" w:lineRule="auto"/>
        <w:ind w:firstLine="480"/>
      </w:pPr>
      <w:r>
        <w:rPr>
          <w:rFonts w:hint="eastAsia"/>
        </w:rPr>
        <w:t>(1)发包人核对竣工结算书的期限为承包人提交竣工结算书和完整结算资料后</w:t>
      </w:r>
      <w:r>
        <w:rPr>
          <w:rFonts w:hint="eastAsia"/>
          <w:u w:val="single"/>
        </w:rPr>
        <w:t xml:space="preserve"> 180      </w:t>
      </w:r>
      <w:r>
        <w:rPr>
          <w:rFonts w:hint="eastAsia"/>
        </w:rPr>
        <w:t>天。</w:t>
      </w:r>
    </w:p>
    <w:p w14:paraId="7742D2D0">
      <w:pPr>
        <w:spacing w:line="360" w:lineRule="auto"/>
        <w:ind w:firstLine="480"/>
      </w:pPr>
      <w:r>
        <w:rPr>
          <w:rFonts w:hint="eastAsia"/>
        </w:rPr>
        <w:t>(2)承包人提交修改竣工结算书或补充结算资料的期限为发包人提出核对意见或补充结算资料要求后</w:t>
      </w:r>
      <w:r>
        <w:rPr>
          <w:rFonts w:hint="eastAsia"/>
          <w:u w:val="single"/>
        </w:rPr>
        <w:t xml:space="preserve">28  </w:t>
      </w:r>
      <w:r>
        <w:rPr>
          <w:rFonts w:hint="eastAsia"/>
        </w:rPr>
        <w:t>天；发包人核对经修改的竣工结算书的期限为承包人提交修改竣工结算书或补充结算资料后</w:t>
      </w:r>
      <w:r>
        <w:rPr>
          <w:rFonts w:hint="eastAsia"/>
          <w:u w:val="single"/>
        </w:rPr>
        <w:t>180</w:t>
      </w:r>
      <w:r>
        <w:rPr>
          <w:rFonts w:hint="eastAsia"/>
        </w:rPr>
        <w:t>天。</w:t>
      </w:r>
    </w:p>
    <w:p w14:paraId="07ACD83F">
      <w:pPr>
        <w:pStyle w:val="5"/>
        <w:tabs>
          <w:tab w:val="left" w:pos="540"/>
          <w:tab w:val="left" w:pos="900"/>
          <w:tab w:val="left" w:pos="2340"/>
          <w:tab w:val="left" w:pos="4032"/>
        </w:tabs>
        <w:spacing w:before="120" w:after="156"/>
        <w:ind w:left="359"/>
        <w:jc w:val="left"/>
        <w:rPr>
          <w:rFonts w:ascii="宋体" w:hAnsi="宋体"/>
          <w:sz w:val="24"/>
        </w:rPr>
      </w:pPr>
      <w:bookmarkStart w:id="363" w:name="_Toc26411"/>
      <w:bookmarkStart w:id="364" w:name="_Toc13438"/>
      <w:bookmarkStart w:id="365" w:name="_Toc29188"/>
      <w:r>
        <w:rPr>
          <w:rFonts w:hint="eastAsia" w:ascii="宋体" w:hAnsi="宋体"/>
          <w:sz w:val="24"/>
        </w:rPr>
        <w:t>2</w:t>
      </w:r>
      <w:r>
        <w:rPr>
          <w:rFonts w:hint="eastAsia" w:ascii="宋体" w:hAnsi="宋体"/>
          <w:sz w:val="24"/>
          <w:lang w:val="en-US"/>
        </w:rPr>
        <w:t>8</w:t>
      </w:r>
      <w:r>
        <w:rPr>
          <w:rFonts w:hint="eastAsia" w:ascii="宋体" w:hAnsi="宋体"/>
          <w:sz w:val="24"/>
        </w:rPr>
        <w:t>.3 竣工结算书核对次数</w:t>
      </w:r>
      <w:bookmarkEnd w:id="363"/>
      <w:bookmarkEnd w:id="364"/>
      <w:bookmarkEnd w:id="365"/>
    </w:p>
    <w:p w14:paraId="74D97917">
      <w:pPr>
        <w:spacing w:line="360" w:lineRule="auto"/>
        <w:ind w:firstLine="480"/>
      </w:pPr>
      <w:r>
        <w:t>(1)</w:t>
      </w:r>
      <w:r>
        <w:rPr>
          <w:rFonts w:hint="eastAsia"/>
        </w:rPr>
        <w:t>发包人指派的竣工结算核对人为：</w:t>
      </w:r>
      <w:r>
        <w:rPr>
          <w:rFonts w:hint="eastAsia" w:cs="Times New Roman"/>
          <w:u w:val="single"/>
        </w:rPr>
        <w:t>另行通知</w:t>
      </w:r>
    </w:p>
    <w:p w14:paraId="309EA52A">
      <w:pPr>
        <w:spacing w:line="360" w:lineRule="auto"/>
        <w:ind w:firstLine="480"/>
      </w:pPr>
      <w:r>
        <w:rPr>
          <w:rFonts w:hint="eastAsia"/>
        </w:rPr>
        <w:t>核对次数为：</w:t>
      </w:r>
      <w:r>
        <w:rPr>
          <w:rFonts w:hint="eastAsia" w:cs="Times New Roman"/>
          <w:u w:val="single"/>
        </w:rPr>
        <w:t>另行通知</w:t>
      </w:r>
      <w:r>
        <w:rPr>
          <w:rFonts w:hint="eastAsia"/>
        </w:rPr>
        <w:t xml:space="preserve">。    </w:t>
      </w:r>
    </w:p>
    <w:p w14:paraId="1FB5C4A3">
      <w:pPr>
        <w:pStyle w:val="5"/>
        <w:tabs>
          <w:tab w:val="left" w:pos="540"/>
          <w:tab w:val="left" w:pos="900"/>
          <w:tab w:val="left" w:pos="2340"/>
          <w:tab w:val="left" w:pos="4032"/>
        </w:tabs>
        <w:spacing w:before="120" w:after="156" w:line="360" w:lineRule="auto"/>
        <w:ind w:left="359"/>
        <w:jc w:val="left"/>
        <w:rPr>
          <w:rFonts w:ascii="宋体" w:hAnsi="宋体"/>
          <w:sz w:val="24"/>
        </w:rPr>
      </w:pPr>
      <w:bookmarkStart w:id="366" w:name="_Toc30818"/>
      <w:bookmarkStart w:id="367" w:name="_Toc14876"/>
      <w:bookmarkStart w:id="368" w:name="_Toc23422"/>
      <w:r>
        <w:rPr>
          <w:rFonts w:hint="eastAsia" w:ascii="宋体" w:hAnsi="宋体"/>
          <w:sz w:val="24"/>
        </w:rPr>
        <w:t>2</w:t>
      </w:r>
      <w:r>
        <w:rPr>
          <w:rFonts w:hint="eastAsia" w:ascii="宋体" w:hAnsi="宋体"/>
          <w:sz w:val="24"/>
          <w:lang w:val="en-US"/>
        </w:rPr>
        <w:t>8</w:t>
      </w:r>
      <w:r>
        <w:rPr>
          <w:rFonts w:hint="eastAsia" w:ascii="宋体" w:hAnsi="宋体"/>
          <w:sz w:val="24"/>
        </w:rPr>
        <w:t>.4 承包人不提交竣工结算书</w:t>
      </w:r>
      <w:bookmarkEnd w:id="366"/>
      <w:bookmarkEnd w:id="367"/>
      <w:bookmarkEnd w:id="368"/>
    </w:p>
    <w:p w14:paraId="1A8CB441">
      <w:pPr>
        <w:spacing w:line="360" w:lineRule="auto"/>
        <w:ind w:firstLine="480"/>
      </w:pPr>
      <w:r>
        <w:rPr>
          <w:rFonts w:hint="eastAsia"/>
        </w:rPr>
        <w:t>承包人在收到监理人通知14天内仍不提交竣工结算书及结算资料的，发包人选择以下方式处理：</w:t>
      </w:r>
    </w:p>
    <w:p w14:paraId="37EA28A7">
      <w:pPr>
        <w:spacing w:line="360" w:lineRule="auto"/>
        <w:ind w:left="178" w:firstLine="480"/>
      </w:pPr>
      <w:r>
        <w:rPr>
          <w:rFonts w:ascii="Wingdings 2" w:hAnsi="Wingdings 2" w:cs="Times New Roman"/>
        </w:rPr>
        <w:sym w:font="Wingdings 2" w:char="F052"/>
      </w:r>
      <w:r>
        <w:t>(1)</w:t>
      </w:r>
      <w:r>
        <w:rPr>
          <w:rFonts w:hint="eastAsia"/>
        </w:rPr>
        <w:t>发包人根据已有资料审查、核实确定竣工结算价款；</w:t>
      </w:r>
    </w:p>
    <w:p w14:paraId="3E31970A">
      <w:pPr>
        <w:spacing w:line="360" w:lineRule="auto"/>
        <w:ind w:left="178" w:firstLine="480"/>
      </w:pPr>
      <w:r>
        <w:drawing>
          <wp:inline distT="0" distB="0" distL="114300" distR="114300">
            <wp:extent cx="152400" cy="142875"/>
            <wp:effectExtent l="0" t="0" r="0" b="952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(2)延期一天处以承包人签约合同价％的罚款，罚款金额不超过签约合同价％。</w:t>
      </w:r>
    </w:p>
    <w:p w14:paraId="5BB4C866">
      <w:pPr>
        <w:pStyle w:val="5"/>
        <w:tabs>
          <w:tab w:val="left" w:pos="540"/>
          <w:tab w:val="left" w:pos="900"/>
          <w:tab w:val="left" w:pos="2340"/>
          <w:tab w:val="left" w:pos="4032"/>
        </w:tabs>
        <w:spacing w:before="120" w:after="156" w:line="360" w:lineRule="auto"/>
        <w:ind w:left="359"/>
        <w:jc w:val="left"/>
        <w:rPr>
          <w:rFonts w:ascii="宋体" w:hAnsi="宋体"/>
          <w:sz w:val="24"/>
        </w:rPr>
      </w:pPr>
      <w:bookmarkStart w:id="369" w:name="_Toc2081"/>
      <w:bookmarkStart w:id="370" w:name="_Toc18097"/>
      <w:bookmarkStart w:id="371" w:name="_Toc20636"/>
      <w:r>
        <w:rPr>
          <w:rFonts w:hint="eastAsia" w:ascii="宋体" w:hAnsi="宋体" w:cs="Times New Roman"/>
          <w:sz w:val="24"/>
        </w:rPr>
        <w:t>2</w:t>
      </w:r>
      <w:r>
        <w:rPr>
          <w:rFonts w:hint="eastAsia" w:ascii="宋体" w:hAnsi="宋体" w:cs="Times New Roman"/>
          <w:sz w:val="24"/>
          <w:lang w:val="en-US"/>
        </w:rPr>
        <w:t>8</w:t>
      </w:r>
      <w:r>
        <w:rPr>
          <w:rFonts w:hint="eastAsia" w:ascii="宋体" w:hAnsi="宋体"/>
          <w:sz w:val="24"/>
        </w:rPr>
        <w:t>.6 竣工结算审计或审核</w:t>
      </w:r>
      <w:bookmarkEnd w:id="369"/>
      <w:bookmarkEnd w:id="370"/>
      <w:bookmarkEnd w:id="371"/>
    </w:p>
    <w:p w14:paraId="09D457CD">
      <w:pPr>
        <w:spacing w:beforeLines="50" w:line="360" w:lineRule="auto"/>
        <w:rPr>
          <w:rFonts w:eastAsia="仿宋_GB2312"/>
          <w:u w:val="single"/>
        </w:rPr>
      </w:pPr>
      <w:r>
        <w:t>(1)</w:t>
      </w:r>
      <w:r>
        <w:rPr>
          <w:rFonts w:hint="eastAsia"/>
        </w:rPr>
        <w:t>在以下情况下，发包人可启动强制结算机制，将其单方编制的结算文件送审计或审核：</w:t>
      </w:r>
      <w:r>
        <w:rPr>
          <w:rFonts w:hint="eastAsia"/>
          <w:u w:val="single"/>
        </w:rPr>
        <w:t>承包人在收到监理人通知14天内仍不提交竣工结算书及结算资料的</w:t>
      </w:r>
    </w:p>
    <w:p w14:paraId="6F3DBC34">
      <w:pPr>
        <w:spacing w:beforeLines="50" w:line="360" w:lineRule="auto"/>
        <w:ind w:firstLine="480" w:firstLineChars="200"/>
        <w:rPr>
          <w:rFonts w:eastAsia="仿宋_GB2312"/>
          <w:u w:val="single"/>
        </w:rPr>
      </w:pPr>
      <w:r>
        <w:rPr>
          <w:rFonts w:hint="eastAsia"/>
        </w:rPr>
        <w:t>(2)</w:t>
      </w:r>
      <w:r>
        <w:t>本合同</w:t>
      </w:r>
      <w:r>
        <w:rPr>
          <w:rFonts w:hint="eastAsia"/>
        </w:rPr>
        <w:t>最终的竣工结算和支付依据约定如下：（注：只能选择一种方式，在选定的方式前的“□”内打“</w:t>
      </w:r>
      <w:r>
        <w:rPr>
          <w:rFonts w:ascii="Symbol" w:hAnsi="Symbol"/>
        </w:rPr>
        <w:sym w:font="Symbol" w:char="F0D6"/>
      </w:r>
      <w:r>
        <w:rPr>
          <w:rFonts w:hint="eastAsia"/>
        </w:rPr>
        <w:t>”）</w:t>
      </w:r>
    </w:p>
    <w:p w14:paraId="036E3CCA">
      <w:pPr>
        <w:tabs>
          <w:tab w:val="left" w:pos="1620"/>
          <w:tab w:val="left" w:pos="2340"/>
        </w:tabs>
        <w:spacing w:before="156" w:after="156" w:line="360" w:lineRule="auto"/>
        <w:ind w:firstLine="480" w:firstLineChars="200"/>
      </w:pPr>
      <w:r>
        <w:rPr>
          <w:rFonts w:hint="eastAsia"/>
        </w:rPr>
        <w:t>□以</w:t>
      </w:r>
      <w:r>
        <w:t>经过</w:t>
      </w:r>
      <w:r>
        <w:rPr>
          <w:rFonts w:hint="eastAsia"/>
        </w:rPr>
        <w:t>政府指定机构审计或审核结果作为最终的竣工结算和支付依据。</w:t>
      </w:r>
    </w:p>
    <w:p w14:paraId="46E61D9F">
      <w:pPr>
        <w:tabs>
          <w:tab w:val="left" w:pos="1620"/>
          <w:tab w:val="left" w:pos="2340"/>
        </w:tabs>
        <w:spacing w:before="156" w:after="156" w:line="360" w:lineRule="auto"/>
        <w:ind w:firstLine="480" w:firstLineChars="200"/>
      </w:pPr>
      <w:r>
        <w:rPr>
          <w:rFonts w:ascii="Wingdings 2" w:hAnsi="Wingdings 2"/>
        </w:rPr>
        <w:sym w:font="Wingdings 2" w:char="F052"/>
      </w:r>
      <w:r>
        <w:rPr>
          <w:rFonts w:hint="eastAsia"/>
        </w:rPr>
        <w:t>以</w:t>
      </w:r>
      <w:r>
        <w:rPr>
          <w:rFonts w:hint="eastAsia" w:cs="Times New Roman"/>
          <w:u w:val="single"/>
        </w:rPr>
        <w:t xml:space="preserve">发包人审核结果为准，如按规定须经过政府指定机构审计或评审或审核，则以政府指定机构审计或评审或审核结果为准。否则，以发包人审核结果   </w:t>
      </w:r>
      <w:r>
        <w:rPr>
          <w:rFonts w:hint="eastAsia"/>
        </w:rPr>
        <w:t>作为最终的竣工结算和支付依据。</w:t>
      </w:r>
    </w:p>
    <w:p w14:paraId="55334A12">
      <w:pPr>
        <w:pStyle w:val="5"/>
        <w:tabs>
          <w:tab w:val="left" w:pos="540"/>
          <w:tab w:val="left" w:pos="900"/>
          <w:tab w:val="left" w:pos="2340"/>
          <w:tab w:val="left" w:pos="4032"/>
        </w:tabs>
        <w:spacing w:before="120" w:after="156" w:line="360" w:lineRule="auto"/>
        <w:ind w:left="359"/>
        <w:jc w:val="left"/>
        <w:rPr>
          <w:rFonts w:ascii="宋体" w:hAnsi="宋体"/>
          <w:sz w:val="24"/>
        </w:rPr>
      </w:pPr>
      <w:bookmarkStart w:id="372" w:name="_Toc32001"/>
      <w:bookmarkStart w:id="373" w:name="_Toc13033"/>
      <w:bookmarkStart w:id="374" w:name="_Toc15715"/>
      <w:r>
        <w:rPr>
          <w:rFonts w:hint="eastAsia" w:ascii="宋体" w:hAnsi="宋体"/>
          <w:sz w:val="24"/>
        </w:rPr>
        <w:t>2</w:t>
      </w:r>
      <w:r>
        <w:rPr>
          <w:rFonts w:hint="eastAsia" w:ascii="宋体" w:hAnsi="宋体"/>
          <w:sz w:val="24"/>
          <w:lang w:val="en-US"/>
        </w:rPr>
        <w:t>8</w:t>
      </w:r>
      <w:r>
        <w:rPr>
          <w:rFonts w:hint="eastAsia" w:ascii="宋体" w:hAnsi="宋体"/>
          <w:sz w:val="24"/>
        </w:rPr>
        <w:t>.8 最终结清申请</w:t>
      </w:r>
      <w:bookmarkEnd w:id="372"/>
      <w:bookmarkEnd w:id="373"/>
      <w:bookmarkEnd w:id="374"/>
    </w:p>
    <w:p w14:paraId="65C3922C">
      <w:pPr>
        <w:spacing w:line="360" w:lineRule="auto"/>
        <w:ind w:firstLine="480" w:firstLineChars="200"/>
        <w:rPr>
          <w:rFonts w:eastAsia="仿宋_GB2312"/>
          <w:sz w:val="30"/>
          <w:szCs w:val="32"/>
        </w:rPr>
      </w:pPr>
      <w:r>
        <w:t>(1) 承包人提交最终结清申请单的份数：</w:t>
      </w:r>
      <w:r>
        <w:rPr>
          <w:rFonts w:hint="eastAsia" w:cs="Times New Roman"/>
          <w:u w:val="single"/>
        </w:rPr>
        <w:t>8份</w:t>
      </w:r>
      <w:r>
        <w:rPr>
          <w:rFonts w:eastAsia="仿宋_GB2312"/>
          <w:sz w:val="30"/>
          <w:szCs w:val="32"/>
        </w:rPr>
        <w:t>。</w:t>
      </w:r>
    </w:p>
    <w:p w14:paraId="50BB0A47">
      <w:pPr>
        <w:spacing w:line="360" w:lineRule="auto"/>
        <w:ind w:firstLine="480" w:firstLineChars="200"/>
      </w:pPr>
      <w:r>
        <w:t>最终结清申请单</w:t>
      </w:r>
      <w:r>
        <w:rPr>
          <w:rFonts w:hint="eastAsia"/>
        </w:rPr>
        <w:t>关于</w:t>
      </w:r>
      <w:r>
        <w:t>质量保证金、应扣除的质量保证金、缺陷责任期内发生的增减费用</w:t>
      </w:r>
      <w:r>
        <w:rPr>
          <w:rFonts w:hint="eastAsia"/>
        </w:rPr>
        <w:t>的约定：</w:t>
      </w:r>
      <w:r>
        <w:rPr>
          <w:rFonts w:hint="eastAsia"/>
          <w:u w:val="single"/>
        </w:rPr>
        <w:t xml:space="preserve">  除专用合同条款另有约定外，最终结清申请单应列明质量保证金、应扣除的质量保证金、缺陷责任期内发生的增减费用。发包人对最终结清申请单内容有异议的</w:t>
      </w:r>
      <w:r>
        <w:rPr>
          <w:u w:val="single"/>
        </w:rPr>
        <w:t>，</w:t>
      </w:r>
      <w:r>
        <w:rPr>
          <w:rFonts w:hint="eastAsia"/>
          <w:u w:val="single"/>
        </w:rPr>
        <w:t>有权要求承包人进行修正和提供补充资料，但应当出具书面意见。承包人应当按照发包人的书面意见提交修正后的最终结清申请单</w:t>
      </w:r>
      <w:r>
        <w:rPr>
          <w:rFonts w:hint="eastAsia"/>
        </w:rPr>
        <w:t>。</w:t>
      </w:r>
    </w:p>
    <w:p w14:paraId="78E7A07D">
      <w:pPr>
        <w:pStyle w:val="5"/>
        <w:tabs>
          <w:tab w:val="left" w:pos="540"/>
          <w:tab w:val="left" w:pos="900"/>
          <w:tab w:val="left" w:pos="2340"/>
          <w:tab w:val="left" w:pos="4032"/>
        </w:tabs>
        <w:spacing w:before="120" w:after="156"/>
        <w:ind w:left="359"/>
        <w:jc w:val="left"/>
        <w:rPr>
          <w:rFonts w:ascii="宋体" w:hAnsi="宋体"/>
          <w:sz w:val="24"/>
        </w:rPr>
      </w:pPr>
      <w:bookmarkStart w:id="375" w:name="_Toc8123"/>
      <w:bookmarkStart w:id="376" w:name="_Toc25310"/>
      <w:bookmarkStart w:id="377" w:name="_Toc3715"/>
      <w:r>
        <w:rPr>
          <w:rFonts w:hint="eastAsia" w:ascii="宋体" w:hAnsi="宋体"/>
          <w:sz w:val="24"/>
        </w:rPr>
        <w:t>2</w:t>
      </w:r>
      <w:r>
        <w:rPr>
          <w:rFonts w:hint="eastAsia" w:ascii="宋体" w:hAnsi="宋体"/>
          <w:sz w:val="24"/>
          <w:lang w:val="en-US"/>
        </w:rPr>
        <w:t>8</w:t>
      </w:r>
      <w:r>
        <w:rPr>
          <w:rFonts w:hint="eastAsia" w:ascii="宋体" w:hAnsi="宋体"/>
          <w:sz w:val="24"/>
        </w:rPr>
        <w:t>.9 最终结清证书和支付</w:t>
      </w:r>
      <w:bookmarkEnd w:id="375"/>
      <w:bookmarkEnd w:id="376"/>
      <w:bookmarkEnd w:id="377"/>
    </w:p>
    <w:p w14:paraId="65AA9649">
      <w:pPr>
        <w:spacing w:line="360" w:lineRule="auto"/>
        <w:ind w:firstLine="480" w:firstLineChars="200"/>
        <w:rPr>
          <w:rFonts w:eastAsia="仿宋_GB2312"/>
          <w:sz w:val="30"/>
          <w:szCs w:val="32"/>
        </w:rPr>
      </w:pPr>
      <w:r>
        <w:t>（1）发包人完成最终结清申请的</w:t>
      </w:r>
      <w:r>
        <w:rPr>
          <w:rFonts w:hint="eastAsia"/>
        </w:rPr>
        <w:t>审批</w:t>
      </w:r>
      <w:r>
        <w:t>并颁发最终结清证书的期限：</w:t>
      </w:r>
      <w:r>
        <w:rPr>
          <w:rFonts w:hint="eastAsia"/>
          <w:u w:val="single"/>
        </w:rPr>
        <w:t>收到承包人提交的最终结清申请单后30日内</w:t>
      </w:r>
      <w:r>
        <w:rPr>
          <w:rFonts w:eastAsia="仿宋_GB2312"/>
          <w:sz w:val="30"/>
          <w:szCs w:val="32"/>
        </w:rPr>
        <w:t>。</w:t>
      </w:r>
    </w:p>
    <w:p w14:paraId="555F8FC7">
      <w:pPr>
        <w:spacing w:line="360" w:lineRule="auto"/>
        <w:ind w:firstLine="480" w:firstLineChars="200"/>
        <w:rPr>
          <w:rFonts w:eastAsia="仿宋_GB2312"/>
          <w:sz w:val="30"/>
          <w:szCs w:val="32"/>
        </w:rPr>
      </w:pPr>
      <w:r>
        <w:t>（2）发包人完成支付的期限：</w:t>
      </w:r>
      <w:r>
        <w:rPr>
          <w:rFonts w:hint="eastAsia"/>
          <w:u w:val="single"/>
        </w:rPr>
        <w:t>颁发最终结清证书后30日内</w:t>
      </w:r>
      <w:r>
        <w:rPr>
          <w:rFonts w:eastAsia="仿宋_GB2312"/>
          <w:sz w:val="30"/>
          <w:szCs w:val="32"/>
        </w:rPr>
        <w:t>。</w:t>
      </w:r>
    </w:p>
    <w:p w14:paraId="03B4956C">
      <w:pPr>
        <w:pStyle w:val="4"/>
        <w:keepNext w:val="0"/>
        <w:keepLines w:val="0"/>
        <w:tabs>
          <w:tab w:val="left" w:pos="540"/>
          <w:tab w:val="left" w:pos="720"/>
          <w:tab w:val="left" w:pos="1620"/>
          <w:tab w:val="left" w:pos="2340"/>
        </w:tabs>
        <w:spacing w:before="120" w:after="120"/>
        <w:ind w:left="178"/>
      </w:pPr>
      <w:bookmarkStart w:id="378" w:name="_Toc20148"/>
      <w:bookmarkStart w:id="379" w:name="_Toc13338"/>
      <w:bookmarkStart w:id="380" w:name="_Toc32358"/>
      <w:r>
        <w:rPr>
          <w:rFonts w:hint="eastAsia"/>
        </w:rPr>
        <w:t>2</w:t>
      </w:r>
      <w:r>
        <w:rPr>
          <w:rFonts w:hint="eastAsia"/>
          <w:lang w:val="en-US"/>
        </w:rPr>
        <w:t>9</w:t>
      </w:r>
      <w:r>
        <w:rPr>
          <w:rFonts w:hint="eastAsia"/>
        </w:rPr>
        <w:t xml:space="preserve"> 违约</w:t>
      </w:r>
      <w:bookmarkEnd w:id="378"/>
      <w:bookmarkEnd w:id="379"/>
      <w:bookmarkEnd w:id="380"/>
    </w:p>
    <w:p w14:paraId="5DABC179">
      <w:pPr>
        <w:pStyle w:val="5"/>
        <w:tabs>
          <w:tab w:val="left" w:pos="540"/>
          <w:tab w:val="left" w:pos="900"/>
          <w:tab w:val="left" w:pos="2340"/>
          <w:tab w:val="left" w:pos="4032"/>
        </w:tabs>
        <w:spacing w:before="120" w:after="156"/>
        <w:ind w:left="359"/>
        <w:jc w:val="left"/>
        <w:rPr>
          <w:rFonts w:ascii="宋体" w:hAnsi="宋体"/>
          <w:sz w:val="24"/>
        </w:rPr>
      </w:pPr>
      <w:bookmarkStart w:id="381" w:name="_Toc19923"/>
      <w:bookmarkStart w:id="382" w:name="_Toc27305"/>
      <w:bookmarkStart w:id="383" w:name="_Toc6773"/>
      <w:r>
        <w:rPr>
          <w:rFonts w:hint="eastAsia" w:ascii="宋体" w:hAnsi="宋体"/>
          <w:sz w:val="24"/>
        </w:rPr>
        <w:t>2</w:t>
      </w:r>
      <w:r>
        <w:rPr>
          <w:rFonts w:hint="eastAsia" w:ascii="宋体" w:hAnsi="宋体"/>
          <w:sz w:val="24"/>
          <w:lang w:val="en-US"/>
        </w:rPr>
        <w:t>9</w:t>
      </w:r>
      <w:r>
        <w:rPr>
          <w:rFonts w:hint="eastAsia" w:ascii="宋体" w:hAnsi="宋体"/>
          <w:sz w:val="24"/>
        </w:rPr>
        <w:t>.1 发包人违约</w:t>
      </w:r>
      <w:bookmarkEnd w:id="381"/>
      <w:bookmarkEnd w:id="382"/>
      <w:bookmarkEnd w:id="383"/>
    </w:p>
    <w:p w14:paraId="40A9373A">
      <w:pPr>
        <w:spacing w:line="360" w:lineRule="auto"/>
        <w:ind w:firstLine="480" w:firstLineChars="200"/>
      </w:pPr>
      <w:r>
        <w:t>发包人违约责任的承担方式和计算方法：</w:t>
      </w:r>
    </w:p>
    <w:p w14:paraId="1B1B0763">
      <w:pPr>
        <w:spacing w:line="360" w:lineRule="auto"/>
        <w:rPr>
          <w:rFonts w:eastAsia="仿宋_GB2312"/>
          <w:sz w:val="30"/>
          <w:szCs w:val="32"/>
          <w:u w:val="single"/>
        </w:rPr>
      </w:pPr>
      <w:r>
        <w:t>（1）因发包人原因未能在计划开工日期前7天内下达开工通知的违约责任：</w:t>
      </w:r>
      <w:r>
        <w:rPr>
          <w:rFonts w:hint="eastAsia" w:cs="Times New Roman"/>
          <w:u w:val="single"/>
        </w:rPr>
        <w:t>发包人延迟下达开工通知，除顺延工期外，发包人不承担任何赔偿责任</w:t>
      </w:r>
      <w:r>
        <w:rPr>
          <w:rFonts w:eastAsia="仿宋_GB2312"/>
          <w:sz w:val="30"/>
          <w:szCs w:val="32"/>
        </w:rPr>
        <w:t>。</w:t>
      </w:r>
    </w:p>
    <w:p w14:paraId="389AA8A9">
      <w:pPr>
        <w:spacing w:line="360" w:lineRule="auto"/>
        <w:rPr>
          <w:rFonts w:eastAsia="仿宋_GB2312"/>
          <w:sz w:val="30"/>
          <w:szCs w:val="32"/>
        </w:rPr>
      </w:pPr>
      <w:r>
        <w:t>（2）因发包人原因未能按合同约定支付合同价款的违约责任：</w:t>
      </w:r>
      <w:r>
        <w:rPr>
          <w:rFonts w:hint="eastAsia" w:cs="Times New Roman"/>
          <w:u w:val="single"/>
        </w:rPr>
        <w:t>发包人延误付款30天及以上的，承包人有权向发包人发出要求付款的通知</w:t>
      </w:r>
      <w:r>
        <w:rPr>
          <w:rFonts w:eastAsia="仿宋_GB2312"/>
          <w:sz w:val="30"/>
          <w:szCs w:val="32"/>
        </w:rPr>
        <w:t>。</w:t>
      </w:r>
    </w:p>
    <w:p w14:paraId="362FC3EE">
      <w:pPr>
        <w:spacing w:line="360" w:lineRule="auto"/>
        <w:rPr>
          <w:rFonts w:eastAsia="仿宋_GB2312"/>
          <w:sz w:val="30"/>
          <w:szCs w:val="32"/>
          <w:u w:val="single"/>
        </w:rPr>
      </w:pPr>
      <w:r>
        <w:t>（</w:t>
      </w:r>
      <w:r>
        <w:rPr>
          <w:rFonts w:hint="eastAsia"/>
        </w:rPr>
        <w:t>3</w:t>
      </w:r>
      <w:r>
        <w:t>）发包人提供的材料、工程设备的规格、数量或质量不符合合同约定，或因发包人原因导致交货日期延误或交货地点变更等情况的违约责任：</w:t>
      </w:r>
      <w:r>
        <w:rPr>
          <w:rFonts w:hint="eastAsia" w:cs="Times New Roman"/>
          <w:u w:val="single"/>
        </w:rPr>
        <w:t>如导致工期延误的则工期顺延，发包人应承担的违约责任仅包括赔偿承包人因此遭受的实际损失，不包括间接损失和可得利益损失  。</w:t>
      </w:r>
    </w:p>
    <w:p w14:paraId="62E951F6">
      <w:pPr>
        <w:spacing w:line="360" w:lineRule="auto"/>
        <w:rPr>
          <w:rFonts w:eastAsia="仿宋_GB2312"/>
          <w:sz w:val="30"/>
          <w:szCs w:val="32"/>
        </w:rPr>
      </w:pPr>
      <w:r>
        <w:t>（</w:t>
      </w:r>
      <w:r>
        <w:rPr>
          <w:rFonts w:hint="eastAsia"/>
        </w:rPr>
        <w:t>4</w:t>
      </w:r>
      <w:r>
        <w:t>）因发包人违反合同约定造成暂停施工的违约责任：</w:t>
      </w:r>
      <w:r>
        <w:rPr>
          <w:rFonts w:hint="eastAsia" w:cs="Times New Roman"/>
          <w:u w:val="single"/>
        </w:rPr>
        <w:t>在承包人按照合同约定及时提出顺延申请的前提下，工期予以相应顺延；本工程累计因发包人原因造成暂停施工达90天以内的（含90天），发包人不向承包人补偿任何费用或损失；若因发包人原因造成暂停施工达90天以上且未要求承包人撤场，对超过90天以上的实际产生且已支付的大型施工生产机械停滞费、脚手架使用费、现场安保费、场地租赁费，可由发包人予以补偿</w:t>
      </w:r>
      <w:r>
        <w:rPr>
          <w:rFonts w:eastAsia="仿宋_GB2312"/>
          <w:sz w:val="30"/>
          <w:szCs w:val="32"/>
        </w:rPr>
        <w:t>。</w:t>
      </w:r>
    </w:p>
    <w:p w14:paraId="67A456EC">
      <w:pPr>
        <w:spacing w:line="360" w:lineRule="auto"/>
        <w:rPr>
          <w:rFonts w:eastAsia="仿宋_GB2312"/>
          <w:sz w:val="30"/>
          <w:szCs w:val="32"/>
        </w:rPr>
      </w:pPr>
      <w:r>
        <w:t>（</w:t>
      </w:r>
      <w:r>
        <w:rPr>
          <w:rFonts w:hint="eastAsia"/>
        </w:rPr>
        <w:t>5</w:t>
      </w:r>
      <w:r>
        <w:t>）发包人无正当理由没有在约定期限内发出复工指示，导致承包人无法复工的违约责任：</w:t>
      </w:r>
      <w:r>
        <w:rPr>
          <w:rFonts w:hint="eastAsia" w:cs="Times New Roman"/>
          <w:u w:val="single"/>
        </w:rPr>
        <w:t>在承包人按照合同约定及时提出顺延申请的前提下，工期予以相应顺延；若承包人因此遭受损失的，发包人应承担的违约责任仅包括赔偿承包人因此遭受的实际损失，不包括间接损失和可得利益损失</w:t>
      </w:r>
      <w:r>
        <w:rPr>
          <w:rFonts w:eastAsia="仿宋_GB2312"/>
          <w:sz w:val="30"/>
          <w:szCs w:val="32"/>
        </w:rPr>
        <w:t>。</w:t>
      </w:r>
    </w:p>
    <w:p w14:paraId="22A0A782">
      <w:pPr>
        <w:spacing w:line="360" w:lineRule="auto"/>
        <w:rPr>
          <w:rFonts w:eastAsia="仿宋_GB2312"/>
          <w:sz w:val="30"/>
          <w:szCs w:val="32"/>
        </w:rPr>
      </w:pPr>
      <w:r>
        <w:t>（</w:t>
      </w:r>
      <w:r>
        <w:rPr>
          <w:rFonts w:hint="eastAsia"/>
        </w:rPr>
        <w:t>6</w:t>
      </w:r>
      <w:r>
        <w:t>）</w:t>
      </w:r>
      <w:r>
        <w:rPr>
          <w:rFonts w:hint="eastAsia"/>
        </w:rPr>
        <w:t>发包人明确表示或其行为表明不履行合同主要义务的违约责任：</w:t>
      </w:r>
      <w:r>
        <w:rPr>
          <w:rFonts w:hint="eastAsia" w:cs="Times New Roman"/>
          <w:u w:val="single"/>
        </w:rPr>
        <w:t>除非发包人要求解除合同，否则承包人不可单方解除合同。若承包人因此遭受损失，发包人应承担的违约责任仅包括赔偿承包人因此遭受的实际损失，不包括间接损失和可得利益损失</w:t>
      </w:r>
      <w:r>
        <w:rPr>
          <w:rFonts w:hint="eastAsia" w:eastAsia="仿宋_GB2312"/>
          <w:sz w:val="30"/>
          <w:szCs w:val="32"/>
          <w:u w:val="single"/>
        </w:rPr>
        <w:t xml:space="preserve"> 。</w:t>
      </w:r>
    </w:p>
    <w:p w14:paraId="2A52391E">
      <w:pPr>
        <w:spacing w:line="360" w:lineRule="auto"/>
        <w:rPr>
          <w:rFonts w:eastAsia="仿宋_GB2312"/>
          <w:sz w:val="30"/>
          <w:szCs w:val="32"/>
        </w:rPr>
      </w:pPr>
      <w:r>
        <w:t>（7）</w:t>
      </w:r>
      <w:r>
        <w:rPr>
          <w:rFonts w:hint="eastAsia"/>
        </w:rPr>
        <w:t>其他：</w:t>
      </w:r>
      <w:r>
        <w:rPr>
          <w:rFonts w:hint="eastAsia" w:cs="Times New Roman"/>
          <w:u w:val="single"/>
        </w:rPr>
        <w:t>发包人应承担的违约责任仅包括赔偿承包人因此遭受的实际损失，不包括间接损失和可得利益损失</w:t>
      </w:r>
      <w:r>
        <w:rPr>
          <w:rFonts w:eastAsia="仿宋_GB2312"/>
          <w:sz w:val="30"/>
          <w:szCs w:val="32"/>
        </w:rPr>
        <w:t>。</w:t>
      </w:r>
    </w:p>
    <w:p w14:paraId="44C6B89D">
      <w:pPr>
        <w:pStyle w:val="5"/>
        <w:tabs>
          <w:tab w:val="left" w:pos="540"/>
          <w:tab w:val="left" w:pos="900"/>
          <w:tab w:val="left" w:pos="2340"/>
          <w:tab w:val="left" w:pos="4032"/>
        </w:tabs>
        <w:spacing w:before="120" w:after="156"/>
        <w:ind w:left="359"/>
        <w:jc w:val="left"/>
        <w:rPr>
          <w:rFonts w:ascii="宋体" w:hAnsi="宋体"/>
          <w:sz w:val="24"/>
        </w:rPr>
      </w:pPr>
      <w:r>
        <w:rPr>
          <w:rFonts w:hint="eastAsia" w:ascii="宋体" w:hAnsi="宋体"/>
          <w:sz w:val="24"/>
        </w:rPr>
        <w:t>2</w:t>
      </w:r>
      <w:r>
        <w:rPr>
          <w:rFonts w:hint="eastAsia" w:ascii="宋体" w:hAnsi="宋体"/>
          <w:sz w:val="24"/>
          <w:lang w:val="en-US"/>
        </w:rPr>
        <w:t>9</w:t>
      </w:r>
      <w:r>
        <w:rPr>
          <w:rFonts w:hint="eastAsia" w:ascii="宋体" w:hAnsi="宋体"/>
          <w:sz w:val="24"/>
        </w:rPr>
        <w:t>.2 承包人违约</w:t>
      </w:r>
    </w:p>
    <w:p w14:paraId="4D1574D4">
      <w:pPr>
        <w:spacing w:line="360" w:lineRule="auto"/>
        <w:rPr>
          <w:rFonts w:eastAsia="仿宋_GB2312"/>
          <w:sz w:val="30"/>
          <w:szCs w:val="32"/>
        </w:rPr>
      </w:pPr>
      <w:r>
        <w:rPr>
          <w:rFonts w:hint="eastAsia"/>
        </w:rPr>
        <w:t>（1）</w:t>
      </w:r>
      <w:r>
        <w:t>承包人违反合同约定进行转包或违法分包的违约责任：</w:t>
      </w:r>
      <w:r>
        <w:rPr>
          <w:rFonts w:hint="eastAsia" w:cs="Times New Roman"/>
          <w:u w:val="single"/>
        </w:rPr>
        <w:t>发包人有权要求承包人按专用条款第6.1及6.2条约定向发包人支付违约金，违约金不足以弥补发包人经济损失的，承包人还应予以赔偿，发包人有权在支付承包人的任何款项中扣除承包人应支付的违约金、赔偿款。此外，发包人有权解除合同，并要求承包人支付违约金，承包人还需依法承担责任</w:t>
      </w:r>
      <w:r>
        <w:rPr>
          <w:rFonts w:eastAsia="仿宋_GB2312"/>
          <w:sz w:val="30"/>
          <w:szCs w:val="32"/>
        </w:rPr>
        <w:t>。</w:t>
      </w:r>
    </w:p>
    <w:p w14:paraId="28026766">
      <w:pPr>
        <w:widowControl w:val="0"/>
        <w:spacing w:line="360" w:lineRule="auto"/>
        <w:ind w:firstLine="240" w:firstLineChars="100"/>
        <w:rPr>
          <w:sz w:val="30"/>
          <w:szCs w:val="32"/>
        </w:rPr>
      </w:pPr>
      <w:r>
        <w:rPr>
          <w:rFonts w:hint="eastAsia"/>
        </w:rPr>
        <w:t>（2）</w:t>
      </w:r>
      <w:r>
        <w:t>承包人违反合同约定采购和使用不合格的材料和工程设备的违约责任：</w:t>
      </w:r>
      <w:r>
        <w:rPr>
          <w:rFonts w:hint="eastAsia" w:cs="Times New Roman"/>
          <w:u w:val="single"/>
        </w:rPr>
        <w:t>发包人有权要求承包人无条件限期整改，因此延误工期的，视为承包人违约。承包人未能在发包人要求的期限内整改完成的，发包人亦有权委托第三方负责处理并达到合同约定的质量标准，承包人承担一切费用及赔偿。同时，承包人应向发包人支付违约金。发包人亦可直接解除合同，收回本工程，并有权要求承包人支付违约金，违约金不足以弥补发包人经济损失的，承包人还应予以赔偿，发包人有权在支付承包人的任何款项中扣除承包人应支付的违约金、赔偿款。承包人采购和使用的材料、工程设备侵犯第三方合法权益的，无论工程是否竣工验收合格，承包人均应确保发包人免受第三方的索赔，因第三方索赔给发包人造成的损失由承包人承担。同时，承包人应向发包人支付违约金。</w:t>
      </w:r>
    </w:p>
    <w:p w14:paraId="7490B306">
      <w:pPr>
        <w:spacing w:line="360" w:lineRule="auto"/>
        <w:rPr>
          <w:rFonts w:eastAsia="仿宋_GB2312"/>
          <w:sz w:val="30"/>
          <w:szCs w:val="32"/>
        </w:rPr>
      </w:pPr>
      <w:r>
        <w:rPr>
          <w:rFonts w:hint="eastAsia"/>
        </w:rPr>
        <w:t>（3）</w:t>
      </w:r>
      <w:r>
        <w:t>因承包人原因导致工程质量不符合合同要求的违约责任：</w:t>
      </w:r>
      <w:r>
        <w:rPr>
          <w:rFonts w:hint="eastAsia" w:cs="Times New Roman"/>
          <w:u w:val="single"/>
        </w:rPr>
        <w:t>发包人有权要求承包人无条件限期整改，因此延误工期的，视为承包人违约。承包人未能在发包人要求的期限内整改完成的，发包人亦有权委托第三方负责处理并达到合同约定的质量标准，承包人承担一切费用及赔偿。同时，承包人应向发包人支付违约金。如工程主体结构质量不合格的，或者承包人未能在发包人要求的期限内整改完成的，发包人可直接解除合同，收回工程，并有权要求支付违约金，违约金不足以弥补发包人经济损失的，承包人还应予以赔偿。发包人有权在支付承包人的任何款项中扣除承包人应支付的违约金、赔偿款。</w:t>
      </w:r>
    </w:p>
    <w:p w14:paraId="04C3CDD0">
      <w:pPr>
        <w:widowControl w:val="0"/>
        <w:spacing w:line="360" w:lineRule="auto"/>
        <w:ind w:firstLine="240" w:firstLineChars="100"/>
        <w:rPr>
          <w:sz w:val="30"/>
          <w:szCs w:val="32"/>
        </w:rPr>
      </w:pPr>
      <w:r>
        <w:rPr>
          <w:rFonts w:hint="eastAsia"/>
        </w:rPr>
        <w:t>（4）</w:t>
      </w:r>
      <w:r>
        <w:t>承包人未经批准，私自将已按照合同约定进入施工现场的材料或设备撤离施工现场的违约责任：</w:t>
      </w:r>
      <w:r>
        <w:rPr>
          <w:rFonts w:hint="eastAsia" w:cs="Times New Roman"/>
          <w:u w:val="single"/>
        </w:rPr>
        <w:t xml:space="preserve"> 承包人应立即将已撤离的材料设备运回施工现场，如因此导致工期延误的，承包人应按本合同约定承担相应违约责任，同时发包人有权根据撤离施工现场的材料设备总价值的10%要求承包人支付违约金。发包人亦有权直接解除合同，收回工程，并有权要求支付违约金，违约金不足以弥补发包人经济损失的，承包人还应予以赔偿。发包人有权在支付承包人的任何款项中扣除承包人应支付的违约金、赔偿款   。</w:t>
      </w:r>
    </w:p>
    <w:p w14:paraId="78116A38">
      <w:pPr>
        <w:spacing w:line="360" w:lineRule="auto"/>
        <w:rPr>
          <w:rFonts w:eastAsia="仿宋_GB2312"/>
          <w:sz w:val="30"/>
          <w:szCs w:val="32"/>
        </w:rPr>
      </w:pPr>
      <w:r>
        <w:rPr>
          <w:rFonts w:hint="eastAsia"/>
        </w:rPr>
        <w:t>（5）</w:t>
      </w:r>
      <w:r>
        <w:t>承包人未能按施工进度计划及时完成合同约定的工作，造成工期延误的违约责任：</w:t>
      </w:r>
      <w:r>
        <w:rPr>
          <w:rFonts w:hint="eastAsia" w:cs="Times New Roman"/>
          <w:u w:val="single"/>
        </w:rPr>
        <w:t>延误工期的，按专用条款</w:t>
      </w:r>
      <w:r>
        <w:rPr>
          <w:rFonts w:cs="Times New Roman"/>
          <w:u w:val="single"/>
        </w:rPr>
        <w:t>13.3条约定执行。</w:t>
      </w:r>
      <w:r>
        <w:rPr>
          <w:rFonts w:hint="eastAsia" w:cs="Times New Roman"/>
          <w:u w:val="single"/>
        </w:rPr>
        <w:t>如发包人因</w:t>
      </w:r>
      <w:r>
        <w:rPr>
          <w:rFonts w:cs="Times New Roman"/>
          <w:u w:val="single"/>
        </w:rPr>
        <w:t>承包人延误工期解除合同，收回工程</w:t>
      </w:r>
      <w:r>
        <w:rPr>
          <w:rFonts w:hint="eastAsia" w:cs="Times New Roman"/>
          <w:u w:val="single"/>
        </w:rPr>
        <w:t>的</w:t>
      </w:r>
      <w:r>
        <w:rPr>
          <w:rFonts w:cs="Times New Roman"/>
          <w:u w:val="single"/>
        </w:rPr>
        <w:t>，承包人</w:t>
      </w:r>
      <w:r>
        <w:rPr>
          <w:rFonts w:hint="eastAsia" w:cs="Times New Roman"/>
          <w:u w:val="single"/>
        </w:rPr>
        <w:t>应</w:t>
      </w:r>
      <w:r>
        <w:rPr>
          <w:rFonts w:cs="Times New Roman"/>
          <w:u w:val="single"/>
        </w:rPr>
        <w:t>支付违约金，违约金不足以弥补发包人经济损失的，承包人还应予以赔偿。发包人有权在支付承包人的任何款项中扣除承包人应支付的违约金、赔偿款</w:t>
      </w:r>
      <w:r>
        <w:rPr>
          <w:rFonts w:eastAsia="仿宋_GB2312"/>
          <w:sz w:val="30"/>
          <w:szCs w:val="32"/>
        </w:rPr>
        <w:t>。</w:t>
      </w:r>
    </w:p>
    <w:p w14:paraId="63B944AE">
      <w:pPr>
        <w:spacing w:line="360" w:lineRule="auto"/>
        <w:rPr>
          <w:rFonts w:eastAsia="仿宋_GB2312"/>
          <w:sz w:val="30"/>
          <w:szCs w:val="32"/>
        </w:rPr>
      </w:pPr>
      <w:r>
        <w:rPr>
          <w:rFonts w:hint="eastAsia"/>
        </w:rPr>
        <w:t>（6）</w:t>
      </w:r>
      <w:r>
        <w:t>承包人在缺陷责任期及保修期内，未能在合理期限对工程缺陷进行修复，或拒绝按发包人要求进行修复的违约责任：</w:t>
      </w:r>
      <w:r>
        <w:rPr>
          <w:rFonts w:hint="eastAsia" w:cs="Times New Roman"/>
          <w:u w:val="single"/>
        </w:rPr>
        <w:t>对延期修复给发包人或第三人造成的全部损失进行赔偿；发包人可委托其他人员或启用第三方维保单位进行修复，发生的一切费用由承包人承担，发包人有权在向承包人支付工程款、质保金等环节直接扣除或可从履约保证金、履约保函中获得索赔，并扣除该部分价款的1~3倍作为违约金，且不再通知承包人</w:t>
      </w:r>
      <w:r>
        <w:rPr>
          <w:rFonts w:cs="Times New Roman"/>
          <w:u w:val="single"/>
        </w:rPr>
        <w:t>，相关的损害赔偿责任由承包人承担。发生三次及以上维保不力情况或不按规定进行维保，将扣除全部质保金</w:t>
      </w:r>
      <w:r>
        <w:rPr>
          <w:rFonts w:hint="eastAsia" w:eastAsia="仿宋_GB2312"/>
          <w:sz w:val="30"/>
          <w:szCs w:val="32"/>
        </w:rPr>
        <w:t>。</w:t>
      </w:r>
    </w:p>
    <w:p w14:paraId="6522BD41">
      <w:pPr>
        <w:spacing w:line="360" w:lineRule="auto"/>
        <w:rPr>
          <w:rFonts w:cs="Times New Roman"/>
          <w:u w:val="single"/>
        </w:rPr>
      </w:pPr>
      <w:r>
        <w:rPr>
          <w:rFonts w:hint="eastAsia" w:cs="Times New Roman"/>
        </w:rPr>
        <w:t>（7）承包人未按合同约定的时间提交BIM成果的违约责任：</w:t>
      </w:r>
      <w:r>
        <w:rPr>
          <w:rFonts w:hint="eastAsia" w:cs="Times New Roman"/>
          <w:u w:val="single"/>
        </w:rPr>
        <w:t>发包人有权另行委托单位完成相关工作，相关费用从合同价款中扣除，且因此延误的工期由承包人自行承担    ；</w:t>
      </w:r>
    </w:p>
    <w:p w14:paraId="5C7A0587">
      <w:pPr>
        <w:spacing w:line="360" w:lineRule="auto"/>
        <w:rPr>
          <w:rFonts w:eastAsia="仿宋_GB2312"/>
          <w:sz w:val="30"/>
          <w:szCs w:val="32"/>
        </w:rPr>
      </w:pPr>
      <w:r>
        <w:rPr>
          <w:rFonts w:hint="eastAsia" w:cs="Times New Roman"/>
        </w:rPr>
        <w:t>承包人未按合同约定的实施要求、执行标准提交BIM成果的违约责任：</w:t>
      </w:r>
      <w:r>
        <w:rPr>
          <w:rFonts w:hint="eastAsia" w:cs="Times New Roman"/>
          <w:u w:val="single"/>
        </w:rPr>
        <w:t xml:space="preserve">发包人有权另行委托单位完成相关工作，相关费用从合同价款中扣除，且因此延误的工期由承包人自行承担   </w:t>
      </w:r>
      <w:r>
        <w:rPr>
          <w:rFonts w:hint="eastAsia" w:eastAsia="仿宋_GB2312"/>
          <w:sz w:val="30"/>
          <w:szCs w:val="32"/>
        </w:rPr>
        <w:t>；</w:t>
      </w:r>
    </w:p>
    <w:p w14:paraId="0DB0050B">
      <w:pPr>
        <w:spacing w:line="360" w:lineRule="auto"/>
        <w:rPr>
          <w:rFonts w:cs="Times New Roman"/>
        </w:rPr>
      </w:pPr>
      <w:r>
        <w:rPr>
          <w:rFonts w:hint="eastAsia" w:cs="Times New Roman"/>
        </w:rPr>
        <w:t>其他情形的违约责任：</w:t>
      </w:r>
      <w:r>
        <w:rPr>
          <w:rFonts w:hint="eastAsia" w:cs="Times New Roman"/>
          <w:u w:val="single"/>
        </w:rPr>
        <w:t xml:space="preserve">   /            </w:t>
      </w:r>
      <w:r>
        <w:rPr>
          <w:rFonts w:hint="eastAsia" w:eastAsia="仿宋_GB2312"/>
          <w:sz w:val="30"/>
          <w:szCs w:val="32"/>
        </w:rPr>
        <w:t>。</w:t>
      </w:r>
    </w:p>
    <w:p w14:paraId="656109D9">
      <w:pPr>
        <w:spacing w:line="360" w:lineRule="auto"/>
        <w:rPr>
          <w:rFonts w:eastAsia="仿宋_GB2312"/>
          <w:sz w:val="30"/>
          <w:szCs w:val="32"/>
        </w:rPr>
      </w:pPr>
      <w:r>
        <w:rPr>
          <w:rFonts w:hint="eastAsia"/>
        </w:rPr>
        <w:t>（8）</w:t>
      </w:r>
      <w:r>
        <w:t>承包人明确表示或其行为表明不履行合同主要义务的违约责任：</w:t>
      </w:r>
      <w:r>
        <w:rPr>
          <w:rFonts w:hint="eastAsia" w:cs="Times New Roman"/>
          <w:u w:val="single"/>
        </w:rPr>
        <w:t>发包人有权解除合同，收回工程，且承包人应支付违约金，由此造成的损害赔偿责任由承包人承担，发包人有权在支付承包人的任何款项中扣除承包人应支付的违约金、赔偿款。给发包人造成的损失高于违约金的，发包人有权继续向承包人追偿</w:t>
      </w:r>
      <w:r>
        <w:rPr>
          <w:rFonts w:eastAsia="仿宋_GB2312"/>
          <w:sz w:val="30"/>
          <w:szCs w:val="32"/>
        </w:rPr>
        <w:t>。</w:t>
      </w:r>
    </w:p>
    <w:p w14:paraId="3F8AE027">
      <w:pPr>
        <w:widowControl w:val="0"/>
        <w:spacing w:line="360" w:lineRule="auto"/>
      </w:pPr>
      <w:r>
        <w:rPr>
          <w:rFonts w:hint="eastAsia"/>
        </w:rPr>
        <w:t>（9）其他：</w:t>
      </w:r>
    </w:p>
    <w:p w14:paraId="6990F423">
      <w:pPr>
        <w:widowControl w:val="0"/>
        <w:spacing w:line="360" w:lineRule="auto"/>
        <w:ind w:firstLine="240" w:firstLineChars="100"/>
        <w:rPr>
          <w:rFonts w:cs="Times New Roman"/>
          <w:u w:val="single"/>
        </w:rPr>
      </w:pPr>
      <w:r>
        <w:rPr>
          <w:rFonts w:hint="eastAsia" w:cs="Times New Roman"/>
          <w:u w:val="single"/>
        </w:rPr>
        <w:t>29.2.9.1承包人未按合同约定完成相关工作，除本合同另有约定外，承包人应对其违约行为按以下约定向发包人承担违约责任。</w:t>
      </w:r>
    </w:p>
    <w:p w14:paraId="1710482C">
      <w:pPr>
        <w:widowControl w:val="0"/>
        <w:spacing w:line="360" w:lineRule="auto"/>
        <w:ind w:firstLine="240" w:firstLineChars="100"/>
        <w:rPr>
          <w:rFonts w:cs="Times New Roman"/>
          <w:u w:val="single"/>
        </w:rPr>
      </w:pPr>
      <w:r>
        <w:rPr>
          <w:rFonts w:hint="eastAsia" w:cs="Times New Roman"/>
          <w:u w:val="single"/>
        </w:rPr>
        <w:t>在工程施工过程中以及保修期内，由于承包人责任出现质量问题、安全事故、劳资纠纷，或者员工意外事故、或因其他原因，受到报纸、电视等媒体的曝光或政府有关主管部门的通报批评的，或因承包人原因导致承包人员工或员工纠集的其它人员到发包人办公室、政府相关部门等示威、游行、静坐等，给本工程及发包人的形象和声誉造成损失，每次由承包人向发包人支付人民币</w:t>
      </w:r>
      <w:r>
        <w:rPr>
          <w:rFonts w:hint="eastAsia" w:cs="Times New Roman"/>
          <w:b/>
          <w:bCs/>
          <w:u w:val="single"/>
        </w:rPr>
        <w:t>50万元</w:t>
      </w:r>
      <w:r>
        <w:rPr>
          <w:rFonts w:hint="eastAsia" w:cs="Times New Roman"/>
          <w:u w:val="single"/>
        </w:rPr>
        <w:t>违约金。同时承包人必须立即无条件的采取补救措施，并承担全部费用，如发包人认为承包人不能及时有效地解决事端、或不能立即消除负面影响，发包人有权直接介入，所有相关费用由承包人承担，同时承包人应向发包人支付该相关费用的</w:t>
      </w:r>
      <w:r>
        <w:rPr>
          <w:rFonts w:hint="eastAsia" w:cs="Times New Roman"/>
          <w:b/>
          <w:bCs/>
          <w:u w:val="single"/>
        </w:rPr>
        <w:t>20%</w:t>
      </w:r>
      <w:r>
        <w:rPr>
          <w:rFonts w:hint="eastAsia" w:cs="Times New Roman"/>
          <w:u w:val="single"/>
        </w:rPr>
        <w:t>的违约金，以上费用均发包人均有权从承包人工程款中扣除，并无需得到承包人同意。</w:t>
      </w:r>
    </w:p>
    <w:p w14:paraId="6FC0366A">
      <w:pPr>
        <w:widowControl w:val="0"/>
        <w:spacing w:line="360" w:lineRule="auto"/>
        <w:ind w:firstLine="480" w:firstLineChars="200"/>
        <w:rPr>
          <w:rFonts w:cs="Times New Roman"/>
          <w:u w:val="single"/>
        </w:rPr>
      </w:pPr>
      <w:r>
        <w:rPr>
          <w:rFonts w:hint="eastAsia" w:cs="Times New Roman"/>
          <w:u w:val="single"/>
        </w:rPr>
        <w:t>29.2.9.2除本合同另有约定外，承包人有如下行为之一，或合同中约定的其它发包人有权解除合同情况，发包人有权解除合同，收回工程、要求承包人按支付违约金，违约金不足以弥补发包人经济损失的，承包人还应予以赔偿。发包人有权在支付承包人的任何款项中扣除承包人应支付的违约金、赔偿款。</w:t>
      </w:r>
    </w:p>
    <w:p w14:paraId="100354E1">
      <w:pPr>
        <w:widowControl w:val="0"/>
        <w:spacing w:line="360" w:lineRule="auto"/>
        <w:ind w:firstLine="480" w:firstLineChars="200"/>
        <w:rPr>
          <w:rFonts w:cs="Times New Roman"/>
          <w:u w:val="single"/>
        </w:rPr>
      </w:pPr>
      <w:r>
        <w:rPr>
          <w:rFonts w:hint="eastAsia" w:cs="Times New Roman"/>
        </w:rPr>
        <w:t xml:space="preserve"> (1)</w:t>
      </w:r>
      <w:r>
        <w:rPr>
          <w:rFonts w:hint="eastAsia" w:cs="Times New Roman"/>
          <w:u w:val="single"/>
        </w:rPr>
        <w:t>如承包人对合同敷衍执行，或忽视履行合同约定的实质性义务，或违反正常施工程序、施工工艺进行野蛮施工，或施工质量、安全、环保等达不到有关要求，或施工用材料设备不符合规定，承包人必须按发包人要求整改。从发包人或监理书面要求其整改之日起5日内仍无实质性改进的；</w:t>
      </w:r>
    </w:p>
    <w:p w14:paraId="10EC03B8">
      <w:pPr>
        <w:widowControl w:val="0"/>
        <w:spacing w:line="360" w:lineRule="auto"/>
        <w:ind w:firstLine="480" w:firstLineChars="200"/>
        <w:rPr>
          <w:rFonts w:cs="Times New Roman"/>
          <w:u w:val="single"/>
        </w:rPr>
      </w:pPr>
      <w:r>
        <w:rPr>
          <w:rFonts w:hint="eastAsia" w:cs="Times New Roman"/>
        </w:rPr>
        <w:t>(2)</w:t>
      </w:r>
      <w:r>
        <w:rPr>
          <w:rFonts w:hint="eastAsia" w:cs="Times New Roman"/>
          <w:u w:val="single"/>
        </w:rPr>
        <w:t>承包人未按合同约定工期完成工作的，逾期超过15日的；或承包人施工进度严重滞后，即承包人施工进度较发包人、监理批准的某项节点工期、关键线路（由承包人提交，并经发包人、监理书面确认的施工进度计划中的关键线路）要求拖后超过30日以上；</w:t>
      </w:r>
    </w:p>
    <w:p w14:paraId="131CF068">
      <w:pPr>
        <w:widowControl w:val="0"/>
        <w:spacing w:line="360" w:lineRule="auto"/>
        <w:ind w:firstLine="480" w:firstLineChars="200"/>
        <w:rPr>
          <w:rFonts w:cs="Times New Roman"/>
        </w:rPr>
      </w:pPr>
      <w:r>
        <w:rPr>
          <w:rFonts w:hint="eastAsia" w:cs="Times New Roman"/>
        </w:rPr>
        <w:t>(3)</w:t>
      </w:r>
      <w:r>
        <w:rPr>
          <w:rFonts w:hint="eastAsia" w:cs="Times New Roman"/>
          <w:u w:val="single"/>
        </w:rPr>
        <w:t xml:space="preserve">因承包人原因发生重大人员伤亡或其他安全事故或重大质量事故； </w:t>
      </w:r>
    </w:p>
    <w:p w14:paraId="5AEA4D14">
      <w:pPr>
        <w:widowControl w:val="0"/>
        <w:spacing w:line="360" w:lineRule="auto"/>
        <w:ind w:firstLine="480" w:firstLineChars="200"/>
        <w:rPr>
          <w:rFonts w:cs="Times New Roman"/>
          <w:u w:val="single"/>
        </w:rPr>
      </w:pPr>
      <w:r>
        <w:rPr>
          <w:rFonts w:hint="eastAsia" w:cs="Times New Roman"/>
        </w:rPr>
        <w:t>(4)</w:t>
      </w:r>
      <w:r>
        <w:rPr>
          <w:rFonts w:hint="eastAsia" w:cs="Times New Roman"/>
          <w:u w:val="single"/>
        </w:rPr>
        <w:t>承包人无正当理由延期开工超过7日或无正当理由全面停工超过7日；</w:t>
      </w:r>
    </w:p>
    <w:p w14:paraId="01624370">
      <w:pPr>
        <w:widowControl w:val="0"/>
        <w:spacing w:line="360" w:lineRule="auto"/>
        <w:ind w:firstLine="480" w:firstLineChars="200"/>
        <w:rPr>
          <w:rFonts w:cs="Times New Roman"/>
          <w:u w:val="single"/>
        </w:rPr>
      </w:pPr>
      <w:r>
        <w:rPr>
          <w:rFonts w:hint="eastAsia" w:cs="Times New Roman"/>
        </w:rPr>
        <w:t>(5)</w:t>
      </w:r>
      <w:r>
        <w:rPr>
          <w:rFonts w:hint="eastAsia" w:cs="Times New Roman"/>
          <w:u w:val="single"/>
        </w:rPr>
        <w:t>承包人假借他人名义或他方假借承包人名义承接本工程；</w:t>
      </w:r>
    </w:p>
    <w:p w14:paraId="635CE5BB">
      <w:pPr>
        <w:widowControl w:val="0"/>
        <w:spacing w:line="360" w:lineRule="auto"/>
        <w:ind w:firstLine="480" w:firstLineChars="200"/>
        <w:rPr>
          <w:rFonts w:cs="Times New Roman"/>
          <w:u w:val="single"/>
        </w:rPr>
      </w:pPr>
      <w:r>
        <w:rPr>
          <w:rFonts w:hint="eastAsia" w:cs="Times New Roman"/>
        </w:rPr>
        <w:t>(6)</w:t>
      </w:r>
      <w:r>
        <w:rPr>
          <w:rFonts w:hint="eastAsia" w:cs="Times New Roman"/>
          <w:u w:val="single"/>
        </w:rPr>
        <w:t>承包人将其承包的全部工程转包给他人或者肢解以后以承包人的名义分别转包给他人；</w:t>
      </w:r>
    </w:p>
    <w:p w14:paraId="3B828574">
      <w:pPr>
        <w:widowControl w:val="0"/>
        <w:spacing w:line="360" w:lineRule="auto"/>
        <w:ind w:firstLine="480" w:firstLineChars="200"/>
        <w:rPr>
          <w:rFonts w:cs="Times New Roman"/>
          <w:u w:val="single"/>
        </w:rPr>
      </w:pPr>
      <w:r>
        <w:rPr>
          <w:rFonts w:hint="eastAsia" w:cs="Times New Roman"/>
        </w:rPr>
        <w:t>(7)</w:t>
      </w:r>
      <w:r>
        <w:rPr>
          <w:rFonts w:hint="eastAsia" w:cs="Times New Roman"/>
          <w:u w:val="single"/>
        </w:rPr>
        <w:t>因承包人原因导致工程出现不可弥补的质量缺陷或对发包人造成媒体曝光等不良社会影响的，或本工程完工后经两次验收仍不合格的；</w:t>
      </w:r>
    </w:p>
    <w:p w14:paraId="7C6EAC9A">
      <w:pPr>
        <w:widowControl w:val="0"/>
        <w:spacing w:line="360" w:lineRule="auto"/>
        <w:ind w:firstLine="480" w:firstLineChars="200"/>
        <w:rPr>
          <w:rFonts w:cs="Times New Roman"/>
          <w:u w:val="single"/>
        </w:rPr>
      </w:pPr>
      <w:r>
        <w:rPr>
          <w:rFonts w:hint="eastAsia" w:cs="Times New Roman"/>
        </w:rPr>
        <w:t>(8)</w:t>
      </w:r>
      <w:r>
        <w:rPr>
          <w:rFonts w:hint="eastAsia" w:cs="Times New Roman"/>
          <w:u w:val="single"/>
        </w:rPr>
        <w:t>施工设备(数量、型号等)未能按合同约定按时到位的，经发包人或发包人代表、监理书面要求补足之日起5日内仍未到位的；</w:t>
      </w:r>
    </w:p>
    <w:p w14:paraId="08D17678">
      <w:pPr>
        <w:widowControl w:val="0"/>
        <w:spacing w:line="360" w:lineRule="auto"/>
        <w:ind w:firstLine="480" w:firstLineChars="200"/>
        <w:rPr>
          <w:rFonts w:cs="Times New Roman"/>
          <w:u w:val="single"/>
        </w:rPr>
      </w:pPr>
      <w:r>
        <w:rPr>
          <w:rFonts w:hint="eastAsia" w:cs="Times New Roman"/>
        </w:rPr>
        <w:t>(9)</w:t>
      </w:r>
      <w:r>
        <w:rPr>
          <w:rFonts w:hint="eastAsia" w:cs="Times New Roman"/>
          <w:u w:val="single"/>
        </w:rPr>
        <w:t>承包人拒绝或持续忽视遵守发包人要求拆除有缺陷的工作、运走不合格材料设备的书面通知达5日的；</w:t>
      </w:r>
    </w:p>
    <w:p w14:paraId="356494DE">
      <w:pPr>
        <w:widowControl w:val="0"/>
        <w:spacing w:line="360" w:lineRule="auto"/>
        <w:ind w:firstLine="480" w:firstLineChars="200"/>
        <w:rPr>
          <w:rFonts w:cs="Times New Roman"/>
          <w:u w:val="single"/>
        </w:rPr>
      </w:pPr>
      <w:r>
        <w:rPr>
          <w:rFonts w:hint="eastAsia" w:cs="Times New Roman"/>
        </w:rPr>
        <w:t>(10)</w:t>
      </w:r>
      <w:r>
        <w:rPr>
          <w:rFonts w:hint="eastAsia" w:cs="Times New Roman"/>
          <w:u w:val="single"/>
        </w:rPr>
        <w:t>承包人破产，无继续履行合同能力的。</w:t>
      </w:r>
    </w:p>
    <w:p w14:paraId="3C2BC9D6">
      <w:pPr>
        <w:widowControl w:val="0"/>
        <w:spacing w:line="360" w:lineRule="auto"/>
        <w:ind w:firstLine="480" w:firstLineChars="200"/>
        <w:rPr>
          <w:rFonts w:cs="Times New Roman"/>
          <w:u w:val="single"/>
        </w:rPr>
      </w:pPr>
      <w:r>
        <w:rPr>
          <w:rFonts w:hint="eastAsia" w:cs="Times New Roman"/>
        </w:rPr>
        <w:t>(11</w:t>
      </w:r>
      <w:r>
        <w:rPr>
          <w:rFonts w:hint="eastAsia" w:cs="Times New Roman"/>
          <w:u w:val="single"/>
        </w:rPr>
        <w:t>)承包人擅自更换合同约定的代表或技术负责人或施工负责人、机电负责人，经发包人要求改正之日起10日内仍未改正的；</w:t>
      </w:r>
    </w:p>
    <w:p w14:paraId="3AA31E0B">
      <w:pPr>
        <w:widowControl w:val="0"/>
        <w:spacing w:line="360" w:lineRule="auto"/>
        <w:ind w:firstLine="480" w:firstLineChars="200"/>
        <w:rPr>
          <w:rFonts w:cs="Times New Roman"/>
          <w:u w:val="single"/>
        </w:rPr>
      </w:pPr>
      <w:r>
        <w:rPr>
          <w:rFonts w:hint="eastAsia" w:cs="Times New Roman"/>
        </w:rPr>
        <w:t>（12）</w:t>
      </w:r>
      <w:r>
        <w:rPr>
          <w:rFonts w:hint="eastAsia" w:cs="Times New Roman"/>
          <w:u w:val="single"/>
        </w:rPr>
        <w:t>因承包人自身债务问题造成发包人被法院要求协助诉讼保全、协助执行（法院的法律文书形式包括但不限于协助执行通知、履行到期债务通知等协助执行函件），承包人在发包人通知后14日内不能妥善解决的；</w:t>
      </w:r>
    </w:p>
    <w:p w14:paraId="1A430918">
      <w:pPr>
        <w:widowControl w:val="0"/>
        <w:spacing w:line="360" w:lineRule="auto"/>
        <w:ind w:firstLine="480" w:firstLineChars="200"/>
        <w:rPr>
          <w:rFonts w:cs="Times New Roman"/>
          <w:u w:val="single"/>
        </w:rPr>
      </w:pPr>
      <w:r>
        <w:rPr>
          <w:rFonts w:hint="eastAsia" w:cs="Times New Roman"/>
        </w:rPr>
        <w:t>（13）</w:t>
      </w:r>
      <w:r>
        <w:rPr>
          <w:rFonts w:hint="eastAsia" w:cs="Times New Roman"/>
          <w:u w:val="single"/>
        </w:rPr>
        <w:t>承包人未履行或未按本合同约定履行其它义务，经发包人要求履行之日起十日内仍未履行或未履行至符合本合同约定的。</w:t>
      </w:r>
    </w:p>
    <w:p w14:paraId="69E7C4F0">
      <w:pPr>
        <w:widowControl w:val="0"/>
        <w:spacing w:line="360" w:lineRule="auto"/>
        <w:ind w:firstLine="480" w:firstLineChars="200"/>
        <w:rPr>
          <w:rFonts w:cs="Times New Roman"/>
          <w:u w:val="single"/>
        </w:rPr>
      </w:pPr>
      <w:r>
        <w:rPr>
          <w:rFonts w:hint="eastAsia" w:cs="Times New Roman"/>
          <w:u w:val="single"/>
        </w:rPr>
        <w:t>29.2.9.3.因承包人原因终止合同时，发包人有权决定是否接收属于承包人在现场的一切设施、设备、材料使用于本工程，并有进一步要求向承包人索赔的权利。</w:t>
      </w:r>
    </w:p>
    <w:p w14:paraId="04640E65">
      <w:pPr>
        <w:widowControl w:val="0"/>
        <w:spacing w:line="360" w:lineRule="auto"/>
        <w:ind w:firstLine="480" w:firstLineChars="200"/>
        <w:rPr>
          <w:rFonts w:cs="Times New Roman"/>
          <w:u w:val="single"/>
        </w:rPr>
      </w:pPr>
      <w:r>
        <w:rPr>
          <w:rFonts w:hint="eastAsia" w:cs="Times New Roman"/>
          <w:u w:val="single"/>
        </w:rPr>
        <w:t>29.2.9.4 无论何种原因造成合同终止或解除，承包人均应在接到发包人离场通知的10日内，无条件撤离现场，否则，每逾期一日应向发包人支付人民币10000元的违约金，并赔偿发包人的损失。对于承包人已完成的工程量，承包人应配合发包人共同确认并做好已完工程的交接工作，如承包人拒绝配合确认已完成的工程量，则对于已完工工程量，承包人同意由发包人自行确认。对于发包人自行确认的已完工工程量，承包人予以认可且不提出任何异议。</w:t>
      </w:r>
    </w:p>
    <w:p w14:paraId="3F411BA0">
      <w:pPr>
        <w:widowControl w:val="0"/>
        <w:spacing w:line="360" w:lineRule="auto"/>
        <w:ind w:firstLine="480" w:firstLineChars="200"/>
        <w:rPr>
          <w:rFonts w:cs="Times New Roman"/>
          <w:u w:val="single"/>
        </w:rPr>
      </w:pPr>
      <w:r>
        <w:rPr>
          <w:rFonts w:hint="eastAsia" w:cs="Times New Roman"/>
          <w:u w:val="single"/>
        </w:rPr>
        <w:t>29.2.9.5.承包人违约或因承包人任何其他原因造成发包人损失或发包人被追索的或承担责任的，发包人均有权拒付全部或部分工程款，有权直接从发包人应支付给承包人的任何款项中直接扣除承包人应支付发包人的违约金、赔偿金等款项。如该等款项不足以弥补发包人遭受的损失，承包人还应予以补足。</w:t>
      </w:r>
    </w:p>
    <w:p w14:paraId="09A4BB62">
      <w:pPr>
        <w:widowControl w:val="0"/>
        <w:spacing w:line="360" w:lineRule="auto"/>
        <w:ind w:firstLine="480" w:firstLineChars="200"/>
        <w:rPr>
          <w:rFonts w:cs="Times New Roman"/>
          <w:u w:val="single"/>
        </w:rPr>
      </w:pPr>
      <w:r>
        <w:rPr>
          <w:rFonts w:hint="eastAsia" w:cs="Times New Roman"/>
          <w:u w:val="single"/>
        </w:rPr>
        <w:t>29.2.9.6.承包人向发包人或工程师提出的索赔，发包人或工程师逾期未答复的，视为索赔不成立。发包人在法律规定允许的时限内，可随时向承包人提出索赔。</w:t>
      </w:r>
    </w:p>
    <w:p w14:paraId="69E51A08">
      <w:pPr>
        <w:widowControl w:val="0"/>
        <w:spacing w:line="360" w:lineRule="auto"/>
        <w:ind w:firstLine="480" w:firstLineChars="200"/>
        <w:rPr>
          <w:rFonts w:cs="Times New Roman"/>
          <w:u w:val="single"/>
        </w:rPr>
      </w:pPr>
      <w:r>
        <w:rPr>
          <w:rFonts w:hint="eastAsia" w:cs="Times New Roman"/>
          <w:u w:val="single"/>
        </w:rPr>
        <w:t>29.2.9.7.承包人不得以任何理由留置本工程，否则视为承包人违约，发包人有权按工期延误违约责任的标准追究承包人违约责任。</w:t>
      </w:r>
    </w:p>
    <w:p w14:paraId="1F4A3790">
      <w:pPr>
        <w:adjustRightInd w:val="0"/>
        <w:snapToGrid w:val="0"/>
        <w:spacing w:line="360" w:lineRule="auto"/>
        <w:ind w:firstLine="480" w:firstLineChars="200"/>
        <w:rPr>
          <w:u w:val="single"/>
        </w:rPr>
      </w:pPr>
      <w:r>
        <w:rPr>
          <w:rFonts w:hint="eastAsia" w:cs="Times New Roman"/>
          <w:u w:val="single"/>
        </w:rPr>
        <w:t>29.2.9.8.</w:t>
      </w:r>
      <w:r>
        <w:rPr>
          <w:rFonts w:hint="eastAsia"/>
          <w:u w:val="single"/>
        </w:rPr>
        <w:t>关于发包人发出合同解除通知后的估价、付款和结清：（1）承包人收到发包人解除合同通知后28天内，监理人按合同约定来商定或确定承包人实际完成工作的价值，包括发包人扣留承包人的材料、设备及临时设施和承包人已提供的设计、材料、施工设备、工程设备、临时工程等的价值。（2）发包人发出解除通知后，发包人有权暂停对承包人的一切付款，查清各项付款和已扣款金额，包括承包人应支付的违约金。（3）发包人发出解除合同通知后，发包人有权按照合同的约定向承包人索赔由于解除合同给发包人造成的损失。（4）合同双方确认合同价款后，发包人颁发最终结清付款证书，并结清全部合同款项。（5）发包人和承包人未能就解除合同后的结清达成一致而形成争议的，按合同约定的争议条款处理。</w:t>
      </w:r>
    </w:p>
    <w:p w14:paraId="55D5D967">
      <w:pPr>
        <w:adjustRightInd w:val="0"/>
        <w:snapToGrid w:val="0"/>
        <w:spacing w:line="360" w:lineRule="auto"/>
        <w:ind w:firstLine="480" w:firstLineChars="200"/>
        <w:rPr>
          <w:u w:val="single"/>
        </w:rPr>
      </w:pPr>
      <w:r>
        <w:rPr>
          <w:rFonts w:hint="eastAsia" w:cs="Times New Roman"/>
          <w:u w:val="single"/>
        </w:rPr>
        <w:t>29.2.9.9.</w:t>
      </w:r>
      <w:r>
        <w:rPr>
          <w:rFonts w:hint="eastAsia"/>
          <w:u w:val="single"/>
        </w:rPr>
        <w:t>关于协议利益的转让：因承包人违约而解除合同的，发包人有权要求承包人将其为实施合同签订的材料和设备的订货协议或任何服务协议利益转让给发包人，并在承包人收到解除合同通知后的14天内，依法办理转让手续。发包人有权使用承包人文件和由承包人或以其名义编制的其他设计文件。</w:t>
      </w:r>
    </w:p>
    <w:p w14:paraId="70DF0305">
      <w:pPr>
        <w:pStyle w:val="10"/>
      </w:pPr>
      <w:r>
        <w:rPr>
          <w:rFonts w:hint="eastAsia"/>
          <w:u w:val="single"/>
        </w:rPr>
        <w:t xml:space="preserve">以上约定也适用于因承包人其他违约行为而解除合同的情形。 </w:t>
      </w:r>
    </w:p>
    <w:p w14:paraId="1F7E74F2">
      <w:pPr>
        <w:widowControl w:val="0"/>
        <w:spacing w:line="360" w:lineRule="auto"/>
        <w:ind w:firstLine="480" w:firstLineChars="200"/>
        <w:rPr>
          <w:rFonts w:cs="Times New Roman"/>
          <w:u w:val="single"/>
        </w:rPr>
      </w:pPr>
      <w:r>
        <w:rPr>
          <w:rFonts w:hint="eastAsia" w:cs="Times New Roman"/>
          <w:u w:val="single"/>
        </w:rPr>
        <w:t xml:space="preserve">29.2.9.10.通用条款20.7（1）（4）、22.5（2）、25.3（1）（3）、27.1（5）、28.5、28.9条删除，对发包人、承包人不产生效力。    </w:t>
      </w:r>
    </w:p>
    <w:p w14:paraId="66820FC1">
      <w:pPr>
        <w:pStyle w:val="4"/>
        <w:keepNext w:val="0"/>
        <w:keepLines w:val="0"/>
        <w:tabs>
          <w:tab w:val="left" w:pos="540"/>
          <w:tab w:val="left" w:pos="720"/>
          <w:tab w:val="left" w:pos="1620"/>
          <w:tab w:val="left" w:pos="2340"/>
        </w:tabs>
        <w:spacing w:before="120" w:after="120"/>
        <w:ind w:left="178"/>
      </w:pPr>
      <w:bookmarkStart w:id="384" w:name="_Toc24057"/>
      <w:bookmarkStart w:id="385" w:name="_Toc5100"/>
      <w:bookmarkStart w:id="386" w:name="_Toc30519"/>
      <w:r>
        <w:rPr>
          <w:rFonts w:hint="eastAsia"/>
          <w:lang w:val="en-US"/>
        </w:rPr>
        <w:t>30</w:t>
      </w:r>
      <w:r>
        <w:rPr>
          <w:rFonts w:hint="eastAsia"/>
        </w:rPr>
        <w:t xml:space="preserve"> 索赔</w:t>
      </w:r>
    </w:p>
    <w:p w14:paraId="379EF769">
      <w:pPr>
        <w:pStyle w:val="5"/>
        <w:tabs>
          <w:tab w:val="left" w:pos="540"/>
          <w:tab w:val="left" w:pos="900"/>
          <w:tab w:val="left" w:pos="2340"/>
          <w:tab w:val="left" w:pos="4032"/>
        </w:tabs>
        <w:spacing w:before="120" w:after="156"/>
        <w:ind w:left="359"/>
        <w:jc w:val="left"/>
        <w:rPr>
          <w:rFonts w:ascii="宋体" w:hAnsi="宋体"/>
          <w:sz w:val="24"/>
        </w:rPr>
      </w:pPr>
      <w:r>
        <w:rPr>
          <w:rFonts w:hint="eastAsia" w:ascii="宋体" w:hAnsi="宋体"/>
          <w:sz w:val="24"/>
          <w:lang w:val="en-US"/>
        </w:rPr>
        <w:t>30</w:t>
      </w:r>
      <w:r>
        <w:rPr>
          <w:rFonts w:hint="eastAsia" w:ascii="宋体" w:hAnsi="宋体"/>
          <w:sz w:val="24"/>
        </w:rPr>
        <w:t>.3 发包人索赔情形</w:t>
      </w:r>
    </w:p>
    <w:p w14:paraId="1C09791D">
      <w:pPr>
        <w:spacing w:line="360" w:lineRule="auto"/>
        <w:ind w:firstLine="480"/>
        <w:rPr>
          <w:u w:val="single"/>
        </w:rPr>
      </w:pPr>
      <w:r>
        <w:rPr>
          <w:rFonts w:hint="eastAsia"/>
        </w:rPr>
        <w:t>(4)发包人可向承包人提出索赔的其他情形：</w:t>
      </w:r>
      <w:r>
        <w:rPr>
          <w:rFonts w:hint="eastAsia" w:cs="Times New Roman"/>
          <w:u w:val="single"/>
        </w:rPr>
        <w:t xml:space="preserve">  参见专用条款第29条     </w:t>
      </w:r>
    </w:p>
    <w:p w14:paraId="0490A1C9">
      <w:pPr>
        <w:pStyle w:val="5"/>
        <w:tabs>
          <w:tab w:val="left" w:pos="540"/>
          <w:tab w:val="left" w:pos="900"/>
          <w:tab w:val="left" w:pos="2340"/>
          <w:tab w:val="left" w:pos="4032"/>
        </w:tabs>
        <w:spacing w:before="120" w:after="156"/>
        <w:ind w:left="359"/>
        <w:jc w:val="left"/>
        <w:rPr>
          <w:rFonts w:ascii="宋体" w:hAnsi="宋体" w:cs="Times New Roman"/>
          <w:sz w:val="24"/>
        </w:rPr>
      </w:pPr>
      <w:r>
        <w:rPr>
          <w:rFonts w:hint="eastAsia" w:ascii="宋体" w:hAnsi="宋体" w:cs="Times New Roman"/>
          <w:sz w:val="24"/>
          <w:lang w:val="en-US"/>
        </w:rPr>
        <w:t>30</w:t>
      </w:r>
      <w:r>
        <w:rPr>
          <w:rFonts w:hint="eastAsia" w:ascii="宋体" w:hAnsi="宋体" w:cs="Times New Roman"/>
          <w:sz w:val="24"/>
        </w:rPr>
        <w:t>.4发包人索赔程序</w:t>
      </w:r>
    </w:p>
    <w:p w14:paraId="42B5FCE3">
      <w:pPr>
        <w:widowControl w:val="0"/>
        <w:spacing w:line="276" w:lineRule="auto"/>
        <w:ind w:firstLine="240" w:firstLineChars="100"/>
        <w:jc w:val="both"/>
        <w:rPr>
          <w:rFonts w:cs="Times New Roman"/>
          <w:u w:val="single"/>
        </w:rPr>
      </w:pPr>
      <w:r>
        <w:rPr>
          <w:rFonts w:hint="eastAsia" w:cs="Times New Roman"/>
        </w:rPr>
        <w:t>（1）项内容删除，修改为：</w:t>
      </w:r>
      <w:r>
        <w:rPr>
          <w:rFonts w:hint="eastAsia" w:cs="Times New Roman"/>
          <w:u w:val="single"/>
        </w:rPr>
        <w:t>索赔的事件发生后28天内，向承包人提出索赔意向通知。逾期不提出的，不视为放弃索赔。</w:t>
      </w:r>
    </w:p>
    <w:p w14:paraId="64FDB991">
      <w:pPr>
        <w:pStyle w:val="5"/>
        <w:tabs>
          <w:tab w:val="left" w:pos="540"/>
          <w:tab w:val="left" w:pos="900"/>
          <w:tab w:val="left" w:pos="2340"/>
          <w:tab w:val="left" w:pos="4032"/>
        </w:tabs>
        <w:spacing w:before="120" w:after="156"/>
        <w:ind w:left="359"/>
        <w:jc w:val="left"/>
        <w:rPr>
          <w:rFonts w:ascii="宋体" w:hAnsi="宋体"/>
          <w:sz w:val="24"/>
        </w:rPr>
      </w:pPr>
      <w:r>
        <w:rPr>
          <w:rFonts w:hint="eastAsia" w:ascii="宋体" w:hAnsi="宋体"/>
          <w:sz w:val="24"/>
          <w:lang w:val="en-US"/>
        </w:rPr>
        <w:t>30</w:t>
      </w:r>
      <w:r>
        <w:rPr>
          <w:rFonts w:hint="eastAsia" w:ascii="宋体" w:hAnsi="宋体"/>
          <w:sz w:val="24"/>
        </w:rPr>
        <w:t>.5 承包人索赔情形</w:t>
      </w:r>
    </w:p>
    <w:p w14:paraId="26A6F9F8">
      <w:pPr>
        <w:spacing w:line="360" w:lineRule="auto"/>
        <w:ind w:firstLine="480"/>
        <w:rPr>
          <w:u w:val="single"/>
        </w:rPr>
      </w:pPr>
      <w:r>
        <w:rPr>
          <w:rFonts w:hint="eastAsia"/>
        </w:rPr>
        <w:t>(7)承包人可向发包人提出索赔的其他情形：</w:t>
      </w:r>
      <w:r>
        <w:rPr>
          <w:rFonts w:hint="eastAsia" w:cs="Times New Roman"/>
          <w:u w:val="single"/>
        </w:rPr>
        <w:t xml:space="preserve"> 参见专用条款第29条  </w:t>
      </w:r>
    </w:p>
    <w:p w14:paraId="11B57FA2">
      <w:pPr>
        <w:pStyle w:val="5"/>
        <w:tabs>
          <w:tab w:val="left" w:pos="540"/>
          <w:tab w:val="left" w:pos="900"/>
        </w:tabs>
        <w:spacing w:before="120" w:after="156"/>
        <w:ind w:left="359"/>
        <w:jc w:val="left"/>
        <w:rPr>
          <w:rFonts w:ascii="宋体" w:hAnsi="宋体"/>
          <w:sz w:val="24"/>
          <w:szCs w:val="24"/>
        </w:rPr>
      </w:pPr>
      <w:r>
        <w:rPr>
          <w:rFonts w:hint="eastAsia" w:ascii="宋体" w:hAnsi="宋体"/>
          <w:sz w:val="24"/>
          <w:lang w:val="en-US"/>
        </w:rPr>
        <w:t>30</w:t>
      </w:r>
      <w:r>
        <w:rPr>
          <w:rFonts w:hint="eastAsia" w:ascii="宋体" w:hAnsi="宋体"/>
          <w:sz w:val="24"/>
        </w:rPr>
        <w:t>.</w:t>
      </w:r>
      <w:r>
        <w:rPr>
          <w:rFonts w:hint="eastAsia" w:ascii="宋体" w:hAnsi="宋体"/>
          <w:sz w:val="24"/>
          <w:lang w:val="en-US"/>
        </w:rPr>
        <w:t xml:space="preserve">6 </w:t>
      </w:r>
      <w:r>
        <w:rPr>
          <w:rFonts w:hint="eastAsia" w:ascii="宋体" w:hAnsi="宋体"/>
          <w:sz w:val="24"/>
          <w:szCs w:val="24"/>
        </w:rPr>
        <w:t>承包人索赔程序</w:t>
      </w:r>
    </w:p>
    <w:p w14:paraId="52905150">
      <w:pPr>
        <w:widowControl w:val="0"/>
        <w:spacing w:line="276" w:lineRule="auto"/>
        <w:ind w:firstLine="240" w:firstLineChars="100"/>
        <w:jc w:val="both"/>
        <w:rPr>
          <w:rFonts w:cs="Times New Roman"/>
        </w:rPr>
      </w:pPr>
      <w:r>
        <w:rPr>
          <w:rFonts w:hint="eastAsia" w:cs="Times New Roman"/>
        </w:rPr>
        <w:t>（4）项内容删除，修改为：</w:t>
      </w:r>
      <w:r>
        <w:rPr>
          <w:rFonts w:hint="eastAsia" w:cs="Times New Roman"/>
          <w:u w:val="single"/>
        </w:rPr>
        <w:t>监理人在收到承包人提交的索赔报告和有关资料后28天内未予答复或未对承包人作进一步要求，视为该项索赔不被认可</w:t>
      </w:r>
      <w:r>
        <w:rPr>
          <w:rFonts w:hint="eastAsia" w:cs="Times New Roman"/>
        </w:rPr>
        <w:t>。</w:t>
      </w:r>
    </w:p>
    <w:bookmarkEnd w:id="384"/>
    <w:bookmarkEnd w:id="385"/>
    <w:bookmarkEnd w:id="386"/>
    <w:p w14:paraId="25827423">
      <w:pPr>
        <w:pStyle w:val="4"/>
        <w:keepNext w:val="0"/>
        <w:keepLines w:val="0"/>
        <w:tabs>
          <w:tab w:val="left" w:pos="540"/>
          <w:tab w:val="left" w:pos="720"/>
          <w:tab w:val="left" w:pos="1620"/>
          <w:tab w:val="left" w:pos="2340"/>
        </w:tabs>
        <w:spacing w:before="120" w:after="120"/>
        <w:ind w:left="178"/>
      </w:pPr>
      <w:bookmarkStart w:id="387" w:name="_Toc8996"/>
      <w:bookmarkStart w:id="388" w:name="_Toc29963"/>
      <w:bookmarkStart w:id="389" w:name="_Toc13947"/>
      <w:r>
        <w:rPr>
          <w:rFonts w:hint="eastAsia"/>
        </w:rPr>
        <w:t>3</w:t>
      </w:r>
      <w:r>
        <w:rPr>
          <w:rFonts w:hint="eastAsia"/>
          <w:lang w:val="en-US"/>
        </w:rPr>
        <w:t>1</w:t>
      </w:r>
      <w:r>
        <w:rPr>
          <w:rFonts w:hint="eastAsia"/>
        </w:rPr>
        <w:t xml:space="preserve"> 争议解决</w:t>
      </w:r>
      <w:bookmarkEnd w:id="387"/>
      <w:bookmarkEnd w:id="388"/>
      <w:bookmarkEnd w:id="389"/>
    </w:p>
    <w:p w14:paraId="7A92A697">
      <w:pPr>
        <w:pStyle w:val="5"/>
        <w:tabs>
          <w:tab w:val="left" w:pos="540"/>
          <w:tab w:val="left" w:pos="900"/>
          <w:tab w:val="left" w:pos="2340"/>
          <w:tab w:val="left" w:pos="4032"/>
        </w:tabs>
        <w:spacing w:before="120" w:after="156"/>
        <w:ind w:left="359"/>
        <w:jc w:val="left"/>
        <w:rPr>
          <w:rFonts w:ascii="宋体" w:hAnsi="宋体"/>
          <w:sz w:val="24"/>
        </w:rPr>
      </w:pPr>
      <w:bookmarkStart w:id="390" w:name="_Toc17300"/>
      <w:bookmarkStart w:id="391" w:name="_Toc28775"/>
      <w:bookmarkStart w:id="392" w:name="_Toc23008"/>
      <w:r>
        <w:rPr>
          <w:rFonts w:hint="eastAsia" w:ascii="宋体" w:hAnsi="宋体"/>
          <w:sz w:val="24"/>
        </w:rPr>
        <w:t>3</w:t>
      </w:r>
      <w:r>
        <w:rPr>
          <w:rFonts w:hint="eastAsia" w:ascii="宋体" w:hAnsi="宋体"/>
          <w:sz w:val="24"/>
          <w:lang w:val="en-US"/>
        </w:rPr>
        <w:t>1</w:t>
      </w:r>
      <w:r>
        <w:rPr>
          <w:rFonts w:hint="eastAsia" w:ascii="宋体" w:hAnsi="宋体"/>
          <w:sz w:val="24"/>
        </w:rPr>
        <w:t>.1 争议的解决方式</w:t>
      </w:r>
      <w:bookmarkEnd w:id="390"/>
      <w:bookmarkEnd w:id="391"/>
      <w:bookmarkEnd w:id="392"/>
    </w:p>
    <w:p w14:paraId="265A3B3B">
      <w:pPr>
        <w:spacing w:line="360" w:lineRule="auto"/>
        <w:ind w:firstLine="480"/>
      </w:pPr>
      <w:r>
        <w:rPr>
          <w:rFonts w:hint="eastAsia"/>
        </w:rPr>
        <w:t>(1)发包人与承包人共同指定的调解机构为：</w:t>
      </w:r>
      <w:r>
        <w:rPr>
          <w:rFonts w:hint="eastAsia" w:cs="Times New Roman"/>
          <w:u w:val="single"/>
        </w:rPr>
        <w:t xml:space="preserve">        无    </w:t>
      </w:r>
    </w:p>
    <w:p w14:paraId="02538E8A">
      <w:pPr>
        <w:spacing w:line="360" w:lineRule="auto"/>
        <w:ind w:firstLine="480"/>
      </w:pPr>
      <w:r>
        <w:rPr>
          <w:rFonts w:hint="eastAsia"/>
        </w:rPr>
        <w:t>(2)发包人或承包人一方不愿调解或调解不成的，应采用下列方式之一解决争议(注：只能选择一种方式，在选定的方式前的“□”内打“</w:t>
      </w:r>
      <w:r>
        <w:rPr>
          <w:rFonts w:ascii="Symbol" w:hAnsi="Symbol"/>
        </w:rPr>
        <w:sym w:font="Symbol" w:char="F0D6"/>
      </w:r>
      <w:r>
        <w:rPr>
          <w:rFonts w:hint="eastAsia"/>
        </w:rPr>
        <w:t>”)：</w:t>
      </w:r>
    </w:p>
    <w:p w14:paraId="7051BE51">
      <w:pPr>
        <w:spacing w:line="360" w:lineRule="auto"/>
        <w:ind w:left="178" w:firstLine="480"/>
      </w:pPr>
      <w:r>
        <w:drawing>
          <wp:inline distT="0" distB="0" distL="114300" distR="114300">
            <wp:extent cx="152400" cy="142875"/>
            <wp:effectExtent l="0" t="0" r="0" b="952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提交深圳国际仲裁院(深圳仲裁委员会)仲裁；</w:t>
      </w:r>
    </w:p>
    <w:p w14:paraId="4A363DC2">
      <w:pPr>
        <w:spacing w:line="360" w:lineRule="auto"/>
        <w:ind w:left="178" w:firstLine="480"/>
      </w:pPr>
      <w:r>
        <w:rPr>
          <w:rFonts w:ascii="Wingdings 2" w:hAnsi="Wingdings 2"/>
        </w:rPr>
        <w:sym w:font="Wingdings 2" w:char="F052"/>
      </w:r>
      <w:r>
        <w:rPr>
          <w:rFonts w:hint="eastAsia"/>
        </w:rPr>
        <w:t>向项目所在地人民法院提起诉讼。</w:t>
      </w:r>
    </w:p>
    <w:p w14:paraId="67508BE1">
      <w:pPr>
        <w:pStyle w:val="4"/>
        <w:keepNext w:val="0"/>
        <w:keepLines w:val="0"/>
        <w:tabs>
          <w:tab w:val="left" w:pos="540"/>
          <w:tab w:val="left" w:pos="720"/>
          <w:tab w:val="left" w:pos="1620"/>
          <w:tab w:val="left" w:pos="2340"/>
        </w:tabs>
        <w:spacing w:before="120" w:after="120"/>
        <w:ind w:left="178"/>
      </w:pPr>
      <w:bookmarkStart w:id="393" w:name="_Toc5416"/>
      <w:bookmarkStart w:id="394" w:name="_Toc4074"/>
      <w:bookmarkStart w:id="395" w:name="_Toc18670"/>
      <w:r>
        <w:rPr>
          <w:rFonts w:hint="eastAsia"/>
        </w:rPr>
        <w:t>3</w:t>
      </w:r>
      <w:r>
        <w:rPr>
          <w:rFonts w:hint="eastAsia"/>
          <w:lang w:val="en-US"/>
        </w:rPr>
        <w:t>2</w:t>
      </w:r>
      <w:r>
        <w:rPr>
          <w:rFonts w:hint="eastAsia"/>
        </w:rPr>
        <w:t xml:space="preserve"> 工程质量缺陷保修</w:t>
      </w:r>
      <w:bookmarkEnd w:id="393"/>
      <w:bookmarkEnd w:id="394"/>
      <w:bookmarkEnd w:id="395"/>
    </w:p>
    <w:p w14:paraId="305A7C67">
      <w:pPr>
        <w:pStyle w:val="5"/>
        <w:tabs>
          <w:tab w:val="left" w:pos="540"/>
          <w:tab w:val="left" w:pos="900"/>
          <w:tab w:val="left" w:pos="2340"/>
          <w:tab w:val="left" w:pos="4032"/>
        </w:tabs>
        <w:spacing w:before="120" w:after="156"/>
        <w:ind w:left="359"/>
        <w:jc w:val="left"/>
        <w:rPr>
          <w:rFonts w:ascii="宋体" w:hAnsi="宋体"/>
          <w:sz w:val="24"/>
        </w:rPr>
      </w:pPr>
      <w:bookmarkStart w:id="396" w:name="_Toc23860"/>
      <w:bookmarkStart w:id="397" w:name="_Toc1906"/>
      <w:bookmarkStart w:id="398" w:name="_Toc11864"/>
      <w:r>
        <w:rPr>
          <w:rFonts w:hint="eastAsia" w:ascii="宋体" w:hAnsi="宋体"/>
          <w:sz w:val="24"/>
        </w:rPr>
        <w:t>3</w:t>
      </w:r>
      <w:r>
        <w:rPr>
          <w:rFonts w:hint="eastAsia" w:ascii="宋体" w:hAnsi="宋体"/>
          <w:sz w:val="24"/>
          <w:lang w:val="en-US"/>
        </w:rPr>
        <w:t>2</w:t>
      </w:r>
      <w:r>
        <w:rPr>
          <w:rFonts w:hint="eastAsia" w:ascii="宋体" w:hAnsi="宋体"/>
          <w:sz w:val="24"/>
        </w:rPr>
        <w:t>.2 缺陷责任期</w:t>
      </w:r>
      <w:bookmarkEnd w:id="396"/>
      <w:bookmarkEnd w:id="397"/>
      <w:bookmarkEnd w:id="398"/>
    </w:p>
    <w:p w14:paraId="3F599D38">
      <w:pPr>
        <w:spacing w:line="360" w:lineRule="auto"/>
        <w:ind w:firstLine="480"/>
      </w:pPr>
      <w:r>
        <w:rPr>
          <w:rFonts w:hint="eastAsia"/>
        </w:rPr>
        <w:t>(</w:t>
      </w:r>
      <w:r>
        <w:t>1</w:t>
      </w:r>
      <w:r>
        <w:rPr>
          <w:rFonts w:hint="eastAsia"/>
        </w:rPr>
        <w:t>)本工程缺陷责任期期限为：</w:t>
      </w:r>
      <w:r>
        <w:rPr>
          <w:u w:val="single"/>
        </w:rPr>
        <w:t xml:space="preserve"> / </w:t>
      </w:r>
      <w:r>
        <w:rPr>
          <w:rFonts w:hint="eastAsia"/>
        </w:rPr>
        <w:t>；</w:t>
      </w:r>
    </w:p>
    <w:p w14:paraId="470C464C">
      <w:pPr>
        <w:spacing w:line="360" w:lineRule="auto"/>
        <w:ind w:firstLine="480"/>
      </w:pPr>
      <w:r>
        <w:t>(4)</w:t>
      </w:r>
      <w:r>
        <w:rPr>
          <w:rFonts w:hint="eastAsia"/>
        </w:rPr>
        <w:t>承包人向发包人发出缺陷责任期届满通知的时间：</w:t>
      </w:r>
      <w:r>
        <w:rPr>
          <w:u w:val="single"/>
        </w:rPr>
        <w:t xml:space="preserve"> / </w:t>
      </w:r>
      <w:r>
        <w:rPr>
          <w:rFonts w:hint="eastAsia"/>
        </w:rPr>
        <w:t>；</w:t>
      </w:r>
    </w:p>
    <w:p w14:paraId="7F89DDFD">
      <w:pPr>
        <w:pStyle w:val="5"/>
        <w:tabs>
          <w:tab w:val="left" w:pos="540"/>
          <w:tab w:val="left" w:pos="900"/>
          <w:tab w:val="left" w:pos="2340"/>
          <w:tab w:val="left" w:pos="4032"/>
        </w:tabs>
        <w:spacing w:before="120" w:after="156"/>
        <w:ind w:left="359"/>
        <w:jc w:val="left"/>
        <w:rPr>
          <w:rFonts w:ascii="宋体" w:hAnsi="宋体"/>
          <w:sz w:val="24"/>
        </w:rPr>
      </w:pPr>
      <w:bookmarkStart w:id="399" w:name="_Toc3937"/>
      <w:bookmarkStart w:id="400" w:name="_Toc3542"/>
      <w:bookmarkStart w:id="401" w:name="_Toc6868"/>
      <w:r>
        <w:rPr>
          <w:rFonts w:ascii="宋体" w:hAnsi="宋体"/>
          <w:sz w:val="24"/>
        </w:rPr>
        <w:t>3</w:t>
      </w:r>
      <w:r>
        <w:rPr>
          <w:rFonts w:ascii="宋体" w:hAnsi="宋体"/>
          <w:sz w:val="24"/>
          <w:lang w:val="en-US"/>
        </w:rPr>
        <w:t>2</w:t>
      </w:r>
      <w:r>
        <w:rPr>
          <w:rFonts w:ascii="宋体" w:hAnsi="宋体"/>
          <w:sz w:val="24"/>
        </w:rPr>
        <w:t xml:space="preserve">.3 </w:t>
      </w:r>
      <w:r>
        <w:rPr>
          <w:rFonts w:hint="eastAsia" w:ascii="宋体" w:hAnsi="宋体"/>
          <w:sz w:val="24"/>
        </w:rPr>
        <w:t>质量保证金</w:t>
      </w:r>
      <w:bookmarkEnd w:id="399"/>
      <w:bookmarkEnd w:id="400"/>
      <w:bookmarkEnd w:id="401"/>
    </w:p>
    <w:p w14:paraId="0EFBBFDE">
      <w:pPr>
        <w:spacing w:line="360" w:lineRule="auto"/>
        <w:ind w:firstLine="480"/>
      </w:pPr>
      <w:r>
        <w:t>(1)</w:t>
      </w:r>
      <w:r>
        <w:rPr>
          <w:rFonts w:hint="eastAsia"/>
        </w:rPr>
        <w:t>本工程扣留质量保证金的约定：</w:t>
      </w:r>
      <w:r>
        <w:rPr>
          <w:u w:val="single"/>
        </w:rPr>
        <w:t xml:space="preserve"> / </w:t>
      </w:r>
      <w:r>
        <w:rPr>
          <w:rFonts w:hint="eastAsia"/>
        </w:rPr>
        <w:t>；</w:t>
      </w:r>
    </w:p>
    <w:p w14:paraId="35562FD0">
      <w:pPr>
        <w:adjustRightInd w:val="0"/>
        <w:spacing w:line="360" w:lineRule="auto"/>
        <w:ind w:firstLine="360" w:firstLineChars="150"/>
      </w:pPr>
      <w:r>
        <w:t xml:space="preserve"> (2)</w:t>
      </w:r>
      <w:r>
        <w:rPr>
          <w:rFonts w:hint="eastAsia"/>
        </w:rPr>
        <w:t>质量保证金的提供方式为：</w:t>
      </w:r>
      <w:r>
        <w:rPr>
          <w:u w:val="single"/>
        </w:rPr>
        <w:t xml:space="preserve">     /        </w:t>
      </w:r>
      <w:r>
        <w:rPr>
          <w:rFonts w:hint="eastAsia"/>
        </w:rPr>
        <w:t>；</w:t>
      </w:r>
    </w:p>
    <w:p w14:paraId="5D2528AF">
      <w:pPr>
        <w:spacing w:line="360" w:lineRule="auto"/>
        <w:ind w:firstLine="480"/>
      </w:pPr>
      <w:r>
        <w:t>(3)</w:t>
      </w:r>
      <w:r>
        <w:rPr>
          <w:rFonts w:hint="eastAsia"/>
        </w:rPr>
        <w:t>质量保证金的扣留方式为：</w:t>
      </w:r>
      <w:r>
        <w:rPr>
          <w:u w:val="single"/>
        </w:rPr>
        <w:t xml:space="preserve"> / </w:t>
      </w:r>
      <w:r>
        <w:rPr>
          <w:rFonts w:hint="eastAsia"/>
        </w:rPr>
        <w:t>；</w:t>
      </w:r>
    </w:p>
    <w:p w14:paraId="5AE0B087">
      <w:pPr>
        <w:pStyle w:val="5"/>
        <w:tabs>
          <w:tab w:val="left" w:pos="540"/>
          <w:tab w:val="left" w:pos="900"/>
          <w:tab w:val="left" w:pos="2340"/>
          <w:tab w:val="left" w:pos="4032"/>
        </w:tabs>
        <w:spacing w:before="120" w:after="156"/>
        <w:ind w:left="359"/>
        <w:jc w:val="left"/>
        <w:rPr>
          <w:rFonts w:ascii="宋体" w:hAnsi="宋体"/>
          <w:sz w:val="24"/>
        </w:rPr>
      </w:pPr>
      <w:bookmarkStart w:id="402" w:name="_Toc6502"/>
      <w:bookmarkStart w:id="403" w:name="_Toc25666"/>
      <w:bookmarkStart w:id="404" w:name="_Toc32107"/>
      <w:r>
        <w:rPr>
          <w:rFonts w:hint="eastAsia" w:ascii="宋体" w:hAnsi="宋体"/>
          <w:sz w:val="24"/>
        </w:rPr>
        <w:t>3</w:t>
      </w:r>
      <w:r>
        <w:rPr>
          <w:rFonts w:hint="eastAsia" w:ascii="宋体" w:hAnsi="宋体"/>
          <w:sz w:val="24"/>
          <w:lang w:val="en-US"/>
        </w:rPr>
        <w:t>2</w:t>
      </w:r>
      <w:r>
        <w:rPr>
          <w:rFonts w:hint="eastAsia" w:ascii="宋体" w:hAnsi="宋体"/>
          <w:sz w:val="24"/>
        </w:rPr>
        <w:t>.4 保修责任</w:t>
      </w:r>
      <w:bookmarkEnd w:id="402"/>
      <w:bookmarkEnd w:id="403"/>
      <w:bookmarkEnd w:id="404"/>
    </w:p>
    <w:p w14:paraId="55658168">
      <w:pPr>
        <w:spacing w:line="360" w:lineRule="auto"/>
        <w:ind w:firstLine="480" w:firstLineChars="200"/>
        <w:rPr>
          <w:u w:val="single"/>
        </w:rPr>
      </w:pPr>
      <w:r>
        <w:rPr>
          <w:rFonts w:hint="eastAsia"/>
        </w:rPr>
        <w:t>本工程分部分项工程保修期为：</w:t>
      </w:r>
      <w:r>
        <w:rPr>
          <w:u w:val="single"/>
        </w:rPr>
        <w:t>/</w:t>
      </w:r>
    </w:p>
    <w:p w14:paraId="60A7E421">
      <w:pPr>
        <w:pStyle w:val="5"/>
        <w:tabs>
          <w:tab w:val="left" w:pos="540"/>
          <w:tab w:val="left" w:pos="900"/>
          <w:tab w:val="left" w:pos="2340"/>
          <w:tab w:val="left" w:pos="4032"/>
        </w:tabs>
        <w:spacing w:before="120" w:after="156"/>
        <w:ind w:left="359"/>
        <w:jc w:val="left"/>
        <w:rPr>
          <w:rFonts w:ascii="宋体" w:hAnsi="宋体"/>
          <w:sz w:val="24"/>
        </w:rPr>
      </w:pPr>
      <w:bookmarkStart w:id="405" w:name="_Toc24300"/>
      <w:bookmarkStart w:id="406" w:name="_Toc31502"/>
      <w:bookmarkStart w:id="407" w:name="_Toc22005"/>
      <w:r>
        <w:rPr>
          <w:rFonts w:hint="eastAsia" w:ascii="宋体" w:hAnsi="宋体"/>
          <w:sz w:val="24"/>
        </w:rPr>
        <w:t>3</w:t>
      </w:r>
      <w:r>
        <w:rPr>
          <w:rFonts w:hint="eastAsia" w:ascii="宋体" w:hAnsi="宋体"/>
          <w:sz w:val="24"/>
          <w:lang w:val="en-US"/>
        </w:rPr>
        <w:t>2</w:t>
      </w:r>
      <w:r>
        <w:rPr>
          <w:rFonts w:hint="eastAsia" w:ascii="宋体" w:hAnsi="宋体"/>
          <w:sz w:val="24"/>
        </w:rPr>
        <w:t>.6 修复通知</w:t>
      </w:r>
      <w:bookmarkEnd w:id="405"/>
      <w:bookmarkEnd w:id="406"/>
      <w:bookmarkEnd w:id="407"/>
    </w:p>
    <w:p w14:paraId="424D8E03">
      <w:pPr>
        <w:spacing w:line="360" w:lineRule="auto"/>
        <w:ind w:firstLine="480"/>
      </w:pPr>
      <w:r>
        <w:rPr>
          <w:rFonts w:hint="eastAsia"/>
        </w:rPr>
        <w:t>承包人收到保修通知并到达工程现场的合理时间为：</w:t>
      </w:r>
      <w:r>
        <w:rPr>
          <w:u w:val="single"/>
        </w:rPr>
        <w:t>/</w:t>
      </w:r>
      <w:r>
        <w:rPr>
          <w:rFonts w:hint="eastAsia"/>
        </w:rPr>
        <w:t>；</w:t>
      </w:r>
    </w:p>
    <w:p w14:paraId="4352E3AA">
      <w:pPr>
        <w:pStyle w:val="4"/>
        <w:keepNext w:val="0"/>
        <w:keepLines w:val="0"/>
        <w:tabs>
          <w:tab w:val="left" w:pos="540"/>
          <w:tab w:val="left" w:pos="720"/>
          <w:tab w:val="left" w:pos="1620"/>
          <w:tab w:val="left" w:pos="2340"/>
        </w:tabs>
        <w:spacing w:before="120" w:after="120"/>
        <w:ind w:left="178"/>
      </w:pPr>
      <w:bookmarkStart w:id="408" w:name="_Toc22566"/>
      <w:bookmarkStart w:id="409" w:name="_Toc31058"/>
      <w:bookmarkStart w:id="410" w:name="_Toc21469"/>
      <w:r>
        <w:rPr>
          <w:rFonts w:hint="eastAsia"/>
        </w:rPr>
        <w:t>3</w:t>
      </w:r>
      <w:r>
        <w:rPr>
          <w:rFonts w:hint="eastAsia"/>
          <w:lang w:val="en-US"/>
        </w:rPr>
        <w:t>3</w:t>
      </w:r>
      <w:r>
        <w:rPr>
          <w:rFonts w:hint="eastAsia"/>
        </w:rPr>
        <w:t xml:space="preserve"> 不可抗力</w:t>
      </w:r>
      <w:bookmarkEnd w:id="408"/>
      <w:bookmarkEnd w:id="409"/>
      <w:bookmarkEnd w:id="410"/>
    </w:p>
    <w:p w14:paraId="46BFB1ED">
      <w:pPr>
        <w:pStyle w:val="5"/>
        <w:tabs>
          <w:tab w:val="left" w:pos="540"/>
          <w:tab w:val="left" w:pos="900"/>
          <w:tab w:val="left" w:pos="2340"/>
          <w:tab w:val="left" w:pos="4032"/>
        </w:tabs>
        <w:spacing w:before="120" w:after="156"/>
        <w:ind w:left="359"/>
        <w:jc w:val="left"/>
        <w:rPr>
          <w:rFonts w:ascii="宋体" w:hAnsi="宋体"/>
          <w:sz w:val="24"/>
        </w:rPr>
      </w:pPr>
      <w:bookmarkStart w:id="411" w:name="_Toc28078"/>
      <w:bookmarkStart w:id="412" w:name="_Toc26922"/>
      <w:bookmarkStart w:id="413" w:name="_Toc747"/>
      <w:r>
        <w:rPr>
          <w:rFonts w:hint="eastAsia" w:ascii="宋体" w:hAnsi="宋体"/>
          <w:sz w:val="24"/>
        </w:rPr>
        <w:t>3</w:t>
      </w:r>
      <w:r>
        <w:rPr>
          <w:rFonts w:hint="eastAsia" w:ascii="宋体" w:hAnsi="宋体"/>
          <w:sz w:val="24"/>
          <w:lang w:val="en-US"/>
        </w:rPr>
        <w:t>3</w:t>
      </w:r>
      <w:r>
        <w:rPr>
          <w:rFonts w:hint="eastAsia" w:ascii="宋体" w:hAnsi="宋体"/>
          <w:sz w:val="24"/>
        </w:rPr>
        <w:t>.1 不可抗力包括范围</w:t>
      </w:r>
      <w:bookmarkEnd w:id="411"/>
      <w:bookmarkEnd w:id="412"/>
      <w:bookmarkEnd w:id="413"/>
    </w:p>
    <w:p w14:paraId="294DBE25">
      <w:pPr>
        <w:spacing w:line="360" w:lineRule="auto"/>
        <w:ind w:firstLine="480"/>
      </w:pPr>
      <w:r>
        <w:rPr>
          <w:rFonts w:hint="eastAsia"/>
        </w:rPr>
        <w:t>发包人与承包人约定的其他不可抗力：</w:t>
      </w:r>
    </w:p>
    <w:p w14:paraId="27933826">
      <w:pPr>
        <w:spacing w:line="360" w:lineRule="auto"/>
        <w:ind w:firstLine="480"/>
      </w:pPr>
      <w:r>
        <w:rPr>
          <w:rFonts w:hint="eastAsia"/>
        </w:rPr>
        <w:t>(1)平均风力</w:t>
      </w:r>
      <w:r>
        <w:rPr>
          <w:rFonts w:hint="eastAsia"/>
          <w:u w:val="single"/>
        </w:rPr>
        <w:t xml:space="preserve">  8    </w:t>
      </w:r>
      <w:r>
        <w:rPr>
          <w:rFonts w:hint="eastAsia"/>
        </w:rPr>
        <w:t>级以上的大风(一般为8级)；</w:t>
      </w:r>
    </w:p>
    <w:p w14:paraId="2C9D0874">
      <w:pPr>
        <w:spacing w:line="360" w:lineRule="auto"/>
        <w:ind w:firstLine="480"/>
      </w:pPr>
      <w:r>
        <w:rPr>
          <w:rFonts w:hint="eastAsia"/>
        </w:rPr>
        <w:t>(2)3个小时内降雨量为</w:t>
      </w:r>
      <w:r>
        <w:rPr>
          <w:rFonts w:hint="eastAsia"/>
          <w:u w:val="single"/>
        </w:rPr>
        <w:t xml:space="preserve">   50mm     </w:t>
      </w:r>
      <w:r>
        <w:rPr>
          <w:rFonts w:hint="eastAsia"/>
        </w:rPr>
        <w:t>以上的暴雨(一般为50mm)；</w:t>
      </w:r>
    </w:p>
    <w:p w14:paraId="1B126A18">
      <w:pPr>
        <w:spacing w:line="360" w:lineRule="auto"/>
        <w:ind w:firstLine="480"/>
      </w:pPr>
      <w:r>
        <w:rPr>
          <w:rFonts w:hint="eastAsia"/>
        </w:rPr>
        <w:t>(3)</w:t>
      </w:r>
      <w:r>
        <w:rPr>
          <w:rFonts w:hint="eastAsia"/>
          <w:u w:val="single"/>
        </w:rPr>
        <w:t xml:space="preserve">   37   </w:t>
      </w:r>
      <w:r>
        <w:rPr>
          <w:rFonts w:hint="eastAsia"/>
        </w:rPr>
        <w:t>摄氏度以上的高温天气(一般为37摄氏度)；</w:t>
      </w:r>
    </w:p>
    <w:p w14:paraId="2492508F">
      <w:pPr>
        <w:spacing w:line="360" w:lineRule="auto"/>
        <w:ind w:firstLine="480"/>
      </w:pPr>
      <w:r>
        <w:rPr>
          <w:rFonts w:hint="eastAsia"/>
        </w:rPr>
        <w:t>(4)其它：</w:t>
      </w:r>
      <w:r>
        <w:rPr>
          <w:rFonts w:hint="eastAsia" w:cs="Times New Roman"/>
          <w:u w:val="single"/>
        </w:rPr>
        <w:t xml:space="preserve">以上数据以深圳市气象局发布的工程所在区气象数据为准 </w:t>
      </w:r>
    </w:p>
    <w:p w14:paraId="2374068E">
      <w:pPr>
        <w:pStyle w:val="4"/>
        <w:keepNext w:val="0"/>
        <w:keepLines w:val="0"/>
        <w:tabs>
          <w:tab w:val="left" w:pos="540"/>
          <w:tab w:val="left" w:pos="720"/>
          <w:tab w:val="left" w:pos="1620"/>
          <w:tab w:val="left" w:pos="2340"/>
        </w:tabs>
        <w:spacing w:before="120" w:after="120"/>
        <w:ind w:left="178"/>
      </w:pPr>
      <w:bookmarkStart w:id="414" w:name="_Toc28878"/>
      <w:bookmarkStart w:id="415" w:name="_Toc22283"/>
      <w:bookmarkStart w:id="416" w:name="_Toc1298"/>
      <w:r>
        <w:rPr>
          <w:rFonts w:hint="eastAsia"/>
        </w:rPr>
        <w:t>3</w:t>
      </w:r>
      <w:r>
        <w:rPr>
          <w:rFonts w:hint="eastAsia"/>
          <w:lang w:val="en-US"/>
        </w:rPr>
        <w:t>4</w:t>
      </w:r>
      <w:r>
        <w:rPr>
          <w:rFonts w:hint="eastAsia"/>
        </w:rPr>
        <w:t xml:space="preserve"> 工程保险</w:t>
      </w:r>
      <w:bookmarkEnd w:id="414"/>
      <w:bookmarkEnd w:id="415"/>
      <w:bookmarkEnd w:id="416"/>
    </w:p>
    <w:p w14:paraId="4404F391">
      <w:pPr>
        <w:pStyle w:val="5"/>
        <w:tabs>
          <w:tab w:val="left" w:pos="540"/>
          <w:tab w:val="left" w:pos="900"/>
          <w:tab w:val="left" w:pos="2340"/>
          <w:tab w:val="left" w:pos="4032"/>
        </w:tabs>
        <w:spacing w:before="120" w:after="156"/>
        <w:ind w:left="359"/>
        <w:jc w:val="left"/>
        <w:rPr>
          <w:rFonts w:ascii="宋体" w:hAnsi="宋体"/>
          <w:sz w:val="24"/>
        </w:rPr>
      </w:pPr>
      <w:bookmarkStart w:id="417" w:name="_Toc23468"/>
      <w:bookmarkStart w:id="418" w:name="_Toc2033"/>
      <w:bookmarkStart w:id="419" w:name="_Toc13198"/>
      <w:r>
        <w:rPr>
          <w:rFonts w:hint="eastAsia" w:ascii="宋体" w:hAnsi="宋体"/>
          <w:sz w:val="24"/>
        </w:rPr>
        <w:t>3</w:t>
      </w:r>
      <w:r>
        <w:rPr>
          <w:rFonts w:hint="eastAsia" w:ascii="宋体" w:hAnsi="宋体"/>
          <w:sz w:val="24"/>
          <w:lang w:val="en-US"/>
        </w:rPr>
        <w:t>4</w:t>
      </w:r>
      <w:r>
        <w:rPr>
          <w:rFonts w:hint="eastAsia" w:ascii="宋体" w:hAnsi="宋体"/>
          <w:sz w:val="24"/>
        </w:rPr>
        <w:t>.1 发包人办理的保险</w:t>
      </w:r>
      <w:bookmarkEnd w:id="417"/>
      <w:bookmarkEnd w:id="418"/>
      <w:bookmarkEnd w:id="419"/>
    </w:p>
    <w:p w14:paraId="4CEE8B36">
      <w:pPr>
        <w:spacing w:line="360" w:lineRule="auto"/>
        <w:ind w:firstLine="420"/>
        <w:rPr>
          <w:rFonts w:cs="Times New Roman"/>
          <w:u w:val="single"/>
        </w:rPr>
      </w:pPr>
      <w:r>
        <w:rPr>
          <w:rFonts w:hint="eastAsia"/>
        </w:rPr>
        <w:t>发包人委托承包人办理的保险事项的约定：</w:t>
      </w:r>
      <w:r>
        <w:rPr>
          <w:rFonts w:hint="eastAsia"/>
          <w:u w:val="single"/>
        </w:rPr>
        <w:t xml:space="preserve">  建</w:t>
      </w:r>
      <w:r>
        <w:rPr>
          <w:rFonts w:hint="eastAsia"/>
          <w:kern w:val="2"/>
          <w:szCs w:val="22"/>
          <w:u w:val="single"/>
        </w:rPr>
        <w:t>筑工程一切险，第三者责任险、安全生产责任险、安装工程一切险。</w:t>
      </w:r>
      <w:r>
        <w:rPr>
          <w:rFonts w:hint="eastAsia" w:cs="Times New Roman"/>
          <w:u w:val="single"/>
        </w:rPr>
        <w:t>相关保险由承包人办理，相关费用已包含在签约合同价中，发包人不再另行支付。承包人应在开工前办理完毕并将有关保险合同报发包人及政府相关部门备案。如由于承包人原因未及时办理保险，由此造成的损失由承包人承担。如承包人未办理保险，发包人有权从承包人的工程款中扣除工程保险费用，但不免除承包人的赔偿责任。</w:t>
      </w:r>
    </w:p>
    <w:p w14:paraId="4A22B59E">
      <w:pPr>
        <w:spacing w:line="360" w:lineRule="auto"/>
        <w:ind w:firstLine="420"/>
      </w:pPr>
      <w:r>
        <w:rPr>
          <w:rFonts w:hint="eastAsia" w:cs="Times New Roman"/>
          <w:u w:val="single"/>
        </w:rPr>
        <w:t>若因非承包人原因出现工程尚未完工但保险已过期的情况，承包人应主动续保，因此增加的保险费用由发包人承担。若因承包人原因出现工程尚未完工但保险已过期的情况，承包人应主动续保，因此增加的保险费用由承包人承担。若承包人不主动续保，因保险过期各类损失无法得到保险赔偿，由此造成损失由承包人自行承担。</w:t>
      </w:r>
    </w:p>
    <w:p w14:paraId="54C39A14">
      <w:pPr>
        <w:spacing w:line="360" w:lineRule="auto"/>
        <w:ind w:firstLine="480"/>
        <w:rPr>
          <w:rFonts w:cs="Times New Roman"/>
          <w:u w:val="single"/>
        </w:rPr>
      </w:pPr>
      <w:r>
        <w:rPr>
          <w:rFonts w:hint="eastAsia" w:cs="Times New Roman"/>
          <w:u w:val="single"/>
        </w:rPr>
        <w:t xml:space="preserve">无论什么原因，若承保工程一旦出险，承包人必须第一时间向监理人、发包人、承保人报告，对出险现场具有及时抢险、防止风险扩大和临时看管义务，对监理人、发包人负有配合义务，对于涉及发包人的权利的损害，承包人有义务协助发包人做好向保险公司的索赔工作，若承包人原因造成保险不能索赔或索赔额不足，则由承包人负责赔偿因此造成的一切损失。 </w:t>
      </w:r>
    </w:p>
    <w:p w14:paraId="03B3C7AC">
      <w:pPr>
        <w:spacing w:line="360" w:lineRule="auto"/>
        <w:ind w:firstLine="480"/>
        <w:rPr>
          <w:u w:val="single"/>
        </w:rPr>
      </w:pPr>
      <w:r>
        <w:rPr>
          <w:rFonts w:hint="eastAsia"/>
        </w:rPr>
        <w:t>本工程发包人委托承包人办理的保险事项：</w:t>
      </w:r>
    </w:p>
    <w:p w14:paraId="2781F600">
      <w:pPr>
        <w:spacing w:line="360" w:lineRule="auto"/>
      </w:pPr>
      <w:r>
        <w:rPr>
          <w:rFonts w:hint="eastAsia"/>
        </w:rPr>
        <w:t xml:space="preserve">    ☑建筑工程一切险；</w:t>
      </w:r>
    </w:p>
    <w:p w14:paraId="0A7164B0">
      <w:pPr>
        <w:spacing w:line="360" w:lineRule="auto"/>
        <w:ind w:firstLine="480"/>
      </w:pPr>
      <w:r>
        <w:rPr>
          <w:rFonts w:hint="eastAsia"/>
        </w:rPr>
        <w:t>该项保险保险费：☑已包含在投标报价(签约合同价)中，结算时不予调整；</w:t>
      </w:r>
    </w:p>
    <w:p w14:paraId="747E0C12">
      <w:pPr>
        <w:spacing w:line="360" w:lineRule="auto"/>
        <w:ind w:firstLine="2400"/>
      </w:pPr>
      <w:r>
        <w:drawing>
          <wp:inline distT="0" distB="0" distL="114300" distR="114300">
            <wp:extent cx="152400" cy="1428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未包含在投标报价(签约合同价)中，由发包人另行支付；</w:t>
      </w:r>
    </w:p>
    <w:p w14:paraId="6F0086B5">
      <w:pPr>
        <w:spacing w:line="360" w:lineRule="auto"/>
      </w:pPr>
      <w:r>
        <w:rPr>
          <w:rFonts w:hint="eastAsia"/>
        </w:rPr>
        <w:t xml:space="preserve">     ☑安装工程一切险；</w:t>
      </w:r>
    </w:p>
    <w:p w14:paraId="6FBE5238">
      <w:pPr>
        <w:spacing w:line="360" w:lineRule="auto"/>
        <w:ind w:firstLine="480"/>
      </w:pPr>
      <w:r>
        <w:rPr>
          <w:rFonts w:hint="eastAsia"/>
        </w:rPr>
        <w:t>该项保险保险费：</w:t>
      </w:r>
      <w:r>
        <w:rPr>
          <w:rFonts w:ascii="Wingdings 2" w:hAnsi="Wingdings 2"/>
        </w:rPr>
        <w:sym w:font="Wingdings 2" w:char="F052"/>
      </w:r>
      <w:r>
        <w:rPr>
          <w:rFonts w:hint="eastAsia"/>
        </w:rPr>
        <w:t>已包含在投标报价中(签约合同价)，结算时不予调整；</w:t>
      </w:r>
    </w:p>
    <w:p w14:paraId="18D02C95">
      <w:pPr>
        <w:spacing w:line="360" w:lineRule="auto"/>
        <w:ind w:firstLine="2400"/>
      </w:pPr>
      <w:r>
        <w:drawing>
          <wp:inline distT="0" distB="0" distL="114300" distR="114300">
            <wp:extent cx="152400" cy="142875"/>
            <wp:effectExtent l="0" t="0" r="0" b="9525"/>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未包含在投标报价中(签约合同价)，由发包人另行支付；</w:t>
      </w:r>
    </w:p>
    <w:p w14:paraId="57D29D82">
      <w:pPr>
        <w:spacing w:line="360" w:lineRule="auto"/>
      </w:pPr>
      <w:r>
        <w:rPr>
          <w:rFonts w:hint="eastAsia"/>
        </w:rPr>
        <w:t xml:space="preserve">     ☑第三者责任险；</w:t>
      </w:r>
    </w:p>
    <w:p w14:paraId="01D480AA">
      <w:pPr>
        <w:spacing w:line="360" w:lineRule="auto"/>
        <w:ind w:firstLine="480"/>
      </w:pPr>
      <w:r>
        <w:rPr>
          <w:rFonts w:hint="eastAsia"/>
        </w:rPr>
        <w:t>该项保险保险费：☑已包含在投标报价中(签约合同价)，结算时不予调整；</w:t>
      </w:r>
    </w:p>
    <w:p w14:paraId="308854D2">
      <w:pPr>
        <w:spacing w:line="360" w:lineRule="auto"/>
        <w:ind w:firstLine="2400"/>
      </w:pPr>
      <w:r>
        <w:drawing>
          <wp:inline distT="0" distB="0" distL="114300" distR="114300">
            <wp:extent cx="152400" cy="142875"/>
            <wp:effectExtent l="0" t="0" r="0" b="9525"/>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rPr>
        <w:t>未包含在投标报价中(签约合同价)，由发包人另行支付；</w:t>
      </w:r>
    </w:p>
    <w:p w14:paraId="7B71848D">
      <w:pPr>
        <w:spacing w:line="360" w:lineRule="auto"/>
        <w:ind w:left="420" w:firstLine="210" w:firstLineChars="100"/>
      </w:pPr>
      <w:r>
        <w:rPr>
          <w:rFonts w:hint="eastAsia" w:ascii="MS Mincho" w:hAnsi="MS Mincho" w:cs="MS Mincho"/>
          <w:kern w:val="2"/>
          <w:sz w:val="21"/>
          <w:szCs w:val="21"/>
        </w:rPr>
        <w:t>☑</w:t>
      </w:r>
      <w:r>
        <w:rPr>
          <w:rFonts w:hint="eastAsia"/>
        </w:rPr>
        <w:t>安全生产责任险；</w:t>
      </w:r>
    </w:p>
    <w:p w14:paraId="7BD507CB">
      <w:pPr>
        <w:widowControl w:val="0"/>
        <w:spacing w:line="360" w:lineRule="auto"/>
        <w:ind w:firstLine="480"/>
        <w:jc w:val="both"/>
        <w:rPr>
          <w:rFonts w:cs="Times New Roman"/>
          <w:kern w:val="2"/>
        </w:rPr>
      </w:pPr>
      <w:r>
        <w:rPr>
          <w:rFonts w:hint="eastAsia"/>
        </w:rPr>
        <w:t>该项保险保险费：</w:t>
      </w:r>
      <w:r>
        <w:rPr>
          <w:rFonts w:ascii="Wingdings 2" w:hAnsi="Wingdings 2" w:cs="Times New Roman"/>
          <w:kern w:val="2"/>
        </w:rPr>
        <w:sym w:font="Wingdings 2" w:char="F052"/>
      </w:r>
      <w:r>
        <w:rPr>
          <w:rFonts w:hint="eastAsia" w:cs="Times New Roman"/>
          <w:kern w:val="2"/>
        </w:rPr>
        <w:t>已包含在投标报价中(签约合同价)，结算时不予调整；</w:t>
      </w:r>
    </w:p>
    <w:p w14:paraId="15C33B99">
      <w:pPr>
        <w:ind w:firstLine="480"/>
      </w:pPr>
      <w:r>
        <w:drawing>
          <wp:inline distT="0" distB="0" distL="114300" distR="114300">
            <wp:extent cx="152400" cy="142875"/>
            <wp:effectExtent l="0" t="0" r="0" b="9525"/>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10"/>
                    <a:stretch>
                      <a:fillRect/>
                    </a:stretch>
                  </pic:blipFill>
                  <pic:spPr>
                    <a:xfrm>
                      <a:off x="0" y="0"/>
                      <a:ext cx="152400" cy="142875"/>
                    </a:xfrm>
                    <a:prstGeom prst="rect">
                      <a:avLst/>
                    </a:prstGeom>
                    <a:noFill/>
                    <a:ln>
                      <a:noFill/>
                    </a:ln>
                  </pic:spPr>
                </pic:pic>
              </a:graphicData>
            </a:graphic>
          </wp:inline>
        </w:drawing>
      </w:r>
      <w:r>
        <w:rPr>
          <w:rFonts w:hint="eastAsia" w:cs="Times New Roman"/>
          <w:kern w:val="2"/>
        </w:rPr>
        <w:t>未包含在投标报价中(签约合同价)，由发包人另行支付；</w:t>
      </w:r>
    </w:p>
    <w:p w14:paraId="1C9690F5">
      <w:pPr>
        <w:widowControl w:val="0"/>
        <w:spacing w:line="360" w:lineRule="auto"/>
        <w:ind w:firstLine="480"/>
        <w:jc w:val="both"/>
        <w:rPr>
          <w:szCs w:val="22"/>
          <w:u w:val="single"/>
        </w:rPr>
      </w:pPr>
      <w:r>
        <w:rPr>
          <w:rFonts w:hint="eastAsia"/>
        </w:rPr>
        <w:t xml:space="preserve"> ☑其他：</w:t>
      </w:r>
      <w:r>
        <w:rPr>
          <w:rFonts w:hint="eastAsia" w:cs="Times New Roman"/>
          <w:u w:val="single"/>
        </w:rPr>
        <w:t>（1）承包人为施工场地内的自有人员生命财产及进场的材料和工程设备等办理保险，承包人办理保险的设备包括一切为本工程而使用之各项设备。（2）承包人必须为从事危险作业的职工办理意外伤害（伤亡）保险。承包人按施工安全规范和采取预防事故的措施，确保施工安全和第三者安全，承包人负责所有参与施工人员的人身意外保险。（3）承包人必须办理安全生产责任险及其他一切政府规定的保险。（4）因承包人原因延长保险期限而增加的保险费用由承包人承担。</w:t>
      </w:r>
    </w:p>
    <w:p w14:paraId="0CACDEFD">
      <w:pPr>
        <w:spacing w:line="360" w:lineRule="auto"/>
        <w:ind w:firstLine="480"/>
        <w:rPr>
          <w:rFonts w:cs="Times New Roman"/>
          <w:u w:val="single"/>
        </w:rPr>
      </w:pPr>
      <w:r>
        <w:rPr>
          <w:rFonts w:hint="eastAsia" w:cs="Times New Roman"/>
          <w:u w:val="single"/>
        </w:rPr>
        <w:t>（5）承包人须在签订合同之日起30日内，按照合同规定事项办理完毕保险事宜，否则视为承包人违约，除扣合同价款0.1%的违约金外，还应承担未投保原因引起的一切赔偿责任。凡施工中发生的一切安全事故、员工意外事故、自杀等伤亡事件，均由承包人负责承担所发生事故损失赔偿费、抚恤费和其他法律责任，发包人不承担因上述事故导致的任何责任，如承包人不及时处理，发包人有权直接从安全文明施工等银行保函或押金、未付的工程款中直接扣除并支付受害人（包括受害人亲属等）主张的全部款项，此款项由承包人全部承担且对发包人的支付不得有异议，发包人若是从应付的工程款中扣款，扣除的部分承包人仍应向发包人提供增值税专用发票；承包人办理投保后，必须向发包人提供保单原件及保单副本（或复印件加盖承包人公章）。所有的保险费用均包含在投标报价中。</w:t>
      </w:r>
    </w:p>
    <w:p w14:paraId="45C3C6EF">
      <w:pPr>
        <w:pStyle w:val="4"/>
        <w:keepNext w:val="0"/>
        <w:keepLines w:val="0"/>
        <w:tabs>
          <w:tab w:val="left" w:pos="540"/>
          <w:tab w:val="left" w:pos="720"/>
          <w:tab w:val="left" w:pos="1620"/>
          <w:tab w:val="left" w:pos="2340"/>
        </w:tabs>
        <w:spacing w:before="120" w:after="120"/>
        <w:ind w:left="178"/>
      </w:pPr>
      <w:bookmarkStart w:id="420" w:name="_Toc21245"/>
      <w:bookmarkStart w:id="421" w:name="_Toc27218"/>
      <w:bookmarkStart w:id="422" w:name="_Toc20670"/>
      <w:r>
        <w:rPr>
          <w:rFonts w:hint="eastAsia"/>
        </w:rPr>
        <w:t>3</w:t>
      </w:r>
      <w:r>
        <w:rPr>
          <w:rFonts w:hint="eastAsia"/>
          <w:lang w:val="en-US"/>
        </w:rPr>
        <w:t>5</w:t>
      </w:r>
      <w:r>
        <w:rPr>
          <w:rFonts w:hint="eastAsia"/>
        </w:rPr>
        <w:t xml:space="preserve"> 工程担保</w:t>
      </w:r>
      <w:bookmarkEnd w:id="420"/>
      <w:bookmarkEnd w:id="421"/>
      <w:bookmarkEnd w:id="422"/>
    </w:p>
    <w:p w14:paraId="18D1EF98">
      <w:pPr>
        <w:pStyle w:val="5"/>
        <w:tabs>
          <w:tab w:val="left" w:pos="540"/>
          <w:tab w:val="left" w:pos="900"/>
          <w:tab w:val="left" w:pos="2340"/>
          <w:tab w:val="left" w:pos="4032"/>
        </w:tabs>
        <w:spacing w:before="120" w:after="156"/>
        <w:ind w:left="359"/>
        <w:jc w:val="left"/>
        <w:rPr>
          <w:rFonts w:ascii="宋体" w:hAnsi="宋体"/>
          <w:sz w:val="24"/>
        </w:rPr>
      </w:pPr>
      <w:bookmarkStart w:id="423" w:name="_Toc11586"/>
      <w:bookmarkStart w:id="424" w:name="_Toc13623"/>
      <w:bookmarkStart w:id="425" w:name="_Toc18268"/>
      <w:r>
        <w:rPr>
          <w:rFonts w:hint="eastAsia" w:ascii="宋体" w:hAnsi="宋体"/>
          <w:sz w:val="24"/>
        </w:rPr>
        <w:t>3</w:t>
      </w:r>
      <w:r>
        <w:rPr>
          <w:rFonts w:hint="eastAsia" w:ascii="宋体" w:hAnsi="宋体"/>
          <w:sz w:val="24"/>
          <w:lang w:val="en-US"/>
        </w:rPr>
        <w:t>5</w:t>
      </w:r>
      <w:r>
        <w:rPr>
          <w:rFonts w:hint="eastAsia" w:ascii="宋体" w:hAnsi="宋体"/>
          <w:sz w:val="24"/>
        </w:rPr>
        <w:t>.1 履约担保</w:t>
      </w:r>
      <w:bookmarkEnd w:id="423"/>
      <w:bookmarkEnd w:id="424"/>
      <w:bookmarkEnd w:id="425"/>
    </w:p>
    <w:p w14:paraId="74D6293F">
      <w:pPr>
        <w:spacing w:line="360" w:lineRule="auto"/>
        <w:ind w:firstLine="420"/>
        <w:rPr>
          <w:rFonts w:cs="Times New Roman"/>
          <w:u w:val="single"/>
        </w:rPr>
      </w:pPr>
      <w:r>
        <w:rPr>
          <w:rFonts w:hint="eastAsia"/>
        </w:rPr>
        <w:t>(1)本工程履约担保应采用</w:t>
      </w:r>
      <w:r>
        <w:rPr>
          <w:rFonts w:hint="eastAsia" w:ascii="MS Mincho" w:hAnsi="MS Mincho" w:eastAsia="MS Mincho" w:cs="MS Mincho"/>
          <w:u w:val="single"/>
        </w:rPr>
        <w:t>☑</w:t>
      </w:r>
      <w:r>
        <w:rPr>
          <w:u w:val="single"/>
        </w:rPr>
        <w:t>银行保函</w:t>
      </w:r>
      <w:r>
        <w:rPr>
          <w:rFonts w:hint="eastAsia" w:ascii="MS Mincho" w:hAnsi="MS Mincho" w:eastAsia="MS Mincho" w:cs="MS Mincho"/>
          <w:u w:val="single"/>
        </w:rPr>
        <w:t>☑</w:t>
      </w:r>
      <w:r>
        <w:rPr>
          <w:u w:val="single"/>
        </w:rPr>
        <w:t>保证保险</w:t>
      </w:r>
      <w:r>
        <w:rPr>
          <w:rFonts w:hint="eastAsia" w:ascii="MS Mincho" w:hAnsi="MS Mincho" w:eastAsia="MS Mincho" w:cs="MS Mincho"/>
          <w:u w:val="single"/>
        </w:rPr>
        <w:t>☑</w:t>
      </w:r>
      <w:r>
        <w:rPr>
          <w:u w:val="single"/>
        </w:rPr>
        <w:t>专业工程担保公司担保</w:t>
      </w:r>
      <w:r>
        <w:rPr>
          <w:rFonts w:hint="eastAsia"/>
        </w:rPr>
        <w:t>的形式，</w:t>
      </w:r>
      <w:r>
        <w:rPr>
          <w:rFonts w:hint="eastAsia" w:cs="Times New Roman"/>
        </w:rPr>
        <w:t>承包人应提供无条件、不可撤销、见索即付的银行保函或已登记备案的担保公司保函，</w:t>
      </w:r>
      <w:r>
        <w:rPr>
          <w:rFonts w:hint="eastAsia"/>
        </w:rPr>
        <w:t>金额为：</w:t>
      </w:r>
      <w:r>
        <w:rPr>
          <w:rFonts w:hint="eastAsia" w:cs="Times New Roman"/>
          <w:u w:val="single"/>
        </w:rPr>
        <w:t>中标价的10%  履约保函须在第一笔付款（含预付款）前提交。</w:t>
      </w:r>
    </w:p>
    <w:p w14:paraId="6983FD1B">
      <w:pPr>
        <w:spacing w:line="360" w:lineRule="auto"/>
        <w:ind w:firstLine="420"/>
        <w:rPr>
          <w:rFonts w:cs="Times New Roman"/>
          <w:u w:val="single"/>
        </w:rPr>
      </w:pPr>
      <w:r>
        <w:rPr>
          <w:rFonts w:hint="eastAsia" w:cs="Times New Roman"/>
          <w:u w:val="single"/>
        </w:rPr>
        <w:t>双方约定的承包人关于担保的其他事项如下：</w:t>
      </w:r>
    </w:p>
    <w:p w14:paraId="562B655F">
      <w:pPr>
        <w:spacing w:line="360" w:lineRule="auto"/>
        <w:ind w:firstLine="420"/>
        <w:rPr>
          <w:rFonts w:cs="Times New Roman"/>
          <w:u w:val="single"/>
        </w:rPr>
      </w:pPr>
      <w:r>
        <w:rPr>
          <w:rFonts w:hint="eastAsia" w:cs="Times New Roman"/>
          <w:u w:val="single"/>
        </w:rPr>
        <w:t>①履约保函中须明确的担保责任范围：</w:t>
      </w:r>
    </w:p>
    <w:p w14:paraId="775A6817">
      <w:pPr>
        <w:spacing w:line="360" w:lineRule="auto"/>
        <w:ind w:firstLine="420"/>
        <w:rPr>
          <w:rFonts w:cs="Times New Roman"/>
          <w:u w:val="single"/>
        </w:rPr>
      </w:pPr>
      <w:r>
        <w:rPr>
          <w:rFonts w:hint="eastAsia" w:cs="Times New Roman"/>
          <w:u w:val="single"/>
        </w:rPr>
        <w:t>1）因承包人违约，承包人依约应承担的违约金；</w:t>
      </w:r>
    </w:p>
    <w:p w14:paraId="5CA99E43">
      <w:pPr>
        <w:spacing w:line="360" w:lineRule="auto"/>
        <w:ind w:firstLine="420"/>
        <w:rPr>
          <w:rFonts w:cs="Times New Roman"/>
          <w:u w:val="single"/>
        </w:rPr>
      </w:pPr>
      <w:r>
        <w:rPr>
          <w:rFonts w:hint="eastAsia" w:cs="Times New Roman"/>
          <w:u w:val="single"/>
        </w:rPr>
        <w:t>2）因承包人违约给发包人造成的经济损失；</w:t>
      </w:r>
    </w:p>
    <w:p w14:paraId="34F4772B">
      <w:pPr>
        <w:spacing w:line="360" w:lineRule="auto"/>
        <w:ind w:firstLine="420"/>
        <w:rPr>
          <w:rFonts w:cs="Times New Roman"/>
          <w:u w:val="single"/>
        </w:rPr>
      </w:pPr>
      <w:r>
        <w:rPr>
          <w:rFonts w:hint="eastAsia" w:cs="Times New Roman"/>
          <w:u w:val="single"/>
        </w:rPr>
        <w:t>3）因发包人向承包人主张权利发生的费用。</w:t>
      </w:r>
    </w:p>
    <w:p w14:paraId="2A3C3BBA">
      <w:pPr>
        <w:spacing w:line="360" w:lineRule="auto"/>
        <w:ind w:firstLine="420"/>
        <w:rPr>
          <w:rFonts w:cs="Times New Roman"/>
          <w:u w:val="single"/>
        </w:rPr>
      </w:pPr>
      <w:r>
        <w:rPr>
          <w:rFonts w:hint="eastAsia" w:cs="Times New Roman"/>
          <w:u w:val="single"/>
        </w:rPr>
        <w:t>②合同履行过程中发生承包人违约情形的，承包人依约应承担的违约金，发包人有权从履约担保中获得赔偿。如承包人提交的履约担保因违约被扣除后担保余额不足50%的，承包人应当及时补足或重新提交履约保函，承包人不按要求补足或重新提交履约保函的，发包人有权在应付进度款中直接扣除合同签约价款的10%作为履约担保并适用本合同履约担保条款。</w:t>
      </w:r>
    </w:p>
    <w:p w14:paraId="483813C7">
      <w:pPr>
        <w:spacing w:line="360" w:lineRule="auto"/>
        <w:ind w:firstLine="420"/>
        <w:rPr>
          <w:rFonts w:cs="Times New Roman"/>
          <w:u w:val="single"/>
        </w:rPr>
      </w:pPr>
      <w:r>
        <w:rPr>
          <w:rFonts w:hint="eastAsia" w:cs="Times New Roman"/>
          <w:u w:val="single"/>
        </w:rPr>
        <w:t>③履约保函中另须明确：</w:t>
      </w:r>
    </w:p>
    <w:p w14:paraId="3AB3F094">
      <w:pPr>
        <w:spacing w:line="360" w:lineRule="auto"/>
        <w:ind w:firstLine="420"/>
        <w:rPr>
          <w:rFonts w:cs="Times New Roman"/>
          <w:u w:val="single"/>
        </w:rPr>
      </w:pPr>
      <w:r>
        <w:rPr>
          <w:rFonts w:hint="eastAsia" w:cs="Times New Roman"/>
          <w:u w:val="single"/>
        </w:rPr>
        <w:t>1）在担保期间，发生承包人违约情形，担保单位在收到发包人以书面形式提出的在担保金额内的支付要求后7 天内无条件支付，无需发包人提出证据证明其要求。</w:t>
      </w:r>
    </w:p>
    <w:p w14:paraId="7AE05C98">
      <w:pPr>
        <w:spacing w:line="360" w:lineRule="auto"/>
        <w:ind w:firstLine="420"/>
        <w:rPr>
          <w:rFonts w:cs="Times New Roman"/>
          <w:u w:val="single"/>
        </w:rPr>
      </w:pPr>
      <w:r>
        <w:rPr>
          <w:rFonts w:hint="eastAsia" w:cs="Times New Roman"/>
          <w:u w:val="single"/>
        </w:rPr>
        <w:t>2）履约保函适用于本项目《建设工程施工合同》及其他因合同项下工程而签订的补充协议。</w:t>
      </w:r>
    </w:p>
    <w:p w14:paraId="4E63ADA7">
      <w:pPr>
        <w:spacing w:line="360" w:lineRule="auto"/>
        <w:ind w:firstLine="420"/>
        <w:rPr>
          <w:rFonts w:cs="Times New Roman"/>
          <w:u w:val="single"/>
        </w:rPr>
      </w:pPr>
      <w:r>
        <w:rPr>
          <w:rFonts w:hint="eastAsia" w:cs="Times New Roman"/>
          <w:u w:val="single"/>
        </w:rPr>
        <w:t>④承包人应确保农民工工资的及时支付，如不及时支付，视作违约，将在履约担保中扣除相关费用。</w:t>
      </w:r>
    </w:p>
    <w:p w14:paraId="78EEBDB0">
      <w:pPr>
        <w:spacing w:line="360" w:lineRule="auto"/>
        <w:ind w:firstLine="420"/>
        <w:rPr>
          <w:rFonts w:cs="Times New Roman"/>
          <w:u w:val="single"/>
        </w:rPr>
      </w:pPr>
      <w:r>
        <w:rPr>
          <w:rFonts w:hint="eastAsia" w:cs="Times New Roman"/>
          <w:u w:val="single"/>
        </w:rPr>
        <w:t>⑤当承包人未按合同约定履行义务，造成质量低下、进度迟缓、管理混乱或将中标项目转让(转包给他人)，发包人有权单方解除合同，没收履约保证金，如给发包人造成的损失超过保证金数额的还应当对超过部份予以赔偿，并依法承担相应的法律责任。</w:t>
      </w:r>
    </w:p>
    <w:p w14:paraId="298D8856">
      <w:pPr>
        <w:spacing w:line="360" w:lineRule="auto"/>
        <w:ind w:firstLine="420"/>
        <w:rPr>
          <w:rFonts w:cs="Times New Roman"/>
          <w:u w:val="single"/>
        </w:rPr>
      </w:pPr>
      <w:r>
        <w:rPr>
          <w:rFonts w:hint="eastAsia" w:cs="Times New Roman"/>
          <w:u w:val="single"/>
        </w:rPr>
        <w:t>⑥承包人拒绝提交完整工程档案资料的，发包人有权扣除全部履约担保。</w:t>
      </w:r>
    </w:p>
    <w:p w14:paraId="31968D63">
      <w:pPr>
        <w:spacing w:line="360" w:lineRule="auto"/>
        <w:ind w:firstLine="420"/>
        <w:rPr>
          <w:rFonts w:cs="Times New Roman"/>
          <w:u w:val="single"/>
        </w:rPr>
      </w:pPr>
      <w:r>
        <w:rPr>
          <w:rFonts w:hint="eastAsia" w:cs="Times New Roman"/>
          <w:u w:val="single"/>
        </w:rPr>
        <w:t>⑦履约保函或预付款保函：须由银行开具或担保公司开具，如由担保公司开具，担保公司必须符合如下条件：</w:t>
      </w:r>
    </w:p>
    <w:p w14:paraId="51BAB0E3">
      <w:pPr>
        <w:spacing w:line="360" w:lineRule="auto"/>
        <w:ind w:firstLine="420"/>
        <w:rPr>
          <w:rFonts w:cs="Times New Roman"/>
          <w:u w:val="single"/>
        </w:rPr>
      </w:pPr>
      <w:r>
        <w:rPr>
          <w:rFonts w:hint="eastAsia" w:cs="Times New Roman"/>
          <w:u w:val="single"/>
        </w:rPr>
        <w:t>1）最近一个完整纳税年度纳税总额超1亿元（提供纳税证明）；</w:t>
      </w:r>
    </w:p>
    <w:p w14:paraId="0A2E9FDA">
      <w:pPr>
        <w:spacing w:line="360" w:lineRule="auto"/>
        <w:ind w:firstLine="420"/>
        <w:rPr>
          <w:rFonts w:cs="Times New Roman"/>
          <w:u w:val="single"/>
        </w:rPr>
      </w:pPr>
      <w:r>
        <w:rPr>
          <w:rFonts w:hint="eastAsia" w:cs="Times New Roman"/>
          <w:u w:val="single"/>
        </w:rPr>
        <w:t>2）担保公司与银行签订的有效保函授信合同金额500亿元以上。</w:t>
      </w:r>
    </w:p>
    <w:p w14:paraId="24C3B67C">
      <w:pPr>
        <w:spacing w:line="360" w:lineRule="auto"/>
        <w:ind w:firstLine="420"/>
        <w:rPr>
          <w:rFonts w:cs="Times New Roman"/>
          <w:u w:val="single"/>
        </w:rPr>
      </w:pPr>
      <w:r>
        <w:rPr>
          <w:rFonts w:hint="eastAsia" w:cs="Times New Roman"/>
          <w:u w:val="single"/>
        </w:rPr>
        <w:t>⑧不管因何原因造成工期延误，乙方必须主动办理履约保函的延期手续，否则甲方有权不予支付后续款项。</w:t>
      </w:r>
    </w:p>
    <w:p w14:paraId="70C9A335">
      <w:pPr>
        <w:pStyle w:val="5"/>
        <w:tabs>
          <w:tab w:val="left" w:pos="540"/>
          <w:tab w:val="left" w:pos="900"/>
          <w:tab w:val="left" w:pos="2340"/>
          <w:tab w:val="left" w:pos="4032"/>
        </w:tabs>
        <w:spacing w:before="120" w:after="156"/>
        <w:ind w:left="359"/>
        <w:jc w:val="left"/>
        <w:rPr>
          <w:rFonts w:ascii="宋体" w:hAnsi="宋体"/>
          <w:sz w:val="24"/>
        </w:rPr>
      </w:pPr>
      <w:bookmarkStart w:id="426" w:name="_Toc3118"/>
      <w:bookmarkStart w:id="427" w:name="_Toc14391"/>
      <w:bookmarkStart w:id="428" w:name="_Toc16873"/>
      <w:r>
        <w:rPr>
          <w:rFonts w:hint="eastAsia" w:ascii="宋体" w:hAnsi="宋体"/>
          <w:sz w:val="24"/>
        </w:rPr>
        <w:t>3</w:t>
      </w:r>
      <w:r>
        <w:rPr>
          <w:rFonts w:hint="eastAsia" w:ascii="宋体" w:hAnsi="宋体"/>
          <w:sz w:val="24"/>
          <w:lang w:val="en-US"/>
        </w:rPr>
        <w:t>5</w:t>
      </w:r>
      <w:r>
        <w:rPr>
          <w:rFonts w:hint="eastAsia" w:ascii="宋体" w:hAnsi="宋体"/>
          <w:sz w:val="24"/>
        </w:rPr>
        <w:t>.2 支付担保</w:t>
      </w:r>
      <w:bookmarkEnd w:id="426"/>
      <w:bookmarkEnd w:id="427"/>
      <w:bookmarkEnd w:id="428"/>
    </w:p>
    <w:p w14:paraId="042D744F">
      <w:pPr>
        <w:pStyle w:val="4"/>
        <w:keepNext w:val="0"/>
        <w:keepLines w:val="0"/>
        <w:tabs>
          <w:tab w:val="left" w:pos="540"/>
          <w:tab w:val="left" w:pos="720"/>
          <w:tab w:val="left" w:pos="1620"/>
          <w:tab w:val="left" w:pos="2340"/>
        </w:tabs>
        <w:spacing w:before="120" w:after="120"/>
        <w:ind w:left="178" w:firstLine="240" w:firstLineChars="100"/>
        <w:rPr>
          <w:rFonts w:hint="eastAsia" w:ascii="宋体" w:hAnsi="宋体" w:eastAsia="宋体" w:cs="Times New Roman"/>
          <w:b w:val="0"/>
          <w:bCs w:val="0"/>
          <w:snapToGrid/>
          <w:sz w:val="24"/>
          <w:szCs w:val="24"/>
          <w:u w:val="single"/>
          <w:lang w:val="en-US" w:eastAsia="zh-CN" w:bidi="ar-SA"/>
        </w:rPr>
      </w:pPr>
      <w:bookmarkStart w:id="429" w:name="_Toc22655"/>
      <w:bookmarkStart w:id="430" w:name="_Toc9392"/>
      <w:bookmarkStart w:id="431" w:name="_Toc9453"/>
      <w:r>
        <w:rPr>
          <w:rFonts w:hint="eastAsia" w:ascii="宋体" w:hAnsi="宋体" w:eastAsia="宋体" w:cs="Times New Roman"/>
          <w:b w:val="0"/>
          <w:bCs w:val="0"/>
          <w:snapToGrid/>
          <w:sz w:val="24"/>
          <w:szCs w:val="24"/>
          <w:u w:val="single"/>
          <w:lang w:val="en-US" w:eastAsia="zh-CN" w:bidi="ar-SA"/>
        </w:rPr>
        <w:t>本工程不提供支付担保</w:t>
      </w:r>
    </w:p>
    <w:p w14:paraId="019A5321">
      <w:pPr>
        <w:pStyle w:val="4"/>
        <w:keepNext w:val="0"/>
        <w:keepLines w:val="0"/>
        <w:tabs>
          <w:tab w:val="left" w:pos="540"/>
          <w:tab w:val="left" w:pos="720"/>
          <w:tab w:val="left" w:pos="1620"/>
          <w:tab w:val="left" w:pos="2340"/>
        </w:tabs>
        <w:spacing w:before="120" w:after="120"/>
        <w:ind w:left="178"/>
      </w:pPr>
      <w:r>
        <w:rPr>
          <w:rFonts w:hint="eastAsia"/>
        </w:rPr>
        <w:t>3</w:t>
      </w:r>
      <w:r>
        <w:rPr>
          <w:rFonts w:hint="eastAsia"/>
          <w:lang w:val="en-US"/>
        </w:rPr>
        <w:t>7</w:t>
      </w:r>
      <w:r>
        <w:rPr>
          <w:rFonts w:hint="eastAsia"/>
        </w:rPr>
        <w:t xml:space="preserve"> 合同份数</w:t>
      </w:r>
      <w:bookmarkEnd w:id="429"/>
      <w:bookmarkEnd w:id="430"/>
      <w:bookmarkEnd w:id="431"/>
    </w:p>
    <w:p w14:paraId="3E4CDBCC">
      <w:pPr>
        <w:pStyle w:val="5"/>
        <w:tabs>
          <w:tab w:val="left" w:pos="540"/>
          <w:tab w:val="left" w:pos="900"/>
          <w:tab w:val="left" w:pos="2340"/>
          <w:tab w:val="left" w:pos="4032"/>
        </w:tabs>
        <w:spacing w:before="120" w:after="156"/>
        <w:ind w:left="359"/>
        <w:jc w:val="left"/>
        <w:rPr>
          <w:rFonts w:ascii="宋体" w:hAnsi="宋体"/>
          <w:sz w:val="24"/>
        </w:rPr>
      </w:pPr>
      <w:bookmarkStart w:id="432" w:name="_Toc25962"/>
      <w:bookmarkStart w:id="433" w:name="_Toc30311"/>
      <w:bookmarkStart w:id="434" w:name="_Toc4169"/>
      <w:r>
        <w:rPr>
          <w:rFonts w:hint="eastAsia" w:ascii="宋体" w:hAnsi="宋体"/>
          <w:sz w:val="24"/>
        </w:rPr>
        <w:t>3</w:t>
      </w:r>
      <w:r>
        <w:rPr>
          <w:rFonts w:hint="eastAsia" w:ascii="宋体" w:hAnsi="宋体"/>
          <w:sz w:val="24"/>
          <w:lang w:val="en-US"/>
        </w:rPr>
        <w:t>7</w:t>
      </w:r>
      <w:r>
        <w:rPr>
          <w:rFonts w:hint="eastAsia" w:ascii="宋体" w:hAnsi="宋体"/>
          <w:sz w:val="24"/>
        </w:rPr>
        <w:t>.1 合同份数</w:t>
      </w:r>
      <w:bookmarkEnd w:id="432"/>
      <w:bookmarkEnd w:id="433"/>
      <w:bookmarkEnd w:id="434"/>
    </w:p>
    <w:p w14:paraId="20A6500A">
      <w:pPr>
        <w:spacing w:line="360" w:lineRule="auto"/>
        <w:ind w:firstLine="480"/>
      </w:pPr>
      <w:r>
        <w:rPr>
          <w:rFonts w:hint="eastAsia"/>
        </w:rPr>
        <w:t>(2)合同副本份数：</w:t>
      </w:r>
      <w:r>
        <w:rPr>
          <w:rFonts w:hint="eastAsia" w:cs="Times New Roman"/>
          <w:kern w:val="2"/>
          <w:u w:val="single"/>
        </w:rPr>
        <w:t>贰拾贰</w:t>
      </w:r>
      <w:r>
        <w:rPr>
          <w:rFonts w:hint="eastAsia"/>
        </w:rPr>
        <w:t>份，其中发包人：</w:t>
      </w:r>
      <w:r>
        <w:rPr>
          <w:rFonts w:hint="eastAsia" w:cs="Times New Roman"/>
          <w:kern w:val="2"/>
          <w:u w:val="single"/>
        </w:rPr>
        <w:t>壹拾肆</w:t>
      </w:r>
      <w:r>
        <w:rPr>
          <w:rFonts w:hint="eastAsia"/>
        </w:rPr>
        <w:t>份，承包人：</w:t>
      </w:r>
      <w:r>
        <w:rPr>
          <w:rFonts w:hint="eastAsia" w:cs="Times New Roman"/>
          <w:kern w:val="2"/>
          <w:u w:val="single"/>
        </w:rPr>
        <w:t>捌</w:t>
      </w:r>
      <w:r>
        <w:rPr>
          <w:rFonts w:hint="eastAsia"/>
        </w:rPr>
        <w:t>份。</w:t>
      </w:r>
    </w:p>
    <w:p w14:paraId="6EA2928C">
      <w:pPr>
        <w:spacing w:line="360" w:lineRule="auto"/>
        <w:ind w:firstLine="480"/>
      </w:pPr>
      <w:r>
        <w:rPr>
          <w:rFonts w:hint="eastAsia"/>
        </w:rPr>
        <w:t>合同副本其它保存单位及份数：</w:t>
      </w:r>
      <w:r>
        <w:rPr>
          <w:rFonts w:hint="eastAsia"/>
          <w:u w:val="single"/>
        </w:rPr>
        <w:t xml:space="preserve">    /    </w:t>
      </w:r>
      <w:r>
        <w:rPr>
          <w:rFonts w:hint="eastAsia"/>
        </w:rPr>
        <w:t>保存</w:t>
      </w:r>
      <w:r>
        <w:rPr>
          <w:rFonts w:hint="eastAsia"/>
          <w:u w:val="single"/>
        </w:rPr>
        <w:t xml:space="preserve">   /   </w:t>
      </w:r>
      <w:r>
        <w:rPr>
          <w:rFonts w:hint="eastAsia"/>
        </w:rPr>
        <w:t xml:space="preserve">份。                                  </w:t>
      </w:r>
    </w:p>
    <w:p w14:paraId="0043D994">
      <w:pPr>
        <w:pStyle w:val="4"/>
        <w:keepNext w:val="0"/>
        <w:jc w:val="center"/>
        <w:rPr>
          <w:rFonts w:ascii="宋体"/>
          <w:sz w:val="32"/>
        </w:rPr>
      </w:pPr>
      <w:bookmarkStart w:id="435" w:name="_Toc35656560"/>
      <w:r>
        <w:rPr>
          <w:rFonts w:ascii="宋体"/>
          <w:b w:val="0"/>
          <w:sz w:val="32"/>
          <w:szCs w:val="32"/>
        </w:rPr>
        <w:br w:type="page"/>
      </w:r>
      <w:bookmarkStart w:id="436" w:name="_Toc9538"/>
      <w:bookmarkStart w:id="437" w:name="_Toc5435"/>
      <w:bookmarkStart w:id="438" w:name="_Toc19131"/>
      <w:bookmarkStart w:id="439" w:name="_Toc716"/>
      <w:bookmarkStart w:id="440" w:name="_Toc305331534"/>
      <w:bookmarkStart w:id="441" w:name="_Toc302636060"/>
      <w:r>
        <w:rPr>
          <w:rFonts w:hint="eastAsia" w:ascii="宋体"/>
          <w:sz w:val="32"/>
          <w:szCs w:val="32"/>
        </w:rPr>
        <w:t xml:space="preserve">第四部分 </w:t>
      </w:r>
      <w:r>
        <w:rPr>
          <w:rFonts w:hint="eastAsia" w:ascii="宋体"/>
          <w:sz w:val="32"/>
        </w:rPr>
        <w:t>补充条款</w:t>
      </w:r>
      <w:bookmarkEnd w:id="63"/>
      <w:bookmarkEnd w:id="435"/>
      <w:bookmarkEnd w:id="436"/>
      <w:bookmarkEnd w:id="437"/>
      <w:bookmarkEnd w:id="438"/>
      <w:bookmarkEnd w:id="439"/>
      <w:bookmarkEnd w:id="440"/>
      <w:bookmarkEnd w:id="441"/>
    </w:p>
    <w:p w14:paraId="31CEAAEC"/>
    <w:p w14:paraId="1C837C36">
      <w:pPr>
        <w:widowControl w:val="0"/>
        <w:spacing w:line="360" w:lineRule="auto"/>
        <w:ind w:firstLine="480" w:firstLineChars="200"/>
        <w:jc w:val="both"/>
        <w:rPr>
          <w:kern w:val="2"/>
        </w:rPr>
      </w:pPr>
      <w:r>
        <w:rPr>
          <w:rFonts w:hint="eastAsia"/>
          <w:kern w:val="2"/>
        </w:rPr>
        <w:t>本部分补充条款是合同签订、合同执行全过程的重要文件依据，承包人须认真阅读本节内容，如对本节内容不完全认同，应放弃本次投标。本部分条款如与招标文件其他条款有不一致之处，以本部分条款约定为准。</w:t>
      </w:r>
    </w:p>
    <w:p w14:paraId="73C2D260">
      <w:pPr>
        <w:adjustRightInd w:val="0"/>
        <w:snapToGrid w:val="0"/>
        <w:spacing w:line="420" w:lineRule="exact"/>
        <w:ind w:firstLine="480"/>
        <w:rPr>
          <w:b/>
          <w:bCs/>
        </w:rPr>
      </w:pPr>
      <w:bookmarkStart w:id="442" w:name="_Toc114102403"/>
      <w:bookmarkStart w:id="443" w:name="_Toc76027216"/>
      <w:r>
        <w:rPr>
          <w:rFonts w:hint="eastAsia"/>
          <w:b/>
          <w:bCs/>
        </w:rPr>
        <w:t>一、合同价款</w:t>
      </w:r>
    </w:p>
    <w:p w14:paraId="32420F62">
      <w:pPr>
        <w:adjustRightInd w:val="0"/>
        <w:snapToGrid w:val="0"/>
        <w:spacing w:line="420" w:lineRule="exact"/>
        <w:ind w:firstLine="480"/>
      </w:pPr>
      <w:r>
        <w:rPr>
          <w:rFonts w:hint="eastAsia"/>
        </w:rPr>
        <w:t>1.1、本施工合同价为暂定价，最终以实际完成，并经监理工程师及发包人确认的合格工程量为准。</w:t>
      </w:r>
    </w:p>
    <w:p w14:paraId="6A578BC3">
      <w:pPr>
        <w:adjustRightInd w:val="0"/>
        <w:snapToGrid w:val="0"/>
        <w:spacing w:line="420" w:lineRule="exact"/>
        <w:ind w:firstLine="480"/>
        <w:rPr>
          <w:b/>
        </w:rPr>
      </w:pPr>
      <w:r>
        <w:rPr>
          <w:rFonts w:hint="eastAsia"/>
        </w:rPr>
        <w:t>1.2、本合同为固定单价合同，工程量根据实际完成情况经监理工程师和发包人确认后结算。工程结算由承包人委托有资质的造价咨询单位负责编制结算，并由发包人根据相关规定完成结算审核程序；最终结算价以区审计部门审计结果为准。</w:t>
      </w:r>
      <w:r>
        <w:rPr>
          <w:rFonts w:hint="eastAsia"/>
          <w:b/>
        </w:rPr>
        <w:t>若结算价低于合同价，以实际完成工程量结算；若结算价高于合同价，以合同价结算。</w:t>
      </w:r>
    </w:p>
    <w:p w14:paraId="7132EE72">
      <w:pPr>
        <w:adjustRightInd w:val="0"/>
        <w:snapToGrid w:val="0"/>
        <w:spacing w:line="420" w:lineRule="exact"/>
        <w:ind w:firstLine="480"/>
      </w:pPr>
      <w:r>
        <w:rPr>
          <w:rFonts w:hint="eastAsia"/>
        </w:rPr>
        <w:t>1.3、项目招标工程量清单缺项、漏项的项目，工程量经监理工程师和发包人确认后结算，项目单价按专用条款第25条执行。</w:t>
      </w:r>
    </w:p>
    <w:p w14:paraId="57BC209C">
      <w:pPr>
        <w:adjustRightInd w:val="0"/>
        <w:snapToGrid w:val="0"/>
        <w:spacing w:line="420" w:lineRule="exact"/>
        <w:ind w:firstLine="480"/>
      </w:pPr>
      <w:r>
        <w:rPr>
          <w:rFonts w:hint="eastAsia"/>
        </w:rPr>
        <w:t>1.4、承包人必须按图纸及有关标准、规范的要求进行施工。凡超出图纸范围又未经变更审批程序的内容，都不予计量；未施工的项目</w:t>
      </w:r>
      <w:r>
        <w:t>，</w:t>
      </w:r>
      <w:r>
        <w:rPr>
          <w:rFonts w:hint="eastAsia"/>
        </w:rPr>
        <w:t>经总监理工程师核实后予以扣减。发包人及政府有关管理部门对工程造价的控制、审查、监督非常严格。工程设计变更须按变更程序进行审批，凡未经审批同意的变更项目，承包人擅自实施的，其所有责任后果及费用均由承包人自行负责并赔偿发包人由此而产生的损失。</w:t>
      </w:r>
    </w:p>
    <w:p w14:paraId="528F7BDD">
      <w:pPr>
        <w:adjustRightInd w:val="0"/>
        <w:snapToGrid w:val="0"/>
        <w:spacing w:line="420" w:lineRule="exact"/>
        <w:ind w:firstLine="480"/>
      </w:pPr>
      <w:r>
        <w:rPr>
          <w:rFonts w:hint="eastAsia"/>
        </w:rPr>
        <w:t>1.5、承包单位必须符合发包人有关现场管理的规定，积极配合施工现场其他单位的工作。</w:t>
      </w:r>
    </w:p>
    <w:p w14:paraId="06B9ECE0">
      <w:pPr>
        <w:adjustRightInd w:val="0"/>
        <w:snapToGrid w:val="0"/>
        <w:spacing w:line="420" w:lineRule="exact"/>
        <w:ind w:firstLine="480"/>
      </w:pPr>
      <w:r>
        <w:rPr>
          <w:rFonts w:hint="eastAsia"/>
        </w:rPr>
        <w:t>1.6、发包人不提供弃泥或弃土（碴）点位，本工程的弃泥或弃土（碴）地点、时间、路线应取得发包人同意，不得由此带给发包人任何费用的增加。凡因承包人措施不当而引起的罚款、索赔及指控等由承包人自行承担有关责任及费用。</w:t>
      </w:r>
    </w:p>
    <w:p w14:paraId="36C64839">
      <w:pPr>
        <w:adjustRightInd w:val="0"/>
        <w:snapToGrid w:val="0"/>
        <w:spacing w:line="420" w:lineRule="exact"/>
        <w:ind w:firstLine="480"/>
      </w:pPr>
      <w:r>
        <w:rPr>
          <w:rFonts w:hint="eastAsia"/>
        </w:rPr>
        <w:t>1.7、本工程结算条款的以下约定：土石方、废弃拆除物、余泥渣土外运运距按招标审定价计算，结算时对运距不再调整。</w:t>
      </w:r>
    </w:p>
    <w:p w14:paraId="3C9AAC9C">
      <w:pPr>
        <w:adjustRightInd w:val="0"/>
        <w:snapToGrid w:val="0"/>
        <w:spacing w:line="420" w:lineRule="exact"/>
        <w:ind w:firstLine="480"/>
      </w:pPr>
      <w:r>
        <w:rPr>
          <w:rFonts w:hint="eastAsia"/>
        </w:rPr>
        <w:t>1.8、施工过程中不能影响附近的道路交通，由此引起的一切责任、费用由承包人承担。</w:t>
      </w:r>
    </w:p>
    <w:p w14:paraId="1C09E62C">
      <w:pPr>
        <w:adjustRightInd w:val="0"/>
        <w:snapToGrid w:val="0"/>
        <w:spacing w:line="420" w:lineRule="exact"/>
        <w:ind w:firstLine="480"/>
      </w:pPr>
      <w:r>
        <w:rPr>
          <w:rFonts w:hint="eastAsia"/>
        </w:rPr>
        <w:t>1.9、凡属于工程变更的内容和项目，承包人不得以任何理由拒绝施工，单价及结算方式按专用条款第25执行。</w:t>
      </w:r>
    </w:p>
    <w:p w14:paraId="6F1F75D5">
      <w:pPr>
        <w:adjustRightInd w:val="0"/>
        <w:snapToGrid w:val="0"/>
        <w:spacing w:line="420" w:lineRule="exact"/>
        <w:ind w:firstLine="480"/>
      </w:pPr>
      <w:r>
        <w:rPr>
          <w:rFonts w:hint="eastAsia"/>
        </w:rPr>
        <w:t>1.10、本合同条款应与通用条款、工程量清单、工程建设标准及技术要求和图纸结合起来理解或解释。</w:t>
      </w:r>
    </w:p>
    <w:p w14:paraId="66876E57">
      <w:pPr>
        <w:adjustRightInd w:val="0"/>
        <w:snapToGrid w:val="0"/>
        <w:spacing w:line="420" w:lineRule="exact"/>
        <w:ind w:firstLine="480"/>
        <w:rPr>
          <w:b/>
          <w:bCs/>
        </w:rPr>
      </w:pPr>
      <w:r>
        <w:rPr>
          <w:rFonts w:hint="eastAsia"/>
          <w:b/>
          <w:bCs/>
        </w:rPr>
        <w:t>二、现场管理</w:t>
      </w:r>
    </w:p>
    <w:p w14:paraId="7FF6EE1B">
      <w:pPr>
        <w:adjustRightInd w:val="0"/>
        <w:snapToGrid w:val="0"/>
        <w:spacing w:line="420" w:lineRule="exact"/>
        <w:ind w:firstLine="480"/>
      </w:pPr>
      <w:r>
        <w:rPr>
          <w:rFonts w:hint="eastAsia"/>
        </w:rPr>
        <w:t>2.1、在工程实施过程中，对于承包人安排的不称职的管理人员和主要操作技术人员，发包人有权要求承包人进行更换，直至发包人满意为止，且更换人员应在接到书面通知后的5天内到位。否则，承包人向发包人支付违约金每人每天人民币2000元。</w:t>
      </w:r>
    </w:p>
    <w:p w14:paraId="63318466">
      <w:pPr>
        <w:adjustRightInd w:val="0"/>
        <w:snapToGrid w:val="0"/>
        <w:spacing w:line="420" w:lineRule="exact"/>
        <w:ind w:firstLine="480"/>
      </w:pPr>
      <w:r>
        <w:rPr>
          <w:rFonts w:hint="eastAsia"/>
        </w:rPr>
        <w:t>2.2、为了保护本工程免遭损坏和过往人员的安全与方便，承包人应采取相应保卫措施(包括提供照明、警卫、护栅、警告标志等安全防护设施等)，保证施工场地内的安全，施工现场须由专业保安公司24小时负责照看，防止出现相关设施、设备被盗行为，费用已包括在合同价中，发包人不再另行支付相关费用。若因承包人原因引起的财产损失或人身伤害，全部由承包人承担责任及费用。</w:t>
      </w:r>
    </w:p>
    <w:p w14:paraId="7818F20B">
      <w:pPr>
        <w:adjustRightInd w:val="0"/>
        <w:snapToGrid w:val="0"/>
        <w:spacing w:line="420" w:lineRule="exact"/>
        <w:ind w:firstLine="480"/>
      </w:pPr>
      <w:r>
        <w:rPr>
          <w:rFonts w:hint="eastAsia"/>
        </w:rPr>
        <w:t>2.3、承包人的弃土(石)、弃碴、弃泥浆的排放方案，应事先取得监理工程师的批准。承包人应遵守深圳市政府的有关规定，不得随意排放，由此引起的处罚、索赔、诉讼等均由承包人自行解决。</w:t>
      </w:r>
    </w:p>
    <w:p w14:paraId="62280BE5">
      <w:pPr>
        <w:adjustRightInd w:val="0"/>
        <w:snapToGrid w:val="0"/>
        <w:spacing w:line="420" w:lineRule="exact"/>
        <w:ind w:firstLine="480"/>
      </w:pPr>
      <w:r>
        <w:rPr>
          <w:rFonts w:hint="eastAsia"/>
        </w:rPr>
        <w:t>2.4、材料、设备、土石方（含淤泥）的运输必须遵守交通管理部门的管理规定，运输车辆必须是“三证”(即行驶证、营运证、渣土运输证)齐全的车辆，土石方运输车辆相关证照需经相关部门(交管、交通、碴管等)认可。</w:t>
      </w:r>
    </w:p>
    <w:p w14:paraId="3B4E641C">
      <w:pPr>
        <w:adjustRightInd w:val="0"/>
        <w:snapToGrid w:val="0"/>
        <w:spacing w:line="420" w:lineRule="exact"/>
        <w:ind w:firstLine="435"/>
      </w:pPr>
      <w:r>
        <w:rPr>
          <w:rFonts w:hint="eastAsia"/>
        </w:rPr>
        <w:t>2.5、承包人应按国家及广东省、深圳市劳动部门和建设主管部门有关规定，采取严格的安全防护和消防措施。</w:t>
      </w:r>
    </w:p>
    <w:p w14:paraId="44554734">
      <w:pPr>
        <w:adjustRightInd w:val="0"/>
        <w:snapToGrid w:val="0"/>
        <w:spacing w:line="420" w:lineRule="exact"/>
        <w:ind w:firstLine="435"/>
      </w:pPr>
      <w:r>
        <w:rPr>
          <w:rFonts w:hint="eastAsia"/>
        </w:rPr>
        <w:t>2.6、在有毒有害环境中施工时，承包人应按有关规定提供相应的防护措施，并承担有关费用。承包人应对其在施工场地的工作人员进行安全教育，并对他们的安全负责做好安全措施。任何人不得要求承包人违反安全管理的规定进行施工。因承包人原因导致的安全事故，由承包人负责协调解决承担相应责任及发生的费用。</w:t>
      </w:r>
    </w:p>
    <w:p w14:paraId="6B8843E2">
      <w:pPr>
        <w:adjustRightInd w:val="0"/>
        <w:snapToGrid w:val="0"/>
        <w:spacing w:line="420" w:lineRule="exact"/>
        <w:ind w:firstLine="435"/>
      </w:pPr>
      <w:r>
        <w:rPr>
          <w:rFonts w:hint="eastAsia"/>
        </w:rPr>
        <w:t>2.7、施工现场的围挡、施工便道、现场出入口以及现场临时设施等的设置方案必须经发包人以及监理方的审批并同意后方可实施。</w:t>
      </w:r>
    </w:p>
    <w:p w14:paraId="3ABE9DE6">
      <w:pPr>
        <w:adjustRightInd w:val="0"/>
        <w:snapToGrid w:val="0"/>
        <w:spacing w:line="420" w:lineRule="exact"/>
        <w:ind w:firstLine="435"/>
      </w:pPr>
      <w:r>
        <w:rPr>
          <w:rFonts w:hint="eastAsia"/>
        </w:rPr>
        <w:t>2.8、如发承包双方发生争议、承包人不得以争议未解决为由擅自停工，否则视为违约，由此延误的工期不可顺延。</w:t>
      </w:r>
    </w:p>
    <w:p w14:paraId="7E158CB4">
      <w:pPr>
        <w:adjustRightInd w:val="0"/>
        <w:snapToGrid w:val="0"/>
        <w:spacing w:line="420" w:lineRule="exact"/>
        <w:ind w:firstLine="435"/>
      </w:pPr>
      <w:r>
        <w:rPr>
          <w:rFonts w:hint="eastAsia"/>
        </w:rPr>
        <w:t>2.9、工程竣工完成后，承包人应及时办理交工手续，承包人在接到工程师或发包人的书面退场书之日起7天内应完全从施工现场撤退出去，不得以竣工决算未完成或其它原因不按发包人的要求时间退场。</w:t>
      </w:r>
    </w:p>
    <w:p w14:paraId="6DB8C89F">
      <w:pPr>
        <w:adjustRightInd w:val="0"/>
        <w:snapToGrid w:val="0"/>
        <w:spacing w:line="420" w:lineRule="exact"/>
        <w:ind w:firstLine="472"/>
        <w:rPr>
          <w:b/>
          <w:bCs/>
        </w:rPr>
      </w:pPr>
      <w:r>
        <w:rPr>
          <w:rFonts w:hint="eastAsia"/>
          <w:b/>
          <w:bCs/>
        </w:rPr>
        <w:t>三、其他</w:t>
      </w:r>
    </w:p>
    <w:p w14:paraId="111CAE8D">
      <w:pPr>
        <w:adjustRightInd w:val="0"/>
        <w:snapToGrid w:val="0"/>
        <w:spacing w:line="420" w:lineRule="exact"/>
        <w:ind w:firstLine="472"/>
      </w:pPr>
      <w:r>
        <w:rPr>
          <w:rFonts w:hint="eastAsia"/>
        </w:rPr>
        <w:t>3.1、为使工地现场有关问题能够及时解决，所有的图纸会审、工程例会、专题会、讨论会、验收会等各种工作会议，承包人相关人员不得缺席、迟到。</w:t>
      </w:r>
    </w:p>
    <w:p w14:paraId="02966199">
      <w:pPr>
        <w:adjustRightInd w:val="0"/>
        <w:snapToGrid w:val="0"/>
        <w:spacing w:line="420" w:lineRule="exact"/>
        <w:ind w:firstLine="472"/>
      </w:pPr>
      <w:r>
        <w:rPr>
          <w:rFonts w:hint="eastAsia"/>
        </w:rPr>
        <w:t>3.2、承包人按合同应承担的罚款、违约金、赔偿金由发包人在工程余款中直接扣除，工程余款不足以支付罚款、违约金、赔偿金时，发包人可通过包括法律途径在内的一切手段予以追讨。</w:t>
      </w:r>
    </w:p>
    <w:p w14:paraId="24AD27A7">
      <w:pPr>
        <w:adjustRightInd w:val="0"/>
        <w:snapToGrid w:val="0"/>
        <w:spacing w:line="420" w:lineRule="exact"/>
        <w:ind w:firstLine="472"/>
      </w:pPr>
      <w:r>
        <w:rPr>
          <w:rFonts w:hint="eastAsia"/>
        </w:rPr>
        <w:t>3.3、工程款要保证专款专用，保证不拖欠工人工资，由此引起的一切责任、费用由承包人承担。</w:t>
      </w:r>
    </w:p>
    <w:p w14:paraId="1E4F6570">
      <w:pPr>
        <w:adjustRightInd w:val="0"/>
        <w:snapToGrid w:val="0"/>
        <w:spacing w:line="420" w:lineRule="exact"/>
        <w:ind w:firstLine="470"/>
      </w:pPr>
      <w:r>
        <w:rPr>
          <w:rFonts w:hint="eastAsia"/>
        </w:rPr>
        <w:t>3.4、承包人应对施工现场既有管线进行排查，如果在施工过程中由于承包人未进行认真排查而导致破坏地下管线，因此产生的一切责任及费用由承包人承担。</w:t>
      </w:r>
    </w:p>
    <w:p w14:paraId="22C303B0">
      <w:pPr>
        <w:adjustRightInd w:val="0"/>
        <w:snapToGrid w:val="0"/>
        <w:spacing w:line="420" w:lineRule="exact"/>
        <w:ind w:firstLine="480"/>
      </w:pPr>
      <w:r>
        <w:rPr>
          <w:rFonts w:hint="eastAsia"/>
        </w:rPr>
        <w:t>3.5、承包人不得将本工程进行转包、擅自分包，不得挂靠承包工程；承包人应随时提交本工程项目管理班子成员的社保证明和工资卡，报发包人验证，项目班子成员不得出现非承包人本单位人员；承包人不得提供虚假资料。</w:t>
      </w:r>
    </w:p>
    <w:p w14:paraId="3041A19D">
      <w:pPr>
        <w:adjustRightInd w:val="0"/>
        <w:snapToGrid w:val="0"/>
        <w:spacing w:line="420" w:lineRule="exact"/>
        <w:ind w:firstLine="435"/>
      </w:pPr>
      <w:r>
        <w:rPr>
          <w:rFonts w:hint="eastAsia"/>
        </w:rPr>
        <w:t>一经查实存在转包、擅自分包或者挂靠承包工程，视为承包人严重违约，处以合同价的10%的违约罚金，发包人将解除合同，没收承包人履约保函中的金额，并将向建设主管部门报告，由此造成发包人损失的，全部由承包人负责。</w:t>
      </w:r>
    </w:p>
    <w:p w14:paraId="5CD539BA">
      <w:pPr>
        <w:adjustRightInd w:val="0"/>
        <w:snapToGrid w:val="0"/>
        <w:spacing w:line="420" w:lineRule="exact"/>
        <w:ind w:firstLine="480"/>
      </w:pPr>
      <w:r>
        <w:rPr>
          <w:rFonts w:hint="eastAsia"/>
        </w:rPr>
        <w:t>3.6、对于承包人无资质施工的专业工程，承包人应将专业工程分包给具有相应资质的施工单位。分包前承包人应先报监理工程师审查，并取得发包人同意后办理相关手续。承包人将其承包范围内的专业工程进行分包，并不免除合同约定的承包人的任何责任和义务。承包人对其分包的工程承担连带责任。</w:t>
      </w:r>
    </w:p>
    <w:p w14:paraId="705638E6">
      <w:pPr>
        <w:adjustRightInd w:val="0"/>
        <w:snapToGrid w:val="0"/>
        <w:spacing w:line="420" w:lineRule="exact"/>
        <w:ind w:firstLine="470"/>
      </w:pPr>
      <w:r>
        <w:rPr>
          <w:rFonts w:hint="eastAsia"/>
        </w:rPr>
        <w:t>3.7、施工场地要求达到市文明工地标准，临时设施按政府“净、畅、宁”有关要求搭设。</w:t>
      </w:r>
    </w:p>
    <w:p w14:paraId="22EC1A85">
      <w:pPr>
        <w:adjustRightInd w:val="0"/>
        <w:snapToGrid w:val="0"/>
        <w:spacing w:line="420" w:lineRule="exact"/>
        <w:ind w:firstLine="480"/>
      </w:pPr>
      <w:r>
        <w:rPr>
          <w:rFonts w:hint="eastAsia"/>
        </w:rPr>
        <w:t>3.8、工程材料由承包人自行采购，承包人采购的材料必须是满足工程要求的合格产品，承包人应充分考虑市场价格变化的风险，在合同履行期间，发包人均不予调价。</w:t>
      </w:r>
    </w:p>
    <w:p w14:paraId="6C86F603">
      <w:pPr>
        <w:adjustRightInd w:val="0"/>
        <w:snapToGrid w:val="0"/>
        <w:spacing w:line="420" w:lineRule="exact"/>
        <w:ind w:firstLine="480"/>
      </w:pPr>
      <w:r>
        <w:rPr>
          <w:rFonts w:hint="eastAsia"/>
        </w:rPr>
        <w:t>3.9、发包人办理规划、施工许可证。其它施工所需证件和批件发包人委托承包人办理，包括但不限于临时停水、停电等的申请批准手续，所需费用已包含在合同价款中。</w:t>
      </w:r>
    </w:p>
    <w:p w14:paraId="4CC00EF2">
      <w:pPr>
        <w:adjustRightInd w:val="0"/>
        <w:snapToGrid w:val="0"/>
        <w:spacing w:line="420" w:lineRule="exact"/>
        <w:ind w:firstLine="480"/>
      </w:pPr>
      <w:r>
        <w:rPr>
          <w:rFonts w:hint="eastAsia"/>
        </w:rPr>
        <w:t>3.10、</w:t>
      </w:r>
      <w:r>
        <w:rPr>
          <w:rFonts w:hint="eastAsia"/>
          <w:spacing w:val="6"/>
        </w:rPr>
        <w:t>除专用条款中明确可顺延工期的情况外，本合同工期不予顺延。</w:t>
      </w:r>
    </w:p>
    <w:p w14:paraId="6C20239B">
      <w:pPr>
        <w:adjustRightInd w:val="0"/>
        <w:snapToGrid w:val="0"/>
        <w:spacing w:line="420" w:lineRule="exact"/>
        <w:ind w:firstLine="480"/>
      </w:pPr>
      <w:r>
        <w:rPr>
          <w:rFonts w:hint="eastAsia"/>
        </w:rPr>
        <w:t>3.11、</w:t>
      </w:r>
      <w:r>
        <w:rPr>
          <w:rFonts w:hint="eastAsia"/>
          <w:spacing w:val="6"/>
        </w:rPr>
        <w:t>由于发包人原因发生工程变更和增加工程而导致工期的延长，工期顺延。</w:t>
      </w:r>
    </w:p>
    <w:p w14:paraId="54BD474E">
      <w:pPr>
        <w:adjustRightInd w:val="0"/>
        <w:snapToGrid w:val="0"/>
        <w:spacing w:line="420" w:lineRule="exact"/>
        <w:ind w:firstLine="504"/>
        <w:rPr>
          <w:spacing w:val="6"/>
        </w:rPr>
      </w:pPr>
      <w:r>
        <w:rPr>
          <w:rFonts w:hint="eastAsia"/>
          <w:spacing w:val="6"/>
        </w:rPr>
        <w:t>3.12、</w:t>
      </w:r>
      <w:r>
        <w:rPr>
          <w:rFonts w:hint="eastAsia"/>
        </w:rPr>
        <w:t>交通维护、疏解要求：当施工占有既有道路时，承包人施工前必须取得相关部门的批准，按批准的交通疏导原则，提出可行的实施方案，并获得交管部门的同意，报监理工程师备案。施工期间，承包人应安排专人疏解交通，按规定完成各标段范围内既有交通设施的拆除（标志牌、护栏等），设置新的交通标线、指示、标识和临时维护等设施，并确保施工路段的交通安全和畅通。</w:t>
      </w:r>
    </w:p>
    <w:p w14:paraId="7C394F1E">
      <w:pPr>
        <w:adjustRightInd w:val="0"/>
        <w:snapToGrid w:val="0"/>
        <w:spacing w:line="420" w:lineRule="exact"/>
        <w:ind w:firstLine="480"/>
      </w:pPr>
      <w:r>
        <w:rPr>
          <w:rFonts w:hint="eastAsia"/>
        </w:rPr>
        <w:t>3.13、施工现场的围挡、施工便道、现场出入口以及现场临时设施等的设置方案必须经发包人以及监理方的审批并同意后方可实施，否则，由此造成的一切后果由承包人负责。围挡设置严格执行深圳市住房和建设局关于印发《深圳市建设工程施工围挡改造提升工作方案》的通知（深建质安[2017]264号）精神，不得使用铁皮瓦、石棉瓦。</w:t>
      </w:r>
    </w:p>
    <w:p w14:paraId="4D560D4A">
      <w:pPr>
        <w:adjustRightInd w:val="0"/>
        <w:snapToGrid w:val="0"/>
        <w:spacing w:line="420" w:lineRule="exact"/>
        <w:ind w:firstLine="504"/>
        <w:rPr>
          <w:spacing w:val="6"/>
        </w:rPr>
      </w:pPr>
      <w:r>
        <w:rPr>
          <w:rFonts w:hint="eastAsia"/>
          <w:spacing w:val="6"/>
        </w:rPr>
        <w:t>3.14、</w:t>
      </w:r>
      <w:r>
        <w:rPr>
          <w:rFonts w:hint="eastAsia"/>
        </w:rPr>
        <w:t>关于竣工验收的特别规定：承包人须指定专人负责工程验收及结算工作</w:t>
      </w:r>
      <w:r>
        <w:t>，</w:t>
      </w:r>
      <w:r>
        <w:rPr>
          <w:rFonts w:hint="eastAsia"/>
        </w:rPr>
        <w:t>该负责人须为项目管理班子成员，否则发包人不接受。承包人指定专人全面负责工程验收及结算工作，中途不得更换，如需更换，须经得发包人同意。如承包人不配合竣工验收及结算工作，发包人将约谈承包人法人代表，如约谈后承包人仍不配合竣工验收及结算工作，发包人将书面报告建设行政主管部门，由建设行政主管部门按相关规定对承包人进行处罚。</w:t>
      </w:r>
    </w:p>
    <w:p w14:paraId="0410CBA1">
      <w:pPr>
        <w:adjustRightInd w:val="0"/>
        <w:snapToGrid w:val="0"/>
        <w:spacing w:line="420" w:lineRule="exact"/>
        <w:ind w:firstLine="480"/>
      </w:pPr>
      <w:r>
        <w:rPr>
          <w:rFonts w:hint="eastAsia"/>
        </w:rPr>
        <w:t>3.15、承包人完全清楚发包人及政府有关管理部门对工程造价的控制、审查、监督非常严格。承包方已经充分考虑承包本工程的风险。工程设计变更须按变更程序进行审批，凡未经审批同意的变更项目，由承包方擅自实施的，其所有责任后果及费用均由承包人自行负责并赔偿发包人由此而产生的损失。</w:t>
      </w:r>
    </w:p>
    <w:p w14:paraId="63222341">
      <w:pPr>
        <w:adjustRightInd w:val="0"/>
        <w:snapToGrid w:val="0"/>
        <w:spacing w:line="420" w:lineRule="exact"/>
        <w:ind w:firstLine="480"/>
      </w:pPr>
      <w:r>
        <w:rPr>
          <w:rFonts w:hint="eastAsia"/>
        </w:rPr>
        <w:t>3.16、承包人严格按照《广东省住房和城乡建设厅转发住房城乡建设部办公厅关于严格落实建筑工程质量终身责任承诺制的通知》（粤建质〔2014〕218号）和《广东省住房和城乡建设厅关于在新竣工的房屋建筑和市政基础设施工程设置永久性标牌有关事项的通知》（粤建质〔2014〕242号）文件执行。</w:t>
      </w:r>
    </w:p>
    <w:p w14:paraId="4F8B1C88">
      <w:pPr>
        <w:adjustRightInd w:val="0"/>
        <w:snapToGrid w:val="0"/>
        <w:spacing w:line="420" w:lineRule="exact"/>
        <w:ind w:firstLine="480"/>
      </w:pPr>
      <w:r>
        <w:rPr>
          <w:rFonts w:hint="eastAsia"/>
        </w:rPr>
        <w:t>3.18、《余泥渣土排放管理责任书》</w:t>
      </w:r>
    </w:p>
    <w:p w14:paraId="065896BA">
      <w:pPr>
        <w:adjustRightInd w:val="0"/>
        <w:snapToGrid w:val="0"/>
        <w:spacing w:line="420" w:lineRule="exact"/>
        <w:ind w:firstLine="480"/>
      </w:pPr>
      <w:r>
        <w:rPr>
          <w:rFonts w:hint="eastAsia"/>
        </w:rPr>
        <w:t>为加强建筑施工工地余泥渣土排放和运输管理，根据《深圳经济特区市容和环境卫生管理条例》、《深圳市建筑废弃物运输和处置管理办法》、深府[2007]154号文件精神，特制定有关责任书如下：</w:t>
      </w:r>
    </w:p>
    <w:p w14:paraId="60E8BA44">
      <w:pPr>
        <w:adjustRightInd w:val="0"/>
        <w:snapToGrid w:val="0"/>
        <w:spacing w:line="420" w:lineRule="exact"/>
        <w:ind w:firstLine="480"/>
      </w:pPr>
      <w:r>
        <w:rPr>
          <w:rFonts w:hint="eastAsia"/>
        </w:rPr>
        <w:t>（1）建设工程需排放(回填)余泥渣土的单位，在开工前七天内必须到辖区内余泥渣土排放管理所登记备案，并如实填报工地施工时间、土方数量、运输路线和排放地点等。</w:t>
      </w:r>
    </w:p>
    <w:p w14:paraId="30F64A0E">
      <w:pPr>
        <w:adjustRightInd w:val="0"/>
        <w:snapToGrid w:val="0"/>
        <w:spacing w:line="420" w:lineRule="exact"/>
        <w:ind w:firstLine="480"/>
      </w:pPr>
      <w:r>
        <w:rPr>
          <w:rFonts w:hint="eastAsia"/>
        </w:rPr>
        <w:t>（2）施工现场出入口按实际情况设置硬底化、洗车槽和二台高压水枪，并设立连续、通畅的排水设施和沉淀设施，防止泥浆、污水、废水外流。</w:t>
      </w:r>
    </w:p>
    <w:p w14:paraId="2A648D28">
      <w:pPr>
        <w:adjustRightInd w:val="0"/>
        <w:snapToGrid w:val="0"/>
        <w:spacing w:line="420" w:lineRule="exact"/>
        <w:ind w:firstLine="480"/>
      </w:pPr>
      <w:r>
        <w:rPr>
          <w:rFonts w:hint="eastAsia"/>
        </w:rPr>
        <w:t>（3）施工期间，余泥渣土装载量不能超过车厢挡板、禁止超高超载，运输车辆在驶离建筑工地前，应在围挡内冲洗干净，保持车辆整洁，禁止车体破损造成沿途遗洒并杜绝车轮带泥上路。</w:t>
      </w:r>
    </w:p>
    <w:p w14:paraId="2C6E84E3">
      <w:pPr>
        <w:adjustRightInd w:val="0"/>
        <w:snapToGrid w:val="0"/>
        <w:spacing w:line="420" w:lineRule="exact"/>
        <w:ind w:firstLine="480"/>
      </w:pPr>
      <w:r>
        <w:rPr>
          <w:rFonts w:hint="eastAsia"/>
        </w:rPr>
        <w:t>（4）承包人对进入工地运输的车辆严格查验，禁止雇佣未安装密闭加盖装置、车厢及后挡板破损或密闭不严及未办理“三证”（营运证、通行证、准运证）的车辆参与运输。</w:t>
      </w:r>
    </w:p>
    <w:p w14:paraId="62B31E78">
      <w:pPr>
        <w:adjustRightInd w:val="0"/>
        <w:snapToGrid w:val="0"/>
        <w:spacing w:line="420" w:lineRule="exact"/>
        <w:ind w:firstLine="480"/>
      </w:pPr>
      <w:r>
        <w:rPr>
          <w:rFonts w:hint="eastAsia"/>
        </w:rPr>
        <w:t>（5）承包人必须在工地各出入口设立4人以上的专职保洁人员，负责车体、路面及工地范围内的保洁和运输线路的巡查工作，发现问题必须在凌晨5时前处理完毕，确保道路卫生干净整洁。</w:t>
      </w:r>
    </w:p>
    <w:p w14:paraId="4252ABD6">
      <w:pPr>
        <w:adjustRightInd w:val="0"/>
        <w:snapToGrid w:val="0"/>
        <w:spacing w:line="420" w:lineRule="exact"/>
        <w:ind w:firstLine="480"/>
      </w:pPr>
      <w:r>
        <w:rPr>
          <w:rFonts w:hint="eastAsia"/>
        </w:rPr>
        <w:t>（6）承包人应加强对运输车辆的监管，必须做到全程密闭运输余泥渣土，按规定时间、路线行驶，指定的地点排放。</w:t>
      </w:r>
    </w:p>
    <w:p w14:paraId="616E8331">
      <w:pPr>
        <w:adjustRightInd w:val="0"/>
        <w:snapToGrid w:val="0"/>
        <w:spacing w:line="420" w:lineRule="exact"/>
        <w:ind w:firstLine="480"/>
      </w:pPr>
      <w:r>
        <w:rPr>
          <w:rFonts w:hint="eastAsia"/>
        </w:rPr>
        <w:t>（7）承包人必须服从发包人的监督管理，施工期间，对违反相关法律规范的行为，发包人可以责令其限期改正或采取补救措施，拒不执行的，可以委托有关单位代为执行，代为执行费用由承包人承担，情节严重的，发包人依法处罚甚至停工整改。</w:t>
      </w:r>
    </w:p>
    <w:p w14:paraId="67E6F7C9">
      <w:pPr>
        <w:adjustRightInd w:val="0"/>
        <w:snapToGrid w:val="0"/>
        <w:spacing w:line="420" w:lineRule="exact"/>
        <w:ind w:firstLine="480"/>
      </w:pPr>
      <w:r>
        <w:rPr>
          <w:rFonts w:hint="eastAsia"/>
        </w:rPr>
        <w:t>（8）工程竣工后，承包人应及时清运场内堆放的建筑垃圾，做到场地整洁干净。</w:t>
      </w:r>
    </w:p>
    <w:p w14:paraId="73A99153">
      <w:pPr>
        <w:adjustRightInd w:val="0"/>
        <w:snapToGrid w:val="0"/>
        <w:spacing w:line="420" w:lineRule="exact"/>
        <w:ind w:firstLine="480"/>
      </w:pPr>
      <w:r>
        <w:rPr>
          <w:rFonts w:hint="eastAsia"/>
        </w:rPr>
        <w:t>（9）发包人的人员在执法和监管过程中如有故意刁难、滥用职权、索贿受贿的违法行为，承包人可向主管部门投诉举报。</w:t>
      </w:r>
    </w:p>
    <w:p w14:paraId="2DED633D">
      <w:pPr>
        <w:adjustRightInd w:val="0"/>
        <w:snapToGrid w:val="0"/>
        <w:spacing w:line="420" w:lineRule="exact"/>
        <w:ind w:firstLine="480"/>
      </w:pPr>
      <w:r>
        <w:rPr>
          <w:rFonts w:hint="eastAsia"/>
        </w:rPr>
        <w:t>3.19、承包人必须在施工场地设置标准化密闭围挡，出入口须硬底化并安装车辆自动冲洗装置，施工过程中应采取有效措施防治扬尘污染，若因扬尘控制或排放标准达不到深圳市相关技术规范要求而导致的停工等均由承包人自行承担。</w:t>
      </w:r>
    </w:p>
    <w:p w14:paraId="7A5349D2">
      <w:pPr>
        <w:adjustRightInd w:val="0"/>
        <w:snapToGrid w:val="0"/>
        <w:spacing w:line="420" w:lineRule="exact"/>
        <w:ind w:firstLine="480"/>
      </w:pPr>
      <w:r>
        <w:rPr>
          <w:rFonts w:hint="eastAsia"/>
        </w:rPr>
        <w:t>3.20、承包人严格做好强化大气污染防治工作。承包人应严格落实施工工地裸露地面防尘网覆盖、洒水、车辆清洗等各项扬尘防治措施，自行负责并承担一切费用，费用包含在合同价中。</w:t>
      </w:r>
    </w:p>
    <w:p w14:paraId="600F75C7">
      <w:pPr>
        <w:adjustRightInd w:val="0"/>
        <w:snapToGrid w:val="0"/>
        <w:spacing w:line="420" w:lineRule="exact"/>
        <w:ind w:firstLine="480"/>
      </w:pPr>
      <w:r>
        <w:rPr>
          <w:rFonts w:hint="eastAsia"/>
        </w:rPr>
        <w:t>3.21、根据《深圳市住房和建设局关于切实推进劳务工实名制和分账制管理工作落地的通知》（深建市场[2017]20号）的有关规定，落实劳务工实名制和分账制的相关工作。</w:t>
      </w:r>
    </w:p>
    <w:p w14:paraId="6887C281">
      <w:pPr>
        <w:adjustRightInd w:val="0"/>
        <w:snapToGrid w:val="0"/>
        <w:spacing w:line="420" w:lineRule="exact"/>
        <w:ind w:firstLine="480"/>
      </w:pPr>
      <w:r>
        <w:rPr>
          <w:rFonts w:hint="eastAsia"/>
        </w:rPr>
        <w:t>3.22、由于承包人的原因，导致发包人解除合同，发包人有权没收履约保函里面的全部金额。</w:t>
      </w:r>
    </w:p>
    <w:p w14:paraId="560F88C5">
      <w:pPr>
        <w:adjustRightInd w:val="0"/>
        <w:snapToGrid w:val="0"/>
        <w:spacing w:line="420" w:lineRule="exact"/>
        <w:ind w:firstLine="480" w:firstLineChars="200"/>
      </w:pPr>
      <w:r>
        <w:rPr>
          <w:rFonts w:hint="eastAsia"/>
        </w:rPr>
        <w:t>3.23、承包人应严格按国家有关规定以及项目实际建设内容委托有资质的造价咨询单位负责编制结算书，当项目结算审核阶段，送审的结算被核减造价超过一定比例时，发包人可视结算核减造价比例对承包人采取如下处罚措施：</w:t>
      </w:r>
    </w:p>
    <w:p w14:paraId="650E7F7B">
      <w:pPr>
        <w:adjustRightInd w:val="0"/>
        <w:snapToGrid w:val="0"/>
        <w:spacing w:line="420" w:lineRule="exact"/>
        <w:ind w:firstLine="456" w:firstLineChars="200"/>
        <w:rPr>
          <w:spacing w:val="-6"/>
        </w:rPr>
      </w:pPr>
      <w:r>
        <w:rPr>
          <w:rFonts w:hint="eastAsia"/>
          <w:spacing w:val="-6"/>
        </w:rPr>
        <w:t xml:space="preserve">（1）当核减造价在送审结算的10%-15%（含15%）时，由发包人给予警告; </w:t>
      </w:r>
    </w:p>
    <w:p w14:paraId="11185670">
      <w:pPr>
        <w:adjustRightInd w:val="0"/>
        <w:snapToGrid w:val="0"/>
        <w:spacing w:line="420" w:lineRule="exact"/>
        <w:ind w:firstLine="456" w:firstLineChars="200"/>
        <w:rPr>
          <w:spacing w:val="-6"/>
        </w:rPr>
      </w:pPr>
      <w:r>
        <w:rPr>
          <w:rFonts w:hint="eastAsia"/>
          <w:spacing w:val="-6"/>
        </w:rPr>
        <w:t xml:space="preserve">（2）当核减造价在送审结算的15%-20%（含20%）时，由发包人进行约谈; </w:t>
      </w:r>
    </w:p>
    <w:p w14:paraId="08BCDEA0">
      <w:pPr>
        <w:adjustRightInd w:val="0"/>
        <w:snapToGrid w:val="0"/>
        <w:spacing w:line="420" w:lineRule="exact"/>
        <w:ind w:firstLine="480"/>
      </w:pPr>
      <w:r>
        <w:rPr>
          <w:rFonts w:hint="eastAsia"/>
          <w:spacing w:val="-6"/>
        </w:rPr>
        <w:t>（3）</w:t>
      </w:r>
      <w:r>
        <w:rPr>
          <w:rFonts w:hint="eastAsia"/>
          <w:spacing w:val="-10"/>
        </w:rPr>
        <w:t>当核减造价超过送审结算的20%时，对承包人当季度的履约评价为不合格。</w:t>
      </w:r>
    </w:p>
    <w:p w14:paraId="7F0DC572">
      <w:pPr>
        <w:adjustRightInd w:val="0"/>
        <w:snapToGrid w:val="0"/>
        <w:spacing w:line="420" w:lineRule="exact"/>
        <w:ind w:firstLine="480"/>
      </w:pPr>
      <w:r>
        <w:rPr>
          <w:rFonts w:hint="eastAsia"/>
        </w:rPr>
        <w:t>3.24、本合同约定承包人应承担的违约金、赔偿金、罚金等费用，发包人有权直接从应支付给承包人的工程款中扣除或者向银行申请执行履约保函相应金额。另外，由承包人承担发包人向其追偿损失而支出的律师费、诉讼费、保全费及交通费等。</w:t>
      </w:r>
    </w:p>
    <w:p w14:paraId="629DC32F">
      <w:pPr>
        <w:adjustRightInd w:val="0"/>
        <w:snapToGrid w:val="0"/>
        <w:spacing w:line="420" w:lineRule="exact"/>
        <w:ind w:firstLine="480"/>
      </w:pPr>
      <w:r>
        <w:rPr>
          <w:rFonts w:hint="eastAsia"/>
        </w:rPr>
        <w:t>3.25、因承包人不按照合同或者施工方案（计划）约定组织施工，造成工程工期节点延误、或者造成质量问题、或者造成安全事故、或者造成安全隐患，发包人有权约谈承包人。经发包人3次约谈，承包人在发包人要求的期限内仍不整改，或者整改不到位的，发包人有权解除合同，不予支付承包人剩余费用（已支付的款项超过应支付给承包人费用的，承包人应予以退还），同时发包人还有权向承包人所交履约保函的担保银行索赔保函全部金额，造成发包人损失的，承包人还需予以赔偿。</w:t>
      </w:r>
    </w:p>
    <w:p w14:paraId="2F0A5F80">
      <w:pPr>
        <w:adjustRightInd w:val="0"/>
        <w:snapToGrid w:val="0"/>
        <w:spacing w:line="420" w:lineRule="exact"/>
        <w:ind w:firstLine="480"/>
      </w:pPr>
      <w:r>
        <w:rPr>
          <w:rFonts w:hint="eastAsia"/>
        </w:rPr>
        <w:t>3.26、施工红线内的安全文明措施费已经包含在总价中，不予以调整。施工红线外其他涉及公共安全方面的安全文明措施费，按照变更程序实施，并按合同规定计算费用，但此项变更必须经得发包人同意，否则发包人有权拒绝支付承包人任何费用。</w:t>
      </w:r>
    </w:p>
    <w:p w14:paraId="4AE49F7B">
      <w:pPr>
        <w:adjustRightInd w:val="0"/>
        <w:snapToGrid w:val="0"/>
        <w:spacing w:line="420" w:lineRule="exact"/>
        <w:ind w:firstLine="480"/>
      </w:pPr>
      <w:r>
        <w:rPr>
          <w:rFonts w:hint="eastAsia"/>
        </w:rPr>
        <w:t>3.27、本工程须向区建设部门申请变更备案，故承包人须按发包人的规定协助发包方整理变更备案手续所需的资料，并将变更备案所需资料提交给发包人。否则，工程变更一律不予以计费，且已支付的工程变更款承包方需予以退还，由此导致的损失由承包人自行承担。</w:t>
      </w:r>
    </w:p>
    <w:p w14:paraId="48366C40">
      <w:pPr>
        <w:adjustRightInd w:val="0"/>
        <w:snapToGrid w:val="0"/>
        <w:spacing w:line="420" w:lineRule="exact"/>
        <w:ind w:firstLine="480"/>
      </w:pPr>
      <w:r>
        <w:rPr>
          <w:rFonts w:hint="eastAsia"/>
        </w:rPr>
        <w:t>3.28、其他要求详见《关于进一步加强建筑劳务分包工作的通知》（深建管[2007]45号）、《关于在全市政府投资工程中推行建筑劳务分包制度的通知》（深建字[2006]124号）和《关于进一步落实在政府投资工程中实行建筑劳务分包制度的通知》（深建字[2007]11号）以及《深圳市建筑劳务分包管理暂行办法》（深建规[2008]7号）。</w:t>
      </w:r>
    </w:p>
    <w:p w14:paraId="6E5BDBA1">
      <w:pPr>
        <w:adjustRightInd w:val="0"/>
        <w:snapToGrid w:val="0"/>
        <w:spacing w:line="420" w:lineRule="exact"/>
        <w:ind w:firstLine="480" w:firstLineChars="200"/>
      </w:pPr>
      <w:r>
        <w:rPr>
          <w:rFonts w:hint="eastAsia"/>
        </w:rPr>
        <w:t>3.29、承包人必须遵守《深圳市建设工程施工围挡改造提升工作方案》(深建质安</w:t>
      </w:r>
    </w:p>
    <w:p w14:paraId="494DDCF6">
      <w:pPr>
        <w:pStyle w:val="14"/>
        <w:adjustRightInd w:val="0"/>
        <w:snapToGrid w:val="0"/>
        <w:spacing w:line="420" w:lineRule="exact"/>
        <w:ind w:firstLine="480" w:firstLineChars="200"/>
        <w:rPr>
          <w:rFonts w:ascii="宋体" w:hAnsi="宋体"/>
          <w:kern w:val="0"/>
          <w:sz w:val="24"/>
          <w:szCs w:val="24"/>
        </w:rPr>
      </w:pPr>
      <w:r>
        <w:rPr>
          <w:rFonts w:hint="eastAsia" w:ascii="宋体" w:hAnsi="宋体"/>
          <w:kern w:val="0"/>
          <w:sz w:val="24"/>
          <w:szCs w:val="24"/>
        </w:rPr>
        <w:t>3.30、根据深宝财[2020]274号文中标单位申请预付款时需同时提供预付款保函，且保函额度不得低于预付款金额，具体保函额度等于或大于实际合同签订价预付款金额。</w:t>
      </w:r>
    </w:p>
    <w:p w14:paraId="35E9859D">
      <w:pPr>
        <w:adjustRightInd w:val="0"/>
        <w:snapToGrid w:val="0"/>
        <w:spacing w:line="360" w:lineRule="auto"/>
        <w:ind w:firstLine="360" w:firstLineChars="150"/>
      </w:pPr>
      <w:r>
        <w:rPr>
          <w:rFonts w:hint="eastAsia"/>
        </w:rPr>
        <w:t>3.31、本合同条款应与通用条款、工程量清单、工程建设标准及技术要求和图纸结合起来理解或解释。本补充条款和协议书、通用条款、专用条款若有冲突之处，则以本补充条款为准。</w:t>
      </w:r>
    </w:p>
    <w:bookmarkEnd w:id="442"/>
    <w:bookmarkEnd w:id="443"/>
    <w:p w14:paraId="27012AE4">
      <w:pPr>
        <w:adjustRightInd w:val="0"/>
        <w:snapToGrid w:val="0"/>
        <w:spacing w:line="360" w:lineRule="auto"/>
      </w:pPr>
      <w:r>
        <w:rPr>
          <w:rFonts w:hint="eastAsia"/>
        </w:rPr>
        <w:t>3.32风险提示：</w:t>
      </w:r>
    </w:p>
    <w:p w14:paraId="5B1B9E83">
      <w:pPr>
        <w:adjustRightInd w:val="0"/>
        <w:snapToGrid w:val="0"/>
        <w:spacing w:line="360" w:lineRule="auto"/>
        <w:ind w:firstLine="360" w:firstLineChars="150"/>
      </w:pPr>
      <w:r>
        <w:rPr>
          <w:rFonts w:hint="eastAsia"/>
        </w:rPr>
        <w:t>若因政府或其他非发包人原因导致本合同工作终止，合同工期顺延，不增加额外费用。发包人可以按照承包人实际完成的且经发包人评估合格的工作量进行结算，除此之外不增加因上述原因导致合同终止而产生的其他额外费用。</w:t>
      </w:r>
    </w:p>
    <w:p w14:paraId="337E9277">
      <w:pPr>
        <w:adjustRightInd w:val="0"/>
        <w:snapToGrid w:val="0"/>
        <w:spacing w:line="360" w:lineRule="auto"/>
        <w:ind w:firstLine="360" w:firstLineChars="150"/>
      </w:pPr>
      <w:r>
        <w:rPr>
          <w:rFonts w:hint="eastAsia"/>
        </w:rPr>
        <w:t>3.33附件</w:t>
      </w:r>
    </w:p>
    <w:p w14:paraId="3E65D085">
      <w:pPr>
        <w:widowControl w:val="0"/>
        <w:spacing w:line="360" w:lineRule="auto"/>
        <w:jc w:val="both"/>
        <w:rPr>
          <w:kern w:val="2"/>
        </w:rPr>
      </w:pPr>
      <w:r>
        <w:rPr>
          <w:rFonts w:hint="eastAsia"/>
          <w:kern w:val="2"/>
        </w:rPr>
        <w:t>附件一：安全管理协议书</w:t>
      </w:r>
    </w:p>
    <w:p w14:paraId="0E531E26">
      <w:pPr>
        <w:pStyle w:val="10"/>
        <w:ind w:firstLine="0"/>
        <w:rPr>
          <w:rFonts w:hint="eastAsia"/>
        </w:rPr>
      </w:pPr>
      <w:r>
        <w:rPr>
          <w:rFonts w:hint="eastAsia"/>
        </w:rPr>
        <w:t>附件二：工程建设廉政责任书</w:t>
      </w:r>
    </w:p>
    <w:p w14:paraId="516399CD">
      <w:pPr>
        <w:rPr>
          <w:rFonts w:hint="eastAsia"/>
        </w:rPr>
      </w:pPr>
    </w:p>
    <w:p w14:paraId="13C77E2E">
      <w:pPr>
        <w:rPr>
          <w:rFonts w:hint="eastAsia"/>
        </w:rPr>
      </w:pPr>
    </w:p>
    <w:p w14:paraId="20560642">
      <w:pPr>
        <w:rPr>
          <w:rFonts w:hint="eastAsia"/>
        </w:rPr>
      </w:pPr>
    </w:p>
    <w:p w14:paraId="60A31D91">
      <w:pPr>
        <w:rPr>
          <w:rFonts w:hint="eastAsia"/>
        </w:rPr>
      </w:pPr>
    </w:p>
    <w:p w14:paraId="3F706398">
      <w:pPr>
        <w:widowControl w:val="0"/>
        <w:spacing w:line="276" w:lineRule="auto"/>
        <w:jc w:val="both"/>
        <w:rPr>
          <w:kern w:val="2"/>
        </w:rPr>
      </w:pPr>
    </w:p>
    <w:p w14:paraId="54C4C380">
      <w:pPr>
        <w:widowControl w:val="0"/>
        <w:spacing w:line="276" w:lineRule="auto"/>
        <w:jc w:val="both"/>
        <w:rPr>
          <w:kern w:val="2"/>
        </w:rPr>
      </w:pPr>
    </w:p>
    <w:p w14:paraId="2C8110FB">
      <w:pPr>
        <w:widowControl w:val="0"/>
        <w:spacing w:line="276" w:lineRule="auto"/>
        <w:jc w:val="both"/>
        <w:rPr>
          <w:kern w:val="2"/>
        </w:rPr>
      </w:pPr>
      <w:r>
        <w:rPr>
          <w:rFonts w:hint="eastAsia"/>
          <w:kern w:val="2"/>
        </w:rPr>
        <w:t>附件一：安全管理协议书</w:t>
      </w:r>
    </w:p>
    <w:p w14:paraId="5138F21B">
      <w:pPr>
        <w:spacing w:line="360" w:lineRule="auto"/>
        <w:jc w:val="center"/>
        <w:rPr>
          <w:rFonts w:asciiTheme="minorEastAsia" w:hAnsiTheme="minorEastAsia" w:eastAsiaTheme="minorEastAsia"/>
          <w:b/>
        </w:rPr>
      </w:pPr>
      <w:r>
        <w:rPr>
          <w:rFonts w:hint="eastAsia" w:asciiTheme="minorEastAsia" w:hAnsiTheme="minorEastAsia" w:eastAsiaTheme="minorEastAsia"/>
          <w:b/>
        </w:rPr>
        <w:t>安全管理协议书</w:t>
      </w:r>
    </w:p>
    <w:p w14:paraId="76D20628">
      <w:pPr>
        <w:spacing w:line="360" w:lineRule="auto"/>
        <w:rPr>
          <w:rFonts w:asciiTheme="minorEastAsia" w:hAnsiTheme="minorEastAsia" w:eastAsiaTheme="minorEastAsia"/>
        </w:rPr>
      </w:pPr>
    </w:p>
    <w:p w14:paraId="44A0E2FE">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甲方：                               (以下简称甲方)</w:t>
      </w:r>
    </w:p>
    <w:p w14:paraId="32734984">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乙方：                               (以下简称乙方)</w:t>
      </w:r>
    </w:p>
    <w:p w14:paraId="43A538FF">
      <w:pPr>
        <w:widowControl w:val="0"/>
        <w:snapToGrid w:val="0"/>
        <w:spacing w:beforeLines="50" w:line="360" w:lineRule="auto"/>
        <w:ind w:firstLine="555"/>
        <w:rPr>
          <w:rFonts w:asciiTheme="minorEastAsia" w:hAnsiTheme="minorEastAsia" w:eastAsiaTheme="minorEastAsia"/>
          <w:sz w:val="28"/>
        </w:rPr>
      </w:pPr>
      <w:r>
        <w:rPr>
          <w:rFonts w:hint="eastAsia" w:asciiTheme="minorEastAsia" w:hAnsiTheme="minorEastAsia" w:eastAsiaTheme="minorEastAsia"/>
        </w:rPr>
        <w:t>为了加强作业现场的安全管理，营造一个良好的安全生产环境，明确双方的安全生产权利、义务、职责和应当采取的措施，对相关方的安全管理措施和人员进行督促和统一协调管理，预防各类安全事故的发生。甲乙双方在平等协商的基础上，同意在签订工程合同的同时，签订本协议，并自觉遵守。</w:t>
      </w:r>
    </w:p>
    <w:p w14:paraId="3629F313">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工程内容</w:t>
      </w:r>
    </w:p>
    <w:p w14:paraId="168F2172">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1、工程名称：</w:t>
      </w:r>
    </w:p>
    <w:p w14:paraId="3168768E">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2、作业时间：本</w:t>
      </w:r>
      <w:r>
        <w:rPr>
          <w:rFonts w:hint="eastAsia" w:cs="Times New Roman" w:asciiTheme="minorEastAsia" w:hAnsiTheme="minorEastAsia" w:eastAsiaTheme="minorEastAsia"/>
        </w:rPr>
        <w:t>安全管理协议</w:t>
      </w:r>
      <w:r>
        <w:rPr>
          <w:rFonts w:hint="eastAsia" w:asciiTheme="minorEastAsia" w:hAnsiTheme="minorEastAsia" w:eastAsiaTheme="minorEastAsia"/>
        </w:rPr>
        <w:t>作业时间与双方所签订的工程合同工期保持一致。</w:t>
      </w:r>
    </w:p>
    <w:p w14:paraId="22D81866">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适用对象和范围</w:t>
      </w:r>
    </w:p>
    <w:p w14:paraId="602410E7">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甲方与具备国家法律法规规定安全生产条件并具有独立承担民事责任资格的单位签订相应的工程合同，合同签订后乙方可在甲方生产经营区域内从事工程合同相关活动。</w:t>
      </w:r>
    </w:p>
    <w:p w14:paraId="3D30BFFD">
      <w:pPr>
        <w:spacing w:line="560" w:lineRule="exact"/>
        <w:ind w:firstLine="482" w:firstLineChars="200"/>
        <w:rPr>
          <w:rFonts w:asciiTheme="minorEastAsia" w:hAnsiTheme="minorEastAsia" w:eastAsiaTheme="minorEastAsia"/>
          <w:b/>
        </w:rPr>
      </w:pPr>
      <w:r>
        <w:rPr>
          <w:rFonts w:hint="eastAsia" w:asciiTheme="minorEastAsia" w:hAnsiTheme="minorEastAsia" w:eastAsiaTheme="minorEastAsia"/>
          <w:b/>
        </w:rPr>
        <w:t>本协议作为工程合同的附件同时签订、同时生效，合同期内甲、乙双方应当依据本协议约定，享有各自权利、承担各自义务。</w:t>
      </w:r>
    </w:p>
    <w:p w14:paraId="7FC2307F">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双方应当遵循的基本原则</w:t>
      </w:r>
    </w:p>
    <w:p w14:paraId="4ECA6EF2">
      <w:pPr>
        <w:numPr>
          <w:ilvl w:val="0"/>
          <w:numId w:val="7"/>
        </w:num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甲乙双方应遵守《安全生产法》、《建筑法》、《消防法》、《广东省安全生产条例》和《深圳经济特区安全生产监督管理条例》等相关的法律法规要求，牢固树立安全发展理念，坚持安全第一、预防为主、综合治理的方针，从源头上防范化解重大安全风险。</w:t>
      </w:r>
    </w:p>
    <w:p w14:paraId="5EF2026B">
      <w:pPr>
        <w:numPr>
          <w:ilvl w:val="0"/>
          <w:numId w:val="7"/>
        </w:num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甲乙双方应相互配合，支持安全检查工作的落实。乙方不得拒绝、阻扰甲方安全监督检查工作。</w:t>
      </w:r>
    </w:p>
    <w:p w14:paraId="3EE7E996">
      <w:pPr>
        <w:numPr>
          <w:ilvl w:val="0"/>
          <w:numId w:val="7"/>
        </w:num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双方必须严守技术秘密和业务秘密。</w:t>
      </w:r>
    </w:p>
    <w:p w14:paraId="54DC532A">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甲方的责任</w:t>
      </w:r>
    </w:p>
    <w:p w14:paraId="2275D7BD">
      <w:pPr>
        <w:spacing w:line="560" w:lineRule="exact"/>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1、甲方应当为乙方在进场时，按照合同约定提供符合作业的安全条件和环境，在乙方进场后组织安全管理交底会议，告知乙方本企业相关的安全生产规章制度及要求</w:t>
      </w:r>
      <w:r>
        <w:rPr>
          <w:rFonts w:cs="Times New Roman" w:asciiTheme="minorEastAsia" w:hAnsiTheme="minorEastAsia" w:eastAsiaTheme="minorEastAsia"/>
        </w:rPr>
        <w:t>，</w:t>
      </w:r>
      <w:r>
        <w:rPr>
          <w:rFonts w:hint="eastAsia" w:cs="Times New Roman" w:asciiTheme="minorEastAsia" w:hAnsiTheme="minorEastAsia" w:eastAsiaTheme="minorEastAsia"/>
        </w:rPr>
        <w:t>明确对乙方的安全管理要求。</w:t>
      </w:r>
    </w:p>
    <w:p w14:paraId="05DD5B91">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2、甲方将安全生产管理纳入项目管理的重要内容，项目实施过程中，甲方有权对乙方有关安全生产情况进行监督检查，并对存在的安全隐患提出整改要求。</w:t>
      </w:r>
    </w:p>
    <w:p w14:paraId="0381F608">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3、甲方对乙方工作中存在的重大安全隐患，有权责令乙方立即停工整改，乙方拒不整改、排除的，甲方有权单方终止与乙方的相关经济业务合同的履行。</w:t>
      </w:r>
    </w:p>
    <w:p w14:paraId="4511BC72">
      <w:pPr>
        <w:spacing w:line="560" w:lineRule="exact"/>
        <w:ind w:firstLine="480" w:firstLineChars="200"/>
        <w:rPr>
          <w:rFonts w:cs="Times New Roman" w:asciiTheme="minorEastAsia" w:hAnsiTheme="minorEastAsia" w:eastAsiaTheme="minorEastAsia"/>
        </w:rPr>
      </w:pPr>
      <w:r>
        <w:rPr>
          <w:rFonts w:hint="eastAsia" w:asciiTheme="minorEastAsia" w:hAnsiTheme="minorEastAsia" w:eastAsiaTheme="minorEastAsia"/>
        </w:rPr>
        <w:t>4、甲方</w:t>
      </w:r>
      <w:r>
        <w:rPr>
          <w:rFonts w:hint="eastAsia" w:cs="Times New Roman" w:asciiTheme="minorEastAsia" w:hAnsiTheme="minorEastAsia" w:eastAsiaTheme="minorEastAsia"/>
        </w:rPr>
        <w:t>按合同及时支付相关安全文明施工措施费用</w:t>
      </w:r>
      <w:r>
        <w:rPr>
          <w:rFonts w:cs="Times New Roman" w:asciiTheme="minorEastAsia" w:hAnsiTheme="minorEastAsia" w:eastAsiaTheme="minorEastAsia"/>
        </w:rPr>
        <w:t>，</w:t>
      </w:r>
      <w:r>
        <w:rPr>
          <w:rFonts w:hint="eastAsia" w:cs="Times New Roman" w:asciiTheme="minorEastAsia" w:hAnsiTheme="minorEastAsia" w:eastAsiaTheme="minorEastAsia"/>
        </w:rPr>
        <w:t>并对乙方的安全文明施工措施费使用管理情况进行监督检查。</w:t>
      </w:r>
    </w:p>
    <w:p w14:paraId="112BE628">
      <w:pPr>
        <w:spacing w:line="560" w:lineRule="exact"/>
        <w:ind w:firstLine="480" w:firstLineChars="200"/>
        <w:rPr>
          <w:rFonts w:cs="Times New Roman" w:asciiTheme="minorEastAsia" w:hAnsiTheme="minorEastAsia" w:eastAsiaTheme="minorEastAsia"/>
        </w:rPr>
      </w:pPr>
      <w:r>
        <w:rPr>
          <w:rFonts w:hint="eastAsia" w:cs="Times New Roman" w:asciiTheme="minorEastAsia" w:hAnsiTheme="minorEastAsia" w:eastAsiaTheme="minorEastAsia"/>
        </w:rPr>
        <w:t>5、甲方有义务协助乙方处理突发的安全事故，及时采取救助措施。</w:t>
      </w:r>
    </w:p>
    <w:p w14:paraId="4D8D0245">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乙方的责任</w:t>
      </w:r>
    </w:p>
    <w:p w14:paraId="17C8D3C4">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1、乙方必须具备承揽本项目的安全生产能力及相关资质。</w:t>
      </w:r>
    </w:p>
    <w:p w14:paraId="793BB898">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2、乙方严禁将承包的工程或部分工程转包或者违法分包，否则所发生安全事故，由乙方承担全部安全生产责任。</w:t>
      </w:r>
    </w:p>
    <w:p w14:paraId="2E826600">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3、乙方须建立完善的安全管理组织机构，按合同约定配置符合要求的专职安全管理人员，建立健全各项安全管理规章制度，制订并落实各项安全防护措施。</w:t>
      </w:r>
    </w:p>
    <w:p w14:paraId="1CAC2301">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4、乙方管理人员在员工作业前应先熟悉现场，并对所处区域的作业环境可能存在的危险因素、预防措施给员工进行安全技术交底，同时对使用的设施设备等，负有认真检查和确认的义务，严禁设施、设备等带病作业，否则因此而产生的一切法律后果，由乙方承担。</w:t>
      </w:r>
    </w:p>
    <w:p w14:paraId="4A038AF6">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5、乙方人员进入施工现场前，须办好相关手续，接受安全教育，严禁“三无”人员进入施工作业区域。在作业期间须按规定穿戴好劳保防护用品，在作业现场不得擅自动用或操作甲方的设施、装备，因此酿成的后果由乙方负责。</w:t>
      </w:r>
    </w:p>
    <w:p w14:paraId="6F143F48">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6、乙方各类作业人员必须具有相应的安全技术素质，特种设备作业人员、特种作业人员等必须持有效证件方准上岗，所使用的特种设备必须取得有效的安全检验合格证，方准在现场使用。</w:t>
      </w:r>
    </w:p>
    <w:p w14:paraId="55C24810">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7、乙方人员应当遵守甲方规章制度，接受甲方安全监督检查，经查证发现的安全隐患，乙方必须立即采取有效措施予以整改或纠正，否则甲方有权予以停工和违约处罚，所造成的损失由乙方承担。</w:t>
      </w:r>
    </w:p>
    <w:p w14:paraId="28B35F22">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8、乙方应认真对待甲方提出的整改建议，并将整改情况以书面形式反馈甲方有关部门，否则甲方有权责令其停止施工，限期整改，乙方应对延期造成的损失负责。</w:t>
      </w:r>
    </w:p>
    <w:p w14:paraId="49F0AF4D">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9、乙方在危大工程施工前应组织工程技术人员编制专项施工方案，对于超过一定规模的危大工程，应当组织召开专家论证会对专项施工方案进行论证。</w:t>
      </w:r>
    </w:p>
    <w:p w14:paraId="6C1C09FA">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10、乙方应组织对施工现场的定期和专项安全生产检查，并做好安全检查记录，发现作业过程中安全隐患、重大险情，应采取有效措施积极处理并及时报告。</w:t>
      </w:r>
    </w:p>
    <w:p w14:paraId="714CC38F">
      <w:pPr>
        <w:spacing w:line="560" w:lineRule="exact"/>
        <w:ind w:firstLine="480" w:firstLineChars="200"/>
        <w:rPr>
          <w:rFonts w:asciiTheme="minorEastAsia" w:hAnsiTheme="minorEastAsia" w:eastAsiaTheme="minorEastAsia"/>
        </w:rPr>
      </w:pPr>
      <w:r>
        <w:rPr>
          <w:rFonts w:hint="eastAsia" w:asciiTheme="minorEastAsia" w:hAnsiTheme="minorEastAsia" w:eastAsiaTheme="minorEastAsia"/>
        </w:rPr>
        <w:t>11、作业现场必须保证安全作业。乙方对作业过程中发生的安全事故，负责按要求及时向有关部门和甲方报告，并承担因安全事故所产生的相关费用。如果因安全事故给甲方造成损失，乙方应承担全部赔偿责任。</w:t>
      </w:r>
    </w:p>
    <w:p w14:paraId="435247DD">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违约责任</w:t>
      </w:r>
    </w:p>
    <w:p w14:paraId="4E53A7DB">
      <w:pPr>
        <w:spacing w:line="560" w:lineRule="exact"/>
        <w:ind w:firstLine="484" w:firstLineChars="202"/>
        <w:rPr>
          <w:rFonts w:asciiTheme="minorEastAsia" w:hAnsiTheme="minorEastAsia" w:eastAsiaTheme="minorEastAsia"/>
        </w:rPr>
      </w:pPr>
      <w:r>
        <w:rPr>
          <w:rFonts w:hint="eastAsia" w:cs="Times New Roman" w:asciiTheme="minorEastAsia" w:hAnsiTheme="minorEastAsia" w:eastAsiaTheme="minorEastAsia"/>
        </w:rPr>
        <w:t>1、</w:t>
      </w:r>
      <w:r>
        <w:rPr>
          <w:rFonts w:hint="eastAsia" w:asciiTheme="minorEastAsia" w:hAnsiTheme="minorEastAsia" w:eastAsiaTheme="minorEastAsia"/>
        </w:rPr>
        <w:t>本协议履行期间，若因乙方违约行为发生安全生产事故，</w:t>
      </w:r>
      <w:r>
        <w:rPr>
          <w:rFonts w:hint="eastAsia" w:cs="Times New Roman" w:asciiTheme="minorEastAsia" w:hAnsiTheme="minorEastAsia" w:eastAsiaTheme="minorEastAsia"/>
        </w:rPr>
        <w:t>事故损失由乙方全部承担，</w:t>
      </w:r>
      <w:r>
        <w:rPr>
          <w:rFonts w:hint="eastAsia" w:asciiTheme="minorEastAsia" w:hAnsiTheme="minorEastAsia" w:eastAsiaTheme="minorEastAsia"/>
        </w:rPr>
        <w:t>并</w:t>
      </w:r>
      <w:r>
        <w:rPr>
          <w:rFonts w:hint="eastAsia" w:cs="Times New Roman" w:asciiTheme="minorEastAsia" w:hAnsiTheme="minorEastAsia" w:eastAsiaTheme="minorEastAsia"/>
        </w:rPr>
        <w:t>由乙方</w:t>
      </w:r>
      <w:r>
        <w:rPr>
          <w:rFonts w:hint="eastAsia" w:asciiTheme="minorEastAsia" w:hAnsiTheme="minorEastAsia" w:eastAsiaTheme="minorEastAsia"/>
        </w:rPr>
        <w:t>根据双方所签订的工程合同条款承担违约责任。</w:t>
      </w:r>
    </w:p>
    <w:p w14:paraId="5F114101">
      <w:pPr>
        <w:spacing w:line="560" w:lineRule="exact"/>
        <w:ind w:firstLine="484" w:firstLineChars="202"/>
        <w:rPr>
          <w:rFonts w:cs="Times New Roman" w:asciiTheme="minorEastAsia" w:hAnsiTheme="minorEastAsia" w:eastAsiaTheme="minorEastAsia"/>
        </w:rPr>
      </w:pPr>
      <w:r>
        <w:rPr>
          <w:rFonts w:hint="eastAsia" w:cs="Times New Roman" w:asciiTheme="minorEastAsia" w:hAnsiTheme="minorEastAsia" w:eastAsiaTheme="minorEastAsia"/>
        </w:rPr>
        <w:t>2、甲方在安全检查中发现乙方</w:t>
      </w:r>
      <w:r>
        <w:rPr>
          <w:rFonts w:hint="eastAsia" w:asciiTheme="minorEastAsia" w:hAnsiTheme="minorEastAsia" w:eastAsiaTheme="minorEastAsia"/>
        </w:rPr>
        <w:t>相关违约行为导致的安全隐患</w:t>
      </w:r>
      <w:r>
        <w:rPr>
          <w:rFonts w:hint="eastAsia" w:cs="Times New Roman" w:asciiTheme="minorEastAsia" w:hAnsiTheme="minorEastAsia" w:eastAsiaTheme="minorEastAsia"/>
        </w:rPr>
        <w:t>，或乙方未按甲方要求落实整改并及时完成回复的，</w:t>
      </w:r>
      <w:r>
        <w:rPr>
          <w:rFonts w:hint="eastAsia" w:asciiTheme="minorEastAsia" w:hAnsiTheme="minorEastAsia" w:eastAsiaTheme="minorEastAsia"/>
        </w:rPr>
        <w:t>甲方可在应付乙方的相关款项中按工程合同奖罚细则约定扣减相应罚款</w:t>
      </w:r>
      <w:r>
        <w:rPr>
          <w:rFonts w:hint="eastAsia" w:cs="Times New Roman" w:asciiTheme="minorEastAsia" w:hAnsiTheme="minorEastAsia" w:eastAsiaTheme="minorEastAsia"/>
        </w:rPr>
        <w:t>。</w:t>
      </w:r>
    </w:p>
    <w:p w14:paraId="774D0F37">
      <w:pPr>
        <w:spacing w:line="560" w:lineRule="exact"/>
        <w:ind w:firstLine="484" w:firstLineChars="202"/>
        <w:rPr>
          <w:rFonts w:asciiTheme="minorEastAsia" w:hAnsiTheme="minorEastAsia" w:eastAsiaTheme="minorEastAsia"/>
        </w:rPr>
      </w:pPr>
      <w:r>
        <w:rPr>
          <w:rFonts w:hint="eastAsia" w:cs="Times New Roman" w:asciiTheme="minorEastAsia" w:hAnsiTheme="minorEastAsia" w:eastAsiaTheme="minorEastAsia"/>
        </w:rPr>
        <w:t>3、其他违约处理按双方签订的</w:t>
      </w:r>
      <w:r>
        <w:rPr>
          <w:rFonts w:hint="eastAsia" w:asciiTheme="minorEastAsia" w:hAnsiTheme="minorEastAsia" w:eastAsiaTheme="minorEastAsia"/>
        </w:rPr>
        <w:t>工程</w:t>
      </w:r>
      <w:r>
        <w:rPr>
          <w:rFonts w:hint="eastAsia" w:cs="Times New Roman" w:asciiTheme="minorEastAsia" w:hAnsiTheme="minorEastAsia" w:eastAsiaTheme="minorEastAsia"/>
        </w:rPr>
        <w:t>合同相关条款执行。</w:t>
      </w:r>
    </w:p>
    <w:p w14:paraId="58B6DAFA">
      <w:pPr>
        <w:pStyle w:val="15"/>
        <w:numPr>
          <w:ilvl w:val="0"/>
          <w:numId w:val="6"/>
        </w:numPr>
        <w:spacing w:line="560" w:lineRule="exact"/>
        <w:ind w:firstLineChars="0"/>
        <w:rPr>
          <w:rFonts w:asciiTheme="minorEastAsia" w:hAnsiTheme="minorEastAsia" w:eastAsiaTheme="minorEastAsia"/>
          <w:b/>
        </w:rPr>
      </w:pPr>
      <w:r>
        <w:rPr>
          <w:rFonts w:hint="eastAsia" w:asciiTheme="minorEastAsia" w:hAnsiTheme="minorEastAsia" w:eastAsiaTheme="minorEastAsia"/>
          <w:b/>
        </w:rPr>
        <w:t>附则</w:t>
      </w:r>
    </w:p>
    <w:p w14:paraId="75DB1E8C">
      <w:pPr>
        <w:widowControl w:val="0"/>
        <w:numPr>
          <w:ilvl w:val="0"/>
          <w:numId w:val="8"/>
        </w:numPr>
        <w:spacing w:line="560" w:lineRule="exact"/>
        <w:ind w:firstLine="484" w:firstLineChars="202"/>
        <w:rPr>
          <w:rFonts w:cs="Times New Roman" w:asciiTheme="minorEastAsia" w:hAnsiTheme="minorEastAsia" w:eastAsiaTheme="minorEastAsia"/>
        </w:rPr>
      </w:pPr>
      <w:r>
        <w:rPr>
          <w:rFonts w:hint="eastAsia" w:cs="Times New Roman" w:asciiTheme="minorEastAsia" w:hAnsiTheme="minorEastAsia" w:eastAsiaTheme="minorEastAsia"/>
        </w:rPr>
        <w:t>本安全管理协议书为双方签订的</w:t>
      </w:r>
      <w:r>
        <w:rPr>
          <w:rFonts w:hint="eastAsia" w:cs="Times New Roman" w:asciiTheme="minorEastAsia" w:hAnsiTheme="minorEastAsia" w:eastAsiaTheme="minorEastAsia"/>
          <w:lang w:eastAsia="zh-CN"/>
        </w:rPr>
        <w:t>深圳市</w:t>
      </w:r>
      <w:r>
        <w:rPr>
          <w:rFonts w:hint="eastAsia" w:cs="Times New Roman" w:asciiTheme="minorEastAsia" w:hAnsiTheme="minorEastAsia" w:eastAsiaTheme="minorEastAsia"/>
          <w:lang w:val="en-US" w:eastAsia="zh-CN"/>
        </w:rPr>
        <w:t>东部</w:t>
      </w:r>
      <w:r>
        <w:rPr>
          <w:rFonts w:hint="eastAsia" w:cs="Times New Roman" w:asciiTheme="minorEastAsia" w:hAnsiTheme="minorEastAsia" w:eastAsiaTheme="minorEastAsia"/>
          <w:lang w:eastAsia="zh-CN"/>
        </w:rPr>
        <w:t>工人文化宫（沙头角体育馆改造）项目建（构）筑物拆除工程</w:t>
      </w:r>
      <w:r>
        <w:rPr>
          <w:rFonts w:hint="eastAsia" w:cs="Times New Roman" w:asciiTheme="minorEastAsia" w:hAnsiTheme="minorEastAsia" w:eastAsiaTheme="minorEastAsia"/>
        </w:rPr>
        <w:t>工程合同的附件，与工程合同具有同等法律效力，协议内容与工程合同条款冲突的，按工程合同条款执行。</w:t>
      </w:r>
    </w:p>
    <w:p w14:paraId="621A51F1">
      <w:pPr>
        <w:widowControl w:val="0"/>
        <w:numPr>
          <w:ilvl w:val="0"/>
          <w:numId w:val="8"/>
        </w:numPr>
        <w:spacing w:line="560" w:lineRule="exact"/>
        <w:ind w:firstLine="484" w:firstLineChars="202"/>
        <w:rPr>
          <w:rFonts w:cs="Times New Roman" w:asciiTheme="minorEastAsia" w:hAnsiTheme="minorEastAsia" w:eastAsiaTheme="minorEastAsia"/>
        </w:rPr>
      </w:pPr>
      <w:r>
        <w:rPr>
          <w:rFonts w:hint="eastAsia" w:cs="Times New Roman" w:asciiTheme="minorEastAsia" w:hAnsiTheme="minorEastAsia" w:eastAsiaTheme="minorEastAsia"/>
        </w:rPr>
        <w:t>本安全管理协议书有效期与双方所签订的工程合同保持一致。</w:t>
      </w:r>
    </w:p>
    <w:p w14:paraId="1CD28A97">
      <w:pPr>
        <w:widowControl w:val="0"/>
        <w:numPr>
          <w:ilvl w:val="0"/>
          <w:numId w:val="8"/>
        </w:numPr>
        <w:spacing w:line="560" w:lineRule="exact"/>
        <w:ind w:firstLine="484" w:firstLineChars="202"/>
        <w:rPr>
          <w:rFonts w:cs="Times New Roman" w:asciiTheme="minorEastAsia" w:hAnsiTheme="minorEastAsia" w:eastAsiaTheme="minorEastAsia"/>
        </w:rPr>
      </w:pPr>
      <w:r>
        <w:rPr>
          <w:rFonts w:hint="eastAsia" w:cs="Times New Roman" w:asciiTheme="minorEastAsia" w:hAnsiTheme="minorEastAsia" w:eastAsiaTheme="minorEastAsia"/>
        </w:rPr>
        <w:t>本安全管理协议书未尽事宜按照有关法律、法规、规范、标准执行。</w:t>
      </w:r>
    </w:p>
    <w:p w14:paraId="6B2D5501">
      <w:pPr>
        <w:widowControl w:val="0"/>
        <w:numPr>
          <w:ilvl w:val="0"/>
          <w:numId w:val="8"/>
        </w:num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 xml:space="preserve">本安全管理协议书在履行过程中发生争议，由双方协商解决，协商不成向本项目所在地有管辖权的人民法院提起诉讼。 </w:t>
      </w:r>
    </w:p>
    <w:p w14:paraId="2340D235">
      <w:pPr>
        <w:widowControl w:val="0"/>
        <w:numPr>
          <w:ilvl w:val="0"/>
          <w:numId w:val="8"/>
        </w:numPr>
        <w:spacing w:line="560" w:lineRule="exact"/>
        <w:ind w:firstLine="484" w:firstLineChars="202"/>
        <w:rPr>
          <w:rFonts w:asciiTheme="minorEastAsia" w:hAnsiTheme="minorEastAsia" w:eastAsiaTheme="minorEastAsia"/>
        </w:rPr>
      </w:pPr>
      <w:r>
        <w:rPr>
          <w:rFonts w:hint="eastAsia" w:cs="Times New Roman" w:asciiTheme="minorEastAsia" w:hAnsiTheme="minorEastAsia" w:eastAsiaTheme="minorEastAsia"/>
        </w:rPr>
        <w:t>本安全管理协议书</w:t>
      </w:r>
      <w:r>
        <w:rPr>
          <w:rFonts w:hint="eastAsia" w:asciiTheme="minorEastAsia" w:hAnsiTheme="minorEastAsia" w:eastAsiaTheme="minorEastAsia"/>
        </w:rPr>
        <w:t xml:space="preserve">一式四份，甲乙双方各贰份，甲乙双方法定代表人签字盖章后生效。 </w:t>
      </w:r>
    </w:p>
    <w:p w14:paraId="63DBEBF9">
      <w:pPr>
        <w:widowControl w:val="0"/>
        <w:spacing w:line="560" w:lineRule="exact"/>
        <w:ind w:firstLine="484" w:firstLineChars="202"/>
        <w:rPr>
          <w:rFonts w:asciiTheme="minorEastAsia" w:hAnsiTheme="minorEastAsia" w:eastAsiaTheme="minorEastAsia"/>
        </w:rPr>
      </w:pPr>
    </w:p>
    <w:p w14:paraId="44D45263">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甲方（签章）                       乙方（签章）</w:t>
      </w:r>
    </w:p>
    <w:p w14:paraId="477EAB1B">
      <w:pPr>
        <w:spacing w:line="560" w:lineRule="exact"/>
        <w:ind w:firstLine="484" w:firstLineChars="202"/>
        <w:rPr>
          <w:rFonts w:asciiTheme="minorEastAsia" w:hAnsiTheme="minorEastAsia" w:eastAsiaTheme="minorEastAsia"/>
        </w:rPr>
      </w:pPr>
    </w:p>
    <w:p w14:paraId="6CEFD2E9">
      <w:pPr>
        <w:spacing w:line="560" w:lineRule="exact"/>
        <w:ind w:firstLine="484" w:firstLineChars="202"/>
        <w:rPr>
          <w:rFonts w:asciiTheme="minorEastAsia" w:hAnsiTheme="minorEastAsia" w:eastAsiaTheme="minorEastAsia"/>
        </w:rPr>
      </w:pPr>
      <w:r>
        <w:rPr>
          <w:rFonts w:hint="eastAsia" w:asciiTheme="minorEastAsia" w:hAnsiTheme="minorEastAsia" w:eastAsiaTheme="minorEastAsia"/>
        </w:rPr>
        <w:t>甲方法定代表人 ：                 乙方法定代表人 ：</w:t>
      </w:r>
    </w:p>
    <w:p w14:paraId="7E527C59">
      <w:pPr>
        <w:spacing w:line="600" w:lineRule="exact"/>
        <w:rPr>
          <w:rFonts w:asciiTheme="minorEastAsia" w:hAnsiTheme="minorEastAsia" w:eastAsiaTheme="minorEastAsia"/>
        </w:rPr>
      </w:pPr>
    </w:p>
    <w:p w14:paraId="5FBF289C">
      <w:pPr>
        <w:spacing w:line="600" w:lineRule="exact"/>
        <w:ind w:firstLine="240" w:firstLineChars="100"/>
        <w:rPr>
          <w:rFonts w:asciiTheme="minorEastAsia" w:hAnsiTheme="minorEastAsia" w:eastAsiaTheme="minorEastAsia"/>
        </w:rPr>
      </w:pPr>
      <w:r>
        <w:rPr>
          <w:rFonts w:hint="eastAsia" w:asciiTheme="minorEastAsia" w:hAnsiTheme="minorEastAsia" w:eastAsiaTheme="minorEastAsia"/>
        </w:rPr>
        <w:t xml:space="preserve"> 年   月   日                       年    月    日</w:t>
      </w:r>
    </w:p>
    <w:p w14:paraId="3E27EBA1">
      <w:pPr>
        <w:rPr>
          <w:rFonts w:asciiTheme="minorEastAsia" w:hAnsiTheme="minorEastAsia" w:eastAsiaTheme="minorEastAsia"/>
        </w:rPr>
      </w:pPr>
    </w:p>
    <w:p w14:paraId="0E00C90E">
      <w:pPr>
        <w:widowControl w:val="0"/>
        <w:spacing w:line="276" w:lineRule="auto"/>
        <w:jc w:val="both"/>
        <w:rPr>
          <w:kern w:val="2"/>
        </w:rPr>
      </w:pPr>
      <w:r>
        <w:rPr>
          <w:rFonts w:ascii="等线" w:hAnsi="等线" w:eastAsia="等线" w:cs="Times New Roman"/>
          <w:b/>
          <w:bCs/>
          <w:kern w:val="2"/>
          <w:sz w:val="21"/>
          <w:szCs w:val="22"/>
        </w:rPr>
        <w:br w:type="page"/>
      </w:r>
    </w:p>
    <w:p w14:paraId="5440F030">
      <w:pPr>
        <w:widowControl w:val="0"/>
        <w:spacing w:line="276" w:lineRule="auto"/>
        <w:jc w:val="both"/>
        <w:sectPr>
          <w:headerReference r:id="rId6" w:type="default"/>
          <w:footerReference r:id="rId7" w:type="default"/>
          <w:pgSz w:w="11907" w:h="16840"/>
          <w:pgMar w:top="1417" w:right="1417" w:bottom="1417" w:left="1417" w:header="851" w:footer="851" w:gutter="0"/>
          <w:cols w:space="720" w:num="1"/>
          <w:docGrid w:type="lines" w:linePitch="312" w:charSpace="0"/>
        </w:sectPr>
      </w:pPr>
    </w:p>
    <w:p w14:paraId="3E0E3675">
      <w:pPr>
        <w:pStyle w:val="10"/>
        <w:ind w:firstLine="0"/>
      </w:pPr>
      <w:r>
        <w:rPr>
          <w:rFonts w:hint="eastAsia"/>
        </w:rPr>
        <w:t>附件二：工程建设廉政责任书</w:t>
      </w:r>
    </w:p>
    <w:p w14:paraId="5CD6773C">
      <w:pPr>
        <w:jc w:val="center"/>
        <w:rPr>
          <w:b/>
        </w:rPr>
      </w:pPr>
      <w:r>
        <w:rPr>
          <w:rFonts w:hint="eastAsia"/>
          <w:b/>
        </w:rPr>
        <w:t>工程建设廉政责任书</w:t>
      </w:r>
    </w:p>
    <w:p w14:paraId="1D1D88CD">
      <w:pPr>
        <w:spacing w:line="420" w:lineRule="exact"/>
        <w:ind w:firstLine="480" w:firstLineChars="200"/>
      </w:pPr>
      <w:r>
        <w:rPr>
          <w:rFonts w:hint="eastAsia"/>
        </w:rPr>
        <w:t>发包人：（以下简称发包人）</w:t>
      </w:r>
    </w:p>
    <w:p w14:paraId="2E1850FD">
      <w:pPr>
        <w:spacing w:line="420" w:lineRule="exact"/>
        <w:ind w:firstLine="480" w:firstLineChars="200"/>
      </w:pPr>
      <w:r>
        <w:rPr>
          <w:rFonts w:hint="eastAsia"/>
        </w:rPr>
        <w:t>承包人：（以下简称承包人）</w:t>
      </w:r>
    </w:p>
    <w:p w14:paraId="25628C35">
      <w:pPr>
        <w:snapToGrid w:val="0"/>
        <w:spacing w:line="420" w:lineRule="exact"/>
        <w:ind w:firstLine="480" w:firstLineChars="200"/>
      </w:pPr>
      <w:r>
        <w:rPr>
          <w:rFonts w:hint="eastAsia"/>
        </w:rPr>
        <w:t>为加强工程建设中的廉政建设，规范工程项目承包、发包双方的各项活动，防止发生各种谋取不正当利益的违法违纪行为，确保建设项目工程质量达到国家有关规定，根据国家有关工程建设的法律法规和廉政建设规定，特订立本廉政责任书。</w:t>
      </w:r>
    </w:p>
    <w:p w14:paraId="1252FC4F">
      <w:pPr>
        <w:snapToGrid w:val="0"/>
        <w:spacing w:line="420" w:lineRule="exact"/>
        <w:ind w:firstLine="480" w:firstLineChars="200"/>
      </w:pPr>
      <w:r>
        <w:rPr>
          <w:rFonts w:hint="eastAsia"/>
        </w:rPr>
        <w:t>第一条 甲乙双方的权利和义务</w:t>
      </w:r>
    </w:p>
    <w:p w14:paraId="0A706936">
      <w:pPr>
        <w:snapToGrid w:val="0"/>
        <w:spacing w:line="420" w:lineRule="exact"/>
        <w:ind w:firstLine="480" w:firstLineChars="200"/>
      </w:pPr>
      <w:r>
        <w:rPr>
          <w:rFonts w:hint="eastAsia"/>
        </w:rPr>
        <w:t>（一）严格遵守国家关于市场准入、勘测设计、施工监理、招标投标、工程施工、设备安装和市场经营活动等有关法律法规和相关政策，以及廉政建设的各项规定。</w:t>
      </w:r>
    </w:p>
    <w:p w14:paraId="0360A236">
      <w:pPr>
        <w:snapToGrid w:val="0"/>
        <w:spacing w:line="420" w:lineRule="exact"/>
        <w:ind w:firstLine="480" w:firstLineChars="200"/>
      </w:pPr>
      <w:r>
        <w:rPr>
          <w:rFonts w:hint="eastAsia"/>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p>
    <w:p w14:paraId="029D18B8">
      <w:pPr>
        <w:snapToGrid w:val="0"/>
        <w:spacing w:line="420" w:lineRule="exact"/>
        <w:ind w:firstLine="480" w:firstLineChars="200"/>
      </w:pPr>
      <w:r>
        <w:rPr>
          <w:rFonts w:hint="eastAsia"/>
        </w:rPr>
        <w:t>（三）建立健全廉政制度，开展廉政教育，设立廉政告示牌，公布举报电话，监督违法违纪行为。发现对方在业务活动中有违反本责任书行为的，有及时提醒对方纠正的权利和义务。情节严重的，有向有关部门举报、建议给予处理并要求告知处理结果的权利。</w:t>
      </w:r>
    </w:p>
    <w:p w14:paraId="7110342A">
      <w:pPr>
        <w:snapToGrid w:val="0"/>
        <w:spacing w:line="420" w:lineRule="exact"/>
        <w:ind w:firstLine="480" w:firstLineChars="200"/>
      </w:pPr>
      <w:r>
        <w:rPr>
          <w:rFonts w:hint="eastAsia"/>
        </w:rPr>
        <w:t>第二条 发包人的责任</w:t>
      </w:r>
    </w:p>
    <w:p w14:paraId="229A939D">
      <w:pPr>
        <w:snapToGrid w:val="0"/>
        <w:spacing w:line="420" w:lineRule="exact"/>
        <w:ind w:firstLine="480" w:firstLineChars="200"/>
      </w:pPr>
      <w:r>
        <w:rPr>
          <w:rFonts w:hint="eastAsia"/>
        </w:rPr>
        <w:t>发包人的负责人和从事该工程项目的工作人员，在工程项目的事前、事中、事后应遵守以下规定：</w:t>
      </w:r>
    </w:p>
    <w:p w14:paraId="45FFAB81">
      <w:pPr>
        <w:snapToGrid w:val="0"/>
        <w:spacing w:line="420" w:lineRule="exact"/>
        <w:ind w:firstLine="480" w:firstLineChars="200"/>
      </w:pPr>
      <w:r>
        <w:rPr>
          <w:rFonts w:hint="eastAsia"/>
        </w:rPr>
        <w:t>（一）不得以任何理由以任何明示或暗示方法向承包人索要或接受现金、有价证券、通讯工具、交通工具、高档办公用品及其它物品。</w:t>
      </w:r>
    </w:p>
    <w:p w14:paraId="3A93C778">
      <w:pPr>
        <w:snapToGrid w:val="0"/>
        <w:spacing w:line="420" w:lineRule="exact"/>
        <w:ind w:firstLine="480" w:firstLineChars="200"/>
      </w:pPr>
      <w:r>
        <w:rPr>
          <w:rFonts w:hint="eastAsia"/>
        </w:rPr>
        <w:t>（二）不得在承包人报销应由发包人单位或个人支付的费用。</w:t>
      </w:r>
    </w:p>
    <w:p w14:paraId="1D6647F5">
      <w:pPr>
        <w:snapToGrid w:val="0"/>
        <w:spacing w:line="420" w:lineRule="exact"/>
        <w:ind w:firstLine="480" w:firstLineChars="200"/>
      </w:pPr>
      <w:r>
        <w:rPr>
          <w:rFonts w:hint="eastAsia"/>
        </w:rPr>
        <w:t>（三）不得参加承包人安排的宴请及其他消费活动。</w:t>
      </w:r>
    </w:p>
    <w:p w14:paraId="27BAA0D6">
      <w:pPr>
        <w:snapToGrid w:val="0"/>
        <w:spacing w:line="420" w:lineRule="exact"/>
        <w:ind w:firstLine="480" w:firstLineChars="200"/>
      </w:pPr>
      <w:r>
        <w:rPr>
          <w:rFonts w:hint="eastAsia"/>
        </w:rPr>
        <w:t>（四）不得要求、暗示和接受承包人为个人装修房屋及为配偶子女的工作安排以及本人或亲属旅游等提供方便。</w:t>
      </w:r>
    </w:p>
    <w:p w14:paraId="58FA0066">
      <w:pPr>
        <w:snapToGrid w:val="0"/>
        <w:spacing w:line="420" w:lineRule="exact"/>
        <w:ind w:firstLine="480" w:firstLineChars="200"/>
      </w:pPr>
      <w:r>
        <w:rPr>
          <w:rFonts w:hint="eastAsia"/>
        </w:rPr>
        <w:t>（五）其配偶、子女不得从事与承包人承包工程有关的设备材料供应、工程分包、劳务等经济活动。</w:t>
      </w:r>
    </w:p>
    <w:p w14:paraId="5992438C">
      <w:pPr>
        <w:snapToGrid w:val="0"/>
        <w:spacing w:line="420" w:lineRule="exact"/>
        <w:ind w:firstLine="480" w:firstLineChars="200"/>
      </w:pPr>
      <w:r>
        <w:rPr>
          <w:rFonts w:hint="eastAsia"/>
        </w:rPr>
        <w:t>（六）不得以任何理由向承包人推荐分包单位或要求承包人购买项目合同规定以外的材料、设备和服务等。</w:t>
      </w:r>
    </w:p>
    <w:p w14:paraId="0D1DB51D">
      <w:pPr>
        <w:snapToGrid w:val="0"/>
        <w:spacing w:line="420" w:lineRule="exact"/>
        <w:ind w:firstLine="480" w:firstLineChars="200"/>
      </w:pPr>
      <w:r>
        <w:rPr>
          <w:rFonts w:hint="eastAsia"/>
        </w:rPr>
        <w:t>（七）不得串通承包人人员在工程质量、工程经济技术签证等方面弄虚作假，牟取私利。</w:t>
      </w:r>
    </w:p>
    <w:p w14:paraId="26228C32">
      <w:pPr>
        <w:snapToGrid w:val="0"/>
        <w:spacing w:line="420" w:lineRule="exact"/>
        <w:ind w:firstLine="480" w:firstLineChars="200"/>
      </w:pPr>
      <w:r>
        <w:rPr>
          <w:rFonts w:hint="eastAsia"/>
        </w:rPr>
        <w:t>第三条 承包人的责任</w:t>
      </w:r>
    </w:p>
    <w:p w14:paraId="075A5AB3">
      <w:pPr>
        <w:snapToGrid w:val="0"/>
        <w:spacing w:line="420" w:lineRule="exact"/>
        <w:ind w:firstLine="480" w:firstLineChars="200"/>
      </w:pPr>
      <w:r>
        <w:rPr>
          <w:rFonts w:hint="eastAsia"/>
        </w:rPr>
        <w:t>承包人应与发包人保持正常的业务交往，按照有关法律法规和程序开展业务活动，严格执行工程建设的有关方针、政策，尤其是有关强制性标准和规范，并遵守以下规定：</w:t>
      </w:r>
    </w:p>
    <w:p w14:paraId="7DE9AA96">
      <w:pPr>
        <w:snapToGrid w:val="0"/>
        <w:spacing w:line="420" w:lineRule="exact"/>
        <w:ind w:firstLine="480" w:firstLineChars="200"/>
      </w:pPr>
      <w:r>
        <w:rPr>
          <w:rFonts w:hint="eastAsia"/>
        </w:rPr>
        <w:t>（一）不得以任何理由向发包人及其工作人员行贿或赠送现金、有价证券、贵重物品等。</w:t>
      </w:r>
    </w:p>
    <w:p w14:paraId="0C56AD97">
      <w:pPr>
        <w:snapToGrid w:val="0"/>
        <w:spacing w:line="420" w:lineRule="exact"/>
        <w:ind w:firstLine="480" w:firstLineChars="200"/>
      </w:pPr>
      <w:r>
        <w:rPr>
          <w:rFonts w:hint="eastAsia"/>
        </w:rPr>
        <w:t>（二）不得以任何名义为发包人及其工作人员报销应由对方支付的费用。</w:t>
      </w:r>
    </w:p>
    <w:p w14:paraId="07B588DE">
      <w:pPr>
        <w:snapToGrid w:val="0"/>
        <w:spacing w:line="420" w:lineRule="exact"/>
        <w:ind w:firstLine="480" w:firstLineChars="200"/>
      </w:pPr>
      <w:r>
        <w:rPr>
          <w:rFonts w:hint="eastAsia"/>
        </w:rPr>
        <w:t>（三）不得以任何理由宴请发包人工作人员或安排其他消费活动。</w:t>
      </w:r>
    </w:p>
    <w:p w14:paraId="7291B296">
      <w:pPr>
        <w:snapToGrid w:val="0"/>
        <w:spacing w:line="420" w:lineRule="exact"/>
        <w:ind w:firstLine="480" w:firstLineChars="200"/>
      </w:pPr>
      <w:r>
        <w:rPr>
          <w:rFonts w:hint="eastAsia"/>
        </w:rPr>
        <w:t>（四）不为发包人单位和工作人员购置或提供通讯工具、高档办公用品和装修住房等。</w:t>
      </w:r>
    </w:p>
    <w:p w14:paraId="6B6A352F">
      <w:pPr>
        <w:snapToGrid w:val="0"/>
        <w:spacing w:line="420" w:lineRule="exact"/>
        <w:ind w:firstLine="480" w:firstLineChars="200"/>
      </w:pPr>
      <w:r>
        <w:rPr>
          <w:rFonts w:hint="eastAsia"/>
        </w:rPr>
        <w:t>（五）不得串通发包人人员在工程质量、工程隐蔽、工程经济技术签证等方面弄虚作假，牟取私利。</w:t>
      </w:r>
    </w:p>
    <w:p w14:paraId="08456482">
      <w:pPr>
        <w:snapToGrid w:val="0"/>
        <w:spacing w:line="420" w:lineRule="exact"/>
        <w:ind w:firstLine="480" w:firstLineChars="200"/>
      </w:pPr>
      <w:r>
        <w:rPr>
          <w:rFonts w:hint="eastAsia"/>
        </w:rPr>
        <w:t>（六）不得承包工程后又将工程转包，挂靠承包。</w:t>
      </w:r>
    </w:p>
    <w:p w14:paraId="43E26598">
      <w:pPr>
        <w:snapToGrid w:val="0"/>
        <w:spacing w:line="420" w:lineRule="exact"/>
        <w:ind w:firstLine="480" w:firstLineChars="200"/>
      </w:pPr>
      <w:r>
        <w:rPr>
          <w:rFonts w:hint="eastAsia"/>
        </w:rPr>
        <w:t>（七）不得违反工程造价管理规定，编制工程预算、决算。</w:t>
      </w:r>
    </w:p>
    <w:p w14:paraId="4EF57978">
      <w:pPr>
        <w:snapToGrid w:val="0"/>
        <w:spacing w:line="420" w:lineRule="exact"/>
        <w:ind w:firstLine="480" w:firstLineChars="200"/>
      </w:pPr>
      <w:r>
        <w:rPr>
          <w:rFonts w:hint="eastAsia"/>
        </w:rPr>
        <w:t>第四条 违约责任</w:t>
      </w:r>
    </w:p>
    <w:p w14:paraId="2B2ECB18">
      <w:pPr>
        <w:snapToGrid w:val="0"/>
        <w:spacing w:line="420" w:lineRule="exact"/>
        <w:ind w:firstLine="480" w:firstLineChars="200"/>
      </w:pPr>
      <w:r>
        <w:rPr>
          <w:rFonts w:hint="eastAsia"/>
        </w:rPr>
        <w:t>（一）发包人工作人员有违反本责任书第一、二条责任行为的，按照管理权限，依据有关规定予以处理；涉嫌犯罪的，移交司法机关追究刑事责任；给承包人单位造成经济损失的，应予赔偿。</w:t>
      </w:r>
    </w:p>
    <w:p w14:paraId="6369EAE5">
      <w:pPr>
        <w:snapToGrid w:val="0"/>
        <w:spacing w:line="420" w:lineRule="exact"/>
        <w:ind w:firstLine="480" w:firstLineChars="200"/>
      </w:pPr>
      <w:r>
        <w:rPr>
          <w:rFonts w:hint="eastAsia"/>
        </w:rPr>
        <w:t>（二）承包人工作人员有违反本责任书第一、三条责任行为的，按照管理权限，依据有关规定予以处理；涉嫌犯罪的，移交司法机关追究刑事责任；给发包人单位造成经济损失的，应予赔偿。</w:t>
      </w:r>
    </w:p>
    <w:p w14:paraId="7A6461AC">
      <w:pPr>
        <w:snapToGrid w:val="0"/>
        <w:spacing w:line="420" w:lineRule="exact"/>
        <w:ind w:firstLine="480" w:firstLineChars="200"/>
      </w:pPr>
      <w:r>
        <w:rPr>
          <w:rFonts w:hint="eastAsia"/>
        </w:rPr>
        <w:t>第五条 双方约定：在自觉履行合同的同时，由发包人监督单位负责对本责任书履行情况进行监督检查。</w:t>
      </w:r>
    </w:p>
    <w:p w14:paraId="106090A0">
      <w:pPr>
        <w:snapToGrid w:val="0"/>
        <w:spacing w:line="420" w:lineRule="exact"/>
        <w:ind w:firstLine="480" w:firstLineChars="200"/>
      </w:pPr>
      <w:r>
        <w:rPr>
          <w:rFonts w:hint="eastAsia"/>
        </w:rPr>
        <w:t>第六条 本责任书份数与合同份数同步。</w:t>
      </w:r>
    </w:p>
    <w:p w14:paraId="72511471">
      <w:pPr>
        <w:pStyle w:val="7"/>
        <w:snapToGrid w:val="0"/>
        <w:spacing w:line="345" w:lineRule="auto"/>
        <w:ind w:left="480" w:leftChars="200" w:firstLine="120" w:firstLineChars="50"/>
        <w:rPr>
          <w:rFonts w:hAnsi="宋体"/>
        </w:rPr>
      </w:pPr>
    </w:p>
    <w:p w14:paraId="4CCA4948">
      <w:pPr>
        <w:pStyle w:val="7"/>
        <w:snapToGrid w:val="0"/>
        <w:spacing w:line="345" w:lineRule="auto"/>
        <w:ind w:left="480" w:leftChars="200" w:firstLine="120" w:firstLineChars="50"/>
        <w:rPr>
          <w:rFonts w:hAnsi="宋体"/>
        </w:rPr>
      </w:pPr>
      <w:r>
        <w:rPr>
          <w:rFonts w:hint="eastAsia" w:hAnsi="宋体"/>
        </w:rPr>
        <w:t>发  包  人(公章) ：                   承  包  人(公章)：</w:t>
      </w:r>
    </w:p>
    <w:p w14:paraId="045CF423">
      <w:pPr>
        <w:pStyle w:val="7"/>
        <w:snapToGrid w:val="0"/>
        <w:spacing w:line="345" w:lineRule="auto"/>
        <w:rPr>
          <w:rFonts w:hAnsi="宋体"/>
        </w:rPr>
      </w:pPr>
    </w:p>
    <w:p w14:paraId="6953136B">
      <w:pPr>
        <w:pStyle w:val="7"/>
        <w:snapToGrid w:val="0"/>
        <w:spacing w:line="345" w:lineRule="auto"/>
        <w:ind w:firstLine="480" w:firstLineChars="200"/>
        <w:rPr>
          <w:rFonts w:hAnsi="宋体"/>
        </w:rPr>
      </w:pPr>
      <w:r>
        <w:rPr>
          <w:rFonts w:hint="eastAsia" w:hAnsi="宋体"/>
        </w:rPr>
        <w:t>法定代表人                             法定代表人</w:t>
      </w:r>
    </w:p>
    <w:p w14:paraId="623B4F92">
      <w:pPr>
        <w:pStyle w:val="7"/>
        <w:snapToGrid w:val="0"/>
        <w:spacing w:line="345" w:lineRule="auto"/>
        <w:ind w:firstLine="480" w:firstLineChars="200"/>
        <w:rPr>
          <w:rFonts w:hint="eastAsia" w:hAnsi="宋体"/>
        </w:rPr>
      </w:pPr>
      <w:r>
        <w:rPr>
          <w:rFonts w:hint="eastAsia" w:hAnsi="宋体"/>
        </w:rPr>
        <w:t>或其委托代理人(签字) ：                或其委托代理人(签字)：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8D43">
    <w:pPr>
      <w:pStyle w:val="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63C796">
                          <w:pPr>
                            <w:pStyle w:val="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6263C796">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5D00">
    <w:pPr>
      <w:pStyle w:val="8"/>
      <w:framePr w:wrap="around" w:vAnchor="text" w:hAnchor="margin" w:xAlign="right" w:y="1"/>
      <w:rPr>
        <w:rStyle w:val="13"/>
      </w:rPr>
    </w:pPr>
    <w:r>
      <w:fldChar w:fldCharType="begin"/>
    </w:r>
    <w:r>
      <w:rPr>
        <w:rStyle w:val="13"/>
      </w:rPr>
      <w:instrText xml:space="preserve">PAGE  </w:instrText>
    </w:r>
    <w:r>
      <w:fldChar w:fldCharType="end"/>
    </w:r>
  </w:p>
  <w:p w14:paraId="38DE8FE0">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900E">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F2B70">
                          <w:pPr>
                            <w:pStyle w:val="8"/>
                          </w:pPr>
                          <w:r>
                            <w:fldChar w:fldCharType="begin"/>
                          </w:r>
                          <w:r>
                            <w:instrText xml:space="preserve"> PAGE  \* MERGEFORMAT </w:instrText>
                          </w:r>
                          <w:r>
                            <w:fldChar w:fldCharType="separate"/>
                          </w:r>
                          <w:r>
                            <w:t>298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E4F2B70">
                    <w:pPr>
                      <w:pStyle w:val="8"/>
                    </w:pPr>
                    <w:r>
                      <w:fldChar w:fldCharType="begin"/>
                    </w:r>
                    <w:r>
                      <w:instrText xml:space="preserve"> PAGE  \* MERGEFORMAT </w:instrText>
                    </w:r>
                    <w:r>
                      <w:fldChar w:fldCharType="separate"/>
                    </w:r>
                    <w:r>
                      <w:t>298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E07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230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6px;height:15px" o:bullet="t">
        <v:imagedata r:id="rId1" o:title=""/>
      </v:shape>
    </w:pict>
  </w:numPicBullet>
  <w:abstractNum w:abstractNumId="0">
    <w:nsid w:val="9DC112EA"/>
    <w:multiLevelType w:val="singleLevel"/>
    <w:tmpl w:val="9DC112EA"/>
    <w:lvl w:ilvl="0" w:tentative="0">
      <w:start w:val="1"/>
      <w:numFmt w:val="decimal"/>
      <w:suff w:val="nothing"/>
      <w:lvlText w:val="%1）"/>
      <w:lvlJc w:val="left"/>
    </w:lvl>
  </w:abstractNum>
  <w:abstractNum w:abstractNumId="1">
    <w:nsid w:val="BF858654"/>
    <w:multiLevelType w:val="singleLevel"/>
    <w:tmpl w:val="BF858654"/>
    <w:lvl w:ilvl="0" w:tentative="0">
      <w:start w:val="1"/>
      <w:numFmt w:val="decimal"/>
      <w:suff w:val="nothing"/>
      <w:lvlText w:val="%1、"/>
      <w:lvlJc w:val="left"/>
    </w:lvl>
  </w:abstractNum>
  <w:abstractNum w:abstractNumId="2">
    <w:nsid w:val="F769D346"/>
    <w:multiLevelType w:val="singleLevel"/>
    <w:tmpl w:val="F769D346"/>
    <w:lvl w:ilvl="0" w:tentative="0">
      <w:start w:val="1"/>
      <w:numFmt w:val="decimal"/>
      <w:suff w:val="nothing"/>
      <w:lvlText w:val="%1、"/>
      <w:lvlJc w:val="left"/>
    </w:lvl>
  </w:abstractNum>
  <w:abstractNum w:abstractNumId="3">
    <w:nsid w:val="1B0E1F07"/>
    <w:multiLevelType w:val="multilevel"/>
    <w:tmpl w:val="1B0E1F07"/>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abstractNum w:abstractNumId="4">
    <w:nsid w:val="27187B3D"/>
    <w:multiLevelType w:val="multilevel"/>
    <w:tmpl w:val="27187B3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5C42C9A"/>
    <w:multiLevelType w:val="multilevel"/>
    <w:tmpl w:val="45C42C9A"/>
    <w:lvl w:ilvl="0" w:tentative="0">
      <w:start w:val="1"/>
      <w:numFmt w:val="decimal"/>
      <w:lvlText w:val="%1"/>
      <w:lvlJc w:val="left"/>
      <w:pPr>
        <w:tabs>
          <w:tab w:val="left" w:pos="4032"/>
        </w:tabs>
        <w:ind w:left="4032" w:hanging="432"/>
      </w:pPr>
    </w:lvl>
    <w:lvl w:ilvl="1" w:tentative="0">
      <w:start w:val="1"/>
      <w:numFmt w:val="decimal"/>
      <w:lvlText w:val="%1.%2"/>
      <w:lvlJc w:val="left"/>
      <w:pPr>
        <w:tabs>
          <w:tab w:val="left" w:pos="576"/>
        </w:tabs>
        <w:ind w:left="576" w:hanging="576"/>
      </w:pPr>
      <w:rPr>
        <w:strike w:val="0"/>
        <w:color w:val="auto"/>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zczNmQ0MWQ0MThmMDk5Yzg3YmFkMzgxM2Y5ZGQifQ=="/>
    <w:docVar w:name="KSO_WPS_MARK_KEY" w:val="a7100928-526f-48a1-b109-09fe738e6b11"/>
  </w:docVars>
  <w:rsids>
    <w:rsidRoot w:val="00000000"/>
    <w:rsid w:val="002A3F2B"/>
    <w:rsid w:val="00391AAA"/>
    <w:rsid w:val="003E65BB"/>
    <w:rsid w:val="004A1BCE"/>
    <w:rsid w:val="0054226B"/>
    <w:rsid w:val="008C6FE9"/>
    <w:rsid w:val="009157CE"/>
    <w:rsid w:val="00B710C4"/>
    <w:rsid w:val="00C86C0D"/>
    <w:rsid w:val="00CE707D"/>
    <w:rsid w:val="01071377"/>
    <w:rsid w:val="011A2B3D"/>
    <w:rsid w:val="0124011A"/>
    <w:rsid w:val="01330440"/>
    <w:rsid w:val="01437079"/>
    <w:rsid w:val="0157047C"/>
    <w:rsid w:val="017F3EFF"/>
    <w:rsid w:val="01876A15"/>
    <w:rsid w:val="01A57768"/>
    <w:rsid w:val="01C42C27"/>
    <w:rsid w:val="01DE695D"/>
    <w:rsid w:val="01EA0162"/>
    <w:rsid w:val="020B5172"/>
    <w:rsid w:val="02632DF3"/>
    <w:rsid w:val="02640561"/>
    <w:rsid w:val="02643930"/>
    <w:rsid w:val="028119E7"/>
    <w:rsid w:val="02910ECE"/>
    <w:rsid w:val="02B3458C"/>
    <w:rsid w:val="02B35A0F"/>
    <w:rsid w:val="02C2469C"/>
    <w:rsid w:val="02FE011F"/>
    <w:rsid w:val="0305787F"/>
    <w:rsid w:val="03115212"/>
    <w:rsid w:val="03572F1F"/>
    <w:rsid w:val="035A0A69"/>
    <w:rsid w:val="038277AD"/>
    <w:rsid w:val="038625D5"/>
    <w:rsid w:val="0394564A"/>
    <w:rsid w:val="039E5D27"/>
    <w:rsid w:val="03E964B3"/>
    <w:rsid w:val="03F14305"/>
    <w:rsid w:val="03F35B35"/>
    <w:rsid w:val="04012018"/>
    <w:rsid w:val="04207EC7"/>
    <w:rsid w:val="04504EC6"/>
    <w:rsid w:val="045B10DE"/>
    <w:rsid w:val="048309D4"/>
    <w:rsid w:val="04AA6C4D"/>
    <w:rsid w:val="04E85EC6"/>
    <w:rsid w:val="050B5774"/>
    <w:rsid w:val="050D1564"/>
    <w:rsid w:val="051A642D"/>
    <w:rsid w:val="05521C8E"/>
    <w:rsid w:val="056B7BDF"/>
    <w:rsid w:val="05702D51"/>
    <w:rsid w:val="05715E58"/>
    <w:rsid w:val="05781AF7"/>
    <w:rsid w:val="0584272C"/>
    <w:rsid w:val="05922925"/>
    <w:rsid w:val="05A2635D"/>
    <w:rsid w:val="05DB2A2B"/>
    <w:rsid w:val="05DB5E64"/>
    <w:rsid w:val="05F4415B"/>
    <w:rsid w:val="05F8089D"/>
    <w:rsid w:val="05FE631D"/>
    <w:rsid w:val="0601213E"/>
    <w:rsid w:val="060D7A00"/>
    <w:rsid w:val="061D05AC"/>
    <w:rsid w:val="066C01DD"/>
    <w:rsid w:val="06834804"/>
    <w:rsid w:val="06880D79"/>
    <w:rsid w:val="06881AF3"/>
    <w:rsid w:val="07022F01"/>
    <w:rsid w:val="070F3491"/>
    <w:rsid w:val="07272C7F"/>
    <w:rsid w:val="07326EC0"/>
    <w:rsid w:val="0740761A"/>
    <w:rsid w:val="074731E5"/>
    <w:rsid w:val="07740C06"/>
    <w:rsid w:val="07AD01FC"/>
    <w:rsid w:val="07B73AFA"/>
    <w:rsid w:val="07C010A0"/>
    <w:rsid w:val="0806789F"/>
    <w:rsid w:val="08187021"/>
    <w:rsid w:val="081E4CD0"/>
    <w:rsid w:val="085736C9"/>
    <w:rsid w:val="08696DB0"/>
    <w:rsid w:val="088371DA"/>
    <w:rsid w:val="088E4EA4"/>
    <w:rsid w:val="08995F67"/>
    <w:rsid w:val="091F1B8F"/>
    <w:rsid w:val="0957635D"/>
    <w:rsid w:val="097C337D"/>
    <w:rsid w:val="09915CB8"/>
    <w:rsid w:val="09963019"/>
    <w:rsid w:val="09BA737C"/>
    <w:rsid w:val="09E112E1"/>
    <w:rsid w:val="09E57C93"/>
    <w:rsid w:val="09FE0912"/>
    <w:rsid w:val="0A272A91"/>
    <w:rsid w:val="0A8E4076"/>
    <w:rsid w:val="0A957492"/>
    <w:rsid w:val="0A9F10A7"/>
    <w:rsid w:val="0B087DCC"/>
    <w:rsid w:val="0B202457"/>
    <w:rsid w:val="0B251987"/>
    <w:rsid w:val="0B2A7437"/>
    <w:rsid w:val="0B505731"/>
    <w:rsid w:val="0B506505"/>
    <w:rsid w:val="0B700F09"/>
    <w:rsid w:val="0B736131"/>
    <w:rsid w:val="0B886793"/>
    <w:rsid w:val="0B8B0697"/>
    <w:rsid w:val="0B8C0F84"/>
    <w:rsid w:val="0BB50C79"/>
    <w:rsid w:val="0BBD38F6"/>
    <w:rsid w:val="0BC50336"/>
    <w:rsid w:val="0BCA44F0"/>
    <w:rsid w:val="0BD37626"/>
    <w:rsid w:val="0BDD66CC"/>
    <w:rsid w:val="0C062099"/>
    <w:rsid w:val="0C0743AC"/>
    <w:rsid w:val="0C096542"/>
    <w:rsid w:val="0C0A1E52"/>
    <w:rsid w:val="0C4F003A"/>
    <w:rsid w:val="0C5D3449"/>
    <w:rsid w:val="0C8C707E"/>
    <w:rsid w:val="0CAE74F6"/>
    <w:rsid w:val="0CB06422"/>
    <w:rsid w:val="0CC52452"/>
    <w:rsid w:val="0D6872E5"/>
    <w:rsid w:val="0D6E3A97"/>
    <w:rsid w:val="0DA904D9"/>
    <w:rsid w:val="0DB54881"/>
    <w:rsid w:val="0DBA1D55"/>
    <w:rsid w:val="0DD10F70"/>
    <w:rsid w:val="0DDC260F"/>
    <w:rsid w:val="0DF52FAE"/>
    <w:rsid w:val="0DFD4669"/>
    <w:rsid w:val="0E280D6A"/>
    <w:rsid w:val="0E7839C0"/>
    <w:rsid w:val="0E822D92"/>
    <w:rsid w:val="0E92332B"/>
    <w:rsid w:val="0E983D09"/>
    <w:rsid w:val="0E9F6773"/>
    <w:rsid w:val="0EEA61B8"/>
    <w:rsid w:val="0EEB18BF"/>
    <w:rsid w:val="0EFA7BB7"/>
    <w:rsid w:val="0F0F5630"/>
    <w:rsid w:val="0F350BBE"/>
    <w:rsid w:val="0F3A7931"/>
    <w:rsid w:val="0F6542B4"/>
    <w:rsid w:val="0F6F27A3"/>
    <w:rsid w:val="0FAA3382"/>
    <w:rsid w:val="0FBE6FD1"/>
    <w:rsid w:val="10242D82"/>
    <w:rsid w:val="103C2908"/>
    <w:rsid w:val="10423009"/>
    <w:rsid w:val="10665CA6"/>
    <w:rsid w:val="106E7401"/>
    <w:rsid w:val="108C6C03"/>
    <w:rsid w:val="10AD5963"/>
    <w:rsid w:val="10C33DEB"/>
    <w:rsid w:val="10C85D57"/>
    <w:rsid w:val="10E432D1"/>
    <w:rsid w:val="10FF03A8"/>
    <w:rsid w:val="1103055F"/>
    <w:rsid w:val="11050B4B"/>
    <w:rsid w:val="11191738"/>
    <w:rsid w:val="113B2065"/>
    <w:rsid w:val="115A7A8A"/>
    <w:rsid w:val="11663DF6"/>
    <w:rsid w:val="11674FEB"/>
    <w:rsid w:val="11F7390D"/>
    <w:rsid w:val="121054F2"/>
    <w:rsid w:val="121D728F"/>
    <w:rsid w:val="12215F5F"/>
    <w:rsid w:val="1229381D"/>
    <w:rsid w:val="1265492D"/>
    <w:rsid w:val="12753BEA"/>
    <w:rsid w:val="127E740D"/>
    <w:rsid w:val="12B870B2"/>
    <w:rsid w:val="12DE291A"/>
    <w:rsid w:val="12E22F94"/>
    <w:rsid w:val="13234DC5"/>
    <w:rsid w:val="133D074D"/>
    <w:rsid w:val="135A1B1B"/>
    <w:rsid w:val="13666D76"/>
    <w:rsid w:val="13857DBE"/>
    <w:rsid w:val="1389266B"/>
    <w:rsid w:val="13A824A5"/>
    <w:rsid w:val="13B327F0"/>
    <w:rsid w:val="1404667B"/>
    <w:rsid w:val="14184599"/>
    <w:rsid w:val="14381E18"/>
    <w:rsid w:val="14455C4F"/>
    <w:rsid w:val="144E2B0D"/>
    <w:rsid w:val="1469719E"/>
    <w:rsid w:val="146C3125"/>
    <w:rsid w:val="149B071D"/>
    <w:rsid w:val="14D01024"/>
    <w:rsid w:val="14DB3234"/>
    <w:rsid w:val="14EC0DF4"/>
    <w:rsid w:val="14F60592"/>
    <w:rsid w:val="1569098F"/>
    <w:rsid w:val="15760B89"/>
    <w:rsid w:val="159924AD"/>
    <w:rsid w:val="15AA6C98"/>
    <w:rsid w:val="15E17C35"/>
    <w:rsid w:val="162712BE"/>
    <w:rsid w:val="1631166C"/>
    <w:rsid w:val="16336F0D"/>
    <w:rsid w:val="164334DC"/>
    <w:rsid w:val="165569A3"/>
    <w:rsid w:val="166D305B"/>
    <w:rsid w:val="166F173C"/>
    <w:rsid w:val="16950CF2"/>
    <w:rsid w:val="16F66A13"/>
    <w:rsid w:val="16FA48CC"/>
    <w:rsid w:val="16FD7616"/>
    <w:rsid w:val="173D3F1D"/>
    <w:rsid w:val="1747059C"/>
    <w:rsid w:val="17503CBC"/>
    <w:rsid w:val="17530934"/>
    <w:rsid w:val="176251AF"/>
    <w:rsid w:val="17733BFE"/>
    <w:rsid w:val="178202D5"/>
    <w:rsid w:val="17B50B78"/>
    <w:rsid w:val="17BE7282"/>
    <w:rsid w:val="17D5473A"/>
    <w:rsid w:val="17E3708A"/>
    <w:rsid w:val="18174741"/>
    <w:rsid w:val="1833768E"/>
    <w:rsid w:val="184A6670"/>
    <w:rsid w:val="18565530"/>
    <w:rsid w:val="187E0A5F"/>
    <w:rsid w:val="188574AB"/>
    <w:rsid w:val="18B202AD"/>
    <w:rsid w:val="18B8147E"/>
    <w:rsid w:val="18C32581"/>
    <w:rsid w:val="18CE132D"/>
    <w:rsid w:val="18DD4EBE"/>
    <w:rsid w:val="18E71685"/>
    <w:rsid w:val="18F133AA"/>
    <w:rsid w:val="190B2ADD"/>
    <w:rsid w:val="19247FF9"/>
    <w:rsid w:val="19267370"/>
    <w:rsid w:val="19454836"/>
    <w:rsid w:val="196C6673"/>
    <w:rsid w:val="198C7430"/>
    <w:rsid w:val="19A92444"/>
    <w:rsid w:val="19B462D1"/>
    <w:rsid w:val="19BA392A"/>
    <w:rsid w:val="19DA652A"/>
    <w:rsid w:val="19E45126"/>
    <w:rsid w:val="19ED4A7B"/>
    <w:rsid w:val="19FF14A4"/>
    <w:rsid w:val="1A445B1A"/>
    <w:rsid w:val="1A4656FD"/>
    <w:rsid w:val="1A4A19A3"/>
    <w:rsid w:val="1A554068"/>
    <w:rsid w:val="1A64622D"/>
    <w:rsid w:val="1A6D397B"/>
    <w:rsid w:val="1AD41ABA"/>
    <w:rsid w:val="1AD52523"/>
    <w:rsid w:val="1AFC6863"/>
    <w:rsid w:val="1B187274"/>
    <w:rsid w:val="1B3056FA"/>
    <w:rsid w:val="1B5D1584"/>
    <w:rsid w:val="1B6E14BC"/>
    <w:rsid w:val="1B7F3BAE"/>
    <w:rsid w:val="1B87667F"/>
    <w:rsid w:val="1B95174A"/>
    <w:rsid w:val="1BB4776F"/>
    <w:rsid w:val="1BD054C7"/>
    <w:rsid w:val="1BE9468F"/>
    <w:rsid w:val="1BF20C30"/>
    <w:rsid w:val="1C1548A5"/>
    <w:rsid w:val="1C500C44"/>
    <w:rsid w:val="1C9E1326"/>
    <w:rsid w:val="1CAE25EC"/>
    <w:rsid w:val="1CCE6E2F"/>
    <w:rsid w:val="1CD45B46"/>
    <w:rsid w:val="1CDA4AB9"/>
    <w:rsid w:val="1CFD37B5"/>
    <w:rsid w:val="1D274A7C"/>
    <w:rsid w:val="1D35146B"/>
    <w:rsid w:val="1D6B628D"/>
    <w:rsid w:val="1D6E1D65"/>
    <w:rsid w:val="1DA86C0C"/>
    <w:rsid w:val="1DCB3574"/>
    <w:rsid w:val="1DCD7AB5"/>
    <w:rsid w:val="1DEC4D65"/>
    <w:rsid w:val="1E232BD5"/>
    <w:rsid w:val="1E47546A"/>
    <w:rsid w:val="1E4C27F2"/>
    <w:rsid w:val="1E516CAB"/>
    <w:rsid w:val="1E550B80"/>
    <w:rsid w:val="1E5955CA"/>
    <w:rsid w:val="1E617465"/>
    <w:rsid w:val="1EC01D66"/>
    <w:rsid w:val="1ED93B8E"/>
    <w:rsid w:val="1F036AC0"/>
    <w:rsid w:val="1F0560F1"/>
    <w:rsid w:val="1F150D32"/>
    <w:rsid w:val="1F3A6DE6"/>
    <w:rsid w:val="1F6541CA"/>
    <w:rsid w:val="1F6E2CBF"/>
    <w:rsid w:val="1F7D1561"/>
    <w:rsid w:val="1FC7052F"/>
    <w:rsid w:val="1FCC6F08"/>
    <w:rsid w:val="1FCC74CD"/>
    <w:rsid w:val="1FE84329"/>
    <w:rsid w:val="1FF24DBF"/>
    <w:rsid w:val="201132BA"/>
    <w:rsid w:val="20166F2A"/>
    <w:rsid w:val="20240A60"/>
    <w:rsid w:val="20284177"/>
    <w:rsid w:val="207D729F"/>
    <w:rsid w:val="209E1CB4"/>
    <w:rsid w:val="20A356E9"/>
    <w:rsid w:val="20C0065F"/>
    <w:rsid w:val="21081412"/>
    <w:rsid w:val="212578FE"/>
    <w:rsid w:val="21327001"/>
    <w:rsid w:val="2134621F"/>
    <w:rsid w:val="213E0A33"/>
    <w:rsid w:val="215613BD"/>
    <w:rsid w:val="21C5793D"/>
    <w:rsid w:val="21DB4DE5"/>
    <w:rsid w:val="21DC231C"/>
    <w:rsid w:val="21EE7F82"/>
    <w:rsid w:val="221915A9"/>
    <w:rsid w:val="222B6A35"/>
    <w:rsid w:val="224066F9"/>
    <w:rsid w:val="2244458C"/>
    <w:rsid w:val="22AA5466"/>
    <w:rsid w:val="22C47CD3"/>
    <w:rsid w:val="22DC2CA3"/>
    <w:rsid w:val="22E00B82"/>
    <w:rsid w:val="22E617CF"/>
    <w:rsid w:val="23352116"/>
    <w:rsid w:val="234F5F97"/>
    <w:rsid w:val="23567A40"/>
    <w:rsid w:val="2370614A"/>
    <w:rsid w:val="237465BC"/>
    <w:rsid w:val="23814B5B"/>
    <w:rsid w:val="2383422F"/>
    <w:rsid w:val="23843D8D"/>
    <w:rsid w:val="23A6089F"/>
    <w:rsid w:val="23AA5DF2"/>
    <w:rsid w:val="23DD0CA0"/>
    <w:rsid w:val="23EC19AD"/>
    <w:rsid w:val="23F16FE4"/>
    <w:rsid w:val="2427413B"/>
    <w:rsid w:val="243D3DD6"/>
    <w:rsid w:val="244B65B7"/>
    <w:rsid w:val="245753D7"/>
    <w:rsid w:val="245E77EF"/>
    <w:rsid w:val="24623D8B"/>
    <w:rsid w:val="24741967"/>
    <w:rsid w:val="248721E4"/>
    <w:rsid w:val="248F70C0"/>
    <w:rsid w:val="249A344F"/>
    <w:rsid w:val="24B432AA"/>
    <w:rsid w:val="24E36F3E"/>
    <w:rsid w:val="24EF6E22"/>
    <w:rsid w:val="24F663CF"/>
    <w:rsid w:val="250C0D67"/>
    <w:rsid w:val="25162F54"/>
    <w:rsid w:val="25283360"/>
    <w:rsid w:val="25490CD4"/>
    <w:rsid w:val="256B1785"/>
    <w:rsid w:val="2571344F"/>
    <w:rsid w:val="25746BBD"/>
    <w:rsid w:val="2599481F"/>
    <w:rsid w:val="25C71E9E"/>
    <w:rsid w:val="25CD3DA0"/>
    <w:rsid w:val="25F60C9A"/>
    <w:rsid w:val="26166FDD"/>
    <w:rsid w:val="26281B2B"/>
    <w:rsid w:val="262858F0"/>
    <w:rsid w:val="263F670C"/>
    <w:rsid w:val="26BE1862"/>
    <w:rsid w:val="26D54A02"/>
    <w:rsid w:val="26E13954"/>
    <w:rsid w:val="26EA11FB"/>
    <w:rsid w:val="26FE1D8F"/>
    <w:rsid w:val="27250A8D"/>
    <w:rsid w:val="273A4A44"/>
    <w:rsid w:val="27993082"/>
    <w:rsid w:val="27B163CD"/>
    <w:rsid w:val="27EE0D40"/>
    <w:rsid w:val="281E1833"/>
    <w:rsid w:val="28317059"/>
    <w:rsid w:val="28405C28"/>
    <w:rsid w:val="287739B3"/>
    <w:rsid w:val="288A047A"/>
    <w:rsid w:val="2893109D"/>
    <w:rsid w:val="28A06519"/>
    <w:rsid w:val="28B63D82"/>
    <w:rsid w:val="292A68CB"/>
    <w:rsid w:val="294F15B9"/>
    <w:rsid w:val="294F1CE3"/>
    <w:rsid w:val="296D2F7D"/>
    <w:rsid w:val="29711A46"/>
    <w:rsid w:val="297969BE"/>
    <w:rsid w:val="298A60F3"/>
    <w:rsid w:val="298C26F6"/>
    <w:rsid w:val="29965F3B"/>
    <w:rsid w:val="29993B2C"/>
    <w:rsid w:val="29B30DC0"/>
    <w:rsid w:val="29CA7A9A"/>
    <w:rsid w:val="29CF172C"/>
    <w:rsid w:val="29CF50CB"/>
    <w:rsid w:val="29D20DFD"/>
    <w:rsid w:val="29E54E75"/>
    <w:rsid w:val="29FB15F7"/>
    <w:rsid w:val="2A051697"/>
    <w:rsid w:val="2A065D8F"/>
    <w:rsid w:val="2A0B5D47"/>
    <w:rsid w:val="2A0F4451"/>
    <w:rsid w:val="2A1953CB"/>
    <w:rsid w:val="2A213B49"/>
    <w:rsid w:val="2A2C7E1E"/>
    <w:rsid w:val="2A316994"/>
    <w:rsid w:val="2A446DBD"/>
    <w:rsid w:val="2A5453C3"/>
    <w:rsid w:val="2A7C71B1"/>
    <w:rsid w:val="2A8568B9"/>
    <w:rsid w:val="2AA22E4B"/>
    <w:rsid w:val="2AA4251B"/>
    <w:rsid w:val="2AA559C5"/>
    <w:rsid w:val="2AC50AAE"/>
    <w:rsid w:val="2AF0145D"/>
    <w:rsid w:val="2B204DE2"/>
    <w:rsid w:val="2B5148B5"/>
    <w:rsid w:val="2B5D2B8F"/>
    <w:rsid w:val="2B7419FC"/>
    <w:rsid w:val="2B9834A1"/>
    <w:rsid w:val="2B9C57ED"/>
    <w:rsid w:val="2BB931B0"/>
    <w:rsid w:val="2BC14A92"/>
    <w:rsid w:val="2BC671F3"/>
    <w:rsid w:val="2C0718D0"/>
    <w:rsid w:val="2C121E7F"/>
    <w:rsid w:val="2C1B5183"/>
    <w:rsid w:val="2C2147D6"/>
    <w:rsid w:val="2C300C8D"/>
    <w:rsid w:val="2C404C3D"/>
    <w:rsid w:val="2C671A6E"/>
    <w:rsid w:val="2C7207F5"/>
    <w:rsid w:val="2C74022C"/>
    <w:rsid w:val="2C780BE8"/>
    <w:rsid w:val="2C8D2B58"/>
    <w:rsid w:val="2C8E3006"/>
    <w:rsid w:val="2CAF5907"/>
    <w:rsid w:val="2CC2002C"/>
    <w:rsid w:val="2CF6031B"/>
    <w:rsid w:val="2CFC7AA0"/>
    <w:rsid w:val="2CFE6208"/>
    <w:rsid w:val="2D0F2BC4"/>
    <w:rsid w:val="2D124456"/>
    <w:rsid w:val="2D182909"/>
    <w:rsid w:val="2D2813C5"/>
    <w:rsid w:val="2D446208"/>
    <w:rsid w:val="2D4D6B61"/>
    <w:rsid w:val="2D873ECA"/>
    <w:rsid w:val="2DAD43B6"/>
    <w:rsid w:val="2DC31DE7"/>
    <w:rsid w:val="2DC92000"/>
    <w:rsid w:val="2DEF15AA"/>
    <w:rsid w:val="2E054592"/>
    <w:rsid w:val="2E150E90"/>
    <w:rsid w:val="2E182735"/>
    <w:rsid w:val="2E1B2FC6"/>
    <w:rsid w:val="2E394F47"/>
    <w:rsid w:val="2E414774"/>
    <w:rsid w:val="2E482DFF"/>
    <w:rsid w:val="2E4E684C"/>
    <w:rsid w:val="2E6C6C66"/>
    <w:rsid w:val="2ED7138C"/>
    <w:rsid w:val="2F1F6F0D"/>
    <w:rsid w:val="2F386041"/>
    <w:rsid w:val="2F424455"/>
    <w:rsid w:val="2F6B7DD4"/>
    <w:rsid w:val="2F7A250F"/>
    <w:rsid w:val="2FC84A42"/>
    <w:rsid w:val="2FCE5968"/>
    <w:rsid w:val="2FE8487B"/>
    <w:rsid w:val="300C13C5"/>
    <w:rsid w:val="30136549"/>
    <w:rsid w:val="30285109"/>
    <w:rsid w:val="303A57A6"/>
    <w:rsid w:val="303B1D1A"/>
    <w:rsid w:val="30851380"/>
    <w:rsid w:val="309500CD"/>
    <w:rsid w:val="30B87CC3"/>
    <w:rsid w:val="30C86A08"/>
    <w:rsid w:val="30CA3765"/>
    <w:rsid w:val="30E6359D"/>
    <w:rsid w:val="30F426BF"/>
    <w:rsid w:val="30F446A3"/>
    <w:rsid w:val="311F6B26"/>
    <w:rsid w:val="312147FC"/>
    <w:rsid w:val="31585774"/>
    <w:rsid w:val="315C40AE"/>
    <w:rsid w:val="31897665"/>
    <w:rsid w:val="31961EA2"/>
    <w:rsid w:val="319A6BAE"/>
    <w:rsid w:val="31AE78E5"/>
    <w:rsid w:val="31BE277C"/>
    <w:rsid w:val="31C57B7E"/>
    <w:rsid w:val="31D16D4D"/>
    <w:rsid w:val="31D60557"/>
    <w:rsid w:val="31D634B3"/>
    <w:rsid w:val="31F315C9"/>
    <w:rsid w:val="31F87D5E"/>
    <w:rsid w:val="321A16DD"/>
    <w:rsid w:val="32202D4A"/>
    <w:rsid w:val="322A6CAC"/>
    <w:rsid w:val="322D5678"/>
    <w:rsid w:val="324615C0"/>
    <w:rsid w:val="326F1F57"/>
    <w:rsid w:val="32C0280C"/>
    <w:rsid w:val="32CA0F97"/>
    <w:rsid w:val="32D07BD9"/>
    <w:rsid w:val="32FB7F0D"/>
    <w:rsid w:val="331B78D5"/>
    <w:rsid w:val="332306BA"/>
    <w:rsid w:val="332D6095"/>
    <w:rsid w:val="33365AB8"/>
    <w:rsid w:val="333D09C8"/>
    <w:rsid w:val="33933E9A"/>
    <w:rsid w:val="339B1068"/>
    <w:rsid w:val="339C697C"/>
    <w:rsid w:val="33BC311D"/>
    <w:rsid w:val="33C752F3"/>
    <w:rsid w:val="34066401"/>
    <w:rsid w:val="340E2725"/>
    <w:rsid w:val="3459304C"/>
    <w:rsid w:val="34BB5016"/>
    <w:rsid w:val="34BC559B"/>
    <w:rsid w:val="352D2AF9"/>
    <w:rsid w:val="35457581"/>
    <w:rsid w:val="35457F42"/>
    <w:rsid w:val="356A707E"/>
    <w:rsid w:val="35A46571"/>
    <w:rsid w:val="35A84E3A"/>
    <w:rsid w:val="35C434BB"/>
    <w:rsid w:val="35ED3345"/>
    <w:rsid w:val="35F11A42"/>
    <w:rsid w:val="360B5BD4"/>
    <w:rsid w:val="3612386C"/>
    <w:rsid w:val="3658547A"/>
    <w:rsid w:val="367334B2"/>
    <w:rsid w:val="36BE699D"/>
    <w:rsid w:val="36C8461D"/>
    <w:rsid w:val="36D931DA"/>
    <w:rsid w:val="37400CC8"/>
    <w:rsid w:val="37510481"/>
    <w:rsid w:val="376B795B"/>
    <w:rsid w:val="37854A9E"/>
    <w:rsid w:val="37C40B30"/>
    <w:rsid w:val="37C957BF"/>
    <w:rsid w:val="37D71916"/>
    <w:rsid w:val="37D7228D"/>
    <w:rsid w:val="37DB392E"/>
    <w:rsid w:val="382B7FF5"/>
    <w:rsid w:val="38320154"/>
    <w:rsid w:val="383744A0"/>
    <w:rsid w:val="383B0C45"/>
    <w:rsid w:val="384D4573"/>
    <w:rsid w:val="386408B3"/>
    <w:rsid w:val="38674950"/>
    <w:rsid w:val="38955355"/>
    <w:rsid w:val="38F05EF1"/>
    <w:rsid w:val="38F07C66"/>
    <w:rsid w:val="39170BBA"/>
    <w:rsid w:val="39356DDA"/>
    <w:rsid w:val="39656052"/>
    <w:rsid w:val="396F518A"/>
    <w:rsid w:val="3973416F"/>
    <w:rsid w:val="3981326F"/>
    <w:rsid w:val="39886C2D"/>
    <w:rsid w:val="39896AE3"/>
    <w:rsid w:val="39AD14C1"/>
    <w:rsid w:val="39B77599"/>
    <w:rsid w:val="39DD3A7B"/>
    <w:rsid w:val="39E73814"/>
    <w:rsid w:val="3A44307F"/>
    <w:rsid w:val="3A5524AA"/>
    <w:rsid w:val="3A975739"/>
    <w:rsid w:val="3A9E6AF0"/>
    <w:rsid w:val="3AB95DCB"/>
    <w:rsid w:val="3ABE1C11"/>
    <w:rsid w:val="3AC22B4C"/>
    <w:rsid w:val="3AD2794B"/>
    <w:rsid w:val="3AD53C56"/>
    <w:rsid w:val="3B0119F9"/>
    <w:rsid w:val="3B0E08DC"/>
    <w:rsid w:val="3B5C27F3"/>
    <w:rsid w:val="3B6D0BA9"/>
    <w:rsid w:val="3B9927D4"/>
    <w:rsid w:val="3BAA486E"/>
    <w:rsid w:val="3BAD5813"/>
    <w:rsid w:val="3BB5144D"/>
    <w:rsid w:val="3BD4128C"/>
    <w:rsid w:val="3BD7254D"/>
    <w:rsid w:val="3BED1125"/>
    <w:rsid w:val="3C0B1E1A"/>
    <w:rsid w:val="3C1123BE"/>
    <w:rsid w:val="3C3D4F2A"/>
    <w:rsid w:val="3C6054FB"/>
    <w:rsid w:val="3C8706D0"/>
    <w:rsid w:val="3CAC0B0E"/>
    <w:rsid w:val="3CB60643"/>
    <w:rsid w:val="3CBC641A"/>
    <w:rsid w:val="3CED38CB"/>
    <w:rsid w:val="3CFC5D08"/>
    <w:rsid w:val="3D027F83"/>
    <w:rsid w:val="3D483104"/>
    <w:rsid w:val="3D79455C"/>
    <w:rsid w:val="3D7E425C"/>
    <w:rsid w:val="3D8573F7"/>
    <w:rsid w:val="3D9770C1"/>
    <w:rsid w:val="3DCB7090"/>
    <w:rsid w:val="3DCC075A"/>
    <w:rsid w:val="3DD506B5"/>
    <w:rsid w:val="3DD63DA1"/>
    <w:rsid w:val="3E04016E"/>
    <w:rsid w:val="3E222E71"/>
    <w:rsid w:val="3E2C4C3C"/>
    <w:rsid w:val="3E35529A"/>
    <w:rsid w:val="3E52270C"/>
    <w:rsid w:val="3E562FD0"/>
    <w:rsid w:val="3E696347"/>
    <w:rsid w:val="3E904633"/>
    <w:rsid w:val="3F076BDB"/>
    <w:rsid w:val="3F2113A2"/>
    <w:rsid w:val="3F41289C"/>
    <w:rsid w:val="3F5349D1"/>
    <w:rsid w:val="3F6861DC"/>
    <w:rsid w:val="3FA102A5"/>
    <w:rsid w:val="3FA11460"/>
    <w:rsid w:val="3FAD31FF"/>
    <w:rsid w:val="3FB15D3E"/>
    <w:rsid w:val="3FBD7664"/>
    <w:rsid w:val="3FC413F8"/>
    <w:rsid w:val="3FE209C5"/>
    <w:rsid w:val="3FFB4730"/>
    <w:rsid w:val="40047E80"/>
    <w:rsid w:val="402A1B5E"/>
    <w:rsid w:val="404175C4"/>
    <w:rsid w:val="404C21BA"/>
    <w:rsid w:val="404C535F"/>
    <w:rsid w:val="408513A0"/>
    <w:rsid w:val="408D0C7F"/>
    <w:rsid w:val="4098558A"/>
    <w:rsid w:val="411260EE"/>
    <w:rsid w:val="41192893"/>
    <w:rsid w:val="4160415F"/>
    <w:rsid w:val="419634CA"/>
    <w:rsid w:val="41A34193"/>
    <w:rsid w:val="41A5114B"/>
    <w:rsid w:val="41E16392"/>
    <w:rsid w:val="424539F5"/>
    <w:rsid w:val="424A216F"/>
    <w:rsid w:val="427D731B"/>
    <w:rsid w:val="428A0391"/>
    <w:rsid w:val="42927C08"/>
    <w:rsid w:val="42AA2A2C"/>
    <w:rsid w:val="42B04134"/>
    <w:rsid w:val="42B42648"/>
    <w:rsid w:val="432646A0"/>
    <w:rsid w:val="435328A5"/>
    <w:rsid w:val="43895733"/>
    <w:rsid w:val="440553BC"/>
    <w:rsid w:val="443B2EB4"/>
    <w:rsid w:val="44554FB0"/>
    <w:rsid w:val="44802044"/>
    <w:rsid w:val="4484424F"/>
    <w:rsid w:val="4485700F"/>
    <w:rsid w:val="44B34BDD"/>
    <w:rsid w:val="44BA080B"/>
    <w:rsid w:val="44CE4A74"/>
    <w:rsid w:val="44CE6952"/>
    <w:rsid w:val="44EB00BB"/>
    <w:rsid w:val="44FC6CC5"/>
    <w:rsid w:val="450E562E"/>
    <w:rsid w:val="45213B6D"/>
    <w:rsid w:val="45936576"/>
    <w:rsid w:val="45DF28F6"/>
    <w:rsid w:val="45E67B14"/>
    <w:rsid w:val="45E77CED"/>
    <w:rsid w:val="45E80C01"/>
    <w:rsid w:val="45F63AAA"/>
    <w:rsid w:val="460F341D"/>
    <w:rsid w:val="465C66B6"/>
    <w:rsid w:val="46884494"/>
    <w:rsid w:val="4690443E"/>
    <w:rsid w:val="469334F0"/>
    <w:rsid w:val="46C0143B"/>
    <w:rsid w:val="46EA4599"/>
    <w:rsid w:val="46EB2B48"/>
    <w:rsid w:val="46EE6840"/>
    <w:rsid w:val="46EF3C27"/>
    <w:rsid w:val="471724D7"/>
    <w:rsid w:val="473A0573"/>
    <w:rsid w:val="476D4B55"/>
    <w:rsid w:val="476E2CBC"/>
    <w:rsid w:val="47B13273"/>
    <w:rsid w:val="47BC42D9"/>
    <w:rsid w:val="47BF1B41"/>
    <w:rsid w:val="48033E45"/>
    <w:rsid w:val="482F0CF4"/>
    <w:rsid w:val="48876D68"/>
    <w:rsid w:val="489E3230"/>
    <w:rsid w:val="48AA774C"/>
    <w:rsid w:val="48E4142C"/>
    <w:rsid w:val="48F91218"/>
    <w:rsid w:val="490152F8"/>
    <w:rsid w:val="49412EC2"/>
    <w:rsid w:val="49427E61"/>
    <w:rsid w:val="49535B63"/>
    <w:rsid w:val="49823538"/>
    <w:rsid w:val="49846777"/>
    <w:rsid w:val="499372BE"/>
    <w:rsid w:val="49951051"/>
    <w:rsid w:val="49E87663"/>
    <w:rsid w:val="4A057B0D"/>
    <w:rsid w:val="4A1F05B5"/>
    <w:rsid w:val="4A533488"/>
    <w:rsid w:val="4A707970"/>
    <w:rsid w:val="4A78671F"/>
    <w:rsid w:val="4A810484"/>
    <w:rsid w:val="4A88597E"/>
    <w:rsid w:val="4AB84477"/>
    <w:rsid w:val="4AC2608D"/>
    <w:rsid w:val="4AC3237B"/>
    <w:rsid w:val="4ACC1A32"/>
    <w:rsid w:val="4AE46AA2"/>
    <w:rsid w:val="4B0F676E"/>
    <w:rsid w:val="4B29189E"/>
    <w:rsid w:val="4B2B6C5D"/>
    <w:rsid w:val="4B4139F8"/>
    <w:rsid w:val="4B5F77DD"/>
    <w:rsid w:val="4B9D2324"/>
    <w:rsid w:val="4BAC4002"/>
    <w:rsid w:val="4BC84DD1"/>
    <w:rsid w:val="4BE92895"/>
    <w:rsid w:val="4BFB6E0D"/>
    <w:rsid w:val="4BFF1669"/>
    <w:rsid w:val="4C0927A2"/>
    <w:rsid w:val="4C2036DF"/>
    <w:rsid w:val="4C357465"/>
    <w:rsid w:val="4C6B30C5"/>
    <w:rsid w:val="4C7F41E8"/>
    <w:rsid w:val="4C882B36"/>
    <w:rsid w:val="4C9617DC"/>
    <w:rsid w:val="4CB001B4"/>
    <w:rsid w:val="4CD22013"/>
    <w:rsid w:val="4D26201B"/>
    <w:rsid w:val="4D2B7616"/>
    <w:rsid w:val="4D3703B2"/>
    <w:rsid w:val="4D572531"/>
    <w:rsid w:val="4D653D49"/>
    <w:rsid w:val="4D7249D5"/>
    <w:rsid w:val="4D770591"/>
    <w:rsid w:val="4D821324"/>
    <w:rsid w:val="4D95107D"/>
    <w:rsid w:val="4DBE0075"/>
    <w:rsid w:val="4E050E4D"/>
    <w:rsid w:val="4E19147C"/>
    <w:rsid w:val="4E2739A6"/>
    <w:rsid w:val="4E314B22"/>
    <w:rsid w:val="4E4213A1"/>
    <w:rsid w:val="4EAD2E2A"/>
    <w:rsid w:val="4EAF7120"/>
    <w:rsid w:val="4EB40182"/>
    <w:rsid w:val="4EB57041"/>
    <w:rsid w:val="4EB64569"/>
    <w:rsid w:val="4EEA61F0"/>
    <w:rsid w:val="4F684B45"/>
    <w:rsid w:val="4F944D71"/>
    <w:rsid w:val="4F981021"/>
    <w:rsid w:val="4FA46F96"/>
    <w:rsid w:val="4FBD1597"/>
    <w:rsid w:val="4FC96F2B"/>
    <w:rsid w:val="4FCC3CDC"/>
    <w:rsid w:val="4FF370D0"/>
    <w:rsid w:val="50157890"/>
    <w:rsid w:val="504F0443"/>
    <w:rsid w:val="50551042"/>
    <w:rsid w:val="506A0AE9"/>
    <w:rsid w:val="507A456D"/>
    <w:rsid w:val="508B56A6"/>
    <w:rsid w:val="50911E39"/>
    <w:rsid w:val="509E25B2"/>
    <w:rsid w:val="50A62A56"/>
    <w:rsid w:val="50AB1247"/>
    <w:rsid w:val="50AE38D1"/>
    <w:rsid w:val="50D41C5E"/>
    <w:rsid w:val="50DE2664"/>
    <w:rsid w:val="514D7959"/>
    <w:rsid w:val="51575BC8"/>
    <w:rsid w:val="51720C6A"/>
    <w:rsid w:val="51721C6D"/>
    <w:rsid w:val="51942311"/>
    <w:rsid w:val="5195006D"/>
    <w:rsid w:val="5195490A"/>
    <w:rsid w:val="51B10406"/>
    <w:rsid w:val="51B86F93"/>
    <w:rsid w:val="51BC4F5F"/>
    <w:rsid w:val="51C65877"/>
    <w:rsid w:val="520A45C4"/>
    <w:rsid w:val="521D3404"/>
    <w:rsid w:val="52443125"/>
    <w:rsid w:val="52622AF0"/>
    <w:rsid w:val="52743413"/>
    <w:rsid w:val="528416FF"/>
    <w:rsid w:val="5299668A"/>
    <w:rsid w:val="529F67E9"/>
    <w:rsid w:val="52BB76D6"/>
    <w:rsid w:val="52D70CFC"/>
    <w:rsid w:val="53013AB0"/>
    <w:rsid w:val="53270DEC"/>
    <w:rsid w:val="53311283"/>
    <w:rsid w:val="53330556"/>
    <w:rsid w:val="53C54990"/>
    <w:rsid w:val="53CC78F4"/>
    <w:rsid w:val="54156226"/>
    <w:rsid w:val="54172FD7"/>
    <w:rsid w:val="542E68E8"/>
    <w:rsid w:val="542F4086"/>
    <w:rsid w:val="544E7D92"/>
    <w:rsid w:val="548657A2"/>
    <w:rsid w:val="54A00317"/>
    <w:rsid w:val="54AD77A7"/>
    <w:rsid w:val="54B2611A"/>
    <w:rsid w:val="54D9792A"/>
    <w:rsid w:val="54DF2715"/>
    <w:rsid w:val="5500614D"/>
    <w:rsid w:val="55105F10"/>
    <w:rsid w:val="55264799"/>
    <w:rsid w:val="554668C8"/>
    <w:rsid w:val="55467D43"/>
    <w:rsid w:val="554C4C78"/>
    <w:rsid w:val="555E4DFC"/>
    <w:rsid w:val="55910D0E"/>
    <w:rsid w:val="55B11ED1"/>
    <w:rsid w:val="55E524FA"/>
    <w:rsid w:val="561140BA"/>
    <w:rsid w:val="568B1801"/>
    <w:rsid w:val="568F3EDE"/>
    <w:rsid w:val="56A24AB6"/>
    <w:rsid w:val="56BD67D3"/>
    <w:rsid w:val="56EC6FF7"/>
    <w:rsid w:val="56F6251E"/>
    <w:rsid w:val="57011959"/>
    <w:rsid w:val="573E09DC"/>
    <w:rsid w:val="574C3FC1"/>
    <w:rsid w:val="579C1923"/>
    <w:rsid w:val="57A214E3"/>
    <w:rsid w:val="57AB2C39"/>
    <w:rsid w:val="57BA2114"/>
    <w:rsid w:val="57CA261F"/>
    <w:rsid w:val="57D10B6A"/>
    <w:rsid w:val="57FA62BC"/>
    <w:rsid w:val="58036968"/>
    <w:rsid w:val="580476C4"/>
    <w:rsid w:val="58071DD5"/>
    <w:rsid w:val="580F5441"/>
    <w:rsid w:val="581E7D58"/>
    <w:rsid w:val="58597887"/>
    <w:rsid w:val="58812AD0"/>
    <w:rsid w:val="58A07CCC"/>
    <w:rsid w:val="58BD62F3"/>
    <w:rsid w:val="58CF1EE6"/>
    <w:rsid w:val="58ED0B0F"/>
    <w:rsid w:val="58FA21F9"/>
    <w:rsid w:val="58FE14E6"/>
    <w:rsid w:val="59193FDB"/>
    <w:rsid w:val="59291BDB"/>
    <w:rsid w:val="59501BFC"/>
    <w:rsid w:val="595D7182"/>
    <w:rsid w:val="59690F61"/>
    <w:rsid w:val="59805851"/>
    <w:rsid w:val="598B284A"/>
    <w:rsid w:val="598E62F6"/>
    <w:rsid w:val="59AC708A"/>
    <w:rsid w:val="59D755DF"/>
    <w:rsid w:val="5A233605"/>
    <w:rsid w:val="5A616A61"/>
    <w:rsid w:val="5A710357"/>
    <w:rsid w:val="5ACD0E07"/>
    <w:rsid w:val="5AD8047F"/>
    <w:rsid w:val="5AD94586"/>
    <w:rsid w:val="5AEB4948"/>
    <w:rsid w:val="5B2C292E"/>
    <w:rsid w:val="5B3B79B9"/>
    <w:rsid w:val="5B3C4E06"/>
    <w:rsid w:val="5B6B14D0"/>
    <w:rsid w:val="5BAB32F6"/>
    <w:rsid w:val="5BDE4BEF"/>
    <w:rsid w:val="5BFC3696"/>
    <w:rsid w:val="5C1958C7"/>
    <w:rsid w:val="5C380FE9"/>
    <w:rsid w:val="5C5A760E"/>
    <w:rsid w:val="5C7750DF"/>
    <w:rsid w:val="5C897C6D"/>
    <w:rsid w:val="5C917977"/>
    <w:rsid w:val="5C9B65BC"/>
    <w:rsid w:val="5CA44DF2"/>
    <w:rsid w:val="5CA858C7"/>
    <w:rsid w:val="5CC114E2"/>
    <w:rsid w:val="5CD21CCD"/>
    <w:rsid w:val="5CD35A4C"/>
    <w:rsid w:val="5CD85FD6"/>
    <w:rsid w:val="5CDC53C7"/>
    <w:rsid w:val="5D1205F7"/>
    <w:rsid w:val="5D252374"/>
    <w:rsid w:val="5D2549DD"/>
    <w:rsid w:val="5D2C2109"/>
    <w:rsid w:val="5D5416AC"/>
    <w:rsid w:val="5D99086D"/>
    <w:rsid w:val="5DA769AE"/>
    <w:rsid w:val="5DAA4346"/>
    <w:rsid w:val="5DAE4E0C"/>
    <w:rsid w:val="5DC32621"/>
    <w:rsid w:val="5DDF22BC"/>
    <w:rsid w:val="5DF81986"/>
    <w:rsid w:val="5DF83C3E"/>
    <w:rsid w:val="5E046654"/>
    <w:rsid w:val="5E0E2803"/>
    <w:rsid w:val="5E6A4518"/>
    <w:rsid w:val="5E6F05B6"/>
    <w:rsid w:val="5E722992"/>
    <w:rsid w:val="5E79554E"/>
    <w:rsid w:val="5E921692"/>
    <w:rsid w:val="5ECA22C9"/>
    <w:rsid w:val="5EEF57B1"/>
    <w:rsid w:val="5F0D0B89"/>
    <w:rsid w:val="5F3A1F34"/>
    <w:rsid w:val="5F4A0B43"/>
    <w:rsid w:val="5F924EC5"/>
    <w:rsid w:val="5FDB7C60"/>
    <w:rsid w:val="600E7DFC"/>
    <w:rsid w:val="603D6BC0"/>
    <w:rsid w:val="60421AB4"/>
    <w:rsid w:val="604D7BE3"/>
    <w:rsid w:val="60596EF5"/>
    <w:rsid w:val="605D6304"/>
    <w:rsid w:val="609E0EDF"/>
    <w:rsid w:val="60A14B42"/>
    <w:rsid w:val="60A97410"/>
    <w:rsid w:val="60E06284"/>
    <w:rsid w:val="60E30DA1"/>
    <w:rsid w:val="61116165"/>
    <w:rsid w:val="613914B7"/>
    <w:rsid w:val="618C2B42"/>
    <w:rsid w:val="61930D97"/>
    <w:rsid w:val="61B70FC2"/>
    <w:rsid w:val="61E60C05"/>
    <w:rsid w:val="620321AF"/>
    <w:rsid w:val="624E7D2B"/>
    <w:rsid w:val="62507080"/>
    <w:rsid w:val="62570064"/>
    <w:rsid w:val="6271253B"/>
    <w:rsid w:val="62714862"/>
    <w:rsid w:val="62790BC9"/>
    <w:rsid w:val="62A7008F"/>
    <w:rsid w:val="62B16D3E"/>
    <w:rsid w:val="62BB1CDB"/>
    <w:rsid w:val="62BF202C"/>
    <w:rsid w:val="63004740"/>
    <w:rsid w:val="630278FD"/>
    <w:rsid w:val="63122C98"/>
    <w:rsid w:val="634E537A"/>
    <w:rsid w:val="635626F0"/>
    <w:rsid w:val="635E592F"/>
    <w:rsid w:val="636925BA"/>
    <w:rsid w:val="637B6766"/>
    <w:rsid w:val="63965A7E"/>
    <w:rsid w:val="63A96B69"/>
    <w:rsid w:val="63B2778D"/>
    <w:rsid w:val="63B84B22"/>
    <w:rsid w:val="63C95FB5"/>
    <w:rsid w:val="640A7E45"/>
    <w:rsid w:val="641B386F"/>
    <w:rsid w:val="645A1773"/>
    <w:rsid w:val="645B02CF"/>
    <w:rsid w:val="646D360C"/>
    <w:rsid w:val="6475265E"/>
    <w:rsid w:val="648A191D"/>
    <w:rsid w:val="64CE75C1"/>
    <w:rsid w:val="64D43C57"/>
    <w:rsid w:val="64EF542B"/>
    <w:rsid w:val="653E27FC"/>
    <w:rsid w:val="654464AB"/>
    <w:rsid w:val="654A7119"/>
    <w:rsid w:val="65512253"/>
    <w:rsid w:val="65535563"/>
    <w:rsid w:val="6571760D"/>
    <w:rsid w:val="658635B2"/>
    <w:rsid w:val="659247DC"/>
    <w:rsid w:val="65A32B9E"/>
    <w:rsid w:val="65AB0A50"/>
    <w:rsid w:val="65B23220"/>
    <w:rsid w:val="65D9751E"/>
    <w:rsid w:val="662D0E6D"/>
    <w:rsid w:val="66312670"/>
    <w:rsid w:val="663D463D"/>
    <w:rsid w:val="66681F91"/>
    <w:rsid w:val="66734161"/>
    <w:rsid w:val="667853C5"/>
    <w:rsid w:val="66B93718"/>
    <w:rsid w:val="66D35406"/>
    <w:rsid w:val="66D458CD"/>
    <w:rsid w:val="66E66F9C"/>
    <w:rsid w:val="66EB0FB7"/>
    <w:rsid w:val="66F927DD"/>
    <w:rsid w:val="66F95E9E"/>
    <w:rsid w:val="670D1F06"/>
    <w:rsid w:val="676D6080"/>
    <w:rsid w:val="67762F3A"/>
    <w:rsid w:val="67CA0781"/>
    <w:rsid w:val="67CC7208"/>
    <w:rsid w:val="67D01901"/>
    <w:rsid w:val="67E648EF"/>
    <w:rsid w:val="67E85591"/>
    <w:rsid w:val="67EF2069"/>
    <w:rsid w:val="68100A77"/>
    <w:rsid w:val="686B733B"/>
    <w:rsid w:val="68862D41"/>
    <w:rsid w:val="689635F0"/>
    <w:rsid w:val="68A46A62"/>
    <w:rsid w:val="68CB54CB"/>
    <w:rsid w:val="69052D5F"/>
    <w:rsid w:val="691C061C"/>
    <w:rsid w:val="69260A46"/>
    <w:rsid w:val="69604371"/>
    <w:rsid w:val="69C448E8"/>
    <w:rsid w:val="69D00938"/>
    <w:rsid w:val="69DB5769"/>
    <w:rsid w:val="6A737C75"/>
    <w:rsid w:val="6A996764"/>
    <w:rsid w:val="6AA657C0"/>
    <w:rsid w:val="6B2544AC"/>
    <w:rsid w:val="6B732CD8"/>
    <w:rsid w:val="6B805EEC"/>
    <w:rsid w:val="6B8222DD"/>
    <w:rsid w:val="6B8F4B01"/>
    <w:rsid w:val="6B95273E"/>
    <w:rsid w:val="6BDB7556"/>
    <w:rsid w:val="6C19363A"/>
    <w:rsid w:val="6C4856C6"/>
    <w:rsid w:val="6C4A1F73"/>
    <w:rsid w:val="6C764BD4"/>
    <w:rsid w:val="6C9424ED"/>
    <w:rsid w:val="6CA33E5F"/>
    <w:rsid w:val="6CAA03F3"/>
    <w:rsid w:val="6CAA235C"/>
    <w:rsid w:val="6CB42EED"/>
    <w:rsid w:val="6CB7285E"/>
    <w:rsid w:val="6CB92C99"/>
    <w:rsid w:val="6CD301D1"/>
    <w:rsid w:val="6CDC1769"/>
    <w:rsid w:val="6CF63D9E"/>
    <w:rsid w:val="6D195884"/>
    <w:rsid w:val="6D1A370C"/>
    <w:rsid w:val="6D3A4A8B"/>
    <w:rsid w:val="6D474877"/>
    <w:rsid w:val="6D5901B8"/>
    <w:rsid w:val="6D64754F"/>
    <w:rsid w:val="6D6B7A25"/>
    <w:rsid w:val="6D9C1B64"/>
    <w:rsid w:val="6DF1161A"/>
    <w:rsid w:val="6E113AE6"/>
    <w:rsid w:val="6E194917"/>
    <w:rsid w:val="6E755258"/>
    <w:rsid w:val="6EBD05ED"/>
    <w:rsid w:val="6EBF237F"/>
    <w:rsid w:val="6ED746D9"/>
    <w:rsid w:val="6EFC76A6"/>
    <w:rsid w:val="6EFD50A1"/>
    <w:rsid w:val="6F0E2E42"/>
    <w:rsid w:val="6F19650B"/>
    <w:rsid w:val="6F480DBF"/>
    <w:rsid w:val="6F6D413B"/>
    <w:rsid w:val="6F752F18"/>
    <w:rsid w:val="6F9B69A7"/>
    <w:rsid w:val="6FA531BB"/>
    <w:rsid w:val="6FB542B3"/>
    <w:rsid w:val="6FD2009A"/>
    <w:rsid w:val="6FDB5B5E"/>
    <w:rsid w:val="6FF12241"/>
    <w:rsid w:val="700B2667"/>
    <w:rsid w:val="70536233"/>
    <w:rsid w:val="70CA16AF"/>
    <w:rsid w:val="70D06DC5"/>
    <w:rsid w:val="70E13CA2"/>
    <w:rsid w:val="71017F24"/>
    <w:rsid w:val="710F78B3"/>
    <w:rsid w:val="712215C3"/>
    <w:rsid w:val="71357EA1"/>
    <w:rsid w:val="718B45A8"/>
    <w:rsid w:val="71E72297"/>
    <w:rsid w:val="71EE4970"/>
    <w:rsid w:val="722E09A3"/>
    <w:rsid w:val="72337B1F"/>
    <w:rsid w:val="724C0A1E"/>
    <w:rsid w:val="726E7A10"/>
    <w:rsid w:val="729942E0"/>
    <w:rsid w:val="72B90FFA"/>
    <w:rsid w:val="72C66BFA"/>
    <w:rsid w:val="72E301FD"/>
    <w:rsid w:val="72EF2CAC"/>
    <w:rsid w:val="731F0B2C"/>
    <w:rsid w:val="73305D4B"/>
    <w:rsid w:val="733779EE"/>
    <w:rsid w:val="73800D19"/>
    <w:rsid w:val="738766F2"/>
    <w:rsid w:val="73876CDD"/>
    <w:rsid w:val="739359CE"/>
    <w:rsid w:val="73E339FF"/>
    <w:rsid w:val="73F222B6"/>
    <w:rsid w:val="74C21336"/>
    <w:rsid w:val="74E216DA"/>
    <w:rsid w:val="75404F45"/>
    <w:rsid w:val="755F04E5"/>
    <w:rsid w:val="756A0ACB"/>
    <w:rsid w:val="757F6CA6"/>
    <w:rsid w:val="75887ADC"/>
    <w:rsid w:val="75E545B6"/>
    <w:rsid w:val="75E84300"/>
    <w:rsid w:val="75E87F6D"/>
    <w:rsid w:val="75EF2BC6"/>
    <w:rsid w:val="76196C74"/>
    <w:rsid w:val="764B7A26"/>
    <w:rsid w:val="76752285"/>
    <w:rsid w:val="76774B02"/>
    <w:rsid w:val="768B6CEA"/>
    <w:rsid w:val="76967B18"/>
    <w:rsid w:val="76B607AC"/>
    <w:rsid w:val="76B65A47"/>
    <w:rsid w:val="76B85F27"/>
    <w:rsid w:val="76CB6DAC"/>
    <w:rsid w:val="77021767"/>
    <w:rsid w:val="77126F77"/>
    <w:rsid w:val="77522FC5"/>
    <w:rsid w:val="77571BBE"/>
    <w:rsid w:val="775872EB"/>
    <w:rsid w:val="775D77F8"/>
    <w:rsid w:val="779A6EEE"/>
    <w:rsid w:val="779C4B80"/>
    <w:rsid w:val="779D27FA"/>
    <w:rsid w:val="77AE2332"/>
    <w:rsid w:val="77BD0E0D"/>
    <w:rsid w:val="77BF74A1"/>
    <w:rsid w:val="77C93014"/>
    <w:rsid w:val="77D3655C"/>
    <w:rsid w:val="77D81034"/>
    <w:rsid w:val="780A08BE"/>
    <w:rsid w:val="78604F93"/>
    <w:rsid w:val="78793F2A"/>
    <w:rsid w:val="78AF4763"/>
    <w:rsid w:val="78C63F90"/>
    <w:rsid w:val="78D46B3F"/>
    <w:rsid w:val="78E41D3E"/>
    <w:rsid w:val="78E94086"/>
    <w:rsid w:val="78F003A2"/>
    <w:rsid w:val="792E6E33"/>
    <w:rsid w:val="79490C46"/>
    <w:rsid w:val="799F06C6"/>
    <w:rsid w:val="79B047CE"/>
    <w:rsid w:val="79B92D7E"/>
    <w:rsid w:val="79ED5EF7"/>
    <w:rsid w:val="7A2A38D9"/>
    <w:rsid w:val="7A2E70B2"/>
    <w:rsid w:val="7A3A0A4A"/>
    <w:rsid w:val="7A411456"/>
    <w:rsid w:val="7A421740"/>
    <w:rsid w:val="7A906B63"/>
    <w:rsid w:val="7A951DEF"/>
    <w:rsid w:val="7AAE20E4"/>
    <w:rsid w:val="7AB36B94"/>
    <w:rsid w:val="7ACC5632"/>
    <w:rsid w:val="7AE22445"/>
    <w:rsid w:val="7B1B12E2"/>
    <w:rsid w:val="7B1E1835"/>
    <w:rsid w:val="7B386EF2"/>
    <w:rsid w:val="7B5F6DC9"/>
    <w:rsid w:val="7B855BAE"/>
    <w:rsid w:val="7B883462"/>
    <w:rsid w:val="7BA237E5"/>
    <w:rsid w:val="7BC73FE3"/>
    <w:rsid w:val="7BC868DD"/>
    <w:rsid w:val="7BCD661C"/>
    <w:rsid w:val="7C7B7589"/>
    <w:rsid w:val="7CA2031E"/>
    <w:rsid w:val="7CAD1DA2"/>
    <w:rsid w:val="7CC9600E"/>
    <w:rsid w:val="7CFA7373"/>
    <w:rsid w:val="7D2F10E8"/>
    <w:rsid w:val="7D367689"/>
    <w:rsid w:val="7D4C7805"/>
    <w:rsid w:val="7D6334B7"/>
    <w:rsid w:val="7D70469B"/>
    <w:rsid w:val="7D7B706E"/>
    <w:rsid w:val="7D8F2B0A"/>
    <w:rsid w:val="7D9E29D8"/>
    <w:rsid w:val="7DD5739D"/>
    <w:rsid w:val="7DF05D05"/>
    <w:rsid w:val="7E097FF8"/>
    <w:rsid w:val="7E195A77"/>
    <w:rsid w:val="7E1B68C5"/>
    <w:rsid w:val="7E417DED"/>
    <w:rsid w:val="7E9B4AF9"/>
    <w:rsid w:val="7EE66F95"/>
    <w:rsid w:val="7EF62C4D"/>
    <w:rsid w:val="7F014B10"/>
    <w:rsid w:val="7F1260EE"/>
    <w:rsid w:val="7F2E05AF"/>
    <w:rsid w:val="7F2F1F19"/>
    <w:rsid w:val="7F3C0886"/>
    <w:rsid w:val="7F4F5C12"/>
    <w:rsid w:val="7FCD6075"/>
    <w:rsid w:val="7FDB4646"/>
    <w:rsid w:val="7FE63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4">
    <w:name w:val="heading 1"/>
    <w:basedOn w:val="1"/>
    <w:next w:val="1"/>
    <w:qFormat/>
    <w:uiPriority w:val="0"/>
    <w:pPr>
      <w:keepNext/>
      <w:keepLines/>
      <w:spacing w:before="340" w:after="330"/>
      <w:outlineLvl w:val="0"/>
    </w:pPr>
    <w:rPr>
      <w:rFonts w:ascii="华文细黑"/>
      <w:b/>
      <w:bCs/>
      <w:snapToGrid w:val="0"/>
      <w:sz w:val="28"/>
      <w:szCs w:val="44"/>
      <w:lang w:val="zh-CN"/>
    </w:rPr>
  </w:style>
  <w:style w:type="paragraph" w:styleId="5">
    <w:name w:val="heading 2"/>
    <w:basedOn w:val="1"/>
    <w:next w:val="1"/>
    <w:qFormat/>
    <w:uiPriority w:val="0"/>
    <w:pPr>
      <w:spacing w:before="260" w:after="260"/>
      <w:jc w:val="center"/>
      <w:outlineLvl w:val="1"/>
    </w:pPr>
    <w:rPr>
      <w:rFonts w:ascii="华文细黑" w:hAnsi="Arial"/>
      <w:b/>
      <w:bCs/>
      <w:sz w:val="44"/>
      <w:szCs w:val="32"/>
      <w:lang w:val="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6">
    <w:name w:val="Body Text Indent"/>
    <w:basedOn w:val="1"/>
    <w:qFormat/>
    <w:uiPriority w:val="0"/>
    <w:pPr>
      <w:spacing w:line="360" w:lineRule="auto"/>
      <w:ind w:firstLine="630"/>
    </w:pPr>
    <w:rPr>
      <w:szCs w:val="20"/>
    </w:rPr>
  </w:style>
  <w:style w:type="paragraph" w:styleId="7">
    <w:name w:val="Plain Text"/>
    <w:basedOn w:val="1"/>
    <w:qFormat/>
    <w:uiPriority w:val="99"/>
    <w:rPr>
      <w:rFonts w:hAnsi="Courier New" w:cs="Courier New"/>
      <w:szCs w:val="21"/>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next w:val="1"/>
    <w:semiHidden/>
    <w:qFormat/>
    <w:uiPriority w:val="0"/>
    <w:pPr>
      <w:widowControl w:val="0"/>
      <w:ind w:firstLine="420"/>
      <w:jc w:val="both"/>
    </w:pPr>
    <w:rPr>
      <w:rFonts w:cs="Times New Roman"/>
      <w:kern w:val="2"/>
      <w:szCs w:val="24"/>
    </w:rPr>
  </w:style>
  <w:style w:type="character" w:styleId="13">
    <w:name w:val="page number"/>
    <w:basedOn w:val="12"/>
    <w:qFormat/>
    <w:uiPriority w:val="0"/>
  </w:style>
  <w:style w:type="paragraph" w:customStyle="1" w:styleId="14">
    <w:name w:val="Normal_3_0_0"/>
    <w:basedOn w:val="1"/>
    <w:qFormat/>
    <w:uiPriority w:val="0"/>
    <w:pPr>
      <w:widowControl w:val="0"/>
      <w:jc w:val="both"/>
    </w:pPr>
    <w:rPr>
      <w:rFonts w:ascii="Times New Roman" w:hAnsi="Times New Roman" w:cs="Times New Roman"/>
      <w:kern w:val="2"/>
      <w:sz w:val="21"/>
      <w:szCs w:val="21"/>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2175</Words>
  <Characters>2262</Characters>
  <Lines>0</Lines>
  <Paragraphs>0</Paragraphs>
  <TotalTime>6</TotalTime>
  <ScaleCrop>false</ScaleCrop>
  <LinksUpToDate>false</LinksUpToDate>
  <CharactersWithSpaces>2624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2023-07-12T06:21:00Z</dcterms:created>
  <dc:creator>Administrator</dc:creator>
  <cp:lastModifiedBy>LYF</cp:lastModifiedBy>
  <dcterms:modified xsi:type="dcterms:W3CDTF">2025-02-25T03:34:49Z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465B68FDFB3D40A5BCED9A5CB1FE608C_13</vt:lpwstr>
  </property>
  <property fmtid="{D5CDD505-2E9C-101B-9397-08002B2CF9AE}" pid="4" name="KSOTemplateDocerSaveRecord">
    <vt:lpwstr>eyJoZGlkIjoiOTU1M2MxNTgwZWMxZTI0YzE0OTQzZGU2ZmU5MzY4NmQiLCJ1c2VySWQiOiIyNzk1Mzk5NTEifQ==</vt:lpwstr>
  </property>
</Properties>
</file>