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宋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评审评分表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5986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评分因素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评分规则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采用低价优先法计算，即满足招标文件要求且报价最低的为评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标基准价，其报价为满分。其他招标供应商的报价得分统一按照下列公式计算：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报价分数=(评标基准价／投标报价)×100×30%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备注：项目报价上限为15万，报价超过15万的为无效报价，此项不得分。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项目方案包括但不限于策划执行实施项目内容、培训项目、师资力量、预期达到的效果、宣传推广等内容。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优评分标准：方案符合实际、完整、规范、思路清晰，内容合理、与本次招标需求的匹配度高、可操作性强，得35-40分；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良评分标准：方案较符合实际、较完整规范、思路较清晰，内容比较合理、与本次招标需求的匹配度较高、可操作性较强，得25-34分；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中评分标准：方案较普通、完整性规范性一般，思路不够清晰，内容比较合理、与本次招标需求的匹配度一般、可操作性一般，得15-24分；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差评分标准：方案不完整、不规范，思路不清晰，与本次招标需求的匹配度低、内容合理性较差或未提供，得0-14分。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同类项目业绩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近三年内具有项目经验的情况（投标人须提供合同关键页或中标通知书扫描件）。每提供一项项目经验得5分，最高得25分。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服务承诺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供应商根据招标文件规定提供承诺声明。按要求提供承诺声明的得5分，承诺内容不满足招标文件要求的少一条扣1分，未提供的不得分。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D53FA"/>
    <w:rsid w:val="2A4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1"/>
    </w:rPr>
  </w:style>
  <w:style w:type="table" w:styleId="4">
    <w:name w:val="Table 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2025-01-17T02:26:00Z</dcterms:created>
  <dc:creator>YT</dc:creator>
  <cp:lastModifiedBy>盐田区文化馆收发文</cp:lastModifiedBy>
  <cp:lastPrinted>2025-06-18T03:13:21Z</cp:lastPrinted>
  <dcterms:modified xsi:type="dcterms:W3CDTF">2025-06-18T03:13:24Z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9323D5E90ED8456AA9875BA6A57F0F97</vt:lpwstr>
  </property>
</Properties>
</file>