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方正小标宋简体" w:hAnsi="___WRD_EMBED_SUB_38" w:eastAsia="方正小标宋简体" w:cs="___WRD_EMBED_SUB_38"/>
          <w:b/>
          <w:bCs/>
          <w:i w:val="0"/>
          <w:iCs w:val="0"/>
          <w:color w:val="auto"/>
          <w:kern w:val="2"/>
          <w:sz w:val="44"/>
          <w:szCs w:val="44"/>
          <w:highlight w:val="none"/>
          <w:vertAlign w:val="baseline"/>
          <w:lang w:val="en-US" w:eastAsia="zh-CN" w:bidi="ar-SA"/>
        </w:rPr>
      </w:pPr>
      <w:r>
        <w:rPr>
          <w:rFonts w:hint="default" w:ascii="方正小标宋简体" w:hAnsi="宋体" w:eastAsia="方正小标宋简体" w:cs="宋体"/>
          <w:b/>
          <w:bCs/>
          <w:i w:val="0"/>
          <w:iCs w:val="0"/>
          <w:color w:val="auto"/>
          <w:kern w:val="2"/>
          <w:sz w:val="44"/>
          <w:szCs w:val="44"/>
          <w:highlight w:val="none"/>
          <w:vertAlign w:val="baseline"/>
          <w:lang w:val="en-US" w:eastAsia="zh-CN" w:bidi="ar-SA"/>
        </w:rPr>
        <w:t xml:space="preserve"> 深圳市盐田区</w:t>
      </w:r>
      <w:r>
        <w:rPr>
          <w:rFonts w:hint="default" w:ascii="方正小标宋简体" w:hAnsi="___WRD_EMBED_SUB_38" w:eastAsia="方正小标宋简体" w:cs="___WRD_EMBED_SUB_38"/>
          <w:b/>
          <w:bCs/>
          <w:i w:val="0"/>
          <w:iCs w:val="0"/>
          <w:color w:val="auto"/>
          <w:kern w:val="2"/>
          <w:sz w:val="44"/>
          <w:szCs w:val="44"/>
          <w:highlight w:val="none"/>
          <w:vertAlign w:val="baseline"/>
          <w:lang w:val="en-US" w:eastAsia="zh-CN" w:bidi="ar-SA"/>
        </w:rPr>
        <w:t>就业驿站</w:t>
      </w:r>
    </w:p>
    <w:p>
      <w:pPr>
        <w:spacing w:line="240" w:lineRule="auto"/>
        <w:jc w:val="center"/>
      </w:pPr>
      <w:r>
        <w:rPr>
          <w:rFonts w:hint="default" w:ascii="方正小标宋简体" w:hAnsi="___WRD_EMBED_SUB_38" w:eastAsia="方正小标宋简体" w:cs="___WRD_EMBED_SUB_38"/>
          <w:b/>
          <w:bCs/>
          <w:i w:val="0"/>
          <w:iCs w:val="0"/>
          <w:color w:val="auto"/>
          <w:kern w:val="2"/>
          <w:sz w:val="44"/>
          <w:szCs w:val="44"/>
          <w:highlight w:val="none"/>
          <w:vertAlign w:val="baseline"/>
          <w:lang w:val="en-US" w:eastAsia="zh-CN" w:bidi="ar-SA"/>
        </w:rPr>
        <w:t>建设服务</w:t>
      </w:r>
    </w:p>
    <w:p>
      <w:pPr>
        <w:spacing w:line="240" w:lineRule="auto"/>
        <w:jc w:val="center"/>
      </w:pPr>
    </w:p>
    <w:p>
      <w:pPr>
        <w:spacing w:line="240" w:lineRule="auto"/>
        <w:jc w:val="center"/>
      </w:pPr>
    </w:p>
    <w:p>
      <w:pPr>
        <w:spacing w:line="240" w:lineRule="auto"/>
        <w:jc w:val="center"/>
      </w:pPr>
    </w:p>
    <w:p>
      <w:pPr>
        <w:spacing w:line="240" w:lineRule="auto"/>
        <w:jc w:val="center"/>
      </w:pPr>
      <w:r>
        <w:rPr>
          <w:rFonts w:hint="default" w:ascii="方正小标宋简体" w:hAnsi="方正仿宋_GB2312" w:eastAsia="方正小标宋简体" w:cs="方正仿宋_GB2312"/>
          <w:b/>
          <w:bCs/>
          <w:i w:val="0"/>
          <w:iCs w:val="0"/>
          <w:color w:val="auto"/>
          <w:kern w:val="2"/>
          <w:sz w:val="44"/>
          <w:szCs w:val="44"/>
          <w:highlight w:val="none"/>
          <w:vertAlign w:val="baseline"/>
          <w:lang w:val="en-US" w:eastAsia="zh-CN" w:bidi="ar-SA"/>
        </w:rPr>
        <w:t>招标文件</w:t>
      </w:r>
      <w:r>
        <w:rPr>
          <w:rFonts w:ascii="方正仿宋_GB2312" w:hAnsi="方正仿宋_GB2312" w:eastAsia="方正仿宋_GB2312" w:cs="方正仿宋_GB2312"/>
          <w:b/>
          <w:bCs/>
          <w:i w:val="0"/>
          <w:iCs w:val="0"/>
          <w:color w:val="auto"/>
          <w:kern w:val="2"/>
          <w:sz w:val="44"/>
          <w:szCs w:val="44"/>
          <w:highlight w:val="none"/>
          <w:vertAlign w:val="baseline"/>
          <w:lang w:val="en-US" w:eastAsia="zh-CN" w:bidi="ar-SA"/>
        </w:rPr>
        <w:br w:type="page"/>
      </w:r>
    </w:p>
    <w:p>
      <w:pPr>
        <w:spacing w:line="240" w:lineRule="auto"/>
        <w:jc w:val="center"/>
      </w:pPr>
      <w:r>
        <w:rPr>
          <w:rFonts w:hint="default" w:ascii="黑体" w:hAnsi="黑体" w:eastAsia="黑体" w:cs="黑体"/>
          <w:b w:val="0"/>
          <w:bCs w:val="0"/>
          <w:i w:val="0"/>
          <w:iCs w:val="0"/>
          <w:color w:val="auto"/>
          <w:kern w:val="2"/>
          <w:sz w:val="32"/>
          <w:szCs w:val="32"/>
          <w:highlight w:val="none"/>
          <w:vertAlign w:val="baseline"/>
          <w:lang w:val="en-US" w:eastAsia="zh-CN" w:bidi="ar-SA"/>
        </w:rPr>
        <w:t>项目招标信息</w:t>
      </w:r>
    </w:p>
    <w:p>
      <w:pPr>
        <w:widowControl/>
        <w:spacing w:line="240" w:lineRule="auto"/>
        <w:jc w:val="left"/>
      </w:pPr>
      <w:r>
        <w:rPr>
          <w:rFonts w:hint="default" w:ascii="方正仿宋_GB2312" w:hAnsi="方正仿宋_GB2312" w:eastAsia="方正仿宋_GB2312" w:cs="___WRD_EMBED_SUB_38"/>
          <w:b w:val="0"/>
          <w:bCs w:val="0"/>
          <w:i w:val="0"/>
          <w:iCs w:val="0"/>
          <w:color w:val="auto"/>
          <w:kern w:val="2"/>
          <w:sz w:val="28"/>
          <w:szCs w:val="28"/>
          <w:highlight w:val="none"/>
          <w:vertAlign w:val="baseline"/>
          <w:lang w:val="en-US" w:eastAsia="zh-CN" w:bidi="ar-SA"/>
        </w:rPr>
        <w:t>项目名称：</w:t>
      </w:r>
      <w:r>
        <w:rPr>
          <w:rFonts w:hint="default" w:ascii="方正仿宋_GB2312" w:hAnsi="方正仿宋_GB2312" w:eastAsia="方正仿宋_GB2312" w:cs="___WRD_EMBED_SUB_38"/>
          <w:b w:val="0"/>
          <w:bCs w:val="0"/>
          <w:i w:val="0"/>
          <w:iCs w:val="0"/>
          <w:color w:val="auto"/>
          <w:spacing w:val="6"/>
          <w:kern w:val="2"/>
          <w:sz w:val="28"/>
          <w:szCs w:val="28"/>
          <w:highlight w:val="none"/>
          <w:vertAlign w:val="baseline"/>
          <w:lang w:val="en-US" w:eastAsia="zh-CN" w:bidi="ar-SA"/>
        </w:rPr>
        <w:t>深圳市盐田区就业驿站建设服务</w:t>
      </w:r>
    </w:p>
    <w:p>
      <w:pPr>
        <w:widowControl/>
        <w:spacing w:line="240" w:lineRule="auto"/>
        <w:jc w:val="left"/>
      </w:pPr>
      <w:r>
        <w:rPr>
          <w:rFonts w:hint="default" w:ascii="方正仿宋_GB2312" w:hAnsi="方正仿宋_GB2312" w:eastAsia="方正仿宋_GB2312" w:cs="___WRD_EMBED_SUB_38"/>
          <w:b w:val="0"/>
          <w:bCs w:val="0"/>
          <w:i w:val="0"/>
          <w:iCs w:val="0"/>
          <w:color w:val="auto"/>
          <w:kern w:val="2"/>
          <w:sz w:val="28"/>
          <w:szCs w:val="28"/>
          <w:highlight w:val="none"/>
          <w:vertAlign w:val="baseline"/>
          <w:lang w:val="en-US" w:eastAsia="zh-CN" w:bidi="ar-SA"/>
        </w:rPr>
        <w:t>项目预算（人民币）：</w:t>
      </w:r>
      <w:r>
        <w:rPr>
          <w:rFonts w:hint="default" w:ascii="宋体" w:hAnsi="宋体" w:eastAsia="宋体" w:cs="宋体"/>
          <w:b w:val="0"/>
          <w:bCs w:val="0"/>
          <w:i w:val="0"/>
          <w:iCs w:val="0"/>
          <w:color w:val="auto"/>
          <w:kern w:val="2"/>
          <w:sz w:val="28"/>
          <w:szCs w:val="28"/>
          <w:highlight w:val="none"/>
          <w:vertAlign w:val="baseline"/>
          <w:lang w:val="en-US" w:eastAsia="zh-CN" w:bidi="ar-SA"/>
        </w:rPr>
        <w:t>70</w:t>
      </w:r>
      <w:r>
        <w:rPr>
          <w:rFonts w:hint="default" w:ascii="方正仿宋_GB2312" w:hAnsi="方正仿宋_GB2312" w:eastAsia="方正仿宋_GB2312" w:cs="___WRD_EMBED_SUB_38"/>
          <w:b w:val="0"/>
          <w:bCs w:val="0"/>
          <w:i w:val="0"/>
          <w:iCs w:val="0"/>
          <w:color w:val="auto"/>
          <w:kern w:val="2"/>
          <w:sz w:val="28"/>
          <w:szCs w:val="28"/>
          <w:highlight w:val="none"/>
          <w:vertAlign w:val="baseline"/>
          <w:lang w:val="en-US" w:eastAsia="zh-CN" w:bidi="ar-SA"/>
        </w:rPr>
        <w:t>万元</w:t>
      </w:r>
    </w:p>
    <w:p>
      <w:pPr>
        <w:widowControl/>
        <w:spacing w:line="240" w:lineRule="auto"/>
        <w:jc w:val="left"/>
      </w:pPr>
      <w:r>
        <w:rPr>
          <w:rFonts w:hint="default" w:ascii="方正仿宋_GB2312" w:hAnsi="方正仿宋_GB2312" w:eastAsia="方正仿宋_GB2312" w:cs="___WRD_EMBED_SUB_38"/>
          <w:b w:val="0"/>
          <w:bCs w:val="0"/>
          <w:i w:val="0"/>
          <w:iCs w:val="0"/>
          <w:color w:val="auto"/>
          <w:kern w:val="2"/>
          <w:sz w:val="28"/>
          <w:szCs w:val="28"/>
          <w:highlight w:val="none"/>
          <w:vertAlign w:val="baseline"/>
          <w:lang w:val="en-US" w:eastAsia="zh-CN" w:bidi="ar-SA"/>
        </w:rPr>
        <w:t>项目类型：服务类</w:t>
      </w:r>
    </w:p>
    <w:p>
      <w:pPr>
        <w:widowControl/>
        <w:spacing w:line="240" w:lineRule="auto"/>
        <w:jc w:val="left"/>
      </w:pPr>
      <w:r>
        <w:rPr>
          <w:rFonts w:hint="default" w:ascii="方正仿宋_GB2312" w:hAnsi="方正仿宋_GB2312" w:eastAsia="方正仿宋_GB2312" w:cs="___WRD_EMBED_SUB_38"/>
          <w:b w:val="0"/>
          <w:bCs w:val="0"/>
          <w:i w:val="0"/>
          <w:iCs w:val="0"/>
          <w:color w:val="auto"/>
          <w:kern w:val="2"/>
          <w:sz w:val="28"/>
          <w:szCs w:val="28"/>
          <w:highlight w:val="none"/>
          <w:vertAlign w:val="baseline"/>
          <w:lang w:val="en-US" w:eastAsia="zh-CN" w:bidi="ar-SA"/>
        </w:rPr>
        <w:t xml:space="preserve">采购方式：公开招标 </w:t>
      </w:r>
    </w:p>
    <w:p>
      <w:pPr>
        <w:spacing w:line="240" w:lineRule="auto"/>
        <w:jc w:val="both"/>
      </w:pPr>
      <w:r>
        <w:rPr>
          <w:rFonts w:hint="default" w:ascii="方正仿宋_GB2312" w:hAnsi="方正仿宋_GB2312" w:eastAsia="方正仿宋_GB2312" w:cs="方正仿宋_GB2312"/>
          <w:b w:val="0"/>
          <w:bCs w:val="0"/>
          <w:i w:val="0"/>
          <w:iCs w:val="0"/>
          <w:color w:val="auto"/>
          <w:kern w:val="2"/>
          <w:sz w:val="28"/>
          <w:szCs w:val="28"/>
          <w:highlight w:val="none"/>
          <w:vertAlign w:val="baseline"/>
          <w:lang w:val="en-US" w:eastAsia="zh-CN" w:bidi="ar-SA"/>
        </w:rPr>
        <w:t>评标方法：综合评</w:t>
      </w:r>
      <w:r>
        <w:rPr>
          <w:rFonts w:hint="eastAsia" w:ascii="方正仿宋_GB2312" w:hAnsi="方正仿宋_GB2312" w:eastAsia="方正仿宋_GB2312" w:cs="方正仿宋_GB2312"/>
          <w:b w:val="0"/>
          <w:bCs w:val="0"/>
          <w:i w:val="0"/>
          <w:iCs w:val="0"/>
          <w:color w:val="auto"/>
          <w:kern w:val="2"/>
          <w:sz w:val="28"/>
          <w:szCs w:val="28"/>
          <w:highlight w:val="none"/>
          <w:vertAlign w:val="baseline"/>
          <w:lang w:val="en-US" w:eastAsia="zh-CN" w:bidi="ar-SA"/>
        </w:rPr>
        <w:t>分</w:t>
      </w:r>
      <w:r>
        <w:rPr>
          <w:rFonts w:hint="default" w:ascii="方正仿宋_GB2312" w:hAnsi="方正仿宋_GB2312" w:eastAsia="方正仿宋_GB2312" w:cs="方正仿宋_GB2312"/>
          <w:b w:val="0"/>
          <w:bCs w:val="0"/>
          <w:i w:val="0"/>
          <w:iCs w:val="0"/>
          <w:color w:val="auto"/>
          <w:kern w:val="2"/>
          <w:sz w:val="28"/>
          <w:szCs w:val="28"/>
          <w:highlight w:val="none"/>
          <w:vertAlign w:val="baseline"/>
          <w:lang w:val="en-US" w:eastAsia="zh-CN" w:bidi="ar-SA"/>
        </w:rPr>
        <w:t>法</w:t>
      </w:r>
    </w:p>
    <w:p>
      <w:pPr>
        <w:spacing w:line="240" w:lineRule="auto"/>
        <w:jc w:val="both"/>
      </w:pPr>
    </w:p>
    <w:p>
      <w:pPr>
        <w:spacing w:line="240" w:lineRule="auto"/>
        <w:jc w:val="both"/>
      </w:pPr>
    </w:p>
    <w:p>
      <w:pPr>
        <w:spacing w:line="240" w:lineRule="auto"/>
        <w:jc w:val="both"/>
      </w:pPr>
    </w:p>
    <w:p>
      <w:pPr>
        <w:spacing w:line="240" w:lineRule="auto"/>
        <w:jc w:val="both"/>
      </w:pPr>
    </w:p>
    <w:p>
      <w:pPr>
        <w:spacing w:line="240" w:lineRule="auto"/>
        <w:jc w:val="both"/>
      </w:pPr>
    </w:p>
    <w:p>
      <w:pPr>
        <w:spacing w:line="240" w:lineRule="auto"/>
        <w:jc w:val="both"/>
      </w:pPr>
    </w:p>
    <w:p>
      <w:pPr>
        <w:spacing w:line="240" w:lineRule="auto"/>
        <w:jc w:val="both"/>
      </w:pPr>
    </w:p>
    <w:p>
      <w:pPr>
        <w:spacing w:line="240" w:lineRule="auto"/>
        <w:jc w:val="both"/>
      </w:pPr>
    </w:p>
    <w:p>
      <w:pPr>
        <w:spacing w:line="240" w:lineRule="auto"/>
        <w:jc w:val="both"/>
      </w:pPr>
    </w:p>
    <w:p>
      <w:pPr>
        <w:spacing w:line="240" w:lineRule="auto"/>
        <w:jc w:val="both"/>
      </w:pPr>
    </w:p>
    <w:p>
      <w:pPr>
        <w:spacing w:line="240" w:lineRule="auto"/>
        <w:jc w:val="both"/>
      </w:pPr>
    </w:p>
    <w:p>
      <w:pPr>
        <w:spacing w:line="240" w:lineRule="auto"/>
        <w:jc w:val="both"/>
      </w:pPr>
    </w:p>
    <w:p>
      <w:pPr>
        <w:spacing w:line="240" w:lineRule="auto"/>
        <w:jc w:val="both"/>
      </w:pPr>
    </w:p>
    <w:p>
      <w:pPr>
        <w:spacing w:line="240" w:lineRule="auto"/>
        <w:jc w:val="both"/>
      </w:pPr>
    </w:p>
    <w:p>
      <w:pPr>
        <w:spacing w:line="240" w:lineRule="auto"/>
        <w:jc w:val="both"/>
      </w:pPr>
    </w:p>
    <w:p>
      <w:pPr>
        <w:spacing w:line="240" w:lineRule="auto"/>
        <w:jc w:val="both"/>
      </w:pPr>
    </w:p>
    <w:p>
      <w:pPr>
        <w:widowControl/>
        <w:spacing w:line="240" w:lineRule="auto"/>
        <w:jc w:val="left"/>
      </w:pPr>
    </w:p>
    <w:p>
      <w:pPr>
        <w:widowControl/>
        <w:spacing w:line="240" w:lineRule="auto"/>
        <w:jc w:val="left"/>
        <w:rPr>
          <w:rFonts w:ascii="方正仿宋_GB2312" w:hAnsi="方正仿宋_GB2312" w:eastAsia="方正仿宋_GB2312" w:cs="方正仿宋_GB2312"/>
          <w:b/>
          <w:sz w:val="28"/>
          <w:szCs w:val="28"/>
        </w:rPr>
      </w:pPr>
      <w:r>
        <w:rPr>
          <w:rFonts w:ascii="方正仿宋_GB2312" w:hAnsi="方正仿宋_GB2312" w:eastAsia="方正仿宋_GB2312" w:cs="方正仿宋_GB2312"/>
          <w:b/>
          <w:bCs/>
          <w:i w:val="0"/>
          <w:iCs w:val="0"/>
          <w:color w:val="auto"/>
          <w:kern w:val="2"/>
          <w:sz w:val="28"/>
          <w:szCs w:val="28"/>
          <w:highlight w:val="none"/>
          <w:vertAlign w:val="baseline"/>
          <w:lang w:val="en-US" w:eastAsia="zh-CN" w:bidi="ar-SA"/>
        </w:rPr>
        <w:br w:type="page"/>
      </w:r>
    </w:p>
    <w:p>
      <w:pPr>
        <w:tabs>
          <w:tab w:val="left" w:pos="540"/>
        </w:tabs>
        <w:spacing w:line="360" w:lineRule="auto"/>
        <w:jc w:val="center"/>
        <w:outlineLvl w:val="1"/>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一、项目基本情况</w:t>
      </w:r>
    </w:p>
    <w:p>
      <w:pPr>
        <w:pStyle w:val="7"/>
        <w:spacing w:before="144" w:line="220" w:lineRule="auto"/>
        <w:ind w:left="610"/>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（一）总体要求</w:t>
      </w:r>
    </w:p>
    <w:p>
      <w:pPr>
        <w:pStyle w:val="7"/>
        <w:spacing w:before="28" w:line="239" w:lineRule="auto"/>
        <w:ind w:right="55" w:firstLine="640" w:firstLineChars="200"/>
        <w:jc w:val="both"/>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US" w:eastAsia="zh-CN" w:bidi="ar-SA"/>
        </w:rPr>
        <w:t>根据《广东省就业驿站建设指引》（粤人社函〔2023〕354 号）、《深圳市人力资源和社会保障局关于转发家门口就业服务圈建设行动方案的通知》等工作要求， 进一步健全我区公共就业服务体系，开展就业驿站建设及运营工作。计划在四个街道开展就业驿站建设工作，引入第三方专业机构，打造就业宣传、就业服务、“AI+就业”、创业服务“四大服务板块”。根据以上需要拟选定一家第三方公司承接就业驿站建设工作，开展各类就业创业服务，促进劳动者就业创业。</w:t>
      </w:r>
    </w:p>
    <w:p>
      <w:pPr>
        <w:pStyle w:val="7"/>
        <w:spacing w:before="144" w:line="220" w:lineRule="auto"/>
        <w:ind w:left="610"/>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（二）工作目标</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kern w:val="2"/>
          <w:sz w:val="32"/>
          <w:szCs w:val="32"/>
          <w:lang w:val="en-US" w:eastAsia="zh-CN" w:bidi="ar-SA"/>
        </w:rPr>
        <w:t>进一步优化现有4个就业驿站选址及服务，织密基层服务网络，依托智能招聘服务系统，精准对接重点群体需求，大幅提升服务效率。</w:t>
      </w:r>
      <w:r>
        <w:rPr>
          <w:rFonts w:hint="eastAsia" w:ascii="CESI仿宋-GB2312" w:hAnsi="CESI仿宋-GB2312" w:eastAsia="CESI仿宋-GB2312" w:cs="CESI仿宋-GB2312"/>
          <w:sz w:val="32"/>
          <w:szCs w:val="32"/>
          <w:lang w:val="en-US" w:eastAsia="zh-CN"/>
        </w:rPr>
        <w:t>根据四个就业驿站分布位置不同、区域产业特色，制定符合群众需求的公共就业创业服务内容，提出具有盐田特色的就业创业服务活动具体方案，持续举办系列特色品牌活动，不断丰富就业服务形式与内涵。力争到2025年12月，全面建成4家就业驿站，其中</w:t>
      </w:r>
      <w:r>
        <w:rPr>
          <w:rFonts w:hint="default" w:ascii="CESI仿宋-GB2312" w:hAnsi="CESI仿宋-GB2312" w:eastAsia="CESI仿宋-GB2312" w:cs="CESI仿宋-GB2312"/>
          <w:sz w:val="32"/>
          <w:szCs w:val="32"/>
          <w:lang w:val="en-US" w:eastAsia="zh-CN"/>
        </w:rPr>
        <w:t>将</w:t>
      </w:r>
      <w:r>
        <w:rPr>
          <w:rFonts w:hint="eastAsia" w:ascii="CESI仿宋-GB2312" w:hAnsi="CESI仿宋-GB2312" w:eastAsia="CESI仿宋-GB2312" w:cs="CESI仿宋-GB2312"/>
          <w:sz w:val="32"/>
          <w:szCs w:val="32"/>
          <w:lang w:val="en-US" w:eastAsia="zh-CN"/>
        </w:rPr>
        <w:t>盐田街道就业驿站打造为全区标杆驿站，进一步健全“1+4+N”公共就业服务网络，全年开展品牌就业活动36场以上，全面构建“15 分钟”就业服务圈，为</w:t>
      </w:r>
      <w:r>
        <w:rPr>
          <w:rFonts w:hint="eastAsia" w:ascii="CESI仿宋-GB2312" w:hAnsi="CESI仿宋-GB2312" w:cs="CESI仿宋-GB2312"/>
          <w:sz w:val="32"/>
          <w:szCs w:val="32"/>
          <w:lang w:val="en-US" w:eastAsia="zh-CN"/>
        </w:rPr>
        <w:t>居民</w:t>
      </w:r>
      <w:r>
        <w:rPr>
          <w:rFonts w:hint="eastAsia" w:ascii="CESI仿宋-GB2312" w:hAnsi="CESI仿宋-GB2312" w:eastAsia="CESI仿宋-GB2312" w:cs="CESI仿宋-GB2312"/>
          <w:sz w:val="32"/>
          <w:szCs w:val="32"/>
          <w:lang w:val="en-US" w:eastAsia="zh-CN"/>
        </w:rPr>
        <w:t>提供更优质、便捷、高效的就业服务。</w:t>
      </w:r>
    </w:p>
    <w:p>
      <w:pPr>
        <w:tabs>
          <w:tab w:val="left" w:pos="540"/>
        </w:tabs>
        <w:spacing w:line="360" w:lineRule="auto"/>
        <w:jc w:val="center"/>
        <w:outlineLvl w:val="1"/>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二、项目技术要求及服务内容</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为保证服务质量和项目的顺利实施，投标人为本项目提供服务完整实施方案。实施方案需包括但不限于以下内容：供应商基本情况介绍、服务计划、管理制度、保障计划。</w:t>
      </w:r>
    </w:p>
    <w:p>
      <w:pPr>
        <w:ind w:firstLine="640" w:firstLineChars="200"/>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（一）项目内容</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根据采购人的要求和标准，中标单位（承办方）负责就业驿站的日常运营与服务提供。具体包括：</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1.统一标识。就业驿站统一使用“盐田区XX街道就业驿站”命名，应将服务清单、服务流程、人员架构及管理制度等内容上墙展示。</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2.驿站服务。聚焦失业人员、就业困难人员等重点群体以及辖区重点企业，提供8项基础公共服务：</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（1）政策咨询；对劳动者提供就业相关情况介绍、就业政策咨询及就业失业登记办理指引；向用人单位提供本市就业创业相关政策指引。</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（2）求职登记：对劳动者的居住场所、劳动技能、就业意向等情况进行摸查登记，做好相关帮扶服务台账，便于后续与用工企业进行“点对点”对接输送。</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（3）就业指导：由具有职业指导师资质的服务人员采用坐班制，为劳动者选择职业、发展职业和实现职业目标提供帮助和建议的过程，旨在帮助个人了解自己的兴趣、能力、价值观和个性特点， 以便做出更加明智和适合自己的职业选择。</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岗位归集：对接盐田区“四上企业”、中小微企业、民营企业等各类用工主体，了解用工需求，广泛收集岗位信息；调动各类资源，归集盐田区外企业信息，为求职者提供更多样化的岗位选择。及时跟踪辖区内岗位信息归集情况，定期汇总报送有效岗位信息。</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（5）岗位匹配：根据劳动者与用人单位就业用工需求，向劳动者推荐合适职业岗位，协助供需双方见面洽谈，促进达成就业。</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（6）用工分析：利用大数据等手段，对全区规上企业及重点用工企业等企业开展用工分析，为研判全区就业形势提供数据支持。</w:t>
      </w:r>
    </w:p>
    <w:p>
      <w:pPr>
        <w:pStyle w:val="6"/>
        <w:numPr>
          <w:ilvl w:val="0"/>
          <w:numId w:val="0"/>
        </w:numPr>
        <w:ind w:firstLine="640" w:firstLineChars="20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w:t>
      </w:r>
      <w:r>
        <w:rPr>
          <w:rFonts w:hint="default" w:ascii="CESI仿宋-GB2312" w:hAnsi="CESI仿宋-GB2312" w:eastAsia="CESI仿宋-GB2312" w:cs="CESI仿宋-GB2312"/>
          <w:kern w:val="2"/>
          <w:sz w:val="32"/>
          <w:szCs w:val="32"/>
          <w:lang w:val="en-US" w:eastAsia="zh-CN" w:bidi="ar-SA"/>
        </w:rPr>
        <w:t>7</w:t>
      </w:r>
      <w:r>
        <w:rPr>
          <w:rFonts w:hint="eastAsia" w:ascii="CESI仿宋-GB2312" w:hAnsi="CESI仿宋-GB2312" w:eastAsia="CESI仿宋-GB2312" w:cs="CESI仿宋-GB2312"/>
          <w:kern w:val="2"/>
          <w:sz w:val="32"/>
          <w:szCs w:val="32"/>
          <w:lang w:val="en-US" w:eastAsia="zh-CN" w:bidi="ar-SA"/>
        </w:rPr>
        <w:t>）技能培训：结合街道不同产业特色及企业用工需求，开展具有街道特色的技能培训项目，提升劳动者就业能力。</w:t>
      </w:r>
    </w:p>
    <w:p>
      <w:pPr>
        <w:ind w:firstLine="640" w:firstLineChars="200"/>
        <w:rPr>
          <w:rFonts w:hint="default"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w:t>
      </w:r>
      <w:r>
        <w:rPr>
          <w:rFonts w:hint="default" w:ascii="CESI仿宋-GB2312" w:hAnsi="CESI仿宋-GB2312" w:eastAsia="CESI仿宋-GB2312" w:cs="CESI仿宋-GB2312"/>
          <w:kern w:val="2"/>
          <w:sz w:val="32"/>
          <w:szCs w:val="32"/>
          <w:lang w:val="en-US" w:eastAsia="zh-CN" w:bidi="ar-SA"/>
        </w:rPr>
        <w:t>8</w:t>
      </w:r>
      <w:r>
        <w:rPr>
          <w:rFonts w:hint="eastAsia" w:ascii="CESI仿宋-GB2312" w:hAnsi="CESI仿宋-GB2312" w:eastAsia="CESI仿宋-GB2312" w:cs="CESI仿宋-GB2312"/>
          <w:kern w:val="2"/>
          <w:sz w:val="32"/>
          <w:szCs w:val="32"/>
          <w:lang w:val="en-US" w:eastAsia="zh-CN" w:bidi="ar-SA"/>
        </w:rPr>
        <w:t xml:space="preserve">）创业指导：对有创业意愿的劳动者或初创企业经营者提供专题指导服务。 </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3.品牌特色活动。结合驿站实际，在各街道举办</w:t>
      </w:r>
      <w:r>
        <w:rPr>
          <w:rFonts w:hint="default" w:ascii="CESI仿宋-GB2312" w:hAnsi="CESI仿宋-GB2312" w:eastAsia="CESI仿宋-GB2312" w:cs="CESI仿宋-GB2312"/>
          <w:sz w:val="32"/>
          <w:szCs w:val="32"/>
          <w:lang w:val="en-US" w:eastAsia="zh-CN"/>
        </w:rPr>
        <w:t>各类</w:t>
      </w:r>
      <w:r>
        <w:rPr>
          <w:rFonts w:hint="eastAsia" w:ascii="CESI仿宋-GB2312" w:hAnsi="CESI仿宋-GB2312" w:eastAsia="CESI仿宋-GB2312" w:cs="CESI仿宋-GB2312"/>
          <w:sz w:val="32"/>
          <w:szCs w:val="32"/>
          <w:lang w:val="en-US" w:eastAsia="zh-CN"/>
        </w:rPr>
        <w:t>就业创业活动不少于36场</w:t>
      </w:r>
      <w:r>
        <w:rPr>
          <w:rFonts w:hint="default" w:ascii="CESI仿宋-GB2312" w:hAnsi="CESI仿宋-GB2312" w:eastAsia="CESI仿宋-GB2312" w:cs="CESI仿宋-GB2312"/>
          <w:sz w:val="32"/>
          <w:szCs w:val="32"/>
          <w:lang w:val="en-US" w:eastAsia="zh-CN"/>
        </w:rPr>
        <w:t>（其中</w:t>
      </w:r>
      <w:r>
        <w:rPr>
          <w:rFonts w:hint="eastAsia" w:ascii="CESI仿宋-GB2312" w:hAnsi="CESI仿宋-GB2312" w:eastAsia="CESI仿宋-GB2312" w:cs="CESI仿宋-GB2312"/>
          <w:sz w:val="32"/>
          <w:szCs w:val="32"/>
          <w:lang w:val="en-US" w:eastAsia="zh-CN"/>
        </w:rPr>
        <w:t>就业指导</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岗位推荐</w:t>
      </w:r>
      <w:r>
        <w:rPr>
          <w:rFonts w:hint="default" w:ascii="CESI仿宋-GB2312" w:hAnsi="CESI仿宋-GB2312" w:eastAsia="CESI仿宋-GB2312" w:cs="CESI仿宋-GB2312"/>
          <w:sz w:val="32"/>
          <w:szCs w:val="32"/>
          <w:lang w:val="en-US" w:eastAsia="zh-CN"/>
        </w:rPr>
        <w:t>不少于20场</w:t>
      </w:r>
      <w:r>
        <w:rPr>
          <w:rFonts w:hint="eastAsia" w:ascii="CESI仿宋-GB2312" w:hAnsi="CESI仿宋-GB2312" w:eastAsia="CESI仿宋-GB2312" w:cs="CESI仿宋-GB2312"/>
          <w:sz w:val="32"/>
          <w:szCs w:val="32"/>
          <w:lang w:val="en-US" w:eastAsia="zh-CN"/>
        </w:rPr>
        <w:t>；技能培训</w:t>
      </w:r>
      <w:r>
        <w:rPr>
          <w:rFonts w:hint="default" w:ascii="CESI仿宋-GB2312" w:hAnsi="CESI仿宋-GB2312" w:eastAsia="CESI仿宋-GB2312" w:cs="CESI仿宋-GB2312"/>
          <w:sz w:val="32"/>
          <w:szCs w:val="32"/>
          <w:lang w:val="en-US" w:eastAsia="zh-CN"/>
        </w:rPr>
        <w:t>不少于10场</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创业</w:t>
      </w:r>
      <w:r>
        <w:rPr>
          <w:rFonts w:hint="eastAsia" w:ascii="CESI仿宋-GB2312" w:hAnsi="CESI仿宋-GB2312" w:eastAsia="CESI仿宋-GB2312" w:cs="CESI仿宋-GB2312"/>
          <w:sz w:val="32"/>
          <w:szCs w:val="32"/>
          <w:lang w:val="en-US" w:eastAsia="zh-CN"/>
        </w:rPr>
        <w:t>指导</w:t>
      </w:r>
      <w:r>
        <w:rPr>
          <w:rFonts w:hint="default" w:ascii="CESI仿宋-GB2312" w:hAnsi="CESI仿宋-GB2312" w:eastAsia="CESI仿宋-GB2312" w:cs="CESI仿宋-GB2312"/>
          <w:sz w:val="32"/>
          <w:szCs w:val="32"/>
          <w:lang w:val="en-US" w:eastAsia="zh-CN"/>
        </w:rPr>
        <w:t>不少于6场</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highlight w:val="none"/>
          <w:lang w:val="en-US" w:eastAsia="zh-CN"/>
        </w:rPr>
        <w:t>每场不少于6课时</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，为群众提供“导-培-招 -就”多元化、特色化的就业创业服务，多渠道开展就业驿站宣传工作。就业指导、创业服务师资力量需来自市、区人力资源和社会保障局导师库。</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以上服务内容及服务标准具体以深圳市盐田区公共就业服务中心与中标单位协商为准。中标单位需组建专业团队开展上述服务，确保所有人员能胜任岗位工作，统一工作着装、规范服务流程，为辖区劳动者和企业提供专业服务。中标单位需在合同签订后10个工作日内完成所有筹备工作，开展相关服务。</w:t>
      </w:r>
    </w:p>
    <w:p>
      <w:pPr>
        <w:ind w:firstLine="640" w:firstLineChars="200"/>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（二）管理服务要求</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中标供应商为本项目配备的服务团队人员须经采购人确认，不得随意更换项目服务团队成员，存在人员调动需提前三十日以书面形式向采购人申请，变更人员资历应达到招标文件要求的同等或以上标准，并提交人员更换相关材料。采购人有权根据项目情况否决或调整上述申请。采购人批准申请后，方可按批准后的内容进行相关调整；如中标供应商未经采购人批准更换人员，采购人有权扣除更换人员相关费用或者解除服务合同，并由中标供应商赔偿由此造成的一切直接损失与间接损失。</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服务人员须接受采购人的统一管理，服从采购人的工作调配、业务考核、履约管理等工作安排；派驻人员工作考勤由</w:t>
      </w:r>
      <w:r>
        <w:rPr>
          <w:rFonts w:hint="default" w:ascii="CESI仿宋-GB2312" w:hAnsi="CESI仿宋-GB2312" w:eastAsia="CESI仿宋-GB2312" w:cs="CESI仿宋-GB2312"/>
          <w:sz w:val="32"/>
          <w:szCs w:val="32"/>
          <w:lang w:val="en-US" w:eastAsia="zh-CN"/>
        </w:rPr>
        <w:t>采购人</w:t>
      </w:r>
      <w:r>
        <w:rPr>
          <w:rFonts w:hint="eastAsia" w:ascii="CESI仿宋-GB2312" w:hAnsi="CESI仿宋-GB2312" w:eastAsia="CESI仿宋-GB2312" w:cs="CESI仿宋-GB2312"/>
          <w:sz w:val="32"/>
          <w:szCs w:val="32"/>
          <w:lang w:val="en-US" w:eastAsia="zh-CN"/>
        </w:rPr>
        <w:t>负责。</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3.中标供应商应积极履行工作职责，维护采购人的合法权益。 如因中标供应商服务团队人员的工作造成采购人的经济或者名誉损失的，中标供应商应当按照相关法律规定进行赔偿，采购人有权随时解除本合同。</w:t>
      </w:r>
    </w:p>
    <w:p>
      <w:pPr>
        <w:ind w:firstLine="640" w:firstLineChars="200"/>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（三）考核、验收要求</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1.服务提供方应定期向采购人如实反映项目的执行情况及成效。在项目实施期末及时对项目进行自评并提供详实的自评报告给采购人。</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2.服务提供方应配合采购人做好项目的抽查及评估工作。</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3.服务提供方发生以下情况的，采购人有权要求改正错误、更换服务人员、解除与中标供应商的协议。</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（1）项目服务团队人员不遵守采购人的管理规定，违反工作制度。</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（2）服务内容明显违背相关法律法规原则，损害当事人利益、社会公共利益或造成恶劣的影响的。</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（3）其他拒绝或消极对待工作的情形。</w:t>
      </w:r>
    </w:p>
    <w:p>
      <w:pPr>
        <w:ind w:firstLine="640" w:firstLineChars="200"/>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（四）其他</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中标单位应与派驻人员建立劳动关系，订立和履行劳动合同，并承担由此引发的</w:t>
      </w:r>
      <w:r>
        <w:rPr>
          <w:rFonts w:hint="default" w:ascii="CESI仿宋-GB2312" w:hAnsi="CESI仿宋-GB2312" w:eastAsia="CESI仿宋-GB2312" w:cs="CESI仿宋-GB2312"/>
          <w:sz w:val="32"/>
          <w:szCs w:val="32"/>
          <w:lang w:val="en-US" w:eastAsia="zh-CN"/>
        </w:rPr>
        <w:t>一切</w:t>
      </w:r>
      <w:r>
        <w:rPr>
          <w:rFonts w:hint="eastAsia" w:ascii="CESI仿宋-GB2312" w:hAnsi="CESI仿宋-GB2312" w:eastAsia="CESI仿宋-GB2312" w:cs="CESI仿宋-GB2312"/>
          <w:sz w:val="32"/>
          <w:szCs w:val="32"/>
          <w:lang w:val="en-US" w:eastAsia="zh-CN"/>
        </w:rPr>
        <w:t>纠纷，纠纷与采购方无关。</w:t>
      </w:r>
    </w:p>
    <w:p>
      <w:pPr>
        <w:tabs>
          <w:tab w:val="left" w:pos="540"/>
        </w:tabs>
        <w:spacing w:line="360" w:lineRule="auto"/>
        <w:jc w:val="center"/>
        <w:outlineLvl w:val="1"/>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三、甲方的权利和义务</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（1）甲方有权审核确定乙方提供服务人员的资质，有权自主认定乙方派驻人员是否符合服务要求。经甲方认定不符合要求的，甲方有权要求乙方更换派驻人员</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乙方需根据甲方的意见和要求及时更换，以确保工作的正常开展。</w:t>
      </w:r>
    </w:p>
    <w:p>
      <w:pPr>
        <w:ind w:firstLine="640" w:firstLineChars="2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（2）甲方对乙方提供各项就业创业服务内容进行全过程监督，甲方认为乙方提供服务不符合相关服务要求，乙方需配合甲方予以整改调整，确保项目按照目标完成。</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（3）甲方有权根据工作需要，提出本招标文件范围以外的工作内容，乙方应予以执行，所发生费用，经双方协商另行签署补充协议。</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（4）甲方不得将本合同的内容向甲、乙双方以外的、与签订和履行本合同无关的任何第三方透露，不得泄露乙方的商业秘密（包括合同签订前的各项方案、本合同及其附件等）。</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（5）甲方应协助乙方开展此项目的相关工作，并提供相关资料。</w:t>
      </w:r>
    </w:p>
    <w:p>
      <w:pPr>
        <w:ind w:firstLine="640" w:firstLineChars="200"/>
        <w:rPr>
          <w:rFonts w:hint="eastAsia" w:ascii="宋体" w:hAnsi="宋体" w:eastAsia="宋体" w:cs="宋体"/>
          <w:szCs w:val="21"/>
          <w:highlight w:val="yellow"/>
        </w:rPr>
      </w:pPr>
      <w:r>
        <w:rPr>
          <w:rFonts w:hint="eastAsia" w:ascii="CESI仿宋-GB2312" w:hAnsi="CESI仿宋-GB2312" w:eastAsia="CESI仿宋-GB2312" w:cs="CESI仿宋-GB2312"/>
          <w:sz w:val="32"/>
          <w:szCs w:val="32"/>
          <w:lang w:val="en-US" w:eastAsia="zh-CN"/>
        </w:rPr>
        <w:t>（6）甲方负责向乙方支付相应的项目费用。</w:t>
      </w:r>
    </w:p>
    <w:p>
      <w:pPr>
        <w:tabs>
          <w:tab w:val="left" w:pos="540"/>
        </w:tabs>
        <w:spacing w:line="360" w:lineRule="auto"/>
        <w:jc w:val="center"/>
        <w:outlineLvl w:val="1"/>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四、乙方的权利和义务</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（1）乙方必须根据招标文件及有关的技术要求、国家现行有关设计标准、技术规范、规程、甲方要求完成合同约定范围内的全部任务，并按甲方规定时限向甲方交付成果，确保质量与进度。</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（2）乙方应按时召开内部沟通会议，跟进项目进度，并及时向甲方汇报项目进展情况，及时参加甲方召开的项目会议。</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（3）乙方应提供优质的服务，接受甲方管理人员的监督检查，因乙方自身原因出现错误或遗漏或甲方不满意之处，必须按甲方意见进行修改完善，确保完成项目各项目标任务。</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（4）未经甲方书面要求或同意，乙方不得擅自变更服务内容、要求和标准。</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（5）乙方对获取的数据、资料负有保密义务。除了办理服务事项外，乙方不得在未征得甲方同意的情况下向第三方泄露。保密义务在服务协议届满或提前终止后仍具有约束力。</w:t>
      </w:r>
    </w:p>
    <w:p>
      <w:pPr>
        <w:ind w:firstLine="640" w:firstLineChars="200"/>
        <w:rPr>
          <w:rFonts w:hint="eastAsia" w:ascii="宋体" w:hAnsi="宋体" w:eastAsia="宋体" w:cs="宋体"/>
          <w:b w:val="0"/>
          <w:sz w:val="21"/>
          <w:szCs w:val="21"/>
          <w:lang w:val="en-US" w:eastAsia="zh-CN"/>
        </w:rPr>
      </w:pPr>
      <w:r>
        <w:rPr>
          <w:rFonts w:hint="eastAsia" w:ascii="CESI仿宋-GB2312" w:hAnsi="CESI仿宋-GB2312" w:eastAsia="CESI仿宋-GB2312" w:cs="CESI仿宋-GB2312"/>
          <w:sz w:val="32"/>
          <w:szCs w:val="32"/>
          <w:lang w:val="en-US" w:eastAsia="zh-CN"/>
        </w:rPr>
        <w:t>（6）如甲方提出本招标文件范围以外的工作内容，乙方在甲方规定的合理时间内应予以执行，双方就增补协议问题应尽快落实，如遇增补协议未落实，乙方有权暂停超出范围的工作配合。</w:t>
      </w:r>
    </w:p>
    <w:p>
      <w:pPr>
        <w:tabs>
          <w:tab w:val="left" w:pos="540"/>
        </w:tabs>
        <w:spacing w:line="360" w:lineRule="auto"/>
        <w:jc w:val="center"/>
        <w:outlineLvl w:val="1"/>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五、项目商务要求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（一）</w:t>
      </w:r>
      <w:r>
        <w:rPr>
          <w:rFonts w:hint="eastAsia" w:ascii="CESI仿宋-GB2312" w:hAnsi="CESI仿宋-GB2312" w:eastAsia="CESI仿宋-GB2312" w:cs="CESI仿宋-GB2312"/>
          <w:sz w:val="32"/>
          <w:szCs w:val="32"/>
        </w:rPr>
        <w:t>项目服务期限：本项目合同期为自签订之日起</w:t>
      </w:r>
      <w:r>
        <w:rPr>
          <w:rFonts w:hint="eastAsia" w:ascii="CESI仿宋-GB2312" w:hAnsi="CESI仿宋-GB2312" w:eastAsia="CESI仿宋-GB2312" w:cs="CESI仿宋-GB2312"/>
          <w:sz w:val="32"/>
          <w:szCs w:val="32"/>
          <w:lang w:eastAsia="zh-CN"/>
        </w:rPr>
        <w:t>至</w:t>
      </w:r>
      <w:r>
        <w:rPr>
          <w:rFonts w:hint="eastAsia" w:ascii="CESI仿宋-GB2312" w:hAnsi="CESI仿宋-GB2312" w:eastAsia="CESI仿宋-GB2312" w:cs="CESI仿宋-GB2312"/>
          <w:sz w:val="32"/>
          <w:szCs w:val="32"/>
          <w:lang w:val="en-US" w:eastAsia="zh-CN"/>
        </w:rPr>
        <w:t>2025年</w:t>
      </w:r>
      <w:r>
        <w:rPr>
          <w:rFonts w:hint="eastAsia" w:ascii="CESI仿宋-GB2312" w:hAnsi="CESI仿宋-GB2312" w:eastAsia="CESI仿宋-GB2312" w:cs="CESI仿宋-GB2312"/>
          <w:sz w:val="32"/>
          <w:szCs w:val="32"/>
          <w:highlight w:val="none"/>
        </w:rPr>
        <w:t>12月</w:t>
      </w:r>
      <w:r>
        <w:rPr>
          <w:rFonts w:hint="eastAsia" w:ascii="CESI仿宋-GB2312" w:hAnsi="CESI仿宋-GB2312" w:eastAsia="CESI仿宋-GB2312" w:cs="CESI仿宋-GB2312"/>
          <w:sz w:val="32"/>
          <w:szCs w:val="32"/>
          <w:highlight w:val="none"/>
          <w:lang w:val="en-US"/>
        </w:rPr>
        <w:t>1</w:t>
      </w:r>
      <w:r>
        <w:rPr>
          <w:rFonts w:hint="eastAsia" w:ascii="CESI仿宋-GB2312" w:hAnsi="CESI仿宋-GB2312" w:eastAsia="CESI仿宋-GB2312" w:cs="CESI仿宋-GB2312"/>
          <w:sz w:val="32"/>
          <w:szCs w:val="32"/>
          <w:highlight w:val="none"/>
          <w:lang w:val="en-US" w:eastAsia="zh-CN"/>
        </w:rPr>
        <w:t>0</w:t>
      </w:r>
      <w:r>
        <w:rPr>
          <w:rFonts w:hint="eastAsia" w:ascii="CESI仿宋-GB2312" w:hAnsi="CESI仿宋-GB2312" w:eastAsia="CESI仿宋-GB2312" w:cs="CESI仿宋-GB2312"/>
          <w:sz w:val="32"/>
          <w:szCs w:val="32"/>
          <w:lang w:val="en-US" w:eastAsia="zh-CN"/>
        </w:rPr>
        <w:t>日</w:t>
      </w:r>
      <w:r>
        <w:rPr>
          <w:rFonts w:hint="eastAsia" w:ascii="CESI仿宋-GB2312" w:hAnsi="CESI仿宋-GB2312" w:eastAsia="CESI仿宋-GB2312" w:cs="CESI仿宋-GB2312"/>
          <w:sz w:val="32"/>
          <w:szCs w:val="32"/>
        </w:rPr>
        <w:t>。</w:t>
      </w:r>
    </w:p>
    <w:p>
      <w:pPr>
        <w:ind w:firstLine="640" w:firstLineChars="20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highlight w:val="none"/>
        </w:rPr>
        <w:t>付款期限和方式：</w:t>
      </w:r>
      <w:r>
        <w:rPr>
          <w:rFonts w:hint="eastAsia" w:ascii="CESI仿宋-GB2312" w:hAnsi="CESI仿宋-GB2312" w:eastAsia="CESI仿宋-GB2312" w:cs="CESI仿宋-GB2312"/>
          <w:sz w:val="32"/>
          <w:szCs w:val="32"/>
        </w:rPr>
        <w:t>按照报价</w:t>
      </w:r>
      <w:r>
        <w:rPr>
          <w:rFonts w:hint="eastAsia" w:ascii="CESI仿宋-GB2312" w:hAnsi="CESI仿宋-GB2312" w:eastAsia="CESI仿宋-GB2312" w:cs="CESI仿宋-GB2312"/>
          <w:sz w:val="32"/>
          <w:szCs w:val="32"/>
          <w:lang w:eastAsia="zh-CN"/>
        </w:rPr>
        <w:t>分期支付</w:t>
      </w:r>
      <w:r>
        <w:rPr>
          <w:rFonts w:hint="eastAsia" w:ascii="CESI仿宋-GB2312" w:hAnsi="CESI仿宋-GB2312" w:eastAsia="CESI仿宋-GB2312" w:cs="CESI仿宋-GB2312"/>
          <w:sz w:val="32"/>
          <w:szCs w:val="32"/>
        </w:rPr>
        <w:t>，甲方自</w:t>
      </w:r>
      <w:r>
        <w:rPr>
          <w:rFonts w:hint="eastAsia" w:ascii="CESI仿宋-GB2312" w:hAnsi="CESI仿宋-GB2312" w:eastAsia="CESI仿宋-GB2312" w:cs="CESI仿宋-GB2312"/>
          <w:sz w:val="32"/>
          <w:szCs w:val="32"/>
          <w:lang w:eastAsia="zh-CN"/>
        </w:rPr>
        <w:t>签订合同</w:t>
      </w:r>
      <w:r>
        <w:rPr>
          <w:rFonts w:hint="eastAsia" w:ascii="CESI仿宋-GB2312" w:hAnsi="CESI仿宋-GB2312" w:eastAsia="CESI仿宋-GB2312" w:cs="CESI仿宋-GB2312"/>
          <w:sz w:val="32"/>
          <w:szCs w:val="32"/>
        </w:rPr>
        <w:t>收到</w:t>
      </w:r>
      <w:r>
        <w:rPr>
          <w:rFonts w:hint="eastAsia" w:ascii="CESI仿宋-GB2312" w:hAnsi="CESI仿宋-GB2312" w:eastAsia="CESI仿宋-GB2312" w:cs="CESI仿宋-GB2312"/>
          <w:sz w:val="32"/>
          <w:szCs w:val="32"/>
          <w:lang w:eastAsia="zh-CN"/>
        </w:rPr>
        <w:t>乙方</w:t>
      </w:r>
      <w:r>
        <w:rPr>
          <w:rFonts w:hint="eastAsia" w:ascii="CESI仿宋-GB2312" w:hAnsi="CESI仿宋-GB2312" w:eastAsia="CESI仿宋-GB2312" w:cs="CESI仿宋-GB2312"/>
          <w:sz w:val="32"/>
          <w:szCs w:val="32"/>
        </w:rPr>
        <w:t>发票之日起十个工作日内支付</w:t>
      </w:r>
      <w:r>
        <w:rPr>
          <w:rFonts w:hint="eastAsia" w:ascii="CESI仿宋-GB2312" w:hAnsi="CESI仿宋-GB2312" w:eastAsia="CESI仿宋-GB2312" w:cs="CESI仿宋-GB2312"/>
          <w:sz w:val="32"/>
          <w:szCs w:val="32"/>
          <w:lang w:eastAsia="zh-CN"/>
        </w:rPr>
        <w:t>报价的</w:t>
      </w:r>
      <w:r>
        <w:rPr>
          <w:rFonts w:hint="eastAsia" w:ascii="CESI仿宋-GB2312" w:hAnsi="CESI仿宋-GB2312" w:eastAsia="CESI仿宋-GB2312" w:cs="CESI仿宋-GB2312"/>
          <w:sz w:val="32"/>
          <w:szCs w:val="32"/>
          <w:lang w:val="en-US" w:eastAsia="zh-CN"/>
        </w:rPr>
        <w:t>30%作为</w:t>
      </w:r>
      <w:r>
        <w:rPr>
          <w:rFonts w:hint="eastAsia" w:ascii="CESI仿宋-GB2312" w:hAnsi="CESI仿宋-GB2312" w:eastAsia="CESI仿宋-GB2312" w:cs="CESI仿宋-GB2312"/>
          <w:sz w:val="32"/>
          <w:szCs w:val="32"/>
        </w:rPr>
        <w:t>服务费</w:t>
      </w:r>
      <w:r>
        <w:rPr>
          <w:rFonts w:hint="eastAsia" w:ascii="CESI仿宋-GB2312" w:hAnsi="CESI仿宋-GB2312" w:eastAsia="CESI仿宋-GB2312" w:cs="CESI仿宋-GB2312"/>
          <w:sz w:val="32"/>
          <w:szCs w:val="32"/>
          <w:lang w:eastAsia="zh-CN"/>
        </w:rPr>
        <w:t>预付款；在合同履行的一半期限，乙方举办</w:t>
      </w:r>
      <w:r>
        <w:rPr>
          <w:rFonts w:hint="eastAsia" w:ascii="CESI仿宋-GB2312" w:hAnsi="CESI仿宋-GB2312" w:eastAsia="CESI仿宋-GB2312" w:cs="CESI仿宋-GB2312"/>
          <w:kern w:val="2"/>
          <w:sz w:val="32"/>
          <w:szCs w:val="32"/>
          <w:lang w:val="en-US" w:eastAsia="zh-CN" w:bidi="ar-SA"/>
        </w:rPr>
        <w:t>就业指导+岗位推荐不少于10场；技能培训不少于5场，创业指导不少于3场</w:t>
      </w:r>
      <w:r>
        <w:rPr>
          <w:rFonts w:hint="eastAsia" w:ascii="CESI仿宋-GB2312" w:hAnsi="CESI仿宋-GB2312" w:eastAsia="CESI仿宋-GB2312" w:cs="CESI仿宋-GB2312"/>
          <w:b w:val="0"/>
          <w:bCs w:val="0"/>
          <w:i w:val="0"/>
          <w:iCs w:val="0"/>
          <w:color w:val="auto"/>
          <w:kern w:val="2"/>
          <w:sz w:val="32"/>
          <w:szCs w:val="32"/>
          <w:highlight w:val="none"/>
          <w:vertAlign w:val="baseline"/>
          <w:lang w:val="en-US" w:eastAsia="zh-CN" w:bidi="ar-SA"/>
        </w:rPr>
        <w:t>，服务质量</w:t>
      </w:r>
      <w:r>
        <w:rPr>
          <w:rFonts w:hint="eastAsia" w:ascii="CESI仿宋-GB2312" w:hAnsi="CESI仿宋-GB2312" w:eastAsia="CESI仿宋-GB2312" w:cs="CESI仿宋-GB2312"/>
          <w:sz w:val="32"/>
          <w:szCs w:val="32"/>
          <w:lang w:eastAsia="zh-CN"/>
        </w:rPr>
        <w:t>经验收合格后，自</w:t>
      </w:r>
      <w:r>
        <w:rPr>
          <w:rFonts w:hint="eastAsia" w:ascii="CESI仿宋-GB2312" w:hAnsi="CESI仿宋-GB2312" w:eastAsia="CESI仿宋-GB2312" w:cs="CESI仿宋-GB2312"/>
          <w:b w:val="0"/>
          <w:bCs w:val="0"/>
          <w:i w:val="0"/>
          <w:iCs w:val="0"/>
          <w:color w:val="auto"/>
          <w:kern w:val="2"/>
          <w:sz w:val="32"/>
          <w:szCs w:val="32"/>
          <w:highlight w:val="none"/>
          <w:vertAlign w:val="baseline"/>
          <w:lang w:val="en-US" w:eastAsia="zh-CN" w:bidi="ar-SA"/>
        </w:rPr>
        <w:t>收到乙方发票之日起十个工作日内支付报价的30%；在合同履约到期日，经验收乙方完成全部工作任务，收到乙方发票之日起十个工作日内支付报价的40%作为服务费尾款。</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（三）</w:t>
      </w:r>
      <w:r>
        <w:rPr>
          <w:rFonts w:hint="eastAsia" w:ascii="CESI仿宋-GB2312" w:hAnsi="CESI仿宋-GB2312" w:eastAsia="CESI仿宋-GB2312" w:cs="CESI仿宋-GB2312"/>
          <w:sz w:val="32"/>
          <w:szCs w:val="32"/>
        </w:rPr>
        <w:t>验收条件：</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服务经过双方检验认可后，签署验收文件。</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当满足以下条件时，采购人才向成交供应商签发验收文件：服务项目符合招标文件的服务要求。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（四）</w:t>
      </w:r>
      <w:r>
        <w:rPr>
          <w:rFonts w:hint="eastAsia" w:ascii="CESI仿宋-GB2312" w:hAnsi="CESI仿宋-GB2312" w:eastAsia="CESI仿宋-GB2312" w:cs="CESI仿宋-GB2312"/>
          <w:sz w:val="32"/>
          <w:szCs w:val="32"/>
        </w:rPr>
        <w:t>违约责任：</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成交供应商若未按合同约定履行义务，或如因成交供应商原因造成服务达不到采购人管理目标或直接造成采购人经济损失的，采购人有权按照本合同约定要求成交供应商按照合同总额一定比例支付违约金，违约金可直接在</w:t>
      </w:r>
      <w:r>
        <w:rPr>
          <w:rFonts w:hint="eastAsia" w:ascii="CESI仿宋-GB2312" w:hAnsi="CESI仿宋-GB2312" w:eastAsia="CESI仿宋-GB2312" w:cs="CESI仿宋-GB2312"/>
          <w:color w:val="auto"/>
          <w:sz w:val="32"/>
          <w:szCs w:val="32"/>
          <w:highlight w:val="none"/>
        </w:rPr>
        <w:t>下一次</w:t>
      </w:r>
      <w:r>
        <w:rPr>
          <w:rFonts w:hint="eastAsia" w:ascii="CESI仿宋-GB2312" w:hAnsi="CESI仿宋-GB2312" w:eastAsia="CESI仿宋-GB2312" w:cs="CESI仿宋-GB2312"/>
          <w:color w:val="auto"/>
          <w:sz w:val="32"/>
          <w:szCs w:val="32"/>
          <w:highlight w:val="none"/>
          <w:lang w:eastAsia="zh-CN"/>
        </w:rPr>
        <w:t>结算</w:t>
      </w:r>
      <w:r>
        <w:rPr>
          <w:rFonts w:hint="eastAsia" w:ascii="CESI仿宋-GB2312" w:hAnsi="CESI仿宋-GB2312" w:eastAsia="CESI仿宋-GB2312" w:cs="CESI仿宋-GB2312"/>
          <w:color w:val="auto"/>
          <w:sz w:val="32"/>
          <w:szCs w:val="32"/>
          <w:highlight w:val="none"/>
        </w:rPr>
        <w:t>费用中直接扣除</w:t>
      </w:r>
      <w:r>
        <w:rPr>
          <w:rFonts w:hint="eastAsia" w:ascii="CESI仿宋-GB2312" w:hAnsi="CESI仿宋-GB2312" w:eastAsia="CESI仿宋-GB2312" w:cs="CESI仿宋-GB2312"/>
          <w:sz w:val="32"/>
          <w:szCs w:val="32"/>
        </w:rPr>
        <w:t>。同时，采购人有权要求成交供应商限期整改，在限期时间内没有整改，采购人有权解除合同。如造成经济损失，采购人有权向成交供应商索赔。</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（五）</w:t>
      </w:r>
      <w:r>
        <w:rPr>
          <w:rFonts w:hint="eastAsia" w:ascii="CESI仿宋-GB2312" w:hAnsi="CESI仿宋-GB2312" w:eastAsia="CESI仿宋-GB2312" w:cs="CESI仿宋-GB2312"/>
          <w:sz w:val="32"/>
          <w:szCs w:val="32"/>
        </w:rPr>
        <w:t>争议解决方法：</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如在服务履行过程中发生争议，双方本着友好合作原则协商解决，如不能通过协商解决争议时，双方同意在盐田区人民法院诉讼解决。</w:t>
      </w:r>
    </w:p>
    <w:p>
      <w:pPr>
        <w:tabs>
          <w:tab w:val="left" w:pos="540"/>
        </w:tabs>
        <w:spacing w:line="360" w:lineRule="auto"/>
        <w:jc w:val="center"/>
        <w:outlineLvl w:val="1"/>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六、投标供应商资格要求</w:t>
      </w:r>
    </w:p>
    <w:p>
      <w:pPr>
        <w:spacing w:line="50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lang w:eastAsia="zh-CN"/>
        </w:rPr>
        <w:t>（一）</w:t>
      </w:r>
      <w:r>
        <w:rPr>
          <w:rFonts w:hint="eastAsia" w:ascii="仿宋_GB2312" w:hAnsi="Calibri" w:eastAsia="仿宋_GB2312" w:cs="宋体"/>
          <w:sz w:val="32"/>
          <w:szCs w:val="32"/>
        </w:rPr>
        <w:t>符合《中华人民共和国政府采购法》第二十二条规定的资质要求（由供应商在《投标及履约承诺函》声明）；</w:t>
      </w:r>
    </w:p>
    <w:p>
      <w:pPr>
        <w:spacing w:line="50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lang w:eastAsia="zh-CN"/>
        </w:rPr>
        <w:t>（二）</w:t>
      </w:r>
      <w:r>
        <w:rPr>
          <w:rFonts w:hint="eastAsia" w:ascii="仿宋_GB2312" w:hAnsi="Calibri" w:eastAsia="仿宋_GB2312" w:cs="宋体"/>
          <w:sz w:val="32"/>
          <w:szCs w:val="32"/>
        </w:rPr>
        <w:t>具有独立法人资格或具有独立承担民事责任的能力（提供营业执照或事业单位法人证等法人证明扫描件 ，原件备查）；</w:t>
      </w:r>
    </w:p>
    <w:p>
      <w:pPr>
        <w:spacing w:line="50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lang w:eastAsia="zh-CN"/>
        </w:rPr>
        <w:t>（三）</w:t>
      </w:r>
      <w:r>
        <w:rPr>
          <w:rFonts w:hint="eastAsia" w:ascii="仿宋_GB2312" w:hAnsi="Calibri" w:eastAsia="仿宋_GB2312" w:cs="宋体"/>
          <w:sz w:val="32"/>
          <w:szCs w:val="32"/>
          <w:highlight w:val="none"/>
        </w:rPr>
        <w:t>近三年内无重大违法经营记录以及</w:t>
      </w:r>
      <w:r>
        <w:rPr>
          <w:rFonts w:hint="eastAsia" w:ascii="仿宋_GB2312" w:hAnsi="Calibri" w:eastAsia="仿宋_GB2312" w:cs="宋体"/>
          <w:sz w:val="32"/>
          <w:szCs w:val="32"/>
        </w:rPr>
        <w:t>不存在被有关部门禁止参与政府采购活动且在有效期内的情况（由供应商在《投标及履约承诺函》声明）；</w:t>
      </w:r>
    </w:p>
    <w:p>
      <w:pPr>
        <w:spacing w:line="50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lang w:eastAsia="zh-CN"/>
        </w:rPr>
        <w:t>（四）</w:t>
      </w:r>
      <w:r>
        <w:rPr>
          <w:rFonts w:hint="eastAsia" w:ascii="仿宋_GB2312" w:hAnsi="Calibri" w:eastAsia="仿宋_GB2312" w:cs="宋体"/>
          <w:sz w:val="32"/>
          <w:szCs w:val="32"/>
        </w:rPr>
        <w:t>未被列入</w:t>
      </w:r>
      <w:r>
        <w:rPr>
          <w:rFonts w:hint="eastAsia" w:ascii="仿宋_GB2312" w:hAnsi="Calibri" w:eastAsia="仿宋_GB2312" w:cs="宋体"/>
          <w:sz w:val="32"/>
          <w:szCs w:val="32"/>
          <w:lang w:eastAsia="zh-CN"/>
        </w:rPr>
        <w:t>全国法院</w:t>
      </w:r>
      <w:r>
        <w:rPr>
          <w:rFonts w:hint="eastAsia" w:ascii="仿宋_GB2312" w:hAnsi="Calibri" w:eastAsia="仿宋_GB2312" w:cs="宋体"/>
          <w:sz w:val="32"/>
          <w:szCs w:val="32"/>
        </w:rPr>
        <w:t>失信被执行人</w:t>
      </w:r>
      <w:r>
        <w:rPr>
          <w:rFonts w:hint="eastAsia" w:ascii="仿宋_GB2312" w:hAnsi="Calibri" w:eastAsia="仿宋_GB2312" w:cs="宋体"/>
          <w:sz w:val="32"/>
          <w:szCs w:val="32"/>
          <w:lang w:eastAsia="zh-CN"/>
        </w:rPr>
        <w:t>名单</w:t>
      </w:r>
      <w:r>
        <w:rPr>
          <w:rFonts w:hint="eastAsia" w:ascii="仿宋_GB2312" w:hAnsi="Calibri" w:eastAsia="仿宋_GB2312" w:cs="宋体"/>
          <w:sz w:val="32"/>
          <w:szCs w:val="32"/>
        </w:rPr>
        <w:t>、重大税收违法案件当事人名单、政府采购严重违法失信行为记录名单（由供应商在《投标及履约承诺函》声明）；</w:t>
      </w:r>
    </w:p>
    <w:p>
      <w:pPr>
        <w:spacing w:line="50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lang w:eastAsia="zh-CN"/>
        </w:rPr>
        <w:t>（五）</w:t>
      </w:r>
      <w:r>
        <w:rPr>
          <w:rFonts w:hint="eastAsia" w:ascii="仿宋_GB2312" w:hAnsi="Calibri" w:eastAsia="仿宋_GB2312" w:cs="宋体"/>
          <w:sz w:val="32"/>
          <w:szCs w:val="32"/>
        </w:rPr>
        <w:t>不存在《深圳市财政局政府采购供应商信用信息管理办法》（深财规【2023】3号）列明的严重违法失信行为（由供应商在《投标及履约承诺函》声明）；</w:t>
      </w:r>
    </w:p>
    <w:p>
      <w:pPr>
        <w:keepNext w:val="0"/>
        <w:keepLines w:val="0"/>
        <w:widowControl/>
        <w:suppressLineNumbers w:val="0"/>
        <w:spacing w:line="500" w:lineRule="exact"/>
        <w:ind w:firstLine="640" w:firstLineChars="200"/>
        <w:jc w:val="left"/>
        <w:rPr>
          <w:rFonts w:hint="eastAsia" w:ascii="仿宋_GB2312" w:eastAsia="仿宋_GB2312"/>
          <w:sz w:val="32"/>
          <w:szCs w:val="32"/>
        </w:rPr>
      </w:pPr>
      <w:r>
        <w:rPr>
          <w:rFonts w:hint="eastAsia" w:ascii="仿宋_GB2312" w:hAnsi="Calibri" w:eastAsia="仿宋_GB2312" w:cs="宋体"/>
          <w:sz w:val="32"/>
          <w:szCs w:val="32"/>
          <w:lang w:eastAsia="zh-CN"/>
        </w:rPr>
        <w:t>（六）</w:t>
      </w:r>
      <w:r>
        <w:rPr>
          <w:rFonts w:hint="eastAsia" w:ascii="仿宋_GB2312" w:hAnsi="Calibri" w:eastAsia="仿宋_GB2312" w:cs="宋体"/>
          <w:i w:val="0"/>
          <w:iCs w:val="0"/>
          <w:caps w:val="0"/>
          <w:color w:val="auto"/>
          <w:spacing w:val="0"/>
          <w:kern w:val="2"/>
          <w:sz w:val="32"/>
          <w:szCs w:val="32"/>
          <w:shd w:val="clear" w:color="auto" w:fill="auto"/>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widowControl/>
        <w:ind w:firstLine="640" w:firstLineChars="200"/>
        <w:jc w:val="left"/>
        <w:rPr>
          <w:rFonts w:hint="eastAsia" w:ascii="仿宋_GB2312" w:eastAsia="仿宋_GB2312"/>
          <w:sz w:val="32"/>
          <w:szCs w:val="32"/>
          <w:lang w:eastAsia="zh-CN"/>
        </w:rPr>
      </w:pPr>
      <w:r>
        <w:rPr>
          <w:rFonts w:hint="eastAsia" w:ascii="仿宋_GB2312" w:hAnsi="Calibri" w:eastAsia="仿宋_GB2312"/>
          <w:b w:val="0"/>
          <w:sz w:val="32"/>
          <w:szCs w:val="32"/>
          <w:lang w:eastAsia="zh-CN"/>
        </w:rPr>
        <w:t>（七）</w:t>
      </w:r>
      <w:r>
        <w:rPr>
          <w:rFonts w:hint="eastAsia" w:ascii="仿宋_GB2312" w:hAnsi="Calibri" w:eastAsia="仿宋_GB2312" w:cs="宋体"/>
          <w:sz w:val="32"/>
          <w:szCs w:val="32"/>
          <w:lang w:eastAsia="zh-CN"/>
        </w:rPr>
        <w:t>为采购项目提供整体设计、规范编制或者项目管理、监理、监测等服务的供应商，不得再参加该采购项目的其他采购活动（</w:t>
      </w:r>
      <w:r>
        <w:rPr>
          <w:rFonts w:hint="eastAsia" w:ascii="仿宋_GB2312" w:hAnsi="Calibri" w:eastAsia="仿宋_GB2312" w:cs="宋体"/>
          <w:i w:val="0"/>
          <w:iCs w:val="0"/>
          <w:caps w:val="0"/>
          <w:color w:val="auto"/>
          <w:spacing w:val="0"/>
          <w:kern w:val="2"/>
          <w:sz w:val="32"/>
          <w:szCs w:val="32"/>
          <w:shd w:val="clear" w:color="auto" w:fill="auto"/>
          <w:lang w:val="en-US" w:eastAsia="zh-CN"/>
        </w:rPr>
        <w:t>由供应商在《政府采购投标及履约承诺函》中作出声明）</w:t>
      </w:r>
      <w:r>
        <w:rPr>
          <w:rFonts w:hint="eastAsia" w:ascii="仿宋_GB2312" w:hAnsi="Calibri" w:eastAsia="仿宋_GB2312" w:cs="宋体"/>
          <w:sz w:val="32"/>
          <w:szCs w:val="32"/>
          <w:lang w:eastAsia="zh-CN"/>
        </w:rPr>
        <w:t>。</w:t>
      </w:r>
    </w:p>
    <w:p>
      <w:pPr>
        <w:spacing w:line="500" w:lineRule="exact"/>
        <w:ind w:firstLine="640" w:firstLineChars="200"/>
        <w:rPr>
          <w:rFonts w:hint="eastAsia" w:ascii="仿宋_GB2312" w:hAnsi="Calibri" w:eastAsia="仿宋_GB2312" w:cs="宋体"/>
          <w:sz w:val="32"/>
          <w:szCs w:val="32"/>
        </w:rPr>
      </w:pPr>
      <w:r>
        <w:rPr>
          <w:rFonts w:hint="eastAsia" w:ascii="仿宋_GB2312" w:hAnsi="Calibri" w:eastAsia="仿宋_GB2312"/>
          <w:b w:val="0"/>
          <w:sz w:val="32"/>
          <w:szCs w:val="32"/>
          <w:lang w:eastAsia="zh-CN"/>
        </w:rPr>
        <w:t>（八）</w:t>
      </w:r>
      <w:r>
        <w:rPr>
          <w:rFonts w:hint="eastAsia" w:ascii="仿宋_GB2312" w:hAnsi="Calibri" w:eastAsia="仿宋_GB2312"/>
          <w:sz w:val="32"/>
          <w:szCs w:val="32"/>
        </w:rPr>
        <w:t>本项目的特定资格要求：投标人须</w:t>
      </w:r>
      <w:r>
        <w:rPr>
          <w:rFonts w:hint="eastAsia" w:ascii="仿宋_GB2312" w:eastAsia="仿宋_GB2312"/>
          <w:b w:val="0"/>
          <w:bCs w:val="0"/>
          <w:color w:val="auto"/>
          <w:spacing w:val="0"/>
          <w:sz w:val="32"/>
          <w:szCs w:val="32"/>
        </w:rPr>
        <w:t>具有有效的《人力资源服务备案凭证》或《人力资源服务许可证》（提供证明资料扫描件，原件备查）</w:t>
      </w:r>
      <w:r>
        <w:rPr>
          <w:rFonts w:hint="eastAsia" w:ascii="仿宋_GB2312" w:hAnsi="Calibri" w:eastAsia="仿宋_GB2312"/>
          <w:sz w:val="32"/>
          <w:szCs w:val="32"/>
        </w:rPr>
        <w:t>；</w:t>
      </w:r>
    </w:p>
    <w:p>
      <w:pPr>
        <w:spacing w:line="500" w:lineRule="exact"/>
        <w:ind w:firstLine="640" w:firstLineChars="200"/>
        <w:rPr>
          <w:rFonts w:hint="eastAsia" w:ascii="宋体" w:hAnsi="宋体" w:cs="仿宋"/>
          <w:szCs w:val="21"/>
        </w:rPr>
      </w:pPr>
      <w:r>
        <w:rPr>
          <w:rFonts w:hint="eastAsia" w:ascii="仿宋_GB2312" w:hAnsi="Calibri" w:eastAsia="仿宋_GB2312" w:cs="宋体"/>
          <w:sz w:val="32"/>
          <w:szCs w:val="32"/>
          <w:highlight w:val="none"/>
          <w:lang w:eastAsia="zh-CN"/>
        </w:rPr>
        <w:t>采购人将对供应商进行资格审查，资格审查不通过不得参与本次采购活动。</w:t>
      </w:r>
    </w:p>
    <w:p>
      <w:pPr>
        <w:tabs>
          <w:tab w:val="left" w:pos="540"/>
        </w:tabs>
        <w:spacing w:line="360" w:lineRule="auto"/>
        <w:jc w:val="center"/>
        <w:outlineLvl w:val="1"/>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七、其它要求及说明</w:t>
      </w:r>
    </w:p>
    <w:p>
      <w:pPr>
        <w:widowControl/>
        <w:ind w:firstLine="640" w:firstLineChars="200"/>
        <w:jc w:val="left"/>
        <w:rPr>
          <w:rFonts w:hint="eastAsia" w:ascii="仿宋_GB2312" w:hAnsi="Calibri" w:eastAsia="仿宋_GB2312" w:cs="宋体"/>
          <w:i w:val="0"/>
          <w:iCs w:val="0"/>
          <w:caps w:val="0"/>
          <w:color w:val="auto"/>
          <w:spacing w:val="0"/>
          <w:kern w:val="2"/>
          <w:sz w:val="32"/>
          <w:szCs w:val="32"/>
          <w:shd w:val="clear" w:color="auto" w:fill="auto"/>
          <w:lang w:val="en-US" w:eastAsia="zh-CN"/>
        </w:rPr>
      </w:pPr>
      <w:r>
        <w:rPr>
          <w:rFonts w:hint="eastAsia" w:ascii="仿宋_GB2312" w:hAnsi="Calibri" w:eastAsia="仿宋_GB2312" w:cs="宋体"/>
          <w:i w:val="0"/>
          <w:iCs w:val="0"/>
          <w:caps w:val="0"/>
          <w:color w:val="auto"/>
          <w:spacing w:val="0"/>
          <w:kern w:val="2"/>
          <w:sz w:val="32"/>
          <w:szCs w:val="32"/>
          <w:shd w:val="clear" w:color="auto" w:fill="auto"/>
          <w:lang w:val="en-US" w:eastAsia="zh-CN"/>
        </w:rPr>
        <w:t>（一）本项目费采用包干制，包括服务成本、法定税费和企业的利润，由投标人根据采购文件所提供的资料自行测算投标报价。投标报价不得高于项目预算金额，若超出将作投标无效处理。</w:t>
      </w:r>
    </w:p>
    <w:p>
      <w:pPr>
        <w:widowControl/>
        <w:ind w:firstLine="640" w:firstLineChars="200"/>
        <w:jc w:val="left"/>
        <w:rPr>
          <w:rFonts w:hint="eastAsia" w:ascii="仿宋_GB2312" w:hAnsi="Calibri" w:eastAsia="仿宋_GB2312" w:cs="宋体"/>
          <w:i w:val="0"/>
          <w:iCs w:val="0"/>
          <w:caps w:val="0"/>
          <w:color w:val="auto"/>
          <w:spacing w:val="0"/>
          <w:kern w:val="2"/>
          <w:sz w:val="32"/>
          <w:szCs w:val="32"/>
          <w:shd w:val="clear" w:color="auto" w:fill="auto"/>
          <w:lang w:val="en-US" w:eastAsia="zh-CN"/>
        </w:rPr>
      </w:pPr>
      <w:r>
        <w:rPr>
          <w:rFonts w:hint="eastAsia" w:ascii="仿宋_GB2312" w:hAnsi="Calibri" w:eastAsia="仿宋_GB2312" w:cs="宋体"/>
          <w:i w:val="0"/>
          <w:iCs w:val="0"/>
          <w:caps w:val="0"/>
          <w:color w:val="auto"/>
          <w:spacing w:val="0"/>
          <w:kern w:val="2"/>
          <w:sz w:val="32"/>
          <w:szCs w:val="32"/>
          <w:shd w:val="clear" w:color="auto" w:fill="auto"/>
          <w:lang w:val="en-US" w:eastAsia="zh-CN"/>
        </w:rPr>
        <w:t>（二）投标人投标报价总额一经中标后，即作为中标人与采购人签订该项目合同的总价。</w:t>
      </w:r>
    </w:p>
    <w:p>
      <w:pPr>
        <w:widowControl/>
        <w:ind w:firstLine="640" w:firstLineChars="200"/>
        <w:jc w:val="left"/>
        <w:rPr>
          <w:rFonts w:ascii="黑体" w:hAnsi="黑体" w:eastAsia="黑体" w:cs="黑体"/>
          <w:b/>
          <w:sz w:val="28"/>
          <w:szCs w:val="28"/>
        </w:rPr>
      </w:pPr>
      <w:r>
        <w:rPr>
          <w:rFonts w:hint="eastAsia" w:ascii="仿宋_GB2312" w:hAnsi="Calibri" w:eastAsia="仿宋_GB2312" w:cs="宋体"/>
          <w:i w:val="0"/>
          <w:iCs w:val="0"/>
          <w:caps w:val="0"/>
          <w:color w:val="auto"/>
          <w:spacing w:val="0"/>
          <w:kern w:val="2"/>
          <w:sz w:val="32"/>
          <w:szCs w:val="32"/>
          <w:shd w:val="clear" w:color="auto" w:fill="auto"/>
          <w:lang w:val="en-US" w:eastAsia="zh-CN"/>
        </w:rPr>
        <w:t>（三）投标供应商应充分了解项目的位置、情况、道路及任何其它足以影响其报价的情况，任何因忽视或误解项目情况而导致的索赔或服务期限延长申请将不获批准。</w:t>
      </w:r>
    </w:p>
    <w:p>
      <w:pPr>
        <w:tabs>
          <w:tab w:val="left" w:pos="540"/>
        </w:tabs>
        <w:spacing w:line="360" w:lineRule="auto"/>
        <w:jc w:val="center"/>
        <w:outlineLvl w:val="1"/>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八、评标信息</w:t>
      </w:r>
    </w:p>
    <w:p>
      <w:pPr>
        <w:widowControl/>
        <w:ind w:firstLine="640" w:firstLineChars="200"/>
        <w:jc w:val="left"/>
        <w:rPr>
          <w:rFonts w:hint="eastAsia" w:ascii="仿宋_GB2312" w:hAnsi="Calibri" w:eastAsia="仿宋_GB2312" w:cs="宋体"/>
          <w:i w:val="0"/>
          <w:iCs w:val="0"/>
          <w:caps w:val="0"/>
          <w:color w:val="auto"/>
          <w:spacing w:val="0"/>
          <w:kern w:val="2"/>
          <w:sz w:val="32"/>
          <w:szCs w:val="32"/>
          <w:shd w:val="clear" w:color="auto" w:fill="auto"/>
          <w:lang w:val="en-US" w:eastAsia="zh-CN"/>
        </w:rPr>
      </w:pPr>
      <w:r>
        <w:rPr>
          <w:rFonts w:hint="eastAsia" w:ascii="仿宋_GB2312" w:hAnsi="Calibri" w:eastAsia="仿宋_GB2312" w:cs="宋体"/>
          <w:i w:val="0"/>
          <w:iCs w:val="0"/>
          <w:caps w:val="0"/>
          <w:color w:val="auto"/>
          <w:spacing w:val="0"/>
          <w:kern w:val="2"/>
          <w:sz w:val="32"/>
          <w:szCs w:val="32"/>
          <w:shd w:val="clear" w:color="auto" w:fill="auto"/>
          <w:lang w:val="en-US" w:eastAsia="zh-CN"/>
        </w:rPr>
        <w:t>评标方法：综合评分法</w:t>
      </w:r>
    </w:p>
    <w:p>
      <w:pPr>
        <w:widowControl/>
        <w:ind w:firstLine="640" w:firstLineChars="200"/>
        <w:jc w:val="left"/>
        <w:rPr>
          <w:rFonts w:hint="eastAsia" w:ascii="仿宋_GB2312" w:hAnsi="Calibri" w:eastAsia="仿宋_GB2312" w:cs="宋体"/>
          <w:i w:val="0"/>
          <w:iCs w:val="0"/>
          <w:caps w:val="0"/>
          <w:color w:val="auto"/>
          <w:spacing w:val="0"/>
          <w:kern w:val="2"/>
          <w:sz w:val="32"/>
          <w:szCs w:val="32"/>
          <w:shd w:val="clear" w:color="auto" w:fill="auto"/>
          <w:lang w:val="en-US" w:eastAsia="zh-CN"/>
        </w:rPr>
      </w:pPr>
      <w:r>
        <w:rPr>
          <w:rFonts w:hint="eastAsia" w:ascii="仿宋_GB2312" w:hAnsi="Calibri" w:eastAsia="仿宋_GB2312" w:cs="宋体"/>
          <w:i w:val="0"/>
          <w:iCs w:val="0"/>
          <w:caps w:val="0"/>
          <w:color w:val="auto"/>
          <w:spacing w:val="0"/>
          <w:kern w:val="2"/>
          <w:sz w:val="32"/>
          <w:szCs w:val="32"/>
          <w:shd w:val="clear" w:color="auto" w:fill="auto"/>
          <w:lang w:val="en-US" w:eastAsia="zh-CN"/>
        </w:rPr>
        <w:t>综合评分法，是指投标文件满足招标文件全部实质性要求，且按照评审因素的量化指标评审得分最高的投标人为中标候选人的评标方法。</w:t>
      </w:r>
    </w:p>
    <w:tbl>
      <w:tblPr>
        <w:tblStyle w:val="15"/>
        <w:tblW w:w="499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277"/>
        <w:gridCol w:w="6834"/>
        <w:gridCol w:w="547"/>
        <w:gridCol w:w="61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rPr>
            </w:pPr>
            <w:r>
              <w:rPr>
                <w:rStyle w:val="18"/>
                <w:rFonts w:hint="eastAsia" w:ascii="宋体" w:hAnsi="宋体" w:eastAsia="宋体" w:cs="宋体"/>
                <w:color w:val="auto"/>
                <w:sz w:val="21"/>
                <w:szCs w:val="21"/>
              </w:rPr>
              <w:t>评分因素</w:t>
            </w:r>
          </w:p>
        </w:tc>
        <w:tc>
          <w:tcPr>
            <w:tcW w:w="368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rPr>
            </w:pPr>
            <w:r>
              <w:rPr>
                <w:rStyle w:val="18"/>
                <w:rFonts w:hint="eastAsia" w:ascii="宋体" w:hAnsi="宋体" w:eastAsia="宋体" w:cs="宋体"/>
                <w:color w:val="auto"/>
                <w:sz w:val="21"/>
                <w:szCs w:val="21"/>
              </w:rPr>
              <w:t>评分规则</w:t>
            </w:r>
          </w:p>
        </w:tc>
        <w:tc>
          <w:tcPr>
            <w:tcW w:w="295"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rPr>
            </w:pPr>
            <w:r>
              <w:rPr>
                <w:rStyle w:val="18"/>
                <w:rFonts w:hint="eastAsia" w:ascii="宋体" w:hAnsi="宋体" w:eastAsia="宋体" w:cs="宋体"/>
                <w:color w:val="auto"/>
                <w:sz w:val="21"/>
                <w:szCs w:val="21"/>
              </w:rPr>
              <w:t>权重</w:t>
            </w:r>
          </w:p>
        </w:tc>
        <w:tc>
          <w:tcPr>
            <w:tcW w:w="33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rPr>
            </w:pPr>
            <w:r>
              <w:rPr>
                <w:rStyle w:val="18"/>
                <w:rFonts w:hint="eastAsia" w:ascii="宋体" w:hAnsi="宋体" w:eastAsia="宋体" w:cs="宋体"/>
                <w:color w:val="auto"/>
                <w:sz w:val="21"/>
                <w:szCs w:val="21"/>
              </w:rPr>
              <w:t>评分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rPr>
              <w:t>价格</w:t>
            </w:r>
          </w:p>
        </w:tc>
        <w:tc>
          <w:tcPr>
            <w:tcW w:w="368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left"/>
              <w:rPr>
                <w:rStyle w:val="18"/>
                <w:rFonts w:hint="eastAsia" w:ascii="宋体" w:hAnsi="宋体" w:eastAsia="宋体" w:cs="宋体"/>
                <w:color w:val="auto"/>
                <w:sz w:val="21"/>
                <w:szCs w:val="21"/>
              </w:rPr>
            </w:pPr>
            <w:r>
              <w:rPr>
                <w:rStyle w:val="18"/>
                <w:rFonts w:hint="eastAsia" w:ascii="宋体" w:hAnsi="宋体" w:eastAsia="宋体" w:cs="宋体"/>
                <w:color w:val="auto"/>
                <w:sz w:val="21"/>
                <w:szCs w:val="21"/>
              </w:rPr>
              <w:t>一、评分内容：</w:t>
            </w:r>
          </w:p>
          <w:p>
            <w:pPr>
              <w:pStyle w:val="13"/>
              <w:widowControl/>
              <w:wordWrap w:val="0"/>
              <w:spacing w:beforeAutospacing="0" w:afterAutospacing="0" w:line="240" w:lineRule="auto"/>
              <w:jc w:val="left"/>
              <w:rPr>
                <w:rStyle w:val="18"/>
                <w:rFonts w:hint="eastAsia" w:ascii="宋体" w:hAnsi="宋体" w:cs="宋体" w:eastAsiaTheme="minorEastAsia"/>
                <w:color w:val="auto"/>
                <w:sz w:val="21"/>
                <w:szCs w:val="21"/>
                <w:lang w:eastAsia="zh-CN"/>
              </w:rPr>
            </w:pPr>
            <w:r>
              <w:rPr>
                <w:sz w:val="21"/>
                <w:szCs w:val="21"/>
              </w:rPr>
              <w:t>采用低价优先法计算</w:t>
            </w:r>
            <w:r>
              <w:rPr>
                <w:rFonts w:hint="eastAsia"/>
                <w:sz w:val="21"/>
                <w:szCs w:val="21"/>
                <w:lang w:eastAsia="zh-CN"/>
              </w:rPr>
              <w:t>。</w:t>
            </w:r>
          </w:p>
          <w:p>
            <w:pPr>
              <w:pStyle w:val="13"/>
              <w:widowControl/>
              <w:wordWrap w:val="0"/>
              <w:spacing w:beforeAutospacing="0" w:afterAutospacing="0" w:line="240" w:lineRule="auto"/>
              <w:jc w:val="left"/>
              <w:rPr>
                <w:rFonts w:hint="eastAsia" w:ascii="宋体" w:hAnsi="宋体" w:eastAsia="宋体" w:cs="宋体"/>
                <w:color w:val="auto"/>
                <w:sz w:val="21"/>
                <w:szCs w:val="21"/>
              </w:rPr>
            </w:pPr>
            <w:r>
              <w:rPr>
                <w:rStyle w:val="18"/>
                <w:rFonts w:hint="eastAsia" w:ascii="宋体" w:hAnsi="宋体" w:eastAsia="宋体" w:cs="宋体"/>
                <w:color w:val="auto"/>
                <w:sz w:val="21"/>
                <w:szCs w:val="21"/>
              </w:rPr>
              <w:t>二、评分依据：</w:t>
            </w:r>
          </w:p>
          <w:p>
            <w:pPr>
              <w:pStyle w:val="13"/>
              <w:widowControl/>
              <w:wordWrap w:val="0"/>
              <w:spacing w:beforeAutospacing="0" w:afterAutospacing="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2"/>
                <w:szCs w:val="22"/>
                <w:highlight w:val="none"/>
              </w:rPr>
              <w:t>满足</w:t>
            </w:r>
            <w:r>
              <w:rPr>
                <w:rFonts w:hint="eastAsia" w:ascii="宋体" w:hAnsi="宋体" w:eastAsia="宋体" w:cs="宋体"/>
                <w:color w:val="auto"/>
                <w:sz w:val="22"/>
                <w:szCs w:val="22"/>
                <w:highlight w:val="none"/>
                <w:lang w:eastAsia="zh-CN"/>
              </w:rPr>
              <w:t>招标</w:t>
            </w:r>
            <w:r>
              <w:rPr>
                <w:rFonts w:hint="eastAsia" w:ascii="宋体" w:hAnsi="宋体" w:eastAsia="宋体" w:cs="宋体"/>
                <w:color w:val="auto"/>
                <w:sz w:val="22"/>
                <w:szCs w:val="22"/>
                <w:highlight w:val="none"/>
              </w:rPr>
              <w:t>文件要求且价格（含税报价）最低的报价为评标基准价，其价格分为满分。其他供应商的价格分统一按照下列公式计算：报价得分=(评标基准价／磋商报价)×价格权重×100</w:t>
            </w:r>
            <w:r>
              <w:rPr>
                <w:rFonts w:hint="eastAsia" w:ascii="宋体" w:hAnsi="宋体" w:eastAsia="宋体" w:cs="宋体"/>
                <w:color w:val="auto"/>
                <w:sz w:val="22"/>
                <w:szCs w:val="22"/>
                <w:highlight w:val="none"/>
                <w:lang w:eastAsia="zh-CN"/>
              </w:rPr>
              <w:t>。</w:t>
            </w:r>
          </w:p>
        </w:tc>
        <w:tc>
          <w:tcPr>
            <w:tcW w:w="295"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33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widowControl/>
              <w:wordWrap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val="en-US" w:eastAsia="zh-CN"/>
              </w:rPr>
              <w:t>实施方案</w:t>
            </w:r>
          </w:p>
        </w:tc>
        <w:tc>
          <w:tcPr>
            <w:tcW w:w="368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left"/>
              <w:rPr>
                <w:rStyle w:val="18"/>
                <w:rFonts w:hint="eastAsia" w:ascii="宋体" w:hAnsi="宋体" w:eastAsia="宋体" w:cs="宋体"/>
                <w:color w:val="auto"/>
                <w:sz w:val="21"/>
                <w:szCs w:val="21"/>
              </w:rPr>
            </w:pPr>
            <w:r>
              <w:rPr>
                <w:rStyle w:val="18"/>
                <w:rFonts w:hint="eastAsia" w:ascii="宋体" w:hAnsi="宋体" w:eastAsia="宋体" w:cs="宋体"/>
                <w:color w:val="auto"/>
                <w:sz w:val="21"/>
                <w:szCs w:val="21"/>
              </w:rPr>
              <w:t>一、评分内容：</w:t>
            </w:r>
          </w:p>
          <w:p>
            <w:pPr>
              <w:pStyle w:val="13"/>
              <w:widowControl/>
              <w:wordWrap w:val="0"/>
              <w:spacing w:beforeAutospacing="0" w:afterAutospacing="0"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根据投标人提供的实施方案进行综合评价。</w:t>
            </w:r>
          </w:p>
          <w:p>
            <w:pPr>
              <w:pStyle w:val="13"/>
              <w:widowControl/>
              <w:wordWrap w:val="0"/>
              <w:spacing w:beforeAutospacing="0" w:afterAutospacing="0" w:line="240" w:lineRule="auto"/>
              <w:jc w:val="left"/>
              <w:rPr>
                <w:rFonts w:hint="eastAsia" w:ascii="宋体" w:hAnsi="宋体" w:eastAsia="宋体" w:cs="宋体"/>
                <w:color w:val="auto"/>
                <w:sz w:val="21"/>
                <w:szCs w:val="21"/>
              </w:rPr>
            </w:pPr>
            <w:r>
              <w:rPr>
                <w:rStyle w:val="18"/>
                <w:rFonts w:hint="eastAsia" w:ascii="宋体" w:hAnsi="宋体" w:eastAsia="宋体" w:cs="宋体"/>
                <w:color w:val="auto"/>
                <w:sz w:val="21"/>
                <w:szCs w:val="21"/>
              </w:rPr>
              <w:t>二、评分依据：</w:t>
            </w:r>
          </w:p>
          <w:p>
            <w:pPr>
              <w:keepNext w:val="0"/>
              <w:keepLines w:val="0"/>
              <w:pageBreakBefore w:val="0"/>
              <w:kinsoku/>
              <w:wordWrap w:val="0"/>
              <w:overflowPunct/>
              <w:topLinePunct w:val="0"/>
              <w:autoSpaceDE/>
              <w:autoSpaceDN/>
              <w:bidi w:val="0"/>
              <w:adjustRightInd/>
              <w:snapToGrid/>
              <w:spacing w:line="240" w:lineRule="auto"/>
              <w:textAlignment w:val="top"/>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val="en-US" w:eastAsia="zh-CN" w:bidi="ar-SA"/>
              </w:rPr>
              <w:t>根据各投标人的具体响应内容按照量化的评审因素指标进行评审：评审为优（方案完善，工作内容和安排考虑周到，流程合理）的得40分；评价为良（方案较完善，工作内容和安排考虑较周到，流程较合理）的得30分；评价为中（方案一般，工作内容和安排考虑基本周到，流程一般）的得20分；评价为差（方案不完善，工作内容和安排考虑欠周到）的得10分；未提供方案的不得分。</w:t>
            </w:r>
          </w:p>
        </w:tc>
        <w:tc>
          <w:tcPr>
            <w:tcW w:w="295"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33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widowControl/>
              <w:wordWrap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拟安排的项目负责人（仅限一人）情况</w:t>
            </w:r>
          </w:p>
        </w:tc>
        <w:tc>
          <w:tcPr>
            <w:tcW w:w="368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kinsoku/>
              <w:wordWrap w:val="0"/>
              <w:overflowPunct/>
              <w:topLinePunct w:val="0"/>
              <w:autoSpaceDE/>
              <w:autoSpaceDN/>
              <w:bidi w:val="0"/>
              <w:adjustRightInd/>
              <w:snapToGrid/>
              <w:spacing w:line="240" w:lineRule="auto"/>
              <w:jc w:val="left"/>
              <w:textAlignment w:val="top"/>
              <w:rPr>
                <w:rStyle w:val="18"/>
                <w:rFonts w:hint="eastAsia" w:ascii="宋体" w:hAnsi="宋体" w:eastAsia="宋体" w:cs="宋体"/>
                <w:color w:val="auto"/>
                <w:sz w:val="21"/>
                <w:szCs w:val="21"/>
              </w:rPr>
            </w:pPr>
            <w:r>
              <w:rPr>
                <w:rStyle w:val="18"/>
                <w:rFonts w:hint="eastAsia" w:ascii="宋体" w:hAnsi="宋体" w:eastAsia="宋体" w:cs="宋体"/>
                <w:color w:val="auto"/>
                <w:sz w:val="21"/>
                <w:szCs w:val="21"/>
              </w:rPr>
              <w:t>一、评分内容：</w:t>
            </w:r>
          </w:p>
          <w:p>
            <w:pPr>
              <w:pStyle w:val="13"/>
              <w:widowControl/>
              <w:wordWrap w:val="0"/>
              <w:spacing w:beforeAutospacing="0" w:afterAutospacing="0"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1.具有本科（含）以上学历的，得2分。</w:t>
            </w:r>
          </w:p>
          <w:p>
            <w:pPr>
              <w:pStyle w:val="13"/>
              <w:widowControl/>
              <w:wordWrap w:val="0"/>
              <w:spacing w:beforeAutospacing="0" w:afterAutospacing="0" w:line="240" w:lineRule="auto"/>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2.具有10年以上人力资源服务行业从业经验或具有二级以上人力资源职业资格证书得3分。</w:t>
            </w:r>
            <w:r>
              <w:rPr>
                <w:rFonts w:hint="eastAsia" w:ascii="宋体" w:hAnsi="宋体" w:cs="宋体"/>
                <w:color w:val="auto"/>
                <w:kern w:val="2"/>
                <w:sz w:val="21"/>
                <w:szCs w:val="21"/>
                <w:highlight w:val="none"/>
                <w:lang w:val="en-US" w:eastAsia="zh-CN" w:bidi="ar-SA"/>
              </w:rPr>
              <w:t xml:space="preserve"> </w:t>
            </w:r>
          </w:p>
          <w:p>
            <w:pPr>
              <w:pStyle w:val="13"/>
              <w:widowControl/>
              <w:wordWrap w:val="0"/>
              <w:spacing w:beforeAutospacing="0" w:afterAutospacing="0" w:line="240" w:lineRule="auto"/>
              <w:jc w:val="left"/>
              <w:rPr>
                <w:rFonts w:hint="eastAsia" w:ascii="宋体" w:hAnsi="宋体" w:eastAsia="宋体" w:cs="宋体"/>
                <w:color w:val="auto"/>
                <w:sz w:val="21"/>
                <w:szCs w:val="21"/>
              </w:rPr>
            </w:pPr>
            <w:r>
              <w:rPr>
                <w:rStyle w:val="18"/>
                <w:rFonts w:hint="eastAsia" w:ascii="宋体" w:hAnsi="宋体" w:eastAsia="宋体" w:cs="宋体"/>
                <w:color w:val="auto"/>
                <w:sz w:val="21"/>
                <w:szCs w:val="21"/>
              </w:rPr>
              <w:t>二、评分依据：</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学历证书，还需提供学历认证报告或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或教育部留学服务中心网站（http://zwfw.cscse.edu.cn/）在线查询截图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也予以认可；</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2.提供上述人员证书；若证书颁发机构为协会或机构颁发的，还需要同时提供该机构在中国社会组织政务服务平台（网址https://chinanpo.mca.gov.cn)的查询“正常”页面截图；</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3.涉及工作年限，需提供项目负责人签订的劳动合同关键页（关键信息包含但不限于合同主体、就职岗位、工作内容、服务期限、签订页等）或项目负责人缴纳社保证明作为得分依据。</w:t>
            </w:r>
          </w:p>
          <w:p>
            <w:pPr>
              <w:pStyle w:val="13"/>
              <w:widowControl/>
              <w:wordWrap w:val="0"/>
              <w:spacing w:beforeAutospacing="0" w:afterAutospacing="0"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rPr>
              <w:t>4.提供近三个月任意一个月投标人为其购买的社保证明材料。如投标人注册成立时间不足1个月的，可提供承诺函（格式自拟）。</w:t>
            </w:r>
          </w:p>
        </w:tc>
        <w:tc>
          <w:tcPr>
            <w:tcW w:w="295"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3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widowControl/>
              <w:wordWrap w:val="0"/>
              <w:spacing w:line="240" w:lineRule="auto"/>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拟安排的项目团队成员情况（项目负责人除外）</w:t>
            </w:r>
          </w:p>
        </w:tc>
        <w:tc>
          <w:tcPr>
            <w:tcW w:w="368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numPr>
                <w:ilvl w:val="0"/>
                <w:numId w:val="0"/>
              </w:numPr>
              <w:kinsoku/>
              <w:wordWrap w:val="0"/>
              <w:overflowPunct/>
              <w:topLinePunct w:val="0"/>
              <w:autoSpaceDE/>
              <w:autoSpaceDN/>
              <w:bidi w:val="0"/>
              <w:adjustRightInd/>
              <w:snapToGrid/>
              <w:spacing w:line="240" w:lineRule="auto"/>
              <w:jc w:val="left"/>
              <w:textAlignment w:val="top"/>
              <w:rPr>
                <w:rStyle w:val="18"/>
                <w:rFonts w:hint="eastAsia" w:ascii="宋体" w:hAnsi="宋体" w:eastAsia="宋体" w:cs="宋体"/>
                <w:color w:val="auto"/>
                <w:sz w:val="21"/>
                <w:szCs w:val="21"/>
              </w:rPr>
            </w:pPr>
            <w:r>
              <w:rPr>
                <w:rStyle w:val="18"/>
                <w:rFonts w:hint="eastAsia" w:ascii="宋体" w:hAnsi="宋体" w:eastAsia="宋体" w:cs="宋体"/>
                <w:color w:val="auto"/>
                <w:sz w:val="21"/>
                <w:szCs w:val="21"/>
              </w:rPr>
              <w:t>一、评分内容：</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1.每提供一人具有本科或以上学历的得1分，本小项最高得3分。</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2.每提供一人具有四级（或以上）企业人力资源管理师证得2分，本小项最高得6分。本小项最高得6分。</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同一人具备上述多项条件的可累计加分，本项最高得9分。</w:t>
            </w:r>
          </w:p>
          <w:p>
            <w:pPr>
              <w:pStyle w:val="13"/>
              <w:widowControl/>
              <w:wordWrap w:val="0"/>
              <w:spacing w:beforeAutospacing="0" w:afterAutospacing="0" w:line="240" w:lineRule="auto"/>
              <w:jc w:val="left"/>
              <w:rPr>
                <w:rFonts w:hint="eastAsia" w:ascii="宋体" w:hAnsi="宋体" w:eastAsia="宋体" w:cs="宋体"/>
                <w:color w:val="auto"/>
                <w:sz w:val="21"/>
                <w:szCs w:val="21"/>
              </w:rPr>
            </w:pPr>
            <w:r>
              <w:rPr>
                <w:rStyle w:val="18"/>
                <w:rFonts w:hint="eastAsia" w:ascii="宋体" w:hAnsi="宋体" w:eastAsia="宋体" w:cs="宋体"/>
                <w:color w:val="auto"/>
                <w:sz w:val="21"/>
                <w:szCs w:val="21"/>
              </w:rPr>
              <w:t>二、评分依据：</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学历证书，还需提供学历认证报告或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或教育部留学服务中心网站（http://zwfw.cscse.edu.cn/）在线查询截图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也予以认可；</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2.提供上述人员证书；若证书颁发机构为协会或机构颁发的，还需要同时提供该机构在中国社会组织政务服务平台（网址https://chinanpo.mca.gov.cn)的查询“正常”页面截图；</w:t>
            </w:r>
          </w:p>
          <w:p>
            <w:pPr>
              <w:pStyle w:val="13"/>
              <w:widowControl/>
              <w:wordWrap w:val="0"/>
              <w:spacing w:beforeAutospacing="0" w:afterAutospacing="0"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w:t>
            </w:r>
            <w:r>
              <w:rPr>
                <w:rFonts w:hint="eastAsia" w:ascii="宋体" w:hAnsi="宋体" w:eastAsia="宋体" w:cs="宋体"/>
                <w:color w:val="auto"/>
                <w:sz w:val="21"/>
                <w:szCs w:val="21"/>
                <w:highlight w:val="none"/>
              </w:rPr>
              <w:t>供近</w:t>
            </w:r>
            <w:r>
              <w:rPr>
                <w:rFonts w:hint="eastAsia" w:ascii="宋体" w:hAnsi="宋体" w:eastAsia="宋体" w:cs="宋体"/>
                <w:color w:val="auto"/>
                <w:sz w:val="21"/>
                <w:szCs w:val="21"/>
                <w:highlight w:val="none"/>
                <w:lang w:val="en-US" w:eastAsia="zh-CN"/>
              </w:rPr>
              <w:t>三个月任意</w:t>
            </w:r>
            <w:r>
              <w:rPr>
                <w:rFonts w:hint="eastAsia" w:ascii="宋体" w:hAnsi="宋体" w:eastAsia="宋体" w:cs="宋体"/>
                <w:color w:val="auto"/>
                <w:sz w:val="21"/>
                <w:szCs w:val="21"/>
                <w:highlight w:val="none"/>
              </w:rPr>
              <w:t>一个月投标人为其购买的社保证明材料。如投标人注册成立时间不足1个月的，可提供承诺函（格式自拟）。</w:t>
            </w:r>
          </w:p>
        </w:tc>
        <w:tc>
          <w:tcPr>
            <w:tcW w:w="295"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p>
        </w:tc>
        <w:tc>
          <w:tcPr>
            <w:tcW w:w="33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widowControl/>
              <w:wordWrap w:val="0"/>
              <w:spacing w:line="240" w:lineRule="auto"/>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通过相关认证情况</w:t>
            </w:r>
          </w:p>
        </w:tc>
        <w:tc>
          <w:tcPr>
            <w:tcW w:w="368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ageBreakBefore w:val="0"/>
              <w:kinsoku/>
              <w:wordWrap/>
              <w:overflowPunct/>
              <w:topLinePunct w:val="0"/>
              <w:autoSpaceDE/>
              <w:autoSpaceDN/>
              <w:bidi w:val="0"/>
              <w:adjustRightInd/>
              <w:spacing w:beforeAutospacing="0" w:afterAutospacing="0" w:line="240" w:lineRule="auto"/>
              <w:jc w:val="left"/>
              <w:textAlignment w:val="auto"/>
              <w:rPr>
                <w:rStyle w:val="18"/>
                <w:rFonts w:hint="eastAsia" w:ascii="宋体" w:hAnsi="宋体" w:eastAsia="宋体" w:cs="宋体"/>
                <w:color w:val="auto"/>
                <w:sz w:val="21"/>
                <w:szCs w:val="21"/>
              </w:rPr>
            </w:pPr>
            <w:r>
              <w:rPr>
                <w:rStyle w:val="18"/>
                <w:rFonts w:hint="eastAsia" w:ascii="宋体" w:hAnsi="宋体" w:eastAsia="宋体" w:cs="宋体"/>
                <w:color w:val="auto"/>
                <w:sz w:val="21"/>
                <w:szCs w:val="21"/>
              </w:rPr>
              <w:t>一、评分内容：</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投标人具有由认证机构颁发并在有效期内的证书，每提供一个得2分，满分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1.具有质量管理体系认证证书的得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2.具有职业健康安全管理体系认证证书的得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3.具有环境管理体系认证证书的得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13"/>
              <w:widowControl/>
              <w:wordWrap w:val="0"/>
              <w:spacing w:beforeAutospacing="0" w:afterAutospacing="0" w:line="240" w:lineRule="auto"/>
              <w:jc w:val="left"/>
              <w:rPr>
                <w:rFonts w:hint="eastAsia" w:ascii="宋体" w:hAnsi="宋体" w:eastAsia="宋体" w:cs="宋体"/>
                <w:color w:val="auto"/>
                <w:sz w:val="21"/>
                <w:szCs w:val="21"/>
              </w:rPr>
            </w:pPr>
            <w:r>
              <w:rPr>
                <w:rStyle w:val="18"/>
                <w:rFonts w:hint="eastAsia" w:ascii="宋体" w:hAnsi="宋体" w:eastAsia="宋体" w:cs="宋体"/>
                <w:color w:val="auto"/>
                <w:sz w:val="21"/>
                <w:szCs w:val="21"/>
              </w:rPr>
              <w:t>二、评分依据：</w:t>
            </w:r>
          </w:p>
          <w:p>
            <w:pPr>
              <w:pStyle w:val="13"/>
              <w:widowControl/>
              <w:wordWrap w:val="0"/>
              <w:spacing w:beforeAutospacing="0" w:afterAutospacing="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投标人提供有效期内的体系认证证书扫描件）及在全国认证认可信息公共服务平台（认e云）（http://cx.cnca.cn/CertECloud/index/index/page）查询有效的截图，未提供或未按要求提供或提供的不清晰导致</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无法判断的，不得分</w:t>
            </w:r>
            <w:r>
              <w:rPr>
                <w:rFonts w:hint="eastAsia" w:ascii="宋体" w:hAnsi="宋体" w:eastAsia="宋体" w:cs="宋体"/>
                <w:color w:val="auto"/>
                <w:sz w:val="21"/>
                <w:szCs w:val="21"/>
                <w:highlight w:val="none"/>
                <w:lang w:eastAsia="zh-CN"/>
              </w:rPr>
              <w:t>。</w:t>
            </w:r>
          </w:p>
        </w:tc>
        <w:tc>
          <w:tcPr>
            <w:tcW w:w="295"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3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widowControl/>
              <w:wordWrap w:val="0"/>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同类业绩</w:t>
            </w:r>
          </w:p>
        </w:tc>
        <w:tc>
          <w:tcPr>
            <w:tcW w:w="368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ageBreakBefore w:val="0"/>
              <w:kinsoku/>
              <w:wordWrap/>
              <w:overflowPunct/>
              <w:topLinePunct w:val="0"/>
              <w:autoSpaceDE/>
              <w:autoSpaceDN/>
              <w:bidi w:val="0"/>
              <w:adjustRightInd/>
              <w:spacing w:beforeAutospacing="0" w:afterAutospacing="0" w:line="240" w:lineRule="auto"/>
              <w:ind w:firstLine="0" w:firstLineChars="0"/>
              <w:textAlignment w:val="auto"/>
              <w:rPr>
                <w:rStyle w:val="18"/>
                <w:rFonts w:hint="eastAsia" w:ascii="宋体" w:hAnsi="宋体" w:eastAsia="宋体" w:cs="宋体"/>
                <w:color w:val="auto"/>
                <w:sz w:val="21"/>
                <w:szCs w:val="21"/>
              </w:rPr>
            </w:pPr>
            <w:r>
              <w:rPr>
                <w:rStyle w:val="18"/>
                <w:rFonts w:hint="eastAsia" w:ascii="宋体" w:hAnsi="宋体" w:eastAsia="宋体" w:cs="宋体"/>
                <w:color w:val="auto"/>
                <w:sz w:val="21"/>
                <w:szCs w:val="21"/>
              </w:rPr>
              <w:t>一、评分内容：</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sz w:val="21"/>
                <w:szCs w:val="21"/>
                <w:highlight w:val="none"/>
                <w:lang w:eastAsia="zh-CN"/>
              </w:rPr>
              <w:t>投标人自202</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年1月1日至本项目投标截止日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承接过公共就业服务相关的项目（包括不限于：招聘会、培训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职业指导相关的），提供1个得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3"/>
              <w:widowControl/>
              <w:wordWrap w:val="0"/>
              <w:spacing w:beforeAutospacing="0" w:afterAutospacing="0" w:line="240" w:lineRule="auto"/>
              <w:jc w:val="left"/>
              <w:rPr>
                <w:rFonts w:hint="eastAsia" w:ascii="宋体" w:hAnsi="宋体" w:eastAsia="宋体" w:cs="宋体"/>
                <w:color w:val="auto"/>
                <w:sz w:val="21"/>
                <w:szCs w:val="21"/>
              </w:rPr>
            </w:pPr>
            <w:r>
              <w:rPr>
                <w:rStyle w:val="18"/>
                <w:rFonts w:hint="eastAsia" w:ascii="宋体" w:hAnsi="宋体" w:eastAsia="宋体" w:cs="宋体"/>
                <w:color w:val="auto"/>
                <w:sz w:val="21"/>
                <w:szCs w:val="21"/>
              </w:rPr>
              <w:t>二、评分依据：</w:t>
            </w:r>
          </w:p>
          <w:p>
            <w:pPr>
              <w:pStyle w:val="13"/>
              <w:widowControl/>
              <w:wordWrap w:val="0"/>
              <w:spacing w:beforeAutospacing="0" w:afterAutospacing="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提供合同关键页（关键信息包括但不限于合同主体、服务内容、服务期限、签订页等）；以上证明文件均提供复印件。未按要求提供有效证明材料或提供不清晰导致</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无法识别的不计得分</w:t>
            </w:r>
            <w:r>
              <w:rPr>
                <w:rFonts w:hint="eastAsia" w:ascii="宋体" w:hAnsi="宋体" w:eastAsia="宋体" w:cs="宋体"/>
                <w:color w:val="auto"/>
                <w:sz w:val="21"/>
                <w:szCs w:val="21"/>
                <w:highlight w:val="none"/>
                <w:lang w:eastAsia="zh-CN"/>
              </w:rPr>
              <w:t>。</w:t>
            </w:r>
          </w:p>
        </w:tc>
        <w:tc>
          <w:tcPr>
            <w:tcW w:w="295"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33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widowControl/>
              <w:wordWrap w:val="0"/>
              <w:spacing w:line="240" w:lineRule="auto"/>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lang w:eastAsia="zh-CN"/>
              </w:rPr>
            </w:pPr>
            <w:r>
              <w:rPr>
                <w:rFonts w:hint="eastAsia" w:asciiTheme="minorEastAsia" w:hAnsiTheme="minorEastAsia" w:eastAsiaTheme="minorEastAsia" w:cstheme="minorEastAsia"/>
                <w:kern w:val="0"/>
                <w:sz w:val="21"/>
                <w:szCs w:val="21"/>
                <w:highlight w:val="none"/>
                <w:lang w:val="en-US" w:eastAsia="zh-CN"/>
              </w:rPr>
              <w:t>履约评价情况</w:t>
            </w:r>
          </w:p>
        </w:tc>
        <w:tc>
          <w:tcPr>
            <w:tcW w:w="368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ageBreakBefore w:val="0"/>
              <w:kinsoku/>
              <w:wordWrap/>
              <w:overflowPunct/>
              <w:topLinePunct w:val="0"/>
              <w:autoSpaceDE/>
              <w:autoSpaceDN/>
              <w:bidi w:val="0"/>
              <w:adjustRightInd/>
              <w:spacing w:beforeAutospacing="0" w:afterAutospacing="0" w:line="240" w:lineRule="auto"/>
              <w:ind w:firstLine="0" w:firstLineChars="0"/>
              <w:textAlignment w:val="auto"/>
              <w:rPr>
                <w:rStyle w:val="18"/>
                <w:rFonts w:hint="eastAsia" w:ascii="宋体" w:hAnsi="宋体" w:eastAsia="宋体" w:cs="宋体"/>
                <w:color w:val="auto"/>
                <w:sz w:val="21"/>
                <w:szCs w:val="21"/>
              </w:rPr>
            </w:pPr>
            <w:r>
              <w:rPr>
                <w:rStyle w:val="18"/>
                <w:rFonts w:hint="eastAsia" w:ascii="宋体" w:hAnsi="宋体" w:eastAsia="宋体" w:cs="宋体"/>
                <w:color w:val="auto"/>
                <w:sz w:val="21"/>
                <w:szCs w:val="21"/>
              </w:rPr>
              <w:t>一、评分内容：</w:t>
            </w:r>
          </w:p>
          <w:p>
            <w:pPr>
              <w:pStyle w:val="13"/>
              <w:widowControl/>
              <w:wordWrap w:val="0"/>
              <w:spacing w:beforeAutospacing="0" w:afterAutospacing="0"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投标人在上述“同类业绩”被评标委员会认定为有效业绩的，经服务单位考核评价为优或满意或其他最高等级的，每提供一</w:t>
            </w:r>
            <w:r>
              <w:rPr>
                <w:rFonts w:hint="eastAsia" w:asciiTheme="minorEastAsia" w:hAnsiTheme="minorEastAsia" w:cstheme="minorEastAsia"/>
                <w:sz w:val="21"/>
                <w:szCs w:val="21"/>
                <w:highlight w:val="none"/>
                <w:lang w:val="en-US" w:eastAsia="zh-CN"/>
              </w:rPr>
              <w:t>个</w:t>
            </w:r>
            <w:r>
              <w:rPr>
                <w:rFonts w:hint="eastAsia" w:asciiTheme="minorEastAsia" w:hAnsiTheme="minorEastAsia" w:eastAsiaTheme="minorEastAsia" w:cstheme="minorEastAsia"/>
                <w:sz w:val="21"/>
                <w:szCs w:val="21"/>
                <w:highlight w:val="none"/>
                <w:lang w:val="en-US" w:eastAsia="zh-CN"/>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分，最高得</w:t>
            </w:r>
            <w:r>
              <w:rPr>
                <w:rFonts w:hint="eastAsia" w:asciiTheme="minorEastAsia" w:hAnsi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lang w:val="en-US" w:eastAsia="zh-CN"/>
              </w:rPr>
              <w:t>分</w:t>
            </w:r>
            <w:r>
              <w:rPr>
                <w:rFonts w:hint="eastAsia" w:asciiTheme="minorEastAsia" w:hAnsiTheme="minorEastAsia" w:cstheme="minorEastAsia"/>
                <w:sz w:val="21"/>
                <w:szCs w:val="21"/>
                <w:highlight w:val="none"/>
                <w:lang w:val="en-US" w:eastAsia="zh-CN"/>
              </w:rPr>
              <w:t>。</w:t>
            </w:r>
          </w:p>
          <w:p>
            <w:pPr>
              <w:pStyle w:val="13"/>
              <w:widowControl/>
              <w:wordWrap w:val="0"/>
              <w:spacing w:beforeAutospacing="0" w:afterAutospacing="0" w:line="240" w:lineRule="auto"/>
              <w:jc w:val="left"/>
              <w:rPr>
                <w:rFonts w:hint="eastAsia" w:ascii="宋体" w:hAnsi="宋体" w:eastAsia="宋体" w:cs="宋体"/>
                <w:color w:val="auto"/>
                <w:sz w:val="21"/>
                <w:szCs w:val="21"/>
              </w:rPr>
            </w:pPr>
            <w:r>
              <w:rPr>
                <w:rStyle w:val="18"/>
                <w:rFonts w:hint="eastAsia" w:ascii="宋体" w:hAnsi="宋体" w:eastAsia="宋体" w:cs="宋体"/>
                <w:color w:val="auto"/>
                <w:sz w:val="21"/>
                <w:szCs w:val="21"/>
              </w:rPr>
              <w:t>二、评分依据：</w:t>
            </w:r>
          </w:p>
          <w:p>
            <w:pPr>
              <w:pStyle w:val="13"/>
              <w:widowControl/>
              <w:wordWrap w:val="0"/>
              <w:spacing w:beforeAutospacing="0" w:afterAutospacing="0" w:line="240" w:lineRule="auto"/>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kern w:val="0"/>
                <w:sz w:val="21"/>
                <w:szCs w:val="21"/>
                <w:highlight w:val="none"/>
                <w:lang w:val="en-US" w:eastAsia="zh-CN"/>
              </w:rPr>
              <w:t>投标人提供盖有合同甲方公章的履约评价扫描件（履约评价需由服务单位本单位盖章出具，下属单位、内设机构或关联单位的履约评价不得分），未提供或未按要求提供或提供的扫描件不清晰导致采购人无法判断的，不得分</w:t>
            </w:r>
            <w:r>
              <w:rPr>
                <w:rFonts w:hint="eastAsia" w:asciiTheme="minorEastAsia" w:hAnsiTheme="minorEastAsia" w:cstheme="minorEastAsia"/>
                <w:kern w:val="0"/>
                <w:sz w:val="21"/>
                <w:szCs w:val="21"/>
                <w:highlight w:val="none"/>
                <w:lang w:val="en-US" w:eastAsia="zh-CN"/>
              </w:rPr>
              <w:t>。</w:t>
            </w:r>
          </w:p>
        </w:tc>
        <w:tc>
          <w:tcPr>
            <w:tcW w:w="295"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33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widowControl/>
              <w:wordWrap w:val="0"/>
              <w:spacing w:line="240" w:lineRule="auto"/>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688"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rPr>
            </w:pPr>
            <w:r>
              <w:rPr>
                <w:rFonts w:hint="eastAsia" w:asciiTheme="minorEastAsia" w:hAnsiTheme="minorEastAsia" w:eastAsiaTheme="minorEastAsia" w:cstheme="minorEastAsia"/>
                <w:kern w:val="0"/>
                <w:sz w:val="21"/>
                <w:szCs w:val="21"/>
                <w:highlight w:val="none"/>
                <w:lang w:val="en-US" w:eastAsia="zh-CN"/>
              </w:rPr>
              <w:t>投标人所获荣誉资质情况</w:t>
            </w:r>
          </w:p>
        </w:tc>
        <w:tc>
          <w:tcPr>
            <w:tcW w:w="368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ageBreakBefore w:val="0"/>
              <w:kinsoku/>
              <w:wordWrap/>
              <w:overflowPunct/>
              <w:topLinePunct w:val="0"/>
              <w:autoSpaceDE/>
              <w:autoSpaceDN/>
              <w:bidi w:val="0"/>
              <w:adjustRightInd/>
              <w:spacing w:beforeAutospacing="0" w:afterAutospacing="0" w:line="240" w:lineRule="auto"/>
              <w:ind w:firstLine="0" w:firstLineChars="0"/>
              <w:textAlignment w:val="auto"/>
              <w:rPr>
                <w:rStyle w:val="18"/>
                <w:rFonts w:hint="eastAsia" w:ascii="宋体" w:hAnsi="宋体" w:eastAsia="宋体" w:cs="宋体"/>
                <w:color w:val="auto"/>
                <w:sz w:val="21"/>
                <w:szCs w:val="21"/>
              </w:rPr>
            </w:pPr>
            <w:r>
              <w:rPr>
                <w:rStyle w:val="18"/>
                <w:rFonts w:hint="eastAsia" w:ascii="宋体" w:hAnsi="宋体" w:eastAsia="宋体" w:cs="宋体"/>
                <w:color w:val="auto"/>
                <w:sz w:val="21"/>
                <w:szCs w:val="21"/>
              </w:rPr>
              <w:t>一、评分内容：</w:t>
            </w:r>
          </w:p>
          <w:p>
            <w:pPr>
              <w:keepNext w:val="0"/>
              <w:keepLines w:val="0"/>
              <w:pageBreakBefore w:val="0"/>
              <w:kinsoku/>
              <w:wordWrap w:val="0"/>
              <w:overflowPunct/>
              <w:topLinePunct w:val="0"/>
              <w:autoSpaceDE/>
              <w:autoSpaceDN/>
              <w:bidi w:val="0"/>
              <w:adjustRightInd/>
              <w:snapToGrid/>
              <w:spacing w:line="360" w:lineRule="exact"/>
              <w:textAlignment w:val="top"/>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投标人自202</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年1月1日至本项目投标截止日，获得行政机关或事业单位颁发</w:t>
            </w:r>
            <w:r>
              <w:rPr>
                <w:rFonts w:hint="eastAsia" w:asciiTheme="minorEastAsia" w:hAnsiTheme="minorEastAsia" w:eastAsiaTheme="minorEastAsia" w:cstheme="minorEastAsia"/>
                <w:sz w:val="21"/>
                <w:szCs w:val="21"/>
                <w:highlight w:val="none"/>
                <w:lang w:val="en-US" w:eastAsia="zh-CN"/>
              </w:rPr>
              <w:t>或授予</w:t>
            </w:r>
            <w:r>
              <w:rPr>
                <w:rFonts w:hint="eastAsia" w:asciiTheme="minorEastAsia" w:hAnsiTheme="minorEastAsia" w:eastAsiaTheme="minorEastAsia" w:cstheme="minorEastAsia"/>
                <w:sz w:val="21"/>
                <w:szCs w:val="21"/>
                <w:highlight w:val="none"/>
                <w:lang w:eastAsia="zh-CN"/>
              </w:rPr>
              <w:t>的人力资源服务（含就业服务）方面的表彰与奖励（荣誉）：</w:t>
            </w:r>
          </w:p>
          <w:p>
            <w:pPr>
              <w:keepNext w:val="0"/>
              <w:keepLines w:val="0"/>
              <w:pageBreakBefore w:val="0"/>
              <w:kinsoku/>
              <w:wordWrap w:val="0"/>
              <w:overflowPunct/>
              <w:topLinePunct w:val="0"/>
              <w:autoSpaceDE/>
              <w:autoSpaceDN/>
              <w:bidi w:val="0"/>
              <w:adjustRightInd/>
              <w:snapToGrid/>
              <w:spacing w:line="360" w:lineRule="exact"/>
              <w:textAlignment w:val="top"/>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市级</w:t>
            </w:r>
            <w:r>
              <w:rPr>
                <w:rFonts w:hint="eastAsia" w:asciiTheme="minorEastAsia" w:hAnsiTheme="minorEastAsia" w:eastAsiaTheme="minorEastAsia" w:cstheme="minorEastAsia"/>
                <w:sz w:val="21"/>
                <w:szCs w:val="21"/>
                <w:highlight w:val="none"/>
                <w:lang w:eastAsia="zh-CN"/>
              </w:rPr>
              <w:t>行政机关或事业单位</w:t>
            </w:r>
            <w:r>
              <w:rPr>
                <w:rFonts w:hint="eastAsia" w:asciiTheme="minorEastAsia" w:hAnsiTheme="minorEastAsia" w:eastAsiaTheme="minorEastAsia" w:cstheme="minorEastAsia"/>
                <w:sz w:val="21"/>
                <w:szCs w:val="21"/>
                <w:highlight w:val="none"/>
                <w:lang w:val="en-US" w:eastAsia="zh-CN"/>
              </w:rPr>
              <w:t>授予的，</w:t>
            </w:r>
            <w:r>
              <w:rPr>
                <w:rFonts w:hint="eastAsia" w:ascii="宋体" w:hAnsi="宋体" w:eastAsia="宋体" w:cs="宋体"/>
                <w:color w:val="auto"/>
                <w:sz w:val="21"/>
                <w:szCs w:val="21"/>
                <w:highlight w:val="none"/>
              </w:rPr>
              <w:t>每提供一个得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kinsoku/>
              <w:wordWrap w:val="0"/>
              <w:overflowPunct/>
              <w:topLinePunct w:val="0"/>
              <w:autoSpaceDE/>
              <w:autoSpaceDN/>
              <w:bidi w:val="0"/>
              <w:adjustRightInd/>
              <w:snapToGrid/>
              <w:spacing w:line="360" w:lineRule="exact"/>
              <w:textAlignment w:val="top"/>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省级</w:t>
            </w:r>
            <w:r>
              <w:rPr>
                <w:rFonts w:hint="eastAsia" w:asciiTheme="minorEastAsia" w:hAnsiTheme="minorEastAsia" w:eastAsiaTheme="minorEastAsia" w:cstheme="minorEastAsia"/>
                <w:sz w:val="21"/>
                <w:szCs w:val="21"/>
                <w:highlight w:val="none"/>
                <w:lang w:eastAsia="zh-CN"/>
              </w:rPr>
              <w:t>行政机关或事业单位</w:t>
            </w:r>
            <w:r>
              <w:rPr>
                <w:rFonts w:hint="eastAsia" w:asciiTheme="minorEastAsia" w:hAnsiTheme="minorEastAsia" w:eastAsiaTheme="minorEastAsia" w:cstheme="minorEastAsia"/>
                <w:sz w:val="21"/>
                <w:szCs w:val="21"/>
                <w:highlight w:val="none"/>
                <w:lang w:val="en-US" w:eastAsia="zh-CN"/>
              </w:rPr>
              <w:t>授予的，</w:t>
            </w:r>
            <w:r>
              <w:rPr>
                <w:rFonts w:hint="eastAsia" w:ascii="宋体" w:hAnsi="宋体" w:eastAsia="宋体" w:cs="宋体"/>
                <w:color w:val="auto"/>
                <w:sz w:val="21"/>
                <w:szCs w:val="21"/>
                <w:highlight w:val="none"/>
              </w:rPr>
              <w:t>每提供一个得2分</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kinsoku/>
              <w:wordWrap w:val="0"/>
              <w:overflowPunct/>
              <w:topLinePunct w:val="0"/>
              <w:autoSpaceDE/>
              <w:autoSpaceDN/>
              <w:bidi w:val="0"/>
              <w:adjustRightInd/>
              <w:snapToGrid/>
              <w:spacing w:line="360" w:lineRule="exact"/>
              <w:textAlignment w:val="top"/>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国家部委相关部门授予的，</w:t>
            </w:r>
            <w:r>
              <w:rPr>
                <w:rFonts w:hint="eastAsia" w:ascii="宋体" w:hAnsi="宋体" w:eastAsia="宋体" w:cs="宋体"/>
                <w:color w:val="auto"/>
                <w:sz w:val="21"/>
                <w:szCs w:val="21"/>
                <w:highlight w:val="none"/>
              </w:rPr>
              <w:t>每提供一个得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Theme="minorEastAsia" w:hAnsiTheme="minorEastAsia" w:eastAsiaTheme="minorEastAsia" w:cstheme="minorEastAsia"/>
                <w:sz w:val="21"/>
                <w:szCs w:val="21"/>
                <w:highlight w:val="none"/>
                <w:lang w:eastAsia="zh-CN"/>
              </w:rPr>
              <w:t>；</w:t>
            </w:r>
          </w:p>
          <w:p>
            <w:pPr>
              <w:keepNext w:val="0"/>
              <w:keepLines w:val="0"/>
              <w:pageBreakBefore w:val="0"/>
              <w:kinsoku/>
              <w:wordWrap w:val="0"/>
              <w:overflowPunct/>
              <w:topLinePunct w:val="0"/>
              <w:autoSpaceDE/>
              <w:autoSpaceDN/>
              <w:bidi w:val="0"/>
              <w:adjustRightInd/>
              <w:snapToGrid/>
              <w:spacing w:line="360" w:lineRule="exact"/>
              <w:textAlignment w:val="top"/>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sz w:val="21"/>
                <w:szCs w:val="21"/>
                <w:highlight w:val="none"/>
              </w:rPr>
              <w:t>以上</w:t>
            </w:r>
            <w:r>
              <w:rPr>
                <w:rFonts w:hint="eastAsia" w:asciiTheme="minorEastAsia" w:hAnsiTheme="minorEastAsia" w:eastAsiaTheme="minorEastAsia" w:cstheme="minorEastAsia"/>
                <w:sz w:val="21"/>
                <w:szCs w:val="21"/>
                <w:highlight w:val="none"/>
                <w:lang w:eastAsia="zh-CN"/>
              </w:rPr>
              <w:t>可</w:t>
            </w:r>
            <w:r>
              <w:rPr>
                <w:rFonts w:hint="eastAsia" w:asciiTheme="minorEastAsia" w:hAnsiTheme="minorEastAsia" w:eastAsiaTheme="minorEastAsia" w:cstheme="minorEastAsia"/>
                <w:sz w:val="21"/>
                <w:szCs w:val="21"/>
                <w:highlight w:val="none"/>
              </w:rPr>
              <w:t>累计得分，最高得</w:t>
            </w:r>
            <w:r>
              <w:rPr>
                <w:rFonts w:hint="eastAsia" w:asciiTheme="minorEastAsia" w:hAnsi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p>
          <w:p>
            <w:pPr>
              <w:pStyle w:val="13"/>
              <w:widowControl/>
              <w:wordWrap w:val="0"/>
              <w:spacing w:beforeAutospacing="0" w:afterAutospacing="0" w:line="240" w:lineRule="auto"/>
              <w:jc w:val="left"/>
              <w:rPr>
                <w:rFonts w:hint="eastAsia" w:ascii="宋体" w:hAnsi="宋体" w:eastAsia="宋体" w:cs="宋体"/>
                <w:color w:val="auto"/>
                <w:sz w:val="21"/>
                <w:szCs w:val="21"/>
              </w:rPr>
            </w:pPr>
            <w:r>
              <w:rPr>
                <w:rStyle w:val="18"/>
                <w:rFonts w:hint="eastAsia" w:ascii="宋体" w:hAnsi="宋体" w:eastAsia="宋体" w:cs="宋体"/>
                <w:color w:val="auto"/>
                <w:sz w:val="21"/>
                <w:szCs w:val="21"/>
              </w:rPr>
              <w:t>二、评分依据：</w:t>
            </w:r>
          </w:p>
          <w:p>
            <w:pPr>
              <w:pStyle w:val="13"/>
              <w:widowControl/>
              <w:wordWrap w:val="0"/>
              <w:spacing w:beforeAutospacing="0" w:afterAutospacing="0" w:line="240" w:lineRule="auto"/>
              <w:jc w:val="left"/>
              <w:rPr>
                <w:rFonts w:hint="eastAsia" w:ascii="宋体" w:hAnsi="宋体" w:eastAsia="宋体" w:cs="宋体"/>
                <w:color w:val="auto"/>
                <w:sz w:val="21"/>
                <w:szCs w:val="21"/>
              </w:rPr>
            </w:pPr>
            <w:r>
              <w:rPr>
                <w:rFonts w:hint="eastAsia" w:asciiTheme="minorEastAsia" w:hAnsiTheme="minorEastAsia" w:eastAsiaTheme="minorEastAsia" w:cstheme="minorEastAsia"/>
                <w:sz w:val="21"/>
                <w:szCs w:val="21"/>
                <w:highlight w:val="none"/>
              </w:rPr>
              <w:t>投标人提供要求提供奖项照片或</w:t>
            </w:r>
            <w:r>
              <w:rPr>
                <w:rFonts w:hint="eastAsia" w:asciiTheme="minorEastAsia" w:hAnsiTheme="minorEastAsia" w:eastAsiaTheme="minorEastAsia" w:cstheme="minorEastAsia"/>
                <w:sz w:val="21"/>
                <w:szCs w:val="21"/>
                <w:highlight w:val="none"/>
                <w:lang w:val="en-US" w:eastAsia="zh-CN"/>
              </w:rPr>
              <w:t>表彰文件或</w:t>
            </w:r>
            <w:r>
              <w:rPr>
                <w:rFonts w:hint="eastAsia" w:asciiTheme="minorEastAsia" w:hAnsiTheme="minorEastAsia" w:eastAsiaTheme="minorEastAsia" w:cstheme="minorEastAsia"/>
                <w:sz w:val="21"/>
                <w:szCs w:val="21"/>
                <w:highlight w:val="none"/>
              </w:rPr>
              <w:t>获奖（荣誉）证书</w:t>
            </w:r>
            <w:r>
              <w:rPr>
                <w:rFonts w:hint="eastAsia" w:asciiTheme="minorEastAsia" w:hAnsiTheme="minorEastAsia" w:eastAsiaTheme="minorEastAsia" w:cstheme="minorEastAsia"/>
                <w:sz w:val="21"/>
                <w:szCs w:val="21"/>
                <w:highlight w:val="none"/>
                <w:lang w:val="en-US" w:eastAsia="zh-CN"/>
              </w:rPr>
              <w:t>扫描件</w:t>
            </w:r>
            <w:r>
              <w:rPr>
                <w:rFonts w:hint="eastAsia" w:asciiTheme="minorEastAsia" w:hAnsiTheme="minorEastAsia" w:eastAsiaTheme="minorEastAsia" w:cstheme="minorEastAsia"/>
                <w:sz w:val="21"/>
                <w:szCs w:val="21"/>
                <w:highlight w:val="none"/>
              </w:rPr>
              <w:t>等证明材料作为得分依据。未提供或未按要求提供或提供的不清晰导致</w:t>
            </w:r>
            <w:r>
              <w:rPr>
                <w:rFonts w:hint="eastAsia" w:asciiTheme="minorEastAsia" w:hAnsiTheme="minorEastAsia" w:eastAsia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无法判断的，不得分</w:t>
            </w:r>
            <w:r>
              <w:rPr>
                <w:rFonts w:hint="eastAsia" w:ascii="宋体" w:hAnsi="宋体" w:eastAsia="宋体" w:cs="宋体"/>
                <w:color w:val="auto"/>
                <w:sz w:val="21"/>
                <w:szCs w:val="21"/>
                <w:highlight w:val="none"/>
                <w:lang w:eastAsia="zh-CN"/>
              </w:rPr>
              <w:t>。</w:t>
            </w:r>
          </w:p>
        </w:tc>
        <w:tc>
          <w:tcPr>
            <w:tcW w:w="295"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3"/>
              <w:widowControl/>
              <w:wordWrap w:val="0"/>
              <w:spacing w:beforeAutospacing="0" w:afterAutospacing="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33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widowControl/>
              <w:wordWrap w:val="0"/>
              <w:spacing w:line="240" w:lineRule="auto"/>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bl>
    <w:p>
      <w:pPr>
        <w:rPr>
          <w:rFonts w:ascii="黑体" w:hAnsi="黑体" w:eastAsia="黑体" w:cs="黑体"/>
          <w:b/>
          <w:sz w:val="28"/>
          <w:szCs w:val="28"/>
        </w:rPr>
      </w:pPr>
    </w:p>
    <w:p>
      <w:pPr>
        <w:tabs>
          <w:tab w:val="left" w:pos="540"/>
        </w:tabs>
        <w:spacing w:line="360" w:lineRule="auto"/>
        <w:jc w:val="center"/>
        <w:outlineLvl w:val="1"/>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九、投标文件格式</w:t>
      </w:r>
    </w:p>
    <w:p>
      <w:pPr>
        <w:pStyle w:val="4"/>
        <w:spacing w:before="0" w:after="0" w:line="240" w:lineRule="atLeast"/>
        <w:jc w:val="center"/>
        <w:rPr>
          <w:rFonts w:ascii="黑体" w:eastAsia="黑体"/>
          <w:b w:val="0"/>
          <w:kern w:val="0"/>
          <w:sz w:val="24"/>
        </w:rPr>
      </w:pPr>
      <w:r>
        <w:rPr>
          <w:rFonts w:hint="eastAsia" w:ascii="黑体" w:eastAsia="黑体"/>
          <w:b w:val="0"/>
          <w:kern w:val="0"/>
          <w:sz w:val="24"/>
        </w:rPr>
        <w:t>（一）开标一览表</w:t>
      </w:r>
    </w:p>
    <w:tbl>
      <w:tblPr>
        <w:tblStyle w:val="16"/>
        <w:tblW w:w="6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711"/>
        <w:gridCol w:w="127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711" w:type="dxa"/>
            <w:vAlign w:val="center"/>
          </w:tcPr>
          <w:p>
            <w:pPr>
              <w:jc w:val="center"/>
              <w:rPr>
                <w:rFonts w:ascii="黑体" w:eastAsia="黑体"/>
                <w:kern w:val="0"/>
                <w:sz w:val="24"/>
              </w:rPr>
            </w:pPr>
            <w:r>
              <w:rPr>
                <w:rFonts w:hint="eastAsia" w:ascii="黑体" w:eastAsia="黑体"/>
                <w:kern w:val="0"/>
                <w:sz w:val="24"/>
              </w:rPr>
              <w:t>项目名称</w:t>
            </w:r>
          </w:p>
        </w:tc>
        <w:tc>
          <w:tcPr>
            <w:tcW w:w="1711" w:type="dxa"/>
            <w:vAlign w:val="center"/>
          </w:tcPr>
          <w:p>
            <w:pPr>
              <w:jc w:val="center"/>
              <w:rPr>
                <w:rFonts w:ascii="黑体" w:eastAsia="黑体"/>
                <w:kern w:val="0"/>
                <w:sz w:val="24"/>
              </w:rPr>
            </w:pPr>
            <w:r>
              <w:rPr>
                <w:rFonts w:hint="eastAsia" w:ascii="黑体" w:eastAsia="黑体"/>
                <w:kern w:val="0"/>
                <w:sz w:val="24"/>
              </w:rPr>
              <w:t>项目报价</w:t>
            </w:r>
          </w:p>
        </w:tc>
        <w:tc>
          <w:tcPr>
            <w:tcW w:w="1278" w:type="dxa"/>
            <w:vAlign w:val="center"/>
          </w:tcPr>
          <w:p>
            <w:pPr>
              <w:jc w:val="center"/>
              <w:rPr>
                <w:rFonts w:ascii="黑体" w:eastAsia="黑体"/>
                <w:kern w:val="0"/>
                <w:sz w:val="24"/>
              </w:rPr>
            </w:pPr>
            <w:r>
              <w:rPr>
                <w:rFonts w:hint="eastAsia" w:ascii="黑体" w:eastAsia="黑体"/>
                <w:kern w:val="0"/>
                <w:sz w:val="24"/>
              </w:rPr>
              <w:t>服务期限</w:t>
            </w:r>
          </w:p>
        </w:tc>
        <w:tc>
          <w:tcPr>
            <w:tcW w:w="1712" w:type="dxa"/>
            <w:vAlign w:val="center"/>
          </w:tcPr>
          <w:p>
            <w:pPr>
              <w:jc w:val="center"/>
              <w:rPr>
                <w:rFonts w:ascii="黑体" w:eastAsia="黑体"/>
                <w:kern w:val="0"/>
                <w:sz w:val="24"/>
              </w:rPr>
            </w:pPr>
            <w:r>
              <w:rPr>
                <w:rFonts w:hint="eastAsia" w:ascii="黑体" w:eastAsia="黑体"/>
                <w:kern w:val="0"/>
                <w:sz w:val="24"/>
              </w:rPr>
              <w:t>备注（选填）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711" w:type="dxa"/>
            <w:vAlign w:val="center"/>
          </w:tcPr>
          <w:p>
            <w:pPr>
              <w:jc w:val="center"/>
              <w:rPr>
                <w:rFonts w:ascii="黑体" w:eastAsia="黑体"/>
                <w:kern w:val="0"/>
                <w:sz w:val="24"/>
              </w:rPr>
            </w:pPr>
          </w:p>
        </w:tc>
        <w:tc>
          <w:tcPr>
            <w:tcW w:w="1711" w:type="dxa"/>
            <w:vAlign w:val="center"/>
          </w:tcPr>
          <w:p>
            <w:pPr>
              <w:jc w:val="left"/>
              <w:rPr>
                <w:rFonts w:ascii="黑体" w:eastAsia="黑体"/>
                <w:kern w:val="0"/>
                <w:sz w:val="24"/>
              </w:rPr>
            </w:pPr>
            <w:r>
              <w:rPr>
                <w:rFonts w:hint="eastAsia" w:ascii="黑体" w:eastAsia="黑体"/>
                <w:kern w:val="0"/>
                <w:sz w:val="24"/>
              </w:rPr>
              <w:t>大写：</w:t>
            </w:r>
          </w:p>
          <w:p>
            <w:pPr>
              <w:jc w:val="left"/>
              <w:rPr>
                <w:rFonts w:ascii="黑体" w:eastAsia="黑体"/>
                <w:kern w:val="0"/>
                <w:sz w:val="24"/>
              </w:rPr>
            </w:pPr>
            <w:r>
              <w:rPr>
                <w:rFonts w:hint="eastAsia" w:ascii="黑体" w:eastAsia="黑体"/>
                <w:kern w:val="0"/>
                <w:sz w:val="24"/>
              </w:rPr>
              <w:t>小写：</w:t>
            </w:r>
          </w:p>
        </w:tc>
        <w:tc>
          <w:tcPr>
            <w:tcW w:w="1278" w:type="dxa"/>
            <w:vAlign w:val="center"/>
          </w:tcPr>
          <w:p>
            <w:pPr>
              <w:jc w:val="center"/>
              <w:rPr>
                <w:rFonts w:ascii="黑体" w:eastAsia="黑体"/>
                <w:kern w:val="0"/>
                <w:sz w:val="24"/>
              </w:rPr>
            </w:pPr>
          </w:p>
        </w:tc>
        <w:tc>
          <w:tcPr>
            <w:tcW w:w="1712" w:type="dxa"/>
            <w:vAlign w:val="center"/>
          </w:tcPr>
          <w:p>
            <w:pPr>
              <w:jc w:val="center"/>
              <w:rPr>
                <w:rFonts w:ascii="黑体" w:eastAsia="黑体"/>
                <w:kern w:val="0"/>
                <w:sz w:val="24"/>
              </w:rPr>
            </w:pPr>
          </w:p>
        </w:tc>
      </w:tr>
    </w:tbl>
    <w:p>
      <w:pPr>
        <w:rPr>
          <w:rFonts w:ascii="黑体" w:eastAsia="黑体"/>
          <w:kern w:val="0"/>
          <w:sz w:val="24"/>
        </w:rPr>
      </w:pPr>
    </w:p>
    <w:p>
      <w:pPr>
        <w:rPr>
          <w:rFonts w:ascii="黑体" w:eastAsia="黑体"/>
          <w:kern w:val="0"/>
          <w:sz w:val="24"/>
        </w:rPr>
      </w:pPr>
    </w:p>
    <w:p>
      <w:pPr>
        <w:pStyle w:val="4"/>
        <w:spacing w:before="0" w:after="0" w:line="240" w:lineRule="atLeast"/>
        <w:jc w:val="center"/>
        <w:rPr>
          <w:rFonts w:ascii="黑体" w:eastAsia="黑体"/>
          <w:b w:val="0"/>
          <w:kern w:val="0"/>
          <w:sz w:val="24"/>
        </w:rPr>
      </w:pPr>
      <w:r>
        <w:rPr>
          <w:rFonts w:hint="eastAsia" w:ascii="黑体" w:eastAsia="黑体"/>
          <w:b w:val="0"/>
          <w:kern w:val="0"/>
          <w:sz w:val="24"/>
        </w:rPr>
        <w:t>（二）资格证明文件</w:t>
      </w:r>
    </w:p>
    <w:p>
      <w:pPr>
        <w:spacing w:beforeLines="50"/>
        <w:ind w:firstLine="421" w:firstLineChars="200"/>
        <w:rPr>
          <w:rFonts w:ascii="宋体" w:hAnsi="宋体" w:eastAsia="宋体" w:cs="宋体"/>
          <w:b/>
          <w:bCs/>
          <w:color w:val="FF0000"/>
        </w:rPr>
      </w:pPr>
      <w:r>
        <w:rPr>
          <w:rFonts w:hint="eastAsia" w:ascii="宋体" w:hAnsi="宋体" w:eastAsia="宋体" w:cs="宋体"/>
          <w:b/>
          <w:bCs/>
          <w:color w:val="FF0000"/>
        </w:rPr>
        <w:t>（特别提示：投标人须按本招标文件招标公告 “</w:t>
      </w:r>
      <w:r>
        <w:rPr>
          <w:rFonts w:hint="eastAsia" w:ascii="宋体" w:hAnsi="宋体" w:eastAsia="宋体" w:cs="宋体"/>
          <w:b/>
          <w:bCs/>
          <w:color w:val="FF0000"/>
          <w:lang w:eastAsia="zh-CN"/>
        </w:rPr>
        <w:t>投标供应商</w:t>
      </w:r>
      <w:r>
        <w:rPr>
          <w:rFonts w:hint="eastAsia" w:ascii="宋体" w:hAnsi="宋体" w:eastAsia="宋体" w:cs="宋体"/>
          <w:b/>
          <w:bCs/>
          <w:color w:val="FF0000"/>
        </w:rPr>
        <w:t>资格要求”提供相关的资格证明资料，未提供或提供不完整、不符合要求的，将作投标无效处理。）</w:t>
      </w:r>
    </w:p>
    <w:p>
      <w:pPr>
        <w:rPr>
          <w:rFonts w:ascii="黑体" w:eastAsia="黑体"/>
          <w:kern w:val="0"/>
          <w:sz w:val="24"/>
        </w:rPr>
      </w:pPr>
    </w:p>
    <w:p>
      <w:pPr>
        <w:rPr>
          <w:rFonts w:ascii="黑体" w:eastAsia="黑体"/>
          <w:kern w:val="0"/>
          <w:sz w:val="24"/>
        </w:rPr>
      </w:pPr>
    </w:p>
    <w:p>
      <w:pPr>
        <w:numPr>
          <w:ilvl w:val="0"/>
          <w:numId w:val="0"/>
        </w:numPr>
        <w:ind w:leftChars="0"/>
        <w:rPr>
          <w:rFonts w:hint="eastAsia" w:ascii="黑体" w:hAnsi="宋体" w:eastAsia="黑体" w:cs="宋体"/>
          <w:b w:val="0"/>
          <w:bCs w:val="0"/>
          <w:kern w:val="2"/>
          <w:sz w:val="24"/>
          <w:szCs w:val="32"/>
          <w:lang w:val="en-US" w:eastAsia="zh-CN" w:bidi="ar-SA"/>
        </w:rPr>
      </w:pPr>
      <w:r>
        <w:rPr>
          <w:rFonts w:hint="eastAsia" w:ascii="黑体" w:hAnsi="宋体" w:eastAsia="黑体" w:cs="宋体"/>
          <w:b w:val="0"/>
          <w:bCs w:val="0"/>
          <w:kern w:val="2"/>
          <w:sz w:val="24"/>
          <w:szCs w:val="32"/>
          <w:lang w:val="en-US" w:eastAsia="zh-CN" w:bidi="ar-SA"/>
        </w:rPr>
        <w:t xml:space="preserve">  </w:t>
      </w:r>
    </w:p>
    <w:p>
      <w:pPr>
        <w:numPr>
          <w:ilvl w:val="0"/>
          <w:numId w:val="0"/>
        </w:numPr>
        <w:ind w:leftChars="0"/>
        <w:rPr>
          <w:rFonts w:hint="eastAsia" w:ascii="黑体" w:hAnsi="宋体" w:eastAsia="黑体" w:cs="宋体"/>
          <w:b w:val="0"/>
          <w:bCs w:val="0"/>
          <w:kern w:val="2"/>
          <w:sz w:val="24"/>
          <w:szCs w:val="32"/>
          <w:lang w:val="en-US" w:eastAsia="zh-CN" w:bidi="ar-SA"/>
        </w:rPr>
      </w:pPr>
    </w:p>
    <w:p>
      <w:pPr>
        <w:numPr>
          <w:ilvl w:val="0"/>
          <w:numId w:val="0"/>
        </w:numPr>
        <w:ind w:leftChars="0"/>
        <w:rPr>
          <w:rFonts w:hint="eastAsia" w:ascii="黑体" w:hAnsi="宋体" w:eastAsia="黑体" w:cs="宋体"/>
          <w:b w:val="0"/>
          <w:bCs w:val="0"/>
          <w:kern w:val="2"/>
          <w:sz w:val="24"/>
          <w:szCs w:val="32"/>
          <w:lang w:val="en-US" w:eastAsia="zh-CN" w:bidi="ar-SA"/>
        </w:rPr>
      </w:pPr>
    </w:p>
    <w:p>
      <w:pPr>
        <w:numPr>
          <w:ilvl w:val="0"/>
          <w:numId w:val="0"/>
        </w:numPr>
        <w:ind w:leftChars="0"/>
        <w:jc w:val="center"/>
        <w:rPr>
          <w:rFonts w:hint="eastAsia"/>
          <w:lang w:val="en-US" w:eastAsia="zh-CN"/>
        </w:rPr>
      </w:pPr>
      <w:r>
        <w:rPr>
          <w:rFonts w:hint="eastAsia" w:ascii="黑体" w:hAnsi="宋体" w:eastAsia="黑体" w:cs="宋体"/>
          <w:b w:val="0"/>
          <w:bCs w:val="0"/>
          <w:kern w:val="2"/>
          <w:sz w:val="24"/>
          <w:szCs w:val="32"/>
          <w:lang w:val="en-US" w:eastAsia="zh-CN" w:bidi="ar-SA"/>
        </w:rPr>
        <w:t>（三）供应商基本情况表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3</w:t>
            </w:r>
          </w:p>
        </w:tc>
        <w:tc>
          <w:tcPr>
            <w:tcW w:w="2282" w:type="dxa"/>
            <w:gridSpan w:val="2"/>
            <w:tcBorders>
              <w:top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4</w:t>
            </w:r>
          </w:p>
        </w:tc>
        <w:tc>
          <w:tcPr>
            <w:tcW w:w="2282" w:type="dxa"/>
            <w:gridSpan w:val="2"/>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5</w:t>
            </w:r>
          </w:p>
        </w:tc>
        <w:tc>
          <w:tcPr>
            <w:tcW w:w="2282" w:type="dxa"/>
            <w:gridSpan w:val="2"/>
            <w:vAlign w:val="center"/>
          </w:tcPr>
          <w:p>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pStyle w:val="4"/>
        <w:spacing w:before="0" w:after="0" w:line="240" w:lineRule="atLeast"/>
        <w:jc w:val="center"/>
        <w:rPr>
          <w:rFonts w:hint="eastAsia" w:ascii="黑体" w:eastAsia="黑体"/>
          <w:b w:val="0"/>
          <w:kern w:val="0"/>
          <w:sz w:val="24"/>
        </w:rPr>
      </w:pPr>
    </w:p>
    <w:p>
      <w:pPr>
        <w:rPr>
          <w:rFonts w:hint="eastAsia" w:ascii="黑体" w:eastAsia="黑体"/>
          <w:b w:val="0"/>
          <w:kern w:val="0"/>
          <w:sz w:val="24"/>
        </w:rPr>
      </w:pPr>
    </w:p>
    <w:p>
      <w:pPr>
        <w:pStyle w:val="6"/>
        <w:rPr>
          <w:rFonts w:hint="eastAsia"/>
        </w:rPr>
      </w:pPr>
    </w:p>
    <w:p>
      <w:pPr>
        <w:pStyle w:val="4"/>
        <w:spacing w:before="0" w:after="0" w:line="240" w:lineRule="atLeast"/>
        <w:jc w:val="center"/>
        <w:rPr>
          <w:rFonts w:ascii="黑体" w:eastAsia="黑体"/>
          <w:b w:val="0"/>
          <w:kern w:val="0"/>
          <w:sz w:val="24"/>
        </w:rPr>
      </w:pPr>
      <w:r>
        <w:rPr>
          <w:rFonts w:hint="eastAsia" w:ascii="黑体" w:eastAsia="黑体"/>
          <w:b w:val="0"/>
          <w:kern w:val="0"/>
          <w:sz w:val="24"/>
        </w:rPr>
        <w:t>（</w:t>
      </w:r>
      <w:r>
        <w:rPr>
          <w:rFonts w:hint="eastAsia" w:ascii="黑体" w:eastAsia="黑体"/>
          <w:b w:val="0"/>
          <w:kern w:val="0"/>
          <w:sz w:val="24"/>
          <w:lang w:eastAsia="zh-CN"/>
        </w:rPr>
        <w:t>四</w:t>
      </w:r>
      <w:r>
        <w:rPr>
          <w:rFonts w:hint="eastAsia" w:ascii="黑体" w:eastAsia="黑体"/>
          <w:b w:val="0"/>
          <w:kern w:val="0"/>
          <w:sz w:val="24"/>
        </w:rPr>
        <w:t>）投标及履约承诺函</w:t>
      </w: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3.我单位具备《中华人民共和国政府采购法》第二十二条规定。</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ascii="Times New Roman" w:eastAsia="宋体"/>
          <w:color w:val="FF0000"/>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rPr>
      </w:pPr>
      <w:r>
        <w:rPr>
          <w:rFonts w:hint="eastAsia" w:ascii="宋体" w:hAnsi="宋体"/>
          <w:szCs w:val="21"/>
        </w:rPr>
        <w:t>7</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eastAsia="宋体"/>
          <w:b/>
          <w:bCs w:val="0"/>
          <w:lang w:eastAsia="zh-CN"/>
        </w:rPr>
      </w:pPr>
      <w:r>
        <w:rPr>
          <w:rFonts w:hint="eastAsia" w:ascii="宋体" w:hAnsi="宋体"/>
          <w:bCs/>
        </w:rPr>
        <w:t>8.我单位保证，符合《中华人民共和国政府采购法实施条例》第十八条规定，</w:t>
      </w:r>
      <w:r>
        <w:rPr>
          <w:rFonts w:hint="eastAsia" w:ascii="宋体" w:hAnsi="宋体"/>
          <w:b/>
          <w:bCs w:val="0"/>
        </w:rPr>
        <w:t>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ind w:firstLine="421" w:firstLineChars="200"/>
        <w:rPr>
          <w:rFonts w:ascii="宋体" w:hAnsi="宋体"/>
          <w:b/>
        </w:rPr>
      </w:pPr>
      <w:r>
        <w:rPr>
          <w:rFonts w:hint="eastAsia" w:ascii="宋体" w:hAnsi="宋体"/>
          <w:b/>
        </w:rPr>
        <w:t>9.我单位清楚，如存在违反投标承诺行为情节严重的，将根据《深圳市财政局关于印发&lt;深圳市财政局政府采购供应商信用信息管理办法&gt;的通知》，依法被列入失信信息。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Lines="25" w:afterLines="25"/>
        <w:ind w:firstLine="5460" w:firstLineChars="2600"/>
        <w:rPr>
          <w:rFonts w:ascii="宋体" w:hAnsi="宋体"/>
          <w:szCs w:val="21"/>
        </w:rPr>
      </w:pPr>
      <w:r>
        <w:rPr>
          <w:rFonts w:hint="eastAsia" w:ascii="宋体" w:hAnsi="宋体"/>
          <w:szCs w:val="21"/>
        </w:rPr>
        <w:t xml:space="preserve">                                    </w:t>
      </w:r>
    </w:p>
    <w:p>
      <w:pPr>
        <w:spacing w:beforeLines="25"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pPr>
        <w:rPr>
          <w:rFonts w:ascii="宋体" w:hAnsi="宋体"/>
          <w:szCs w:val="21"/>
        </w:rPr>
      </w:pPr>
    </w:p>
    <w:p>
      <w:pPr>
        <w:pStyle w:val="4"/>
        <w:jc w:val="center"/>
        <w:rPr>
          <w:rFonts w:ascii="黑体" w:eastAsia="黑体"/>
          <w:b w:val="0"/>
          <w:sz w:val="24"/>
        </w:rPr>
      </w:pPr>
      <w:bookmarkStart w:id="0" w:name="_Hlk72092499"/>
      <w:r>
        <w:rPr>
          <w:rFonts w:hint="eastAsia" w:ascii="黑体" w:eastAsia="黑体"/>
          <w:b w:val="0"/>
          <w:sz w:val="24"/>
        </w:rPr>
        <w:t>（</w:t>
      </w:r>
      <w:r>
        <w:rPr>
          <w:rFonts w:hint="eastAsia" w:ascii="黑体" w:eastAsia="黑体"/>
          <w:b w:val="0"/>
          <w:sz w:val="24"/>
          <w:lang w:eastAsia="zh-CN"/>
        </w:rPr>
        <w:t>五</w:t>
      </w:r>
      <w:r>
        <w:rPr>
          <w:rFonts w:hint="eastAsia" w:ascii="黑体" w:eastAsia="黑体"/>
          <w:b w:val="0"/>
          <w:sz w:val="24"/>
        </w:rPr>
        <w:t>）法定代表人（负责人）证明书</w:t>
      </w:r>
      <w:bookmarkEnd w:id="0"/>
    </w:p>
    <w:p>
      <w:pPr>
        <w:rPr>
          <w:sz w:val="24"/>
        </w:rPr>
      </w:pPr>
    </w:p>
    <w:p>
      <w:pPr>
        <w:spacing w:line="360" w:lineRule="auto"/>
        <w:ind w:firstLine="420" w:firstLineChars="200"/>
        <w:rPr>
          <w:rFonts w:eastAsia="宋体"/>
          <w:szCs w:val="21"/>
        </w:rPr>
      </w:pP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ascii="Times New Roman" w:eastAsia="宋体"/>
          <w:szCs w:val="21"/>
          <w:u w:val="single"/>
        </w:rPr>
        <w:t xml:space="preserve">   </w:t>
      </w:r>
      <w:r>
        <w:rPr>
          <w:rFonts w:hint="eastAsia" w:eastAsia="宋体"/>
          <w:szCs w:val="21"/>
        </w:rPr>
        <w:t>（</w:t>
      </w:r>
      <w:r>
        <w:rPr>
          <w:rFonts w:hint="eastAsia" w:ascii="Times New Roman" w:eastAsia="宋体"/>
          <w:szCs w:val="21"/>
        </w:rPr>
        <w:t>姓名</w:t>
      </w:r>
      <w:r>
        <w:rPr>
          <w:rFonts w:hint="eastAsia" w:eastAsia="宋体"/>
          <w:szCs w:val="21"/>
        </w:rPr>
        <w:t>）</w:t>
      </w:r>
      <w:r>
        <w:rPr>
          <w:rFonts w:hint="eastAsia"/>
          <w:szCs w:val="21"/>
        </w:rPr>
        <w:t>，现任我单位</w:t>
      </w: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rPr>
        <w:t>身份证件</w:t>
      </w:r>
      <w:r>
        <w:rPr>
          <w:rFonts w:hint="eastAsia"/>
          <w:szCs w:val="21"/>
        </w:rPr>
        <w:t>号</w:t>
      </w:r>
      <w:r>
        <w:rPr>
          <w:rFonts w:hint="eastAsia" w:ascii="Times New Roman" w:eastAsia="宋体"/>
          <w:szCs w:val="21"/>
        </w:rPr>
        <w:t>为</w:t>
      </w:r>
      <w:r>
        <w:rPr>
          <w:rFonts w:hint="eastAsia"/>
          <w:szCs w:val="21"/>
        </w:rPr>
        <w:t>：</w:t>
      </w:r>
      <w:r>
        <w:rPr>
          <w:rFonts w:hint="eastAsia"/>
          <w:szCs w:val="21"/>
          <w:u w:val="single"/>
        </w:rPr>
        <w:t xml:space="preserve">                                     </w:t>
      </w:r>
      <w:r>
        <w:rPr>
          <w:rFonts w:hint="eastAsia" w:eastAsia="宋体"/>
          <w:szCs w:val="21"/>
        </w:rPr>
        <w:t>，</w:t>
      </w:r>
      <w:r>
        <w:rPr>
          <w:rFonts w:hint="eastAsia"/>
          <w:szCs w:val="21"/>
        </w:rPr>
        <w:t>联系电话：</w:t>
      </w:r>
      <w:r>
        <w:rPr>
          <w:rFonts w:hint="eastAsia" w:ascii="Times New Roman" w:eastAsia="宋体"/>
          <w:szCs w:val="21"/>
          <w:u w:val="single"/>
        </w:rPr>
        <w:t xml:space="preserve">                </w:t>
      </w:r>
      <w:r>
        <w:rPr>
          <w:rFonts w:hint="eastAsia" w:ascii="Times New Roman" w:eastAsia="宋体"/>
          <w:szCs w:val="21"/>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w:t>
      </w:r>
    </w:p>
    <w:p>
      <w:pPr>
        <w:spacing w:line="360" w:lineRule="auto"/>
        <w:ind w:firstLine="420" w:firstLineChars="200"/>
        <w:rPr>
          <w:szCs w:val="21"/>
        </w:rPr>
      </w:pPr>
      <w:r>
        <w:rPr>
          <w:rFonts w:hint="eastAsia"/>
          <w:szCs w:val="21"/>
        </w:rPr>
        <w:t>1</w:t>
      </w:r>
      <w:r>
        <w:rPr>
          <w:rFonts w:hint="eastAsia"/>
          <w:szCs w:val="21"/>
          <w:lang w:eastAsia="zh-CN"/>
        </w:rPr>
        <w:t>.</w:t>
      </w:r>
      <w:r>
        <w:rPr>
          <w:rFonts w:hint="eastAsia"/>
          <w:szCs w:val="21"/>
        </w:rPr>
        <w:t>法定代表人为投标人（企业事业单位、国家机关、社会团体）的主要行政负责人。</w:t>
      </w:r>
    </w:p>
    <w:p>
      <w:pPr>
        <w:numPr>
          <w:ilvl w:val="0"/>
          <w:numId w:val="0"/>
        </w:numPr>
        <w:spacing w:line="360" w:lineRule="auto"/>
        <w:ind w:firstLine="420" w:firstLineChars="200"/>
        <w:rPr>
          <w:szCs w:val="21"/>
        </w:rPr>
      </w:pPr>
      <w:r>
        <w:rPr>
          <w:rFonts w:hint="eastAsia"/>
          <w:szCs w:val="21"/>
          <w:lang w:val="en-US" w:eastAsia="zh-CN"/>
        </w:rPr>
        <w:t>2.</w:t>
      </w:r>
      <w:r>
        <w:rPr>
          <w:rFonts w:hint="eastAsia" w:eastAsia="宋体"/>
          <w:szCs w:val="21"/>
        </w:rPr>
        <w:t>本证明书要供法定代表人（负责人）</w:t>
      </w:r>
      <w:r>
        <w:rPr>
          <w:rFonts w:hint="eastAsia" w:ascii="Times New Roman" w:eastAsia="宋体"/>
          <w:szCs w:val="21"/>
        </w:rPr>
        <w:t>相关身份证明文件：身份证扫描件（正反两面）；港澳台</w:t>
      </w:r>
      <w:r>
        <w:rPr>
          <w:rFonts w:hint="eastAsia" w:ascii="Times New Roman" w:eastAsia="宋体"/>
          <w:szCs w:val="21"/>
          <w:lang w:eastAsia="zh-CN"/>
        </w:rPr>
        <w:t>劳动者</w:t>
      </w:r>
      <w:r>
        <w:rPr>
          <w:rFonts w:hint="eastAsia" w:ascii="Times New Roman" w:eastAsia="宋体"/>
          <w:szCs w:val="21"/>
        </w:rPr>
        <w:t>可提供来往通行证扫描件；非中国国籍管辖范围人员，可提供公安部门认可的身份证明材料扫描件。</w:t>
      </w:r>
      <w:r>
        <w:rPr>
          <w:rFonts w:hint="eastAsia" w:ascii="Times New Roman" w:eastAsia="宋体"/>
          <w:szCs w:val="21"/>
          <w:lang w:eastAsia="zh-CN"/>
        </w:rPr>
        <w:t>提供法定代表人最近一个月的社保缴纳证明以及企业股权关系证明。</w:t>
      </w:r>
    </w:p>
    <w:p>
      <w:pPr>
        <w:numPr>
          <w:ilvl w:val="0"/>
          <w:numId w:val="0"/>
        </w:numPr>
        <w:spacing w:line="360" w:lineRule="auto"/>
        <w:ind w:firstLine="420" w:firstLineChars="200"/>
        <w:rPr>
          <w:szCs w:val="21"/>
        </w:rPr>
      </w:pPr>
      <w:r>
        <w:rPr>
          <w:rFonts w:hint="eastAsia"/>
          <w:szCs w:val="21"/>
          <w:lang w:val="en-US" w:eastAsia="zh-CN"/>
        </w:rPr>
        <w:t>3.</w:t>
      </w:r>
      <w:r>
        <w:rPr>
          <w:rFonts w:hint="eastAsia" w:eastAsia="宋体"/>
          <w:szCs w:val="21"/>
        </w:rPr>
        <w:t>本项目投标授权代表为法定代表人（负责人）的，无需提供</w:t>
      </w:r>
      <w:r>
        <w:rPr>
          <w:rFonts w:hint="eastAsia"/>
          <w:szCs w:val="21"/>
        </w:rPr>
        <w:t>《投标文件签署授权委托书》</w:t>
      </w:r>
      <w:r>
        <w:rPr>
          <w:rFonts w:hint="eastAsia" w:eastAsia="宋体"/>
          <w:szCs w:val="21"/>
        </w:rPr>
        <w:t>。</w:t>
      </w:r>
    </w:p>
    <w:p>
      <w:pPr>
        <w:numPr>
          <w:ilvl w:val="0"/>
          <w:numId w:val="0"/>
        </w:numPr>
        <w:spacing w:line="360" w:lineRule="auto"/>
        <w:ind w:firstLine="420" w:firstLineChars="200"/>
        <w:rPr>
          <w:szCs w:val="21"/>
        </w:rPr>
      </w:pPr>
      <w:r>
        <w:rPr>
          <w:rFonts w:hint="eastAsia"/>
          <w:szCs w:val="21"/>
          <w:lang w:val="en-US" w:eastAsia="zh-CN"/>
        </w:rPr>
        <w:t>4.</w:t>
      </w:r>
      <w:r>
        <w:rPr>
          <w:rFonts w:hint="eastAsia"/>
          <w:szCs w:val="21"/>
        </w:rPr>
        <w:t>内容必须填写真实、清楚，涂改无效，不得转让、买卖。</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ascii="Times New Roman" w:eastAsia="宋体"/>
              </w:rPr>
              <w:t>证件扫描件正面</w:t>
            </w:r>
          </w:p>
          <w:p>
            <w:pPr>
              <w:pStyle w:val="7"/>
              <w:jc w:val="center"/>
            </w:pPr>
          </w:p>
          <w:p>
            <w:pPr>
              <w:pStyle w:val="12"/>
              <w:jc w:val="center"/>
            </w:pPr>
          </w:p>
        </w:tc>
        <w:tc>
          <w:tcPr>
            <w:tcW w:w="4265" w:type="dxa"/>
          </w:tcPr>
          <w:p>
            <w:pPr>
              <w:jc w:val="center"/>
            </w:pPr>
            <w:r>
              <w:rPr>
                <w:rFonts w:hint="eastAsia" w:ascii="Times New Roman" w:eastAsia="宋体"/>
              </w:rPr>
              <w:t>证件扫描件反面</w:t>
            </w:r>
          </w:p>
          <w:p>
            <w:pPr>
              <w:pStyle w:val="7"/>
              <w:jc w:val="center"/>
            </w:pPr>
          </w:p>
          <w:p>
            <w:pPr>
              <w:pStyle w:val="12"/>
              <w:jc w:val="center"/>
            </w:pPr>
          </w:p>
        </w:tc>
      </w:tr>
    </w:tbl>
    <w:p>
      <w:pPr>
        <w:tabs>
          <w:tab w:val="left" w:pos="540"/>
        </w:tabs>
        <w:spacing w:line="360" w:lineRule="auto"/>
        <w:rPr>
          <w:szCs w:val="22"/>
        </w:rPr>
      </w:pPr>
    </w:p>
    <w:p>
      <w:pPr>
        <w:pStyle w:val="4"/>
        <w:spacing w:before="120" w:after="120"/>
        <w:jc w:val="center"/>
        <w:rPr>
          <w:rFonts w:ascii="黑体" w:eastAsia="黑体"/>
          <w:b w:val="0"/>
          <w:sz w:val="24"/>
        </w:rPr>
      </w:pPr>
      <w:r>
        <w:rPr>
          <w:rFonts w:hint="eastAsia" w:ascii="黑体" w:eastAsia="黑体"/>
          <w:b w:val="0"/>
          <w:sz w:val="24"/>
        </w:rPr>
        <w:t>（</w:t>
      </w:r>
      <w:r>
        <w:rPr>
          <w:rFonts w:hint="eastAsia" w:ascii="黑体" w:eastAsia="黑体"/>
          <w:b w:val="0"/>
          <w:sz w:val="24"/>
          <w:lang w:eastAsia="zh-CN"/>
        </w:rPr>
        <w:t>六</w:t>
      </w:r>
      <w:r>
        <w:rPr>
          <w:rFonts w:hint="eastAsia" w:ascii="黑体" w:eastAsia="黑体"/>
          <w:b w:val="0"/>
          <w:sz w:val="24"/>
        </w:rPr>
        <w:t>）投标文件签署授权委托书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szCs w:val="21"/>
        </w:rPr>
      </w:pPr>
      <w:r>
        <w:rPr>
          <w:rFonts w:hint="eastAsia"/>
          <w:szCs w:val="21"/>
        </w:rPr>
        <w:t>代理人无转委托权，特此委托。</w:t>
      </w:r>
    </w:p>
    <w:p>
      <w:pPr>
        <w:spacing w:line="360" w:lineRule="auto"/>
        <w:ind w:firstLine="420" w:firstLineChars="200"/>
        <w:rPr>
          <w:szCs w:val="21"/>
        </w:rPr>
      </w:pPr>
    </w:p>
    <w:p>
      <w:pPr>
        <w:spacing w:line="360" w:lineRule="auto"/>
        <w:ind w:firstLine="420" w:firstLineChars="200"/>
        <w:rPr>
          <w:szCs w:val="21"/>
        </w:rPr>
      </w:pPr>
      <w:r>
        <w:rPr>
          <w:rFonts w:hint="eastAsia"/>
          <w:szCs w:val="21"/>
        </w:rPr>
        <w:t>代理人</w:t>
      </w:r>
      <w:r>
        <w:rPr>
          <w:rFonts w:hint="eastAsia" w:eastAsia="宋体"/>
          <w:szCs w:val="21"/>
        </w:rPr>
        <w:t>：</w:t>
      </w: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eastAsia="宋体"/>
          <w:szCs w:val="21"/>
        </w:rPr>
        <w:t>；</w:t>
      </w:r>
    </w:p>
    <w:p>
      <w:pPr>
        <w:spacing w:line="360" w:lineRule="auto"/>
        <w:ind w:firstLine="420" w:firstLineChars="200"/>
        <w:rPr>
          <w:szCs w:val="21"/>
        </w:rPr>
      </w:pPr>
      <w:r>
        <w:rPr>
          <w:rFonts w:hint="eastAsia"/>
          <w:szCs w:val="21"/>
        </w:rPr>
        <w:t>身份</w:t>
      </w:r>
      <w:r>
        <w:rPr>
          <w:rFonts w:hint="eastAsia" w:ascii="Times New Roman" w:eastAsia="宋体"/>
          <w:szCs w:val="21"/>
        </w:rPr>
        <w:t>证件号</w:t>
      </w:r>
      <w:r>
        <w:rPr>
          <w:rFonts w:hint="eastAsia"/>
          <w:szCs w:val="21"/>
        </w:rPr>
        <w:t>：</w:t>
      </w:r>
      <w:r>
        <w:rPr>
          <w:rFonts w:hint="eastAsia"/>
          <w:szCs w:val="21"/>
          <w:u w:val="single"/>
        </w:rPr>
        <w:t xml:space="preserve">                        </w:t>
      </w:r>
      <w:r>
        <w:rPr>
          <w:rFonts w:hint="eastAsia" w:eastAsia="宋体"/>
          <w:szCs w:val="21"/>
        </w:rPr>
        <w:t>，</w:t>
      </w:r>
      <w:r>
        <w:rPr>
          <w:rFonts w:hint="eastAsia"/>
          <w:szCs w:val="21"/>
        </w:rPr>
        <w:t>职务：</w:t>
      </w: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eastAsia="宋体"/>
          <w:szCs w:val="21"/>
        </w:rPr>
        <w:t>；</w:t>
      </w:r>
    </w:p>
    <w:p>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eastAsia="宋体"/>
          <w:szCs w:val="21"/>
        </w:rPr>
        <w:t>，</w:t>
      </w:r>
      <w:r>
        <w:rPr>
          <w:rFonts w:hint="eastAsia"/>
          <w:szCs w:val="21"/>
        </w:rPr>
        <w:t>手机：</w:t>
      </w:r>
      <w:r>
        <w:rPr>
          <w:rFonts w:hint="eastAsia"/>
          <w:szCs w:val="21"/>
          <w:u w:val="single"/>
        </w:rPr>
        <w:t xml:space="preserve">                </w:t>
      </w:r>
      <w:r>
        <w:rPr>
          <w:rFonts w:hint="eastAsia" w:eastAsia="宋体"/>
          <w:szCs w:val="21"/>
        </w:rPr>
        <w:t>，</w:t>
      </w:r>
      <w:r>
        <w:rPr>
          <w:rFonts w:hint="eastAsia" w:ascii="Times New Roman" w:eastAsia="宋体"/>
          <w:szCs w:val="21"/>
        </w:rPr>
        <w:t>电子邮箱：</w:t>
      </w: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eastAsia="宋体"/>
          <w:szCs w:val="21"/>
        </w:rPr>
        <w:t>；</w:t>
      </w:r>
    </w:p>
    <w:p>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rPr>
        <w:t>。</w:t>
      </w:r>
    </w:p>
    <w:p>
      <w:pPr>
        <w:spacing w:line="360" w:lineRule="auto"/>
        <w:ind w:firstLine="420" w:firstLineChars="200"/>
        <w:rPr>
          <w:b/>
          <w:color w:val="FF0000"/>
          <w:szCs w:val="21"/>
        </w:rPr>
      </w:pPr>
      <w:r>
        <w:rPr>
          <w:rFonts w:hint="eastAsia" w:eastAsia="宋体" w:cs="宋体"/>
          <w:szCs w:val="21"/>
        </w:rPr>
        <w:t>附：请提供代理人身份证扫描件（正反两面）；港澳台</w:t>
      </w:r>
      <w:r>
        <w:rPr>
          <w:rFonts w:hint="eastAsia" w:eastAsia="宋体" w:cs="宋体"/>
          <w:szCs w:val="21"/>
          <w:lang w:eastAsia="zh-CN"/>
        </w:rPr>
        <w:t>劳动者</w:t>
      </w:r>
      <w:r>
        <w:rPr>
          <w:rFonts w:hint="eastAsia" w:eastAsia="宋体" w:cs="宋体"/>
          <w:szCs w:val="21"/>
        </w:rPr>
        <w:t>可提供来往通行证扫描件；非中国国籍管辖范围人员，可提供公安部门认可的身份证明材料扫描件。</w:t>
      </w:r>
      <w:r>
        <w:rPr>
          <w:rFonts w:hint="eastAsia" w:eastAsia="宋体" w:cs="宋体"/>
          <w:szCs w:val="21"/>
          <w:lang w:eastAsia="zh-CN"/>
        </w:rPr>
        <w:t>提供投标授权代理人最近一个月的社保缴纳证明以及企业股权关系证明。</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ascii="Times New Roman" w:eastAsia="宋体"/>
              </w:rPr>
              <w:t>证件扫描件正面</w:t>
            </w:r>
          </w:p>
          <w:p>
            <w:pPr>
              <w:pStyle w:val="7"/>
              <w:jc w:val="center"/>
            </w:pPr>
          </w:p>
          <w:p>
            <w:pPr>
              <w:pStyle w:val="12"/>
              <w:jc w:val="center"/>
            </w:pPr>
          </w:p>
        </w:tc>
        <w:tc>
          <w:tcPr>
            <w:tcW w:w="4265" w:type="dxa"/>
          </w:tcPr>
          <w:p>
            <w:pPr>
              <w:jc w:val="center"/>
            </w:pPr>
            <w:r>
              <w:rPr>
                <w:rFonts w:hint="eastAsia" w:ascii="Times New Roman" w:eastAsia="宋体"/>
              </w:rPr>
              <w:t>证件扫描件反面</w:t>
            </w:r>
          </w:p>
          <w:p>
            <w:pPr>
              <w:pStyle w:val="7"/>
              <w:jc w:val="center"/>
            </w:pPr>
          </w:p>
          <w:p>
            <w:pPr>
              <w:pStyle w:val="12"/>
              <w:jc w:val="center"/>
            </w:pPr>
          </w:p>
        </w:tc>
      </w:tr>
    </w:tbl>
    <w:p>
      <w:pPr>
        <w:ind w:firstLine="420" w:firstLineChars="200"/>
      </w:pPr>
    </w:p>
    <w:p>
      <w:pPr>
        <w:ind w:firstLine="4830" w:firstLineChars="2300"/>
      </w:pPr>
      <w:r>
        <w:t>投标人：</w:t>
      </w:r>
    </w:p>
    <w:p>
      <w:pPr>
        <w:ind w:firstLine="4830" w:firstLineChars="2300"/>
      </w:pPr>
      <w:r>
        <w:t>法定代表人</w:t>
      </w:r>
      <w:r>
        <w:rPr>
          <w:rFonts w:hint="eastAsia"/>
          <w:szCs w:val="22"/>
        </w:rPr>
        <w:t>（负责人）</w:t>
      </w:r>
      <w:r>
        <w:t>：</w:t>
      </w:r>
    </w:p>
    <w:p>
      <w:pPr>
        <w:ind w:firstLine="4830" w:firstLineChars="2300"/>
      </w:pPr>
      <w:r>
        <w:t xml:space="preserve">授权委托日期： </w:t>
      </w:r>
      <w:r>
        <w:rPr>
          <w:rFonts w:hint="eastAsia"/>
        </w:rPr>
        <w:t xml:space="preserve">   </w:t>
      </w:r>
      <w:r>
        <w:t>年    月   日</w:t>
      </w:r>
    </w:p>
    <w:p>
      <w:pPr>
        <w:ind w:firstLine="4830" w:firstLineChars="2300"/>
        <w:rPr>
          <w:rFonts w:hint="eastAsia"/>
          <w:lang w:eastAsia="zh-CN"/>
        </w:rPr>
      </w:pPr>
    </w:p>
    <w:p>
      <w:pPr>
        <w:pStyle w:val="4"/>
        <w:numPr>
          <w:ilvl w:val="0"/>
          <w:numId w:val="0"/>
        </w:numPr>
        <w:spacing w:before="120" w:after="120"/>
        <w:ind w:firstLine="2880" w:firstLineChars="1200"/>
        <w:jc w:val="both"/>
        <w:rPr>
          <w:rFonts w:hint="eastAsia" w:ascii="黑体" w:eastAsia="黑体"/>
          <w:b w:val="0"/>
          <w:sz w:val="24"/>
        </w:rPr>
      </w:pPr>
      <w:r>
        <w:rPr>
          <w:rFonts w:hint="eastAsia" w:ascii="黑体" w:eastAsia="黑体"/>
          <w:b w:val="0"/>
          <w:sz w:val="24"/>
          <w:lang w:eastAsia="zh-CN"/>
        </w:rPr>
        <w:t>（七）</w:t>
      </w:r>
      <w:r>
        <w:rPr>
          <w:rFonts w:hint="eastAsia" w:ascii="黑体" w:eastAsia="黑体"/>
          <w:b w:val="0"/>
          <w:sz w:val="24"/>
        </w:rPr>
        <w:t>实施方案（格式自定）</w:t>
      </w:r>
    </w:p>
    <w:p>
      <w:pPr>
        <w:numPr>
          <w:ilvl w:val="0"/>
          <w:numId w:val="0"/>
        </w:numPr>
      </w:pPr>
    </w:p>
    <w:p>
      <w:pPr>
        <w:pStyle w:val="4"/>
        <w:spacing w:before="120" w:after="120"/>
        <w:jc w:val="center"/>
        <w:rPr>
          <w:rFonts w:hint="eastAsia" w:ascii="黑体" w:eastAsia="黑体"/>
          <w:b w:val="0"/>
          <w:sz w:val="24"/>
        </w:rPr>
      </w:pPr>
      <w:r>
        <w:rPr>
          <w:rFonts w:hint="eastAsia" w:ascii="黑体" w:eastAsia="黑体"/>
          <w:b w:val="0"/>
          <w:sz w:val="24"/>
        </w:rPr>
        <w:t>（</w:t>
      </w:r>
      <w:r>
        <w:rPr>
          <w:rFonts w:hint="eastAsia" w:ascii="黑体" w:eastAsia="黑体"/>
          <w:b w:val="0"/>
          <w:sz w:val="24"/>
          <w:lang w:eastAsia="zh-CN"/>
        </w:rPr>
        <w:t>八</w:t>
      </w:r>
      <w:r>
        <w:rPr>
          <w:rFonts w:hint="eastAsia" w:ascii="黑体" w:eastAsia="黑体"/>
          <w:b w:val="0"/>
          <w:sz w:val="24"/>
        </w:rPr>
        <w:t>）质量（完成时间、安全、环保）保障措施及方案（格式自定）</w:t>
      </w:r>
    </w:p>
    <w:p/>
    <w:p>
      <w:pPr>
        <w:pStyle w:val="4"/>
        <w:spacing w:before="120" w:after="120"/>
        <w:jc w:val="center"/>
        <w:rPr>
          <w:rFonts w:hint="eastAsia" w:ascii="黑体" w:eastAsia="黑体"/>
          <w:b w:val="0"/>
          <w:sz w:val="24"/>
        </w:rPr>
      </w:pPr>
      <w:r>
        <w:rPr>
          <w:rFonts w:hint="eastAsia" w:ascii="黑体" w:eastAsia="黑体"/>
          <w:b w:val="0"/>
          <w:sz w:val="24"/>
        </w:rPr>
        <w:t>（</w:t>
      </w:r>
      <w:r>
        <w:rPr>
          <w:rFonts w:hint="eastAsia" w:ascii="黑体" w:eastAsia="黑体"/>
          <w:b w:val="0"/>
          <w:sz w:val="24"/>
          <w:lang w:eastAsia="zh-CN"/>
        </w:rPr>
        <w:t>九</w:t>
      </w:r>
      <w:r>
        <w:rPr>
          <w:rFonts w:hint="eastAsia" w:ascii="黑体" w:eastAsia="黑体"/>
          <w:b w:val="0"/>
          <w:sz w:val="24"/>
        </w:rPr>
        <w:t>）项目重点难点分析、应对措施及相关的合理化建议</w:t>
      </w:r>
    </w:p>
    <w:p/>
    <w:p>
      <w:pPr>
        <w:pStyle w:val="4"/>
        <w:spacing w:before="120" w:after="120"/>
        <w:jc w:val="center"/>
        <w:rPr>
          <w:rFonts w:hint="eastAsia" w:ascii="黑体" w:eastAsia="黑体"/>
          <w:b w:val="0"/>
          <w:sz w:val="24"/>
        </w:rPr>
      </w:pPr>
      <w:r>
        <w:rPr>
          <w:rFonts w:hint="eastAsia" w:ascii="黑体" w:eastAsia="黑体"/>
          <w:b w:val="0"/>
          <w:sz w:val="24"/>
        </w:rPr>
        <w:t>（</w:t>
      </w:r>
      <w:r>
        <w:rPr>
          <w:rFonts w:hint="eastAsia" w:ascii="黑体" w:eastAsia="黑体"/>
          <w:b w:val="0"/>
          <w:sz w:val="24"/>
          <w:lang w:eastAsia="zh-CN"/>
        </w:rPr>
        <w:t>十</w:t>
      </w:r>
      <w:r>
        <w:rPr>
          <w:rFonts w:hint="eastAsia" w:ascii="黑体" w:eastAsia="黑体"/>
          <w:b w:val="0"/>
          <w:sz w:val="24"/>
        </w:rPr>
        <w:t>）应急响应能力</w:t>
      </w:r>
    </w:p>
    <w:p/>
    <w:p>
      <w:pPr>
        <w:pStyle w:val="4"/>
        <w:spacing w:before="120" w:after="120"/>
        <w:jc w:val="center"/>
        <w:rPr>
          <w:rFonts w:hint="eastAsia" w:ascii="黑体" w:eastAsia="黑体"/>
          <w:b w:val="0"/>
          <w:sz w:val="24"/>
        </w:rPr>
      </w:pPr>
      <w:r>
        <w:rPr>
          <w:rFonts w:hint="eastAsia" w:ascii="黑体" w:eastAsia="黑体"/>
          <w:b w:val="0"/>
          <w:sz w:val="24"/>
        </w:rPr>
        <w:t>（十</w:t>
      </w:r>
      <w:r>
        <w:rPr>
          <w:rFonts w:hint="eastAsia" w:ascii="黑体" w:eastAsia="黑体"/>
          <w:b w:val="0"/>
          <w:sz w:val="24"/>
          <w:lang w:eastAsia="zh-CN"/>
        </w:rPr>
        <w:t>一</w:t>
      </w:r>
      <w:r>
        <w:rPr>
          <w:rFonts w:hint="eastAsia" w:ascii="黑体" w:eastAsia="黑体"/>
          <w:b w:val="0"/>
          <w:sz w:val="24"/>
        </w:rPr>
        <w:t>）拟安排的项目负责人情况（仅限一人）（格式自定）</w:t>
      </w:r>
    </w:p>
    <w:p>
      <w:pPr>
        <w:rPr>
          <w:rFonts w:hint="eastAsia"/>
          <w:lang w:eastAsia="zh-CN"/>
        </w:rPr>
      </w:pPr>
    </w:p>
    <w:p>
      <w:pPr>
        <w:pStyle w:val="4"/>
        <w:jc w:val="center"/>
        <w:rPr>
          <w:rFonts w:hint="eastAsia" w:ascii="黑体" w:eastAsia="黑体"/>
          <w:b w:val="0"/>
          <w:bCs w:val="0"/>
          <w:sz w:val="24"/>
          <w:szCs w:val="20"/>
        </w:rPr>
      </w:pPr>
      <w:r>
        <w:rPr>
          <w:rFonts w:hint="eastAsia" w:ascii="黑体" w:eastAsia="黑体"/>
          <w:b w:val="0"/>
          <w:sz w:val="24"/>
        </w:rPr>
        <w:t>（十</w:t>
      </w:r>
      <w:r>
        <w:rPr>
          <w:rFonts w:hint="eastAsia" w:ascii="黑体" w:eastAsia="黑体"/>
          <w:b w:val="0"/>
          <w:sz w:val="24"/>
          <w:lang w:eastAsia="zh-CN"/>
        </w:rPr>
        <w:t>二</w:t>
      </w:r>
      <w:r>
        <w:rPr>
          <w:rFonts w:hint="eastAsia" w:ascii="黑体" w:eastAsia="黑体"/>
          <w:b w:val="0"/>
          <w:sz w:val="24"/>
        </w:rPr>
        <w:t>）</w:t>
      </w:r>
      <w:r>
        <w:rPr>
          <w:rFonts w:hint="eastAsia" w:ascii="黑体" w:eastAsia="黑体"/>
          <w:b w:val="0"/>
          <w:bCs w:val="0"/>
          <w:sz w:val="24"/>
          <w:szCs w:val="20"/>
        </w:rPr>
        <w:t>拟安排的项目团队成员（主要技术人员）情况（项目负责人除外）</w:t>
      </w:r>
    </w:p>
    <w:p/>
    <w:p>
      <w:pPr>
        <w:pStyle w:val="4"/>
        <w:spacing w:before="120" w:after="120"/>
        <w:jc w:val="center"/>
        <w:rPr>
          <w:rFonts w:hint="eastAsia" w:ascii="黑体" w:eastAsia="黑体"/>
          <w:b w:val="0"/>
          <w:sz w:val="24"/>
        </w:rPr>
      </w:pPr>
      <w:r>
        <w:rPr>
          <w:rFonts w:hint="eastAsia" w:ascii="黑体" w:eastAsia="黑体"/>
          <w:b w:val="0"/>
          <w:sz w:val="24"/>
        </w:rPr>
        <w:t>（十</w:t>
      </w:r>
      <w:r>
        <w:rPr>
          <w:rFonts w:hint="eastAsia" w:ascii="黑体" w:eastAsia="黑体"/>
          <w:b w:val="0"/>
          <w:sz w:val="24"/>
          <w:lang w:eastAsia="zh-CN"/>
        </w:rPr>
        <w:t>三</w:t>
      </w:r>
      <w:r>
        <w:rPr>
          <w:rFonts w:hint="eastAsia" w:ascii="黑体" w:eastAsia="黑体"/>
          <w:b w:val="0"/>
          <w:sz w:val="24"/>
        </w:rPr>
        <w:t>）体系认证情况（格式自定）</w:t>
      </w:r>
    </w:p>
    <w:p/>
    <w:p>
      <w:pPr>
        <w:pStyle w:val="4"/>
        <w:spacing w:before="120" w:after="120"/>
        <w:jc w:val="center"/>
        <w:rPr>
          <w:rFonts w:hint="eastAsia" w:ascii="黑体" w:eastAsia="黑体"/>
          <w:b w:val="0"/>
          <w:sz w:val="24"/>
        </w:rPr>
      </w:pPr>
      <w:r>
        <w:rPr>
          <w:rFonts w:hint="eastAsia" w:ascii="黑体" w:eastAsia="黑体"/>
          <w:b w:val="0"/>
          <w:sz w:val="24"/>
        </w:rPr>
        <w:t>（十</w:t>
      </w:r>
      <w:r>
        <w:rPr>
          <w:rFonts w:hint="eastAsia" w:ascii="黑体" w:eastAsia="黑体"/>
          <w:b w:val="0"/>
          <w:sz w:val="24"/>
          <w:lang w:eastAsia="zh-CN"/>
        </w:rPr>
        <w:t>四</w:t>
      </w:r>
      <w:r>
        <w:rPr>
          <w:rFonts w:hint="eastAsia" w:ascii="黑体" w:eastAsia="黑体"/>
          <w:b w:val="0"/>
          <w:sz w:val="24"/>
        </w:rPr>
        <w:t>）投标人同类项目业绩情况（格式自定）</w:t>
      </w:r>
    </w:p>
    <w:p>
      <w:pPr>
        <w:pStyle w:val="4"/>
        <w:numPr>
          <w:ilvl w:val="0"/>
          <w:numId w:val="0"/>
        </w:numPr>
        <w:spacing w:before="120" w:after="120"/>
        <w:jc w:val="both"/>
        <w:rPr>
          <w:rFonts w:hint="eastAsia" w:ascii="黑体" w:eastAsia="黑体"/>
          <w:b w:val="0"/>
          <w:sz w:val="24"/>
        </w:rPr>
      </w:pPr>
    </w:p>
    <w:p>
      <w:pPr>
        <w:pStyle w:val="4"/>
        <w:numPr>
          <w:ilvl w:val="0"/>
          <w:numId w:val="0"/>
        </w:numPr>
        <w:spacing w:before="120" w:after="120"/>
        <w:ind w:firstLine="3120" w:firstLineChars="1300"/>
        <w:jc w:val="both"/>
        <w:rPr>
          <w:rFonts w:hint="eastAsia" w:ascii="黑体" w:eastAsia="黑体"/>
          <w:b w:val="0"/>
          <w:sz w:val="24"/>
        </w:rPr>
      </w:pPr>
      <w:r>
        <w:rPr>
          <w:rFonts w:hint="eastAsia" w:ascii="黑体" w:eastAsia="黑体"/>
          <w:b w:val="0"/>
          <w:sz w:val="24"/>
          <w:lang w:eastAsia="zh-CN"/>
        </w:rPr>
        <w:t>（十五）</w:t>
      </w:r>
      <w:r>
        <w:rPr>
          <w:rFonts w:hint="eastAsia" w:ascii="黑体" w:eastAsia="黑体"/>
          <w:b w:val="0"/>
          <w:sz w:val="24"/>
        </w:rPr>
        <w:t>履约评价（格式自定）</w:t>
      </w:r>
    </w:p>
    <w:p>
      <w:pPr>
        <w:pStyle w:val="4"/>
        <w:jc w:val="center"/>
        <w:rPr>
          <w:szCs w:val="22"/>
        </w:rPr>
      </w:pPr>
      <w:r>
        <w:rPr>
          <w:rFonts w:hint="eastAsia" w:ascii="黑体" w:eastAsia="黑体"/>
          <w:b w:val="0"/>
          <w:sz w:val="24"/>
        </w:rPr>
        <w:t>（十</w:t>
      </w:r>
      <w:r>
        <w:rPr>
          <w:rFonts w:hint="eastAsia" w:ascii="黑体" w:eastAsia="黑体"/>
          <w:b w:val="0"/>
          <w:sz w:val="24"/>
          <w:lang w:eastAsia="zh-CN"/>
        </w:rPr>
        <w:t>六</w:t>
      </w:r>
      <w:r>
        <w:rPr>
          <w:rFonts w:hint="eastAsia" w:ascii="黑体" w:eastAsia="黑体"/>
          <w:b w:val="0"/>
          <w:sz w:val="24"/>
        </w:rPr>
        <w:t>）</w:t>
      </w:r>
      <w:r>
        <w:rPr>
          <w:rFonts w:hint="eastAsia" w:ascii="黑体" w:eastAsia="黑体"/>
          <w:b w:val="0"/>
          <w:bCs w:val="0"/>
          <w:sz w:val="24"/>
          <w:szCs w:val="20"/>
        </w:rPr>
        <w:t>违约承诺</w:t>
      </w:r>
    </w:p>
    <w:p>
      <w:pPr>
        <w:jc w:val="center"/>
        <w:rPr>
          <w:sz w:val="30"/>
          <w:szCs w:val="30"/>
        </w:rPr>
      </w:pPr>
      <w:bookmarkStart w:id="1" w:name="_Hlk72062872"/>
      <w:r>
        <w:rPr>
          <w:rFonts w:hint="eastAsia" w:ascii="黑体" w:eastAsia="黑体"/>
          <w:sz w:val="24"/>
          <w:szCs w:val="20"/>
        </w:rPr>
        <w:t>（十</w:t>
      </w:r>
      <w:r>
        <w:rPr>
          <w:rFonts w:hint="eastAsia" w:ascii="黑体" w:eastAsia="黑体"/>
          <w:sz w:val="24"/>
          <w:szCs w:val="20"/>
          <w:lang w:eastAsia="zh-CN"/>
        </w:rPr>
        <w:t>七</w:t>
      </w:r>
      <w:bookmarkStart w:id="2" w:name="_GoBack"/>
      <w:bookmarkEnd w:id="2"/>
      <w:r>
        <w:rPr>
          <w:rFonts w:hint="eastAsia" w:ascii="黑体" w:eastAsia="黑体"/>
          <w:sz w:val="24"/>
          <w:szCs w:val="20"/>
        </w:rPr>
        <w:t>）投标人认为需要加以说明的其他内容</w:t>
      </w:r>
      <w:bookmarkEnd w:id="1"/>
    </w:p>
    <w:p>
      <w:pPr>
        <w:pStyle w:val="7"/>
        <w:jc w:val="center"/>
      </w:pPr>
      <w:r>
        <w:rPr>
          <w:rFonts w:hint="eastAsia"/>
          <w:sz w:val="30"/>
          <w:szCs w:val="30"/>
        </w:rPr>
        <w:t>—END—</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004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___WRD_EMBED_SUB_38">
    <w:altName w:val="FreeSerif"/>
    <w:panose1 w:val="02020603050005020304"/>
    <w:charset w:val="00"/>
    <w:family w:val="roman"/>
    <w:pitch w:val="default"/>
    <w:sig w:usb0="00000000" w:usb1="00000000" w:usb2="00000008" w:usb3="00000000" w:csb0="000001FF"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001010101"/>
    <w:charset w:val="86"/>
    <w:family w:val="modern"/>
    <w:pitch w:val="default"/>
    <w:sig w:usb0="00000000" w:usb1="00000000" w:usb2="00000010" w:usb3="00000000" w:csb0="00040000" w:csb1="00000000"/>
  </w:font>
  <w:font w:name="仿宋">
    <w:altName w:val="方正仿宋_GBK"/>
    <w:panose1 w:val="020106090600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96E90"/>
    <w:rsid w:val="2FFFF1DB"/>
    <w:rsid w:val="32F6A3CD"/>
    <w:rsid w:val="37D4C255"/>
    <w:rsid w:val="3EFC0502"/>
    <w:rsid w:val="3F5B4D55"/>
    <w:rsid w:val="3FE79040"/>
    <w:rsid w:val="3FF87F42"/>
    <w:rsid w:val="4E3F6E9E"/>
    <w:rsid w:val="4F6D8616"/>
    <w:rsid w:val="575D367E"/>
    <w:rsid w:val="5AFF8D49"/>
    <w:rsid w:val="6DFDE80B"/>
    <w:rsid w:val="77F20009"/>
    <w:rsid w:val="7ABD3176"/>
    <w:rsid w:val="7B87405C"/>
    <w:rsid w:val="7BC70823"/>
    <w:rsid w:val="7F87FFDC"/>
    <w:rsid w:val="93765717"/>
    <w:rsid w:val="966B56EF"/>
    <w:rsid w:val="9FF88F7D"/>
    <w:rsid w:val="ABBFBD77"/>
    <w:rsid w:val="ADCBC250"/>
    <w:rsid w:val="B4FD7A84"/>
    <w:rsid w:val="DB1CE4C6"/>
    <w:rsid w:val="DBEFC324"/>
    <w:rsid w:val="DD4DD164"/>
    <w:rsid w:val="DD7ED644"/>
    <w:rsid w:val="DEBFD92E"/>
    <w:rsid w:val="DFFA615A"/>
    <w:rsid w:val="EFFE9609"/>
    <w:rsid w:val="F2FA8BB6"/>
    <w:rsid w:val="F57EB794"/>
    <w:rsid w:val="F9F96A20"/>
    <w:rsid w:val="FBFF7143"/>
    <w:rsid w:val="FDEA1E05"/>
    <w:rsid w:val="FDF57186"/>
    <w:rsid w:val="FEEF9FB3"/>
    <w:rsid w:val="FF49D914"/>
    <w:rsid w:val="FF76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4"/>
    <w:next w:val="5"/>
    <w:qFormat/>
    <w:uiPriority w:val="0"/>
    <w:pPr>
      <w:adjustRightInd w:val="0"/>
      <w:jc w:val="center"/>
      <w:outlineLvl w:val="1"/>
    </w:pPr>
    <w:rPr>
      <w:bCs/>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cs="宋体"/>
      <w:bCs w:val="0"/>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6">
    <w:name w:val="Normal Indent"/>
    <w:basedOn w:val="1"/>
    <w:next w:val="7"/>
    <w:link w:val="23"/>
    <w:qFormat/>
    <w:uiPriority w:val="0"/>
    <w:pPr>
      <w:ind w:firstLine="420"/>
    </w:pPr>
    <w:rPr>
      <w:rFonts w:ascii="Calibri" w:hAnsi="Calibri" w:eastAsia="宋体" w:cs="Times New Roman"/>
      <w:szCs w:val="22"/>
    </w:rPr>
  </w:style>
  <w:style w:type="paragraph" w:styleId="7">
    <w:name w:val="Body Text"/>
    <w:basedOn w:val="1"/>
    <w:next w:val="8"/>
    <w:qFormat/>
    <w:uiPriority w:val="0"/>
    <w:pPr>
      <w:spacing w:line="360" w:lineRule="auto"/>
    </w:pPr>
    <w:rPr>
      <w:b/>
      <w:bCs/>
      <w:sz w:val="24"/>
    </w:r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Body Text Indent"/>
    <w:basedOn w:val="1"/>
    <w:qFormat/>
    <w:uiPriority w:val="0"/>
    <w:pPr>
      <w:spacing w:after="120"/>
      <w:ind w:left="420" w:leftChars="200"/>
    </w:p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qFormat/>
    <w:uiPriority w:val="0"/>
    <w:pPr>
      <w:spacing w:line="360" w:lineRule="auto"/>
    </w:pPr>
    <w:rPr>
      <w:sz w:val="24"/>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9"/>
    <w:qFormat/>
    <w:uiPriority w:val="0"/>
    <w:pPr>
      <w:ind w:firstLine="420" w:firstLineChars="200"/>
    </w:pPr>
    <w:rPr>
      <w:rFonts w:ascii="Calibri" w:hAnsi="Calibri" w:eastAsia="宋体"/>
      <w:kern w:val="0"/>
      <w:sz w:val="20"/>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paragraph" w:customStyle="1" w:styleId="19">
    <w:name w:val="正文内容格式"/>
    <w:basedOn w:val="1"/>
    <w:qFormat/>
    <w:uiPriority w:val="0"/>
    <w:pPr>
      <w:adjustRightInd w:val="0"/>
      <w:snapToGrid w:val="0"/>
      <w:spacing w:line="300" w:lineRule="auto"/>
      <w:textAlignment w:val="baseline"/>
    </w:pPr>
    <w:rPr>
      <w:rFonts w:ascii="宋体" w:hAnsi="宋体"/>
    </w:rPr>
  </w:style>
  <w:style w:type="paragraph" w:customStyle="1" w:styleId="2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21">
    <w:name w:val="页脚 Char"/>
    <w:basedOn w:val="17"/>
    <w:link w:val="10"/>
    <w:qFormat/>
    <w:uiPriority w:val="0"/>
    <w:rPr>
      <w:rFonts w:ascii="Calibri" w:hAnsi="Calibri" w:eastAsia="宋体" w:cs="宋体"/>
      <w:kern w:val="2"/>
      <w:sz w:val="18"/>
      <w:szCs w:val="18"/>
    </w:rPr>
  </w:style>
  <w:style w:type="character" w:customStyle="1" w:styleId="22">
    <w:name w:val="标题 1 Char"/>
    <w:basedOn w:val="17"/>
    <w:link w:val="2"/>
    <w:qFormat/>
    <w:uiPriority w:val="0"/>
    <w:rPr>
      <w:rFonts w:ascii="Calibri" w:hAnsi="Calibri" w:eastAsia="宋体" w:cs="宋体"/>
      <w:b/>
      <w:bCs/>
      <w:kern w:val="44"/>
      <w:sz w:val="44"/>
      <w:szCs w:val="44"/>
    </w:rPr>
  </w:style>
  <w:style w:type="character" w:customStyle="1" w:styleId="23">
    <w:name w:val="正文缩进 Char"/>
    <w:link w:val="6"/>
    <w:qFormat/>
    <w:uiPriority w:val="0"/>
    <w:rPr>
      <w:rFonts w:ascii="Calibri" w:hAnsi="Calibri"/>
      <w:kern w:val="2"/>
      <w:sz w:val="21"/>
      <w:szCs w:val="22"/>
    </w:rPr>
  </w:style>
  <w:style w:type="character" w:customStyle="1" w:styleId="24">
    <w:name w:val="NormalCharacter"/>
    <w:qFormat/>
    <w:uiPriority w:val="0"/>
    <w:rPr>
      <w:rFonts w:ascii="Arial" w:hAnsi="Arial" w:eastAsia="Arial" w:cs="Arial"/>
      <w:snapToGrid w:val="0"/>
      <w:color w:val="000000"/>
      <w:sz w:val="21"/>
      <w:szCs w:val="21"/>
      <w:lang w:val="en-US" w:eastAsia="zh-CN" w:bidi="ar-SA"/>
    </w:rPr>
  </w:style>
  <w:style w:type="paragraph" w:customStyle="1" w:styleId="25">
    <w:name w:val="Table Text"/>
    <w:basedOn w:val="1"/>
    <w:qFormat/>
    <w:uiPriority w:val="0"/>
    <w:rPr>
      <w:rFonts w:ascii="宋体" w:hAnsi="宋体" w:eastAsia="宋体" w:cs="宋体"/>
      <w:sz w:val="24"/>
      <w:szCs w:val="24"/>
      <w:lang w:val="en-US" w:eastAsia="en-US" w:bidi="ar-SA"/>
    </w:rPr>
  </w:style>
  <w:style w:type="table" w:customStyle="1" w:styleId="2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盐田区政府</Company>
  <Pages>8</Pages>
  <Words>6378</Words>
  <Characters>6458</Characters>
  <Paragraphs>345</Paragraphs>
  <TotalTime>35</TotalTime>
  <ScaleCrop>false</ScaleCrop>
  <LinksUpToDate>false</LinksUpToDate>
  <CharactersWithSpaces>6865</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2025-07-22T07:09:00Z</dcterms:created>
  <dc:creator>Administrator</dc:creator>
  <cp:lastModifiedBy>yt</cp:lastModifiedBy>
  <dcterms:modified xsi:type="dcterms:W3CDTF">2025-07-22T08:47:57Z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a14472536b2f40748f6e185e545a78e0_23</vt:lpwstr>
  </property>
  <property fmtid="{D5CDD505-2E9C-101B-9397-08002B2CF9AE}" pid="4" name="KSOTemplateDocerSaveRecord">
    <vt:lpwstr>eyJoZGlkIjoiOThjZWUzNjgxZjhiMzI1MzhkYmU3NDc0N2RmNDljODYiLCJ1c2VySWQiOiI3MjIwMTMzMDYifQ==</vt:lpwstr>
  </property>
</Properties>
</file>