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一、项目基本情况</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bCs/>
          <w:sz w:val="32"/>
          <w:szCs w:val="32"/>
          <w:highlight w:val="none"/>
          <w:lang w:val="en-US" w:eastAsia="zh-CN"/>
        </w:rPr>
      </w:pPr>
      <w:r>
        <w:rPr>
          <w:rFonts w:hint="eastAsia" w:ascii="仿宋_GB2312" w:hAnsi="仿宋" w:eastAsia="仿宋_GB2312" w:cs="Times New Roman"/>
          <w:bCs/>
          <w:sz w:val="32"/>
          <w:szCs w:val="32"/>
          <w:highlight w:val="none"/>
          <w:lang w:val="en-US" w:eastAsia="zh-CN"/>
        </w:rPr>
        <w:t>1.项目名称：“盐学之旅”暑假研学项目</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bCs/>
          <w:sz w:val="32"/>
          <w:szCs w:val="32"/>
          <w:highlight w:val="none"/>
          <w:lang w:val="en" w:eastAsia="zh-CN"/>
        </w:rPr>
      </w:pPr>
      <w:r>
        <w:rPr>
          <w:rFonts w:hint="default" w:ascii="仿宋_GB2312" w:hAnsi="仿宋" w:eastAsia="仿宋_GB2312" w:cs="Times New Roman"/>
          <w:bCs/>
          <w:sz w:val="32"/>
          <w:szCs w:val="32"/>
          <w:highlight w:val="none"/>
          <w:lang w:val="en" w:eastAsia="zh-CN"/>
        </w:rPr>
        <w:t>2.</w:t>
      </w:r>
      <w:r>
        <w:rPr>
          <w:rFonts w:hint="eastAsia" w:ascii="仿宋_GB2312" w:hAnsi="仿宋" w:eastAsia="仿宋_GB2312" w:cs="Times New Roman"/>
          <w:bCs/>
          <w:sz w:val="32"/>
          <w:szCs w:val="32"/>
          <w:highlight w:val="none"/>
          <w:lang w:val="en" w:eastAsia="zh-CN"/>
        </w:rPr>
        <w:t>采购人：深圳市盐田区文化广电旅游体育局</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bCs/>
          <w:sz w:val="32"/>
          <w:szCs w:val="32"/>
          <w:highlight w:val="none"/>
          <w:lang w:val="en-US" w:eastAsia="zh-CN"/>
        </w:rPr>
      </w:pPr>
      <w:r>
        <w:rPr>
          <w:rFonts w:hint="eastAsia" w:ascii="仿宋_GB2312" w:hAnsi="仿宋" w:eastAsia="仿宋_GB2312" w:cs="Times New Roman"/>
          <w:bCs/>
          <w:sz w:val="32"/>
          <w:szCs w:val="32"/>
          <w:highlight w:val="none"/>
          <w:lang w:val="en-US" w:eastAsia="zh-CN"/>
        </w:rPr>
        <w:t>3.预算金额：10万元（人民币）</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bCs/>
          <w:sz w:val="32"/>
          <w:szCs w:val="32"/>
          <w:highlight w:val="none"/>
          <w:lang w:val="en-US" w:eastAsia="zh-CN"/>
        </w:rPr>
      </w:pPr>
      <w:r>
        <w:rPr>
          <w:rFonts w:hint="eastAsia" w:ascii="仿宋_GB2312" w:hAnsi="仿宋" w:eastAsia="仿宋_GB2312" w:cs="Times New Roman"/>
          <w:bCs/>
          <w:sz w:val="32"/>
          <w:szCs w:val="32"/>
          <w:highlight w:val="none"/>
          <w:lang w:val="en-US" w:eastAsia="zh-CN"/>
        </w:rPr>
        <w:t>4.最高限价：10万元（人民币）</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bCs/>
          <w:sz w:val="32"/>
          <w:szCs w:val="32"/>
          <w:highlight w:val="none"/>
          <w:lang w:val="en-US" w:eastAsia="zh-CN"/>
        </w:rPr>
      </w:pPr>
      <w:r>
        <w:rPr>
          <w:rFonts w:hint="eastAsia" w:ascii="仿宋_GB2312" w:hAnsi="仿宋" w:eastAsia="仿宋_GB2312" w:cs="Times New Roman"/>
          <w:bCs/>
          <w:sz w:val="32"/>
          <w:szCs w:val="32"/>
          <w:highlight w:val="none"/>
          <w:lang w:val="en-US" w:eastAsia="zh-CN"/>
        </w:rPr>
        <w:t>5.服务期限：2025年</w:t>
      </w:r>
      <w:bookmarkStart w:id="0" w:name="_GoBack"/>
      <w:bookmarkEnd w:id="0"/>
      <w:r>
        <w:rPr>
          <w:rFonts w:hint="eastAsia" w:ascii="仿宋_GB2312" w:hAnsi="仿宋" w:eastAsia="仿宋_GB2312" w:cs="Times New Roman"/>
          <w:bCs/>
          <w:sz w:val="32"/>
          <w:szCs w:val="32"/>
          <w:highlight w:val="none"/>
          <w:lang w:val="en-US" w:eastAsia="zh-CN"/>
        </w:rPr>
        <w:t>9月30日前（具体起止日期以合同为准）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rPr>
        <w:t>二、项目</w:t>
      </w:r>
      <w:r>
        <w:rPr>
          <w:rFonts w:hint="eastAsia" w:ascii="黑体" w:hAnsi="黑体" w:eastAsia="黑体" w:cs="黑体"/>
          <w:bCs/>
          <w:sz w:val="32"/>
          <w:szCs w:val="32"/>
          <w:lang w:eastAsia="zh-CN"/>
        </w:rPr>
        <w:t>简介</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为深入贯彻国家关于粤港澳大湾区建设的战略部署，积极响应深港两地在文化交流领域的合作倡议，深圳市盐田区图书馆拟于2025年暑期组织开展“盐”学之旅第三季——2025年暑期深港青少年研学营活动。</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本次招标旨在通过公开、公平、公正的原则，选择一家具有丰富青少年研学组织经验、专业服务能力和良好信誉的供应商，承担本次研学营的策划、组织、实施及相关服务工作。</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三、项目内容</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default" w:ascii="楷体_GB2312" w:hAnsi="仿宋_GB2312" w:eastAsia="楷体_GB2312" w:cs="仿宋_GB2312"/>
          <w:sz w:val="32"/>
          <w:szCs w:val="32"/>
          <w:shd w:val="clear" w:color="auto" w:fill="FFFFFF"/>
          <w:lang w:val="en-US" w:eastAsia="zh-CN"/>
        </w:rPr>
        <w:t>（一）项目目标：</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文化传承与交流：引导深港青少年深入了解粤港澳大湾区独特的历史文化、经济发展及社会变迁，</w:t>
      </w:r>
      <w:r>
        <w:rPr>
          <w:rFonts w:hint="eastAsia" w:ascii="仿宋_GB2312" w:hAnsi="仿宋" w:eastAsia="仿宋_GB2312" w:cs="Times New Roman"/>
          <w:sz w:val="32"/>
          <w:szCs w:val="32"/>
          <w:lang w:val="en-US" w:eastAsia="zh-CN"/>
        </w:rPr>
        <w:t>重点感知</w:t>
      </w:r>
      <w:r>
        <w:rPr>
          <w:rFonts w:hint="default" w:ascii="仿宋_GB2312" w:hAnsi="仿宋" w:eastAsia="仿宋_GB2312" w:cs="Times New Roman"/>
          <w:sz w:val="32"/>
          <w:szCs w:val="32"/>
          <w:lang w:val="en-US" w:eastAsia="zh-CN"/>
        </w:rPr>
        <w:t>香港的国际都市特色与江门侨乡文化。</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跨学科学习：整合历史、地理、经济、金融、文化、生态、法治、科技、人文等多个学科知识，提升青少年的综合素养。</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家国情怀培养：通过爱国主义教育和实践活动，增强深港青少年的民族认同感、国家认同感和共同体意识。</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互动与合作：促进深港青少年之间的相互了解、沟通与合作，增进友谊。</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成果产出：鼓励青少年以多种形式记录和分享研学体验，形成具有传播价值的研学作品。</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default" w:ascii="楷体_GB2312" w:hAnsi="仿宋_GB2312" w:eastAsia="楷体_GB2312" w:cs="仿宋_GB2312"/>
          <w:sz w:val="32"/>
          <w:szCs w:val="32"/>
          <w:shd w:val="clear" w:color="auto" w:fill="FFFFFF"/>
          <w:lang w:val="en-US" w:eastAsia="zh-CN"/>
        </w:rPr>
        <w:t>（二）研学时间：</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2025年8月（暂定，具体时间根据实际情况与中标单位协商确定）</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default" w:ascii="楷体_GB2312" w:hAnsi="仿宋_GB2312" w:eastAsia="楷体_GB2312" w:cs="仿宋_GB2312"/>
          <w:sz w:val="32"/>
          <w:szCs w:val="32"/>
          <w:shd w:val="clear" w:color="auto" w:fill="FFFFFF"/>
          <w:lang w:val="en-US" w:eastAsia="zh-CN"/>
        </w:rPr>
        <w:t>（三）研学地点：</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w:t>
      </w:r>
      <w:r>
        <w:rPr>
          <w:rFonts w:hint="default" w:ascii="仿宋_GB2312" w:hAnsi="仿宋" w:eastAsia="仿宋_GB2312" w:cs="Times New Roman"/>
          <w:sz w:val="32"/>
          <w:szCs w:val="32"/>
          <w:lang w:val="en-US" w:eastAsia="zh-CN"/>
        </w:rPr>
        <w:t>中国香港</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w:t>
      </w:r>
      <w:r>
        <w:rPr>
          <w:rFonts w:hint="default" w:ascii="仿宋_GB2312" w:hAnsi="仿宋" w:eastAsia="仿宋_GB2312" w:cs="Times New Roman"/>
          <w:sz w:val="32"/>
          <w:szCs w:val="32"/>
          <w:lang w:val="en-US" w:eastAsia="zh-CN"/>
        </w:rPr>
        <w:t>中国江门</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default" w:ascii="楷体_GB2312" w:hAnsi="仿宋_GB2312" w:eastAsia="楷体_GB2312" w:cs="仿宋_GB2312"/>
          <w:sz w:val="32"/>
          <w:szCs w:val="32"/>
          <w:shd w:val="clear" w:color="auto" w:fill="FFFFFF"/>
          <w:lang w:val="en-US" w:eastAsia="zh-CN"/>
        </w:rPr>
        <w:t>（四）研学主题：</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探索湾区双城记：国际都市遇见侨乡文化</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default" w:ascii="楷体_GB2312" w:hAnsi="仿宋_GB2312" w:eastAsia="楷体_GB2312" w:cs="仿宋_GB2312"/>
          <w:sz w:val="32"/>
          <w:szCs w:val="32"/>
          <w:shd w:val="clear" w:color="auto" w:fill="FFFFFF"/>
          <w:lang w:val="en-US" w:eastAsia="zh-CN"/>
        </w:rPr>
        <w:t>（</w:t>
      </w:r>
      <w:r>
        <w:rPr>
          <w:rFonts w:hint="eastAsia" w:ascii="楷体_GB2312" w:hAnsi="仿宋_GB2312" w:eastAsia="楷体_GB2312" w:cs="仿宋_GB2312"/>
          <w:sz w:val="32"/>
          <w:szCs w:val="32"/>
          <w:shd w:val="clear" w:color="auto" w:fill="FFFFFF"/>
          <w:lang w:val="en-US" w:eastAsia="zh-CN"/>
        </w:rPr>
        <w:t>五</w:t>
      </w:r>
      <w:r>
        <w:rPr>
          <w:rFonts w:hint="default" w:ascii="楷体_GB2312" w:hAnsi="仿宋_GB2312" w:eastAsia="楷体_GB2312" w:cs="仿宋_GB2312"/>
          <w:sz w:val="32"/>
          <w:szCs w:val="32"/>
          <w:shd w:val="clear" w:color="auto" w:fill="FFFFFF"/>
          <w:lang w:val="en-US" w:eastAsia="zh-CN"/>
        </w:rPr>
        <w:t>）参与人员：</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 深圳及香港在读青少年，年龄为12-16周岁。</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四、项目要求</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楷体_GB2312" w:hAnsi="仿宋_GB2312" w:eastAsia="楷体_GB2312" w:cs="仿宋_GB2312"/>
          <w:kern w:val="0"/>
          <w:sz w:val="32"/>
          <w:szCs w:val="32"/>
          <w:shd w:val="clear" w:color="auto" w:fill="FFFFFF"/>
          <w:lang w:val="en-US" w:eastAsia="zh-CN" w:bidi="ar-SA"/>
        </w:rPr>
      </w:pPr>
      <w:r>
        <w:rPr>
          <w:rFonts w:hint="eastAsia" w:ascii="楷体_GB2312" w:hAnsi="仿宋_GB2312" w:eastAsia="楷体_GB2312" w:cs="仿宋_GB2312"/>
          <w:kern w:val="0"/>
          <w:sz w:val="32"/>
          <w:szCs w:val="32"/>
          <w:shd w:val="clear" w:color="auto" w:fill="FFFFFF"/>
          <w:lang w:val="en-US" w:eastAsia="zh-CN" w:bidi="ar-SA"/>
        </w:rPr>
        <w:t>（一）</w:t>
      </w:r>
      <w:r>
        <w:rPr>
          <w:rFonts w:hint="default" w:ascii="楷体_GB2312" w:hAnsi="仿宋_GB2312" w:eastAsia="楷体_GB2312" w:cs="仿宋_GB2312"/>
          <w:kern w:val="0"/>
          <w:sz w:val="32"/>
          <w:szCs w:val="32"/>
          <w:shd w:val="clear" w:color="auto" w:fill="FFFFFF"/>
          <w:lang w:val="en-US" w:eastAsia="zh-CN" w:bidi="ar-SA"/>
        </w:rPr>
        <w:t>整体方案策划与细化： </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结合采购单位提出的研学方案，进一步细化每日行程、活动内容、时间安排、师资配备、后勤保障等。</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楷体_GB2312" w:hAnsi="仿宋_GB2312" w:eastAsia="楷体_GB2312" w:cs="仿宋_GB2312"/>
          <w:kern w:val="0"/>
          <w:sz w:val="32"/>
          <w:szCs w:val="32"/>
          <w:shd w:val="clear" w:color="auto" w:fill="FFFFFF"/>
          <w:lang w:val="en-US" w:eastAsia="zh-CN" w:bidi="ar-SA"/>
        </w:rPr>
      </w:pPr>
      <w:r>
        <w:rPr>
          <w:rFonts w:hint="eastAsia" w:ascii="楷体_GB2312" w:hAnsi="仿宋_GB2312" w:eastAsia="楷体_GB2312" w:cs="仿宋_GB2312"/>
          <w:kern w:val="0"/>
          <w:sz w:val="32"/>
          <w:szCs w:val="32"/>
          <w:shd w:val="clear" w:color="auto" w:fill="FFFFFF"/>
          <w:lang w:val="en-US" w:eastAsia="zh-CN" w:bidi="ar-SA"/>
        </w:rPr>
        <w:t>（二）</w:t>
      </w:r>
      <w:r>
        <w:rPr>
          <w:rFonts w:hint="default" w:ascii="楷体_GB2312" w:hAnsi="仿宋_GB2312" w:eastAsia="楷体_GB2312" w:cs="仿宋_GB2312"/>
          <w:kern w:val="0"/>
          <w:sz w:val="32"/>
          <w:szCs w:val="32"/>
          <w:shd w:val="clear" w:color="auto" w:fill="FFFFFF"/>
          <w:lang w:val="en-US" w:eastAsia="zh-CN" w:bidi="ar-SA"/>
        </w:rPr>
        <w:t>营员招募与筛选：</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楷体_GB2312" w:hAnsi="仿宋_GB2312" w:eastAsia="楷体_GB2312" w:cs="仿宋_GB2312"/>
          <w:kern w:val="0"/>
          <w:sz w:val="32"/>
          <w:szCs w:val="32"/>
          <w:shd w:val="clear" w:color="auto" w:fill="FFFFFF"/>
          <w:lang w:val="en-US" w:eastAsia="zh-CN" w:bidi="ar-SA"/>
        </w:rPr>
        <w:t> </w:t>
      </w:r>
      <w:r>
        <w:rPr>
          <w:rFonts w:hint="default" w:ascii="仿宋_GB2312" w:hAnsi="仿宋" w:eastAsia="仿宋_GB2312" w:cs="Times New Roman"/>
          <w:sz w:val="32"/>
          <w:szCs w:val="32"/>
          <w:lang w:val="en-US" w:eastAsia="zh-CN"/>
        </w:rPr>
        <w:t>协助采购单位进行营员招募宣传，并根据入营条件</w:t>
      </w:r>
      <w:r>
        <w:rPr>
          <w:rFonts w:hint="eastAsia" w:ascii="仿宋_GB2312" w:hAnsi="仿宋" w:eastAsia="仿宋_GB2312" w:cs="Times New Roman"/>
          <w:sz w:val="32"/>
          <w:szCs w:val="32"/>
          <w:lang w:val="en-US" w:eastAsia="zh-CN"/>
        </w:rPr>
        <w:t>配合开展</w:t>
      </w:r>
      <w:r>
        <w:rPr>
          <w:rFonts w:hint="default" w:ascii="仿宋_GB2312" w:hAnsi="仿宋" w:eastAsia="仿宋_GB2312" w:cs="Times New Roman"/>
          <w:sz w:val="32"/>
          <w:szCs w:val="32"/>
          <w:lang w:val="en-US" w:eastAsia="zh-CN"/>
        </w:rPr>
        <w:t>线上线下面试。</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（三）</w:t>
      </w:r>
      <w:r>
        <w:rPr>
          <w:rFonts w:hint="default" w:ascii="楷体_GB2312" w:hAnsi="仿宋_GB2312" w:eastAsia="楷体_GB2312" w:cs="仿宋_GB2312"/>
          <w:sz w:val="32"/>
          <w:szCs w:val="32"/>
          <w:shd w:val="clear" w:color="auto" w:fill="FFFFFF"/>
          <w:lang w:val="en-US" w:eastAsia="zh-CN"/>
        </w:rPr>
        <w:t>交通安排：</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深圳往返香港</w:t>
      </w:r>
      <w:r>
        <w:rPr>
          <w:rFonts w:hint="eastAsia" w:ascii="仿宋_GB2312" w:hAnsi="仿宋" w:eastAsia="仿宋_GB2312" w:cs="Times New Roman"/>
          <w:sz w:val="32"/>
          <w:szCs w:val="32"/>
          <w:lang w:val="en-US" w:eastAsia="zh-CN"/>
        </w:rPr>
        <w:t>跨境</w:t>
      </w:r>
      <w:r>
        <w:rPr>
          <w:rFonts w:hint="default" w:ascii="仿宋_GB2312" w:hAnsi="仿宋" w:eastAsia="仿宋_GB2312" w:cs="Times New Roman"/>
          <w:sz w:val="32"/>
          <w:szCs w:val="32"/>
          <w:lang w:val="en-US" w:eastAsia="zh-CN"/>
        </w:rPr>
        <w:t>口岸过关协调。</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香港及江门境内的所有地面交通，包括空调巴士、船只等。</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确保交通工具的安全、舒适、合规。</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（四）</w:t>
      </w:r>
      <w:r>
        <w:rPr>
          <w:rFonts w:hint="default" w:ascii="楷体_GB2312" w:hAnsi="仿宋_GB2312" w:eastAsia="楷体_GB2312" w:cs="仿宋_GB2312"/>
          <w:sz w:val="32"/>
          <w:szCs w:val="32"/>
          <w:shd w:val="clear" w:color="auto" w:fill="FFFFFF"/>
          <w:lang w:val="en-US" w:eastAsia="zh-CN"/>
        </w:rPr>
        <w:t>住宿安排：</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香港及江门两地安全、卫生、条件适宜的住宿（星级标准或同等品质，需提供具体住宿地点和标准）。</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确保住宿符合青少年入住要求，并配备专人负责。</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（五）</w:t>
      </w:r>
      <w:r>
        <w:rPr>
          <w:rFonts w:hint="default" w:ascii="楷体_GB2312" w:hAnsi="仿宋_GB2312" w:eastAsia="楷体_GB2312" w:cs="仿宋_GB2312"/>
          <w:sz w:val="32"/>
          <w:szCs w:val="32"/>
          <w:shd w:val="clear" w:color="auto" w:fill="FFFFFF"/>
          <w:lang w:val="en-US" w:eastAsia="zh-CN"/>
        </w:rPr>
        <w:t>餐饮安排：</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提供研学期间（包含早餐、午餐、晚餐）的营养、卫生、符合当地口味的餐饮。</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（六）</w:t>
      </w:r>
      <w:r>
        <w:rPr>
          <w:rFonts w:hint="default" w:ascii="楷体_GB2312" w:hAnsi="仿宋_GB2312" w:eastAsia="楷体_GB2312" w:cs="仿宋_GB2312"/>
          <w:sz w:val="32"/>
          <w:szCs w:val="32"/>
          <w:shd w:val="clear" w:color="auto" w:fill="FFFFFF"/>
          <w:lang w:val="en-US" w:eastAsia="zh-CN"/>
        </w:rPr>
        <w:t>教学与活动组织：</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配备具备相关专业知识和青少年工作经验的优秀讲师、领队、活动组织人员</w:t>
      </w:r>
      <w:r>
        <w:rPr>
          <w:rFonts w:hint="eastAsia" w:ascii="仿宋_GB2312" w:hAnsi="仿宋" w:eastAsia="仿宋_GB2312" w:cs="Times New Roman"/>
          <w:sz w:val="32"/>
          <w:szCs w:val="32"/>
          <w:lang w:val="en-US" w:eastAsia="zh-CN"/>
        </w:rPr>
        <w:t>，</w:t>
      </w:r>
      <w:r>
        <w:rPr>
          <w:rFonts w:hint="default" w:ascii="仿宋_GB2312" w:hAnsi="仿宋" w:eastAsia="仿宋_GB2312" w:cs="Times New Roman"/>
          <w:sz w:val="32"/>
          <w:szCs w:val="32"/>
          <w:lang w:val="en-US" w:eastAsia="zh-CN"/>
        </w:rPr>
        <w:t>负责所有研学内容、</w:t>
      </w:r>
      <w:r>
        <w:rPr>
          <w:rFonts w:hint="eastAsia" w:ascii="仿宋_GB2312" w:hAnsi="仿宋" w:eastAsia="仿宋_GB2312" w:cs="Times New Roman"/>
          <w:sz w:val="32"/>
          <w:szCs w:val="32"/>
          <w:lang w:val="en-US" w:eastAsia="zh-CN"/>
        </w:rPr>
        <w:t>夜读、</w:t>
      </w:r>
      <w:r>
        <w:rPr>
          <w:rFonts w:hint="default" w:ascii="仿宋_GB2312" w:hAnsi="仿宋" w:eastAsia="仿宋_GB2312" w:cs="Times New Roman"/>
          <w:sz w:val="32"/>
          <w:szCs w:val="32"/>
          <w:lang w:val="en-US" w:eastAsia="zh-CN"/>
        </w:rPr>
        <w:t>参访活动的讲解、互动、引导和组织。</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负责非遗文化体验活动的联系、安排及物料准备。</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负责收集、整理、审核学员的游记、绘画、手账等研学作品。</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（七）</w:t>
      </w:r>
      <w:r>
        <w:rPr>
          <w:rFonts w:hint="default" w:ascii="楷体_GB2312" w:hAnsi="仿宋_GB2312" w:eastAsia="楷体_GB2312" w:cs="仿宋_GB2312"/>
          <w:sz w:val="32"/>
          <w:szCs w:val="32"/>
          <w:shd w:val="clear" w:color="auto" w:fill="FFFFFF"/>
          <w:lang w:val="en-US" w:eastAsia="zh-CN"/>
        </w:rPr>
        <w:t>安全保障：</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为所有</w:t>
      </w:r>
      <w:r>
        <w:rPr>
          <w:rFonts w:hint="eastAsia" w:ascii="仿宋_GB2312" w:hAnsi="仿宋" w:eastAsia="仿宋_GB2312" w:cs="Times New Roman"/>
          <w:sz w:val="32"/>
          <w:szCs w:val="32"/>
          <w:lang w:val="en-US" w:eastAsia="zh-CN"/>
        </w:rPr>
        <w:t>成员</w:t>
      </w:r>
      <w:r>
        <w:rPr>
          <w:rFonts w:hint="default" w:ascii="仿宋_GB2312" w:hAnsi="仿宋" w:eastAsia="仿宋_GB2312" w:cs="Times New Roman"/>
          <w:sz w:val="32"/>
          <w:szCs w:val="32"/>
          <w:lang w:val="en-US" w:eastAsia="zh-CN"/>
        </w:rPr>
        <w:t>购买符合国家规定的、覆盖研学全程的意外伤害保险和医疗保险。</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制定详细的应急预案，包括但不限于突发疾病、意外伤害、自然灾害、交通意外等。</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在活动期间安排专业医疗人员或合作医疗机构。</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全程配备具备急救知识的工作人员。</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确保所有活动环节符合安全生产规定。</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（八）</w:t>
      </w:r>
      <w:r>
        <w:rPr>
          <w:rFonts w:hint="default" w:ascii="楷体_GB2312" w:hAnsi="仿宋_GB2312" w:eastAsia="楷体_GB2312" w:cs="仿宋_GB2312"/>
          <w:sz w:val="32"/>
          <w:szCs w:val="32"/>
          <w:shd w:val="clear" w:color="auto" w:fill="FFFFFF"/>
          <w:lang w:val="en-US" w:eastAsia="zh-CN"/>
        </w:rPr>
        <w:t>后勤服务：</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提供研学期间所需的活动物料、</w:t>
      </w:r>
      <w:r>
        <w:rPr>
          <w:rFonts w:hint="eastAsia" w:ascii="仿宋_GB2312" w:hAnsi="仿宋" w:eastAsia="仿宋_GB2312" w:cs="Times New Roman"/>
          <w:sz w:val="32"/>
          <w:szCs w:val="32"/>
          <w:lang w:val="en-US" w:eastAsia="zh-CN"/>
        </w:rPr>
        <w:t>书本、</w:t>
      </w:r>
      <w:r>
        <w:rPr>
          <w:rFonts w:hint="default" w:ascii="仿宋_GB2312" w:hAnsi="仿宋" w:eastAsia="仿宋_GB2312" w:cs="Times New Roman"/>
          <w:sz w:val="32"/>
          <w:szCs w:val="32"/>
          <w:lang w:val="en-US" w:eastAsia="zh-CN"/>
        </w:rPr>
        <w:t>道具、文具、</w:t>
      </w:r>
      <w:r>
        <w:rPr>
          <w:rFonts w:hint="eastAsia" w:ascii="仿宋_GB2312" w:hAnsi="仿宋" w:eastAsia="仿宋_GB2312" w:cs="Times New Roman"/>
          <w:sz w:val="32"/>
          <w:szCs w:val="32"/>
          <w:lang w:val="en-US" w:eastAsia="zh-CN"/>
        </w:rPr>
        <w:t>研学手册、PPT、</w:t>
      </w:r>
      <w:r>
        <w:rPr>
          <w:rFonts w:hint="default" w:ascii="仿宋_GB2312" w:hAnsi="仿宋" w:eastAsia="仿宋_GB2312" w:cs="Times New Roman"/>
          <w:sz w:val="32"/>
          <w:szCs w:val="32"/>
          <w:lang w:val="en-US" w:eastAsia="zh-CN"/>
        </w:rPr>
        <w:t>饮用水等。</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提供学员营服、营帽等。</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处理研学过程中产生的各类后勤事务。</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（九）</w:t>
      </w:r>
      <w:r>
        <w:rPr>
          <w:rFonts w:hint="default" w:ascii="楷体_GB2312" w:hAnsi="仿宋_GB2312" w:eastAsia="楷体_GB2312" w:cs="仿宋_GB2312"/>
          <w:sz w:val="32"/>
          <w:szCs w:val="32"/>
          <w:shd w:val="clear" w:color="auto" w:fill="FFFFFF"/>
          <w:lang w:val="en-US" w:eastAsia="zh-CN"/>
        </w:rPr>
        <w:t>宣传与推广（配合采购单位）：</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根据采购单位要求，协助进行活动宣传的文案、图片、视频素材制作。</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活动结束后提交活动总结报告，包括活动过程、效果评估、经验总结</w:t>
      </w:r>
      <w:r>
        <w:rPr>
          <w:rFonts w:hint="eastAsia" w:ascii="仿宋_GB2312" w:hAnsi="仿宋" w:eastAsia="仿宋_GB2312" w:cs="Times New Roman"/>
          <w:sz w:val="32"/>
          <w:szCs w:val="32"/>
          <w:lang w:val="en-US" w:eastAsia="zh-CN"/>
        </w:rPr>
        <w:t>等</w:t>
      </w:r>
      <w:r>
        <w:rPr>
          <w:rFonts w:hint="default" w:ascii="仿宋_GB2312" w:hAnsi="仿宋" w:eastAsia="仿宋_GB2312" w:cs="Times New Roman"/>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val="0"/>
        <w:spacing w:line="440" w:lineRule="exact"/>
        <w:ind w:firstLine="640"/>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五、提交投标文件响应时间、方式</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潜在投标人应在盐田区政府在线、盐田区图书馆门户网站获取采购需求文件，并于2025年8月6日18:00（北京时间）前递交投标文件。</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投标方式：纸质文件（加盖公章，3套）邮寄至深圳市盐田区深盐路2128号盐田区图书馆。电子版文件（加盖公章的扫描件）发送至ytlibcg@163.com。</w:t>
      </w:r>
    </w:p>
    <w:p>
      <w:pPr>
        <w:pageBreakBefore w:val="0"/>
        <w:kinsoku/>
        <w:wordWrap/>
        <w:overflowPunct/>
        <w:topLinePunct w:val="0"/>
        <w:autoSpaceDE/>
        <w:autoSpaceDN/>
        <w:bidi w:val="0"/>
        <w:adjustRightInd/>
        <w:snapToGrid/>
        <w:spacing w:line="560" w:lineRule="exact"/>
        <w:ind w:left="0" w:firstLine="640" w:firstLineChars="200"/>
        <w:rPr>
          <w:rFonts w:ascii="仿宋" w:hAnsi="仿宋" w:eastAsia="仿宋" w:cs="宋体"/>
          <w:iCs/>
          <w:sz w:val="32"/>
          <w:szCs w:val="32"/>
          <w:u w:val="single"/>
        </w:rPr>
      </w:pPr>
      <w:r>
        <w:rPr>
          <w:rFonts w:hint="eastAsia" w:ascii="仿宋_GB2312" w:hAnsi="仿宋" w:eastAsia="仿宋_GB2312" w:cs="Times New Roman"/>
          <w:sz w:val="32"/>
          <w:szCs w:val="32"/>
          <w:lang w:val="en-US" w:eastAsia="zh-CN"/>
        </w:rPr>
        <w:t>提交要求：现场提交投标文件的，需被授权投标人提供法人授权书，并携带身份证以供核验；邮寄投标文件的，邮寄人需是被授权投标人本人（包括本人姓名、联系方式等信息），邮寄地址需为公司地址。不符合提交要求的，投标文件作无效处理。</w:t>
      </w:r>
      <w:r>
        <w:rPr>
          <w:rFonts w:hint="eastAsia" w:ascii="仿宋_GB2312" w:hAnsi="仿宋" w:eastAsia="仿宋_GB2312"/>
          <w:sz w:val="32"/>
          <w:szCs w:val="32"/>
        </w:rPr>
        <w:t xml:space="preserve">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640"/>
        <w:textAlignment w:val="auto"/>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lang w:val="en-US" w:eastAsia="zh-CN"/>
        </w:rPr>
        <w:t>响应要求</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1.资质材料：经营服务范围、相关认证证书、相关授权证明、供应商基本情况表（见附件）等材料；并必须提供针对本项目的相关投标授权证明。</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2.业绩材料：近3年相关项目案例材料，包括项目案例介绍、中标通知书、项目合同扫描件等。</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3.服务方案：针对本项目的服务实施方案，包括：</w:t>
      </w:r>
      <w:r>
        <w:rPr>
          <w:rFonts w:hint="default" w:ascii="仿宋_GB2312" w:hAnsi="仿宋" w:eastAsia="仿宋_GB2312" w:cs="Times New Roman"/>
          <w:sz w:val="32"/>
          <w:szCs w:val="32"/>
          <w:lang w:val="en-US" w:eastAsia="zh-CN"/>
        </w:rPr>
        <w:t>行程</w:t>
      </w:r>
      <w:r>
        <w:rPr>
          <w:rFonts w:hint="eastAsia" w:ascii="仿宋_GB2312" w:hAnsi="仿宋" w:eastAsia="仿宋_GB2312" w:cs="Times New Roman"/>
          <w:sz w:val="32"/>
          <w:szCs w:val="32"/>
          <w:lang w:val="en-US" w:eastAsia="zh-CN"/>
        </w:rPr>
        <w:t>规划</w:t>
      </w:r>
      <w:r>
        <w:rPr>
          <w:rFonts w:hint="default" w:ascii="仿宋_GB2312" w:hAnsi="仿宋" w:eastAsia="仿宋_GB2312" w:cs="Times New Roman"/>
          <w:sz w:val="32"/>
          <w:szCs w:val="32"/>
          <w:lang w:val="en-US" w:eastAsia="zh-CN"/>
        </w:rPr>
        <w:t>、</w:t>
      </w:r>
      <w:r>
        <w:rPr>
          <w:rFonts w:hint="eastAsia" w:ascii="仿宋_GB2312" w:hAnsi="仿宋" w:eastAsia="仿宋_GB2312" w:cs="Times New Roman"/>
          <w:sz w:val="32"/>
          <w:szCs w:val="32"/>
          <w:lang w:val="en-US" w:eastAsia="zh-CN"/>
        </w:rPr>
        <w:t>研学设计</w:t>
      </w:r>
      <w:r>
        <w:rPr>
          <w:rFonts w:hint="default" w:ascii="仿宋_GB2312" w:hAnsi="仿宋" w:eastAsia="仿宋_GB2312" w:cs="Times New Roman"/>
          <w:sz w:val="32"/>
          <w:szCs w:val="32"/>
          <w:lang w:val="en-US" w:eastAsia="zh-CN"/>
        </w:rPr>
        <w:t>、时间安排、师资配备、</w:t>
      </w:r>
      <w:r>
        <w:rPr>
          <w:rFonts w:hint="eastAsia" w:ascii="仿宋_GB2312" w:hAnsi="仿宋" w:eastAsia="仿宋_GB2312" w:cs="Times New Roman"/>
          <w:sz w:val="32"/>
          <w:szCs w:val="32"/>
          <w:lang w:val="en-US" w:eastAsia="zh-CN"/>
        </w:rPr>
        <w:t>教学组织、</w:t>
      </w:r>
      <w:r>
        <w:rPr>
          <w:rFonts w:hint="default" w:ascii="仿宋_GB2312" w:hAnsi="仿宋" w:eastAsia="仿宋_GB2312" w:cs="Times New Roman"/>
          <w:sz w:val="32"/>
          <w:szCs w:val="32"/>
          <w:lang w:val="en-US" w:eastAsia="zh-CN"/>
        </w:rPr>
        <w:t>后勤保障</w:t>
      </w:r>
      <w:r>
        <w:rPr>
          <w:rFonts w:hint="eastAsia" w:ascii="仿宋_GB2312" w:hAnsi="仿宋" w:eastAsia="仿宋_GB2312" w:cs="Times New Roman"/>
          <w:sz w:val="32"/>
          <w:szCs w:val="32"/>
          <w:lang w:val="en-US" w:eastAsia="zh-CN"/>
        </w:rPr>
        <w:t>、服务标准、额外服务支持内容及承诺等。</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4.响应与安全：针对本项目的响应承诺与应急预案，包括：完成时间及计划、项目完成（服务期满）后的服务承诺、安全管理与应急预案等。</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5.报价一览表：包括总报价及详细分项构成。</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若投标人投标文件内容不完善，招标人有权要求投标人在限时内完成补充；该项目所有应标供应商的服务方案中的提案版权归盐田区图书馆所有。</w:t>
      </w:r>
    </w:p>
    <w:p>
      <w:pPr>
        <w:keepNext/>
        <w:keepLines/>
        <w:pageBreakBefore w:val="0"/>
        <w:kinsoku/>
        <w:wordWrap/>
        <w:overflowPunct/>
        <w:topLinePunct w:val="0"/>
        <w:autoSpaceDE/>
        <w:autoSpaceDN/>
        <w:bidi w:val="0"/>
        <w:adjustRightInd/>
        <w:snapToGrid/>
        <w:spacing w:line="560" w:lineRule="exact"/>
        <w:ind w:left="0" w:firstLine="640" w:firstLineChars="200"/>
        <w:outlineLvl w:val="1"/>
        <w:rPr>
          <w:rFonts w:ascii="黑体" w:hAnsi="黑体" w:eastAsia="黑体" w:cs="宋体"/>
          <w:bCs/>
          <w:sz w:val="32"/>
          <w:szCs w:val="32"/>
        </w:rPr>
      </w:pPr>
      <w:r>
        <w:rPr>
          <w:rFonts w:hint="eastAsia" w:ascii="黑体" w:hAnsi="黑体" w:eastAsia="黑体" w:cs="宋体"/>
          <w:bCs/>
          <w:sz w:val="32"/>
          <w:szCs w:val="32"/>
          <w:lang w:eastAsia="zh-CN"/>
        </w:rPr>
        <w:t>七</w:t>
      </w:r>
      <w:r>
        <w:rPr>
          <w:rFonts w:ascii="黑体" w:hAnsi="黑体" w:eastAsia="黑体" w:cs="宋体"/>
          <w:bCs/>
          <w:sz w:val="32"/>
          <w:szCs w:val="32"/>
        </w:rPr>
        <w:t>、</w:t>
      </w:r>
      <w:r>
        <w:rPr>
          <w:rFonts w:hint="eastAsia" w:ascii="黑体" w:hAnsi="黑体" w:eastAsia="黑体" w:cs="宋体"/>
          <w:bCs/>
          <w:sz w:val="32"/>
          <w:szCs w:val="32"/>
        </w:rPr>
        <w:t>评标方法</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本项目</w:t>
      </w:r>
      <w:r>
        <w:rPr>
          <w:rFonts w:hint="eastAsia" w:ascii="仿宋_GB2312" w:hAnsi="仿宋" w:eastAsia="仿宋_GB2312" w:cs="Times New Roman"/>
          <w:sz w:val="32"/>
          <w:szCs w:val="32"/>
        </w:rPr>
        <w:t>采用综合评分法，由评审小组对投标供应商的资格条件先行审查并形成书面材料，符合资格条件的供应商满足</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家以上的，则根据采购文件中的评分标准进行进一步评审并计算出各响应供应商的最终得分，推荐总分排名第一的供应商作为成交候选供应商，并由评审小组出具书面评审报告，评审结果提交</w:t>
      </w:r>
      <w:r>
        <w:rPr>
          <w:rFonts w:hint="eastAsia" w:ascii="仿宋_GB2312" w:hAnsi="仿宋" w:eastAsia="仿宋_GB2312" w:cs="Times New Roman"/>
          <w:sz w:val="32"/>
          <w:szCs w:val="32"/>
          <w:lang w:eastAsia="zh-CN"/>
        </w:rPr>
        <w:t>上级部门</w:t>
      </w:r>
      <w:r>
        <w:rPr>
          <w:rFonts w:hint="eastAsia" w:ascii="仿宋_GB2312" w:hAnsi="仿宋" w:eastAsia="仿宋_GB2312" w:cs="Times New Roman"/>
          <w:sz w:val="32"/>
          <w:szCs w:val="32"/>
        </w:rPr>
        <w:t>研究后确定供应商。</w:t>
      </w:r>
    </w:p>
    <w:tbl>
      <w:tblPr>
        <w:tblStyle w:val="8"/>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904"/>
        <w:gridCol w:w="433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1"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序号</w:t>
            </w:r>
          </w:p>
        </w:tc>
        <w:tc>
          <w:tcPr>
            <w:tcW w:w="1904"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评分项</w:t>
            </w:r>
          </w:p>
        </w:tc>
        <w:tc>
          <w:tcPr>
            <w:tcW w:w="4339"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评审因素及资料</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160" w:firstLineChars="50"/>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1"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p>
        </w:tc>
        <w:tc>
          <w:tcPr>
            <w:tcW w:w="1904"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资质</w:t>
            </w:r>
          </w:p>
        </w:tc>
        <w:tc>
          <w:tcPr>
            <w:tcW w:w="4339"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资质材料</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1"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p>
        </w:tc>
        <w:tc>
          <w:tcPr>
            <w:tcW w:w="1904"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业绩</w:t>
            </w:r>
          </w:p>
        </w:tc>
        <w:tc>
          <w:tcPr>
            <w:tcW w:w="4339"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业绩材料</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1"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p>
        </w:tc>
        <w:tc>
          <w:tcPr>
            <w:tcW w:w="1904"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方案</w:t>
            </w:r>
          </w:p>
        </w:tc>
        <w:tc>
          <w:tcPr>
            <w:tcW w:w="4339"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项目服务方案</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1"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w:t>
            </w:r>
          </w:p>
        </w:tc>
        <w:tc>
          <w:tcPr>
            <w:tcW w:w="1904"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响应与安全</w:t>
            </w:r>
          </w:p>
        </w:tc>
        <w:tc>
          <w:tcPr>
            <w:tcW w:w="4339"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 w:eastAsia="仿宋_GB2312"/>
                <w:sz w:val="32"/>
                <w:szCs w:val="32"/>
              </w:rPr>
              <w:t>服务响应</w:t>
            </w:r>
            <w:r>
              <w:rPr>
                <w:rFonts w:hint="eastAsia" w:ascii="仿宋_GB2312" w:hAnsi="仿宋" w:eastAsia="仿宋_GB2312"/>
                <w:sz w:val="32"/>
                <w:szCs w:val="32"/>
                <w:lang w:eastAsia="zh-CN"/>
              </w:rPr>
              <w:t>与安全管理</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1"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w:t>
            </w:r>
          </w:p>
        </w:tc>
        <w:tc>
          <w:tcPr>
            <w:tcW w:w="1904"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价格</w:t>
            </w:r>
          </w:p>
        </w:tc>
        <w:tc>
          <w:tcPr>
            <w:tcW w:w="4339"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报价一览表</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4" w:type="dxa"/>
            <w:gridSpan w:val="3"/>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合计</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100</w:t>
            </w:r>
          </w:p>
        </w:tc>
      </w:tr>
    </w:tbl>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价格分计算方法：采用低价优先法计算，即满足招标文件要求且投标价格最低的投标报价为评标基准价，其价格分为满分。其他投标人的价格分统一按照下列公式计算：</w:t>
      </w:r>
    </w:p>
    <w:p>
      <w:pPr>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投标报价得分=(评标基准价／投标报价)×价格权值。</w:t>
      </w:r>
    </w:p>
    <w:p>
      <w:pPr>
        <w:keepNext/>
        <w:keepLines/>
        <w:pageBreakBefore w:val="0"/>
        <w:kinsoku/>
        <w:wordWrap/>
        <w:overflowPunct/>
        <w:topLinePunct w:val="0"/>
        <w:autoSpaceDE/>
        <w:autoSpaceDN/>
        <w:bidi w:val="0"/>
        <w:adjustRightInd/>
        <w:snapToGrid/>
        <w:spacing w:line="560" w:lineRule="exact"/>
        <w:ind w:left="0" w:firstLine="640" w:firstLineChars="200"/>
        <w:outlineLvl w:val="1"/>
        <w:rPr>
          <w:rFonts w:hint="eastAsia" w:ascii="黑体" w:hAnsi="黑体" w:eastAsia="黑体" w:cs="宋体"/>
          <w:bCs/>
          <w:sz w:val="32"/>
          <w:szCs w:val="32"/>
          <w:lang w:eastAsia="zh-CN"/>
        </w:rPr>
      </w:pPr>
      <w:r>
        <w:rPr>
          <w:rFonts w:hint="eastAsia" w:ascii="黑体" w:hAnsi="黑体" w:eastAsia="黑体" w:cs="宋体"/>
          <w:bCs/>
          <w:sz w:val="32"/>
          <w:szCs w:val="32"/>
          <w:lang w:eastAsia="zh-CN"/>
        </w:rPr>
        <w:t>八</w:t>
      </w:r>
      <w:r>
        <w:rPr>
          <w:rFonts w:hint="eastAsia" w:ascii="黑体" w:hAnsi="黑体" w:eastAsia="黑体" w:cs="宋体"/>
          <w:bCs/>
          <w:sz w:val="32"/>
          <w:szCs w:val="32"/>
        </w:rPr>
        <w:t>、</w:t>
      </w:r>
      <w:r>
        <w:rPr>
          <w:rFonts w:hint="eastAsia" w:ascii="黑体" w:hAnsi="黑体" w:eastAsia="黑体" w:cs="宋体"/>
          <w:bCs/>
          <w:sz w:val="32"/>
          <w:szCs w:val="32"/>
          <w:lang w:eastAsia="zh-CN"/>
        </w:rPr>
        <w:t>咨询方式</w:t>
      </w:r>
    </w:p>
    <w:p>
      <w:pPr>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lang w:eastAsia="zh-CN"/>
        </w:rPr>
        <w:t>咨询人</w:t>
      </w:r>
      <w:r>
        <w:rPr>
          <w:rFonts w:hint="eastAsia" w:ascii="仿宋_GB2312" w:hAnsi="仿宋" w:eastAsia="仿宋_GB2312"/>
          <w:sz w:val="32"/>
          <w:szCs w:val="32"/>
        </w:rPr>
        <w:t>：何老师　</w:t>
      </w:r>
    </w:p>
    <w:p>
      <w:pPr>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地　址：深圳市盐田区图书馆　</w:t>
      </w:r>
    </w:p>
    <w:p>
      <w:pPr>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联系方式：0755-</w:t>
      </w:r>
      <w:r>
        <w:rPr>
          <w:rFonts w:hint="eastAsia" w:ascii="仿宋_GB2312" w:hAnsi="仿宋" w:eastAsia="仿宋_GB2312"/>
          <w:sz w:val="32"/>
          <w:szCs w:val="32"/>
          <w:lang w:val="en-US" w:eastAsia="zh-CN"/>
        </w:rPr>
        <w:t>88171342</w:t>
      </w:r>
      <w:r>
        <w:rPr>
          <w:rFonts w:hint="eastAsia" w:ascii="仿宋_GB2312" w:hAnsi="仿宋" w:eastAsia="仿宋_GB2312"/>
          <w:sz w:val="32"/>
          <w:szCs w:val="32"/>
        </w:rPr>
        <w:t xml:space="preserve">　 </w:t>
      </w:r>
    </w:p>
    <w:p>
      <w:pPr>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投标人对本招标文件如有疑问，请于202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5</w:t>
      </w:r>
      <w:r>
        <w:rPr>
          <w:rFonts w:hint="eastAsia" w:ascii="仿宋_GB2312" w:hAnsi="仿宋" w:eastAsia="仿宋_GB2312"/>
          <w:sz w:val="32"/>
          <w:szCs w:val="32"/>
        </w:rPr>
        <w:t>日1</w:t>
      </w:r>
      <w:r>
        <w:rPr>
          <w:rFonts w:hint="eastAsia" w:ascii="仿宋_GB2312" w:hAnsi="仿宋" w:eastAsia="仿宋_GB2312"/>
          <w:sz w:val="32"/>
          <w:szCs w:val="32"/>
          <w:lang w:val="en-US" w:eastAsia="zh-CN"/>
        </w:rPr>
        <w:t>8</w:t>
      </w:r>
      <w:r>
        <w:rPr>
          <w:rFonts w:hint="eastAsia" w:ascii="仿宋_GB2312" w:hAnsi="仿宋" w:eastAsia="仿宋_GB2312"/>
          <w:sz w:val="32"/>
          <w:szCs w:val="32"/>
        </w:rPr>
        <w:t>:00时（北京时间）前与</w:t>
      </w:r>
      <w:r>
        <w:rPr>
          <w:rFonts w:hint="eastAsia" w:ascii="仿宋_GB2312" w:hAnsi="仿宋" w:eastAsia="仿宋_GB2312"/>
          <w:sz w:val="32"/>
          <w:szCs w:val="32"/>
          <w:lang w:eastAsia="zh-CN"/>
        </w:rPr>
        <w:t>咨询</w:t>
      </w:r>
      <w:r>
        <w:rPr>
          <w:rFonts w:hint="eastAsia" w:ascii="仿宋_GB2312" w:hAnsi="仿宋" w:eastAsia="仿宋_GB2312"/>
          <w:sz w:val="32"/>
          <w:szCs w:val="32"/>
        </w:rPr>
        <w:t>人联系，超出上述截止时间提出的任何疑问，</w:t>
      </w:r>
      <w:r>
        <w:rPr>
          <w:rFonts w:hint="eastAsia" w:ascii="仿宋_GB2312" w:hAnsi="仿宋" w:eastAsia="仿宋_GB2312"/>
          <w:sz w:val="32"/>
          <w:szCs w:val="32"/>
          <w:lang w:eastAsia="zh-CN"/>
        </w:rPr>
        <w:t>咨询</w:t>
      </w:r>
      <w:r>
        <w:rPr>
          <w:rFonts w:hint="eastAsia" w:ascii="仿宋_GB2312" w:hAnsi="仿宋" w:eastAsia="仿宋_GB2312"/>
          <w:sz w:val="32"/>
          <w:szCs w:val="32"/>
        </w:rPr>
        <w:t>人可不予答复。</w:t>
      </w:r>
    </w:p>
    <w:p>
      <w:pPr>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对于没有提出澄清又参与了该项目投标的供应商将被视为完全认同该招标文件（含澄清纪要），投标截止期后不再受理针对招标文件的相关质疑或投诉。</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rPr>
      </w:pPr>
      <w:r>
        <w:rPr>
          <w:rFonts w:hint="eastAsia" w:ascii="仿宋_GB2312" w:hAnsi="仿宋" w:eastAsia="仿宋_GB2312"/>
          <w:sz w:val="32"/>
          <w:szCs w:val="32"/>
        </w:rPr>
        <w:t>对招标文件中描述有歧意或前后不一致的地方，评标委员会有权</w:t>
      </w:r>
      <w:r>
        <w:rPr>
          <w:rFonts w:hint="eastAsia" w:ascii="仿宋_GB2312" w:hAnsi="仿宋" w:eastAsia="仿宋_GB2312" w:cs="Times New Roman"/>
          <w:sz w:val="32"/>
          <w:szCs w:val="32"/>
        </w:rPr>
        <w:t>进行评判，但对同一条款的评判应适用于每个投标人。</w:t>
      </w:r>
    </w:p>
    <w:p>
      <w:pPr>
        <w:pageBreakBefore w:val="0"/>
        <w:kinsoku/>
        <w:wordWrap/>
        <w:overflowPunct/>
        <w:topLinePunct w:val="0"/>
        <w:autoSpaceDE/>
        <w:autoSpaceDN/>
        <w:bidi w:val="0"/>
        <w:adjustRightInd/>
        <w:snapToGrid/>
        <w:spacing w:line="560" w:lineRule="exact"/>
        <w:ind w:left="0" w:firstLine="640" w:firstLineChars="200"/>
      </w:pPr>
      <w:r>
        <w:rPr>
          <w:rFonts w:hint="eastAsia" w:ascii="仿宋_GB2312" w:hAnsi="仿宋" w:eastAsia="仿宋_GB2312" w:cs="Times New Roman"/>
          <w:sz w:val="32"/>
          <w:szCs w:val="32"/>
        </w:rPr>
        <w:t xml:space="preserve">其他事宜招标方具有最终解释权。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FD46E0"/>
    <w:rsid w:val="E9934462"/>
    <w:rsid w:val="F4F79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pPr>
  </w:style>
  <w:style w:type="paragraph" w:styleId="3">
    <w:name w:val="Body Text Indent"/>
    <w:basedOn w:val="1"/>
    <w:qFormat/>
    <w:uiPriority w:val="0"/>
    <w:pPr>
      <w:ind w:firstLine="560" w:firstLineChars="200"/>
    </w:pPr>
    <w:rPr>
      <w:sz w:val="28"/>
    </w:rPr>
  </w:style>
  <w:style w:type="paragraph" w:styleId="4">
    <w:name w:val="Normal Indent"/>
    <w:basedOn w:val="1"/>
    <w:next w:val="5"/>
    <w:qFormat/>
    <w:uiPriority w:val="99"/>
    <w:pPr>
      <w:ind w:firstLine="420" w:firstLineChars="200"/>
    </w:pPr>
  </w:style>
  <w:style w:type="paragraph" w:styleId="5">
    <w:name w:val="Body Text"/>
    <w:basedOn w:val="1"/>
    <w:next w:val="6"/>
    <w:qFormat/>
    <w:uiPriority w:val="0"/>
    <w:pPr>
      <w:spacing w:after="120"/>
    </w:p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yt</cp:lastModifiedBy>
  <dcterms:modified xsi:type="dcterms:W3CDTF">2025-08-05T11:40:43Z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