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both"/>
        <w:textAlignment w:val="auto"/>
        <w:outlineLvl w:val="0"/>
        <w:rPr>
          <w:rFonts w:hint="eastAsia" w:ascii="黑体" w:hAnsi="黑体" w:eastAsia="黑体" w:cs="黑体"/>
          <w:b w:val="0"/>
          <w:bCs w:val="0"/>
          <w:sz w:val="32"/>
          <w:szCs w:val="32"/>
          <w:lang w:eastAsia="zh-CN"/>
        </w:rPr>
      </w:pPr>
      <w:bookmarkStart w:id="0" w:name="_Hlk71456902"/>
      <w:r>
        <w:rPr>
          <w:rFonts w:hint="eastAsia" w:ascii="黑体" w:hAnsi="黑体" w:eastAsia="黑体" w:cs="黑体"/>
          <w:b w:val="0"/>
          <w:bCs w:val="0"/>
          <w:sz w:val="32"/>
          <w:szCs w:val="32"/>
          <w:lang w:eastAsia="zh-CN"/>
        </w:rPr>
        <w:t>附件</w:t>
      </w:r>
    </w:p>
    <w:p>
      <w:pPr>
        <w:pStyle w:val="39"/>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outlineLvl w:val="0"/>
        <w:rPr>
          <w:rFonts w:hint="eastAsia" w:ascii="方正小标宋简体" w:hAnsi="方正小标宋简体" w:eastAsia="方正小标宋简体" w:cs="方正小标宋简体"/>
          <w:b w:val="0"/>
          <w:bCs w:val="0"/>
          <w:sz w:val="32"/>
          <w:szCs w:val="32"/>
        </w:rPr>
      </w:pPr>
    </w:p>
    <w:p>
      <w:pPr>
        <w:pStyle w:val="39"/>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盐田区图书馆2025年网络安全防护体系</w:t>
      </w:r>
    </w:p>
    <w:p>
      <w:pPr>
        <w:pStyle w:val="39"/>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建设与服务项目采购需求</w:t>
      </w:r>
      <w:r>
        <w:rPr>
          <w:rFonts w:hint="eastAsia" w:ascii="方正小标宋简体" w:hAnsi="方正小标宋简体" w:eastAsia="方正小标宋简体" w:cs="方正小标宋简体"/>
          <w:b w:val="0"/>
          <w:bCs w:val="0"/>
          <w:sz w:val="44"/>
          <w:szCs w:val="44"/>
          <w:lang w:eastAsia="zh-CN"/>
        </w:rPr>
        <w:t>书</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firstLine="480" w:firstLineChars="200"/>
        <w:jc w:val="both"/>
        <w:textAlignment w:val="auto"/>
        <w:outlineLvl w:val="1"/>
        <w:rPr>
          <w:rFonts w:hint="eastAsia" w:asciiTheme="minorEastAsia" w:hAnsiTheme="minorEastAsia" w:eastAsiaTheme="minorEastAsia" w:cstheme="minorEastAsia"/>
          <w:kern w:val="0"/>
          <w:sz w:val="24"/>
          <w:szCs w:val="24"/>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firstLine="481" w:firstLineChars="200"/>
        <w:jc w:val="both"/>
        <w:textAlignment w:val="auto"/>
        <w:outlineLvl w:val="1"/>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val="en-US" w:eastAsia="zh-CN" w:bidi="ar-SA"/>
        </w:rPr>
        <w:t>一、</w:t>
      </w:r>
      <w:r>
        <w:rPr>
          <w:rFonts w:hint="eastAsia" w:asciiTheme="minorEastAsia" w:hAnsiTheme="minorEastAsia" w:eastAsiaTheme="minorEastAsia" w:cstheme="minorEastAsia"/>
          <w:b/>
          <w:bCs/>
          <w:kern w:val="0"/>
          <w:sz w:val="24"/>
          <w:szCs w:val="24"/>
          <w:lang w:eastAsia="zh-CN"/>
        </w:rPr>
        <w:t>项目概况</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为全面提升盐田区图书馆网络安全防护能力，保障业务系统稳定运行及读者信息安全，拟采购盐田区图书馆2025年网络安全防护体系建设与服务项目。项目涵盖网络安全防护体系建设、门户网站及微信改版安全检测、等保测评等核心内容，通过技术加固、漏洞治理、应急响应及人员培训等多维度措施，构建覆盖全业务场景的安全防护体系，确保符合国家网络安全等级保护要求及行业规范。</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firstLine="481" w:firstLineChars="200"/>
        <w:jc w:val="both"/>
        <w:textAlignment w:val="auto"/>
        <w:outlineLvl w:val="1"/>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二、服务内容清单</w:t>
      </w:r>
    </w:p>
    <w:tbl>
      <w:tblPr>
        <w:tblStyle w:val="44"/>
        <w:tblW w:w="5087" w:type="pct"/>
        <w:tblInd w:w="-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67"/>
        <w:gridCol w:w="5146"/>
        <w:gridCol w:w="1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Header/>
        </w:trPr>
        <w:tc>
          <w:tcPr>
            <w:tcW w:w="972" w:type="pct"/>
            <w:tcBorders>
              <w:top w:val="single" w:color="000000" w:sz="4" w:space="0"/>
              <w:left w:val="single" w:color="000000" w:sz="4" w:space="0"/>
              <w:bottom w:val="single" w:color="000000" w:sz="4" w:space="0"/>
              <w:right w:val="single" w:color="000000" w:sz="4" w:space="0"/>
              <w:tl2br w:val="nil"/>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Theme="minorEastAsia" w:hAnsiTheme="minorEastAsia" w:eastAsiaTheme="minorEastAsia" w:cstheme="minorEastAsia"/>
                <w:b/>
                <w:bCs w:val="0"/>
                <w:color w:val="000000"/>
                <w:sz w:val="21"/>
                <w:szCs w:val="21"/>
                <w:vertAlign w:val="baseline"/>
                <w:lang w:eastAsia="zh-CN"/>
              </w:rPr>
            </w:pPr>
            <w:r>
              <w:rPr>
                <w:rFonts w:hint="eastAsia" w:asciiTheme="minorEastAsia" w:hAnsiTheme="minorEastAsia" w:eastAsiaTheme="minorEastAsia" w:cstheme="minorEastAsia"/>
                <w:b/>
                <w:bCs w:val="0"/>
                <w:color w:val="000000"/>
                <w:sz w:val="21"/>
                <w:szCs w:val="21"/>
                <w:vertAlign w:val="baseline"/>
                <w:lang w:val="en-US" w:eastAsia="zh-CN"/>
              </w:rPr>
              <w:t>服务项</w:t>
            </w:r>
          </w:p>
        </w:tc>
        <w:tc>
          <w:tcPr>
            <w:tcW w:w="3000"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Theme="minorEastAsia" w:hAnsiTheme="minorEastAsia" w:eastAsiaTheme="minorEastAsia" w:cstheme="minorEastAsia"/>
                <w:b/>
                <w:bCs w:val="0"/>
                <w:color w:val="000000"/>
                <w:sz w:val="21"/>
                <w:szCs w:val="21"/>
                <w:vertAlign w:val="baseline"/>
                <w:lang w:eastAsia="zh-CN"/>
              </w:rPr>
            </w:pPr>
            <w:r>
              <w:rPr>
                <w:rFonts w:hint="eastAsia" w:asciiTheme="minorEastAsia" w:hAnsiTheme="minorEastAsia" w:eastAsiaTheme="minorEastAsia" w:cstheme="minorEastAsia"/>
                <w:b/>
                <w:bCs w:val="0"/>
                <w:color w:val="000000"/>
                <w:sz w:val="21"/>
                <w:szCs w:val="21"/>
                <w:vertAlign w:val="baseline"/>
                <w:lang w:val="en-US" w:eastAsia="zh-CN"/>
              </w:rPr>
              <w:t>服务内容</w:t>
            </w:r>
          </w:p>
        </w:tc>
        <w:tc>
          <w:tcPr>
            <w:tcW w:w="1026"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Theme="minorEastAsia" w:hAnsiTheme="minorEastAsia" w:eastAsiaTheme="minorEastAsia" w:cstheme="minorEastAsia"/>
                <w:b/>
                <w:bCs w:val="0"/>
                <w:color w:val="000000"/>
                <w:sz w:val="21"/>
                <w:szCs w:val="21"/>
                <w:vertAlign w:val="baseline"/>
                <w:lang w:eastAsia="zh-CN"/>
              </w:rPr>
            </w:pPr>
            <w:r>
              <w:rPr>
                <w:rFonts w:hint="eastAsia" w:asciiTheme="minorEastAsia" w:hAnsiTheme="minorEastAsia" w:eastAsiaTheme="minorEastAsia" w:cstheme="minorEastAsia"/>
                <w:b/>
                <w:bCs w:val="0"/>
                <w:color w:val="000000"/>
                <w:sz w:val="21"/>
                <w:szCs w:val="21"/>
                <w:vertAlign w:val="baseline"/>
                <w:lang w:val="en-US" w:eastAsia="zh-CN"/>
              </w:rPr>
              <w:t>数量/周期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72"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1. 网络安全服务</w:t>
            </w:r>
          </w:p>
        </w:tc>
        <w:tc>
          <w:tcPr>
            <w:tcW w:w="3000"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eastAsia="zh-CN"/>
              </w:rPr>
              <w:t>累计现场服务不少于100人天。</w:t>
            </w:r>
          </w:p>
        </w:tc>
        <w:tc>
          <w:tcPr>
            <w:tcW w:w="1026"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eastAsia="zh-CN"/>
              </w:rPr>
              <w:t>整体服务期限：7个月。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72"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 xml:space="preserve">1.1 </w:t>
            </w:r>
            <w:r>
              <w:rPr>
                <w:rFonts w:hint="eastAsia" w:asciiTheme="minorEastAsia" w:hAnsiTheme="minorEastAsia" w:eastAsiaTheme="minorEastAsia" w:cstheme="minorEastAsia"/>
                <w:b w:val="0"/>
                <w:bCs w:val="0"/>
                <w:color w:val="auto"/>
                <w:sz w:val="21"/>
                <w:szCs w:val="21"/>
                <w:lang w:eastAsia="zh-CN"/>
              </w:rPr>
              <w:t>资产风险评估</w:t>
            </w:r>
          </w:p>
        </w:tc>
        <w:tc>
          <w:tcPr>
            <w:tcW w:w="3000"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内外网资产梳理、核心资产资产风险评估。</w:t>
            </w:r>
          </w:p>
        </w:tc>
        <w:tc>
          <w:tcPr>
            <w:tcW w:w="1026"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60人天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72"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1.2 安全漏洞扫描</w:t>
            </w:r>
          </w:p>
        </w:tc>
        <w:tc>
          <w:tcPr>
            <w:tcW w:w="3000"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开展安全漏洞扫描（≥13个核心系统），提供评估报告、修复建议并督促实施修复。</w:t>
            </w:r>
          </w:p>
        </w:tc>
        <w:tc>
          <w:tcPr>
            <w:tcW w:w="1026"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72"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1.3 渗透测试</w:t>
            </w:r>
          </w:p>
        </w:tc>
        <w:tc>
          <w:tcPr>
            <w:tcW w:w="3000"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开展系统渗透测试（≥10个核心系统），提供评估报告、修复建议并督促实施修复。</w:t>
            </w:r>
          </w:p>
        </w:tc>
        <w:tc>
          <w:tcPr>
            <w:tcW w:w="1026"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72"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1.4防护体系治理及安全加固</w:t>
            </w:r>
          </w:p>
        </w:tc>
        <w:tc>
          <w:tcPr>
            <w:tcW w:w="3000"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针对发现的漏洞和配置隐患，进行及时有效的修复和优化；部署常用防护工具体系；涉及系统开发问题，给出修复建议并督促修复。</w:t>
            </w:r>
          </w:p>
        </w:tc>
        <w:tc>
          <w:tcPr>
            <w:tcW w:w="1026"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资产评估期间完成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72"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1.5重保时刻支持</w:t>
            </w:r>
          </w:p>
        </w:tc>
        <w:tc>
          <w:tcPr>
            <w:tcW w:w="3000"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在护网或重大保障时期，事前加固、活动期间现场值守（≥7*24小时）、事后总结报告</w:t>
            </w:r>
          </w:p>
        </w:tc>
        <w:tc>
          <w:tcPr>
            <w:tcW w:w="1026"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≥1次（按需增配）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72"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1.6 演练与培训</w:t>
            </w:r>
          </w:p>
        </w:tc>
        <w:tc>
          <w:tcPr>
            <w:tcW w:w="3000"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攻防演练（模拟真实攻击场景）；安全意识培训（面向技术人员及全体馆员），每次不少于2学时。</w:t>
            </w:r>
          </w:p>
        </w:tc>
        <w:tc>
          <w:tcPr>
            <w:tcW w:w="1026"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演练1次</w:t>
            </w:r>
            <w:r>
              <w:rPr>
                <w:rFonts w:hint="eastAsia" w:asciiTheme="minorEastAsia" w:hAnsiTheme="minorEastAsia" w:eastAsiaTheme="minorEastAsia" w:cstheme="minorEastAsia"/>
                <w:b w:val="0"/>
                <w:bCs w:val="0"/>
                <w:color w:val="000000"/>
                <w:sz w:val="21"/>
                <w:szCs w:val="21"/>
                <w:vertAlign w:val="baseline"/>
                <w:lang w:val="en-US" w:eastAsia="zh-CN"/>
              </w:rPr>
              <w:br w:type="textWrapping"/>
            </w:r>
            <w:r>
              <w:rPr>
                <w:rFonts w:hint="eastAsia" w:asciiTheme="minorEastAsia" w:hAnsiTheme="minorEastAsia" w:eastAsiaTheme="minorEastAsia" w:cstheme="minorEastAsia"/>
                <w:b w:val="0"/>
                <w:bCs w:val="0"/>
                <w:color w:val="000000"/>
                <w:sz w:val="21"/>
                <w:szCs w:val="21"/>
                <w:vertAlign w:val="baseline"/>
                <w:lang w:val="en-US" w:eastAsia="zh-CN"/>
              </w:rPr>
              <w:t>培训2次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72"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1.7 日常安全支持</w:t>
            </w:r>
          </w:p>
        </w:tc>
        <w:tc>
          <w:tcPr>
            <w:tcW w:w="3000"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日常安全检查、安全事件响应、策略优化、日志分析、供应链管理、安全制度修订、台账机制建立</w:t>
            </w:r>
            <w:r>
              <w:rPr>
                <w:rFonts w:hint="eastAsia" w:asciiTheme="minorEastAsia" w:hAnsiTheme="minorEastAsia" w:eastAsiaTheme="minorEastAsia" w:cstheme="minorEastAsia"/>
                <w:color w:val="auto"/>
                <w:sz w:val="21"/>
                <w:szCs w:val="21"/>
                <w:highlight w:val="none"/>
                <w:lang w:val="en-US" w:eastAsia="zh-CN"/>
              </w:rPr>
              <w:t>。</w:t>
            </w:r>
          </w:p>
        </w:tc>
        <w:tc>
          <w:tcPr>
            <w:tcW w:w="1026"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现场驻守，每周2天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72"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2. 改版项目安全服务</w:t>
            </w:r>
          </w:p>
        </w:tc>
        <w:tc>
          <w:tcPr>
            <w:tcW w:w="3000"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eastAsia="zh-CN"/>
              </w:rPr>
              <w:t>专项服务</w:t>
            </w:r>
          </w:p>
        </w:tc>
        <w:tc>
          <w:tcPr>
            <w:tcW w:w="1026"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Theme="minorEastAsia" w:hAnsiTheme="minorEastAsia" w:eastAsiaTheme="minorEastAsia" w:cstheme="minorEastAsia"/>
                <w:b w:val="0"/>
                <w:bCs w:val="0"/>
                <w:color w:val="000000"/>
                <w:sz w:val="21"/>
                <w:szCs w:val="21"/>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72"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2.1 上线安全检测</w:t>
            </w:r>
          </w:p>
        </w:tc>
        <w:tc>
          <w:tcPr>
            <w:tcW w:w="3000"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针对改版后的门户网站及微信平台，进行上线前安全检测（包括漏洞扫描、配置审</w:t>
            </w:r>
            <w:r>
              <w:rPr>
                <w:rFonts w:hint="eastAsia" w:asciiTheme="minorEastAsia" w:hAnsiTheme="minorEastAsia" w:eastAsiaTheme="minorEastAsia" w:cstheme="minorEastAsia"/>
                <w:b w:val="0"/>
                <w:bCs w:val="0"/>
                <w:color w:val="auto"/>
                <w:sz w:val="21"/>
                <w:szCs w:val="21"/>
                <w:vertAlign w:val="baseline"/>
                <w:lang w:val="en-US" w:eastAsia="zh-CN"/>
              </w:rPr>
              <w:t>计、信创符合性审查</w:t>
            </w:r>
            <w:r>
              <w:rPr>
                <w:rFonts w:hint="eastAsia" w:asciiTheme="minorEastAsia" w:hAnsiTheme="minorEastAsia" w:eastAsiaTheme="minorEastAsia" w:cstheme="minorEastAsia"/>
                <w:b w:val="0"/>
                <w:bCs w:val="0"/>
                <w:color w:val="000000"/>
                <w:sz w:val="21"/>
                <w:szCs w:val="21"/>
                <w:vertAlign w:val="baseline"/>
                <w:lang w:val="en-US" w:eastAsia="zh-CN"/>
              </w:rPr>
              <w:t>），确保无中、高风险漏洞。</w:t>
            </w:r>
          </w:p>
        </w:tc>
        <w:tc>
          <w:tcPr>
            <w:tcW w:w="1026"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72"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2.2 源代码审计</w:t>
            </w:r>
          </w:p>
        </w:tc>
        <w:tc>
          <w:tcPr>
            <w:tcW w:w="3000"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对改版项目代码进行全面审计，识别并修复安全漏洞（覆盖常见OWASP Top 10风险）。</w:t>
            </w:r>
          </w:p>
        </w:tc>
        <w:tc>
          <w:tcPr>
            <w:tcW w:w="1026"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72"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2.3 安全咨询支持</w:t>
            </w:r>
          </w:p>
        </w:tc>
        <w:tc>
          <w:tcPr>
            <w:tcW w:w="3000"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提供改版全过程的安全咨询，包括设计评审、实施指导及问题解决。</w:t>
            </w:r>
          </w:p>
        </w:tc>
        <w:tc>
          <w:tcPr>
            <w:tcW w:w="1026"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72"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3. 等保测评服务</w:t>
            </w:r>
          </w:p>
        </w:tc>
        <w:tc>
          <w:tcPr>
            <w:tcW w:w="3000"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eastAsia="zh-CN"/>
              </w:rPr>
            </w:pPr>
            <w:r>
              <w:rPr>
                <w:rFonts w:hint="eastAsia" w:asciiTheme="minorEastAsia" w:hAnsiTheme="minorEastAsia" w:eastAsiaTheme="minorEastAsia" w:cstheme="minorEastAsia"/>
                <w:b w:val="0"/>
                <w:bCs w:val="0"/>
                <w:color w:val="000000"/>
                <w:sz w:val="21"/>
                <w:szCs w:val="21"/>
                <w:vertAlign w:val="baseline"/>
                <w:lang w:val="en-US" w:eastAsia="zh-CN"/>
              </w:rPr>
              <w:t>专项服务</w:t>
            </w:r>
          </w:p>
        </w:tc>
        <w:tc>
          <w:tcPr>
            <w:tcW w:w="1026"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Theme="minorEastAsia" w:hAnsiTheme="minorEastAsia" w:eastAsiaTheme="minorEastAsia" w:cstheme="minorEastAsia"/>
                <w:b w:val="0"/>
                <w:bCs w:val="0"/>
                <w:color w:val="000000"/>
                <w:sz w:val="21"/>
                <w:szCs w:val="21"/>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72"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3.1等保测评服务</w:t>
            </w:r>
          </w:p>
        </w:tc>
        <w:tc>
          <w:tcPr>
            <w:tcW w:w="3000"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依据国家标准（GB/T 22239-2019），对改版后的门户网站及微信系统</w:t>
            </w:r>
            <w:r>
              <w:rPr>
                <w:rFonts w:hint="eastAsia" w:asciiTheme="minorEastAsia" w:hAnsiTheme="minorEastAsia" w:eastAsiaTheme="minorEastAsia" w:cstheme="minorEastAsia"/>
                <w:color w:val="auto"/>
                <w:sz w:val="21"/>
                <w:szCs w:val="21"/>
                <w:lang w:eastAsia="zh-CN"/>
              </w:rPr>
              <w:t>完成定级、备案、差距测评和整改、信息安全等级测评</w:t>
            </w:r>
            <w:r>
              <w:rPr>
                <w:rFonts w:hint="eastAsia" w:asciiTheme="minorEastAsia" w:hAnsiTheme="minorEastAsia" w:eastAsiaTheme="minorEastAsia" w:cstheme="minorEastAsia"/>
                <w:b w:val="0"/>
                <w:bCs w:val="0"/>
                <w:color w:val="000000"/>
                <w:sz w:val="21"/>
                <w:szCs w:val="21"/>
                <w:vertAlign w:val="baseline"/>
                <w:lang w:val="en-US" w:eastAsia="zh-CN"/>
              </w:rPr>
              <w:t>（目标等级不低于二级）。</w:t>
            </w:r>
          </w:p>
        </w:tc>
        <w:tc>
          <w:tcPr>
            <w:tcW w:w="1026" w:type="pct"/>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1项</w:t>
            </w:r>
          </w:p>
        </w:tc>
      </w:tr>
    </w:tbl>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firstLine="481" w:firstLineChars="200"/>
        <w:jc w:val="both"/>
        <w:textAlignment w:val="auto"/>
        <w:outlineLvl w:val="1"/>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三、技术要求</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782"/>
        <w:gridCol w:w="6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12"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1045" w:type="pc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技术指标项</w:t>
            </w:r>
          </w:p>
        </w:tc>
        <w:tc>
          <w:tcPr>
            <w:tcW w:w="3542"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412"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w:t>
            </w:r>
          </w:p>
        </w:tc>
        <w:tc>
          <w:tcPr>
            <w:tcW w:w="1045" w:type="pc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资产风险评估</w:t>
            </w:r>
          </w:p>
        </w:tc>
        <w:tc>
          <w:tcPr>
            <w:tcW w:w="3542" w:type="pct"/>
            <w:noWrap w:val="0"/>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资产梳理需生成可视化台账，覆盖IP地址、端口、服务、责任人等信息。对核心系统涉及资产进行风险评估，提出风险处置计划和建议，输出《安全风险评估报告》。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2"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bCs/>
                <w:color w:val="auto"/>
                <w:sz w:val="21"/>
                <w:szCs w:val="21"/>
                <w:lang w:val="en-US" w:eastAsia="zh-CN"/>
              </w:rPr>
              <w:t>2</w:t>
            </w:r>
          </w:p>
        </w:tc>
        <w:tc>
          <w:tcPr>
            <w:tcW w:w="1045" w:type="pct"/>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漏洞检测与修复</w:t>
            </w:r>
          </w:p>
        </w:tc>
        <w:tc>
          <w:tcPr>
            <w:tcW w:w="354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通过漏洞扫描对评估范围内的基础IT设备及系统进行安全检测，核查目标是否存在弱口令、漏洞和安全威胁，结合漏洞特征、危害程度、危害范围进行综合分析，对漏洞进行风险等级判定，同时提供专业性、针对性的安全加固、整改建议，协助客户完成漏洞修复后提供复查服务，保障漏洞已加固，</w:t>
            </w:r>
            <w:r>
              <w:rPr>
                <w:rFonts w:hint="eastAsia" w:asciiTheme="minorEastAsia" w:hAnsiTheme="minorEastAsia" w:eastAsiaTheme="minorEastAsia" w:cstheme="minorEastAsia"/>
                <w:color w:val="auto"/>
                <w:sz w:val="21"/>
                <w:szCs w:val="21"/>
                <w:lang w:val="en-US" w:eastAsia="zh-CN"/>
              </w:rPr>
              <w:t>整改后复测通过率100%。</w:t>
            </w:r>
            <w:r>
              <w:rPr>
                <w:rFonts w:hint="eastAsia" w:asciiTheme="minorEastAsia" w:hAnsiTheme="minorEastAsia" w:eastAsiaTheme="minorEastAsia" w:cstheme="minorEastAsia"/>
                <w:color w:val="auto"/>
                <w:sz w:val="21"/>
                <w:szCs w:val="21"/>
                <w:highlight w:val="none"/>
                <w:lang w:val="en-US" w:eastAsia="zh-CN"/>
              </w:rPr>
              <w:t>输出《漏洞检测报告》（附修复建议）。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412"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3</w:t>
            </w:r>
          </w:p>
        </w:tc>
        <w:tc>
          <w:tcPr>
            <w:tcW w:w="1045" w:type="pct"/>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渗透测试</w:t>
            </w:r>
          </w:p>
        </w:tc>
        <w:tc>
          <w:tcPr>
            <w:tcW w:w="354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开展人工黑盒测试，</w:t>
            </w:r>
            <w:r>
              <w:rPr>
                <w:rFonts w:hint="eastAsia" w:asciiTheme="minorEastAsia" w:hAnsiTheme="minorEastAsia" w:eastAsiaTheme="minorEastAsia" w:cstheme="minorEastAsia"/>
                <w:color w:val="auto"/>
                <w:sz w:val="21"/>
                <w:szCs w:val="21"/>
                <w:lang w:val="en-US" w:eastAsia="zh-CN"/>
              </w:rPr>
              <w:t>模拟真实攻击场景，</w:t>
            </w:r>
            <w:r>
              <w:rPr>
                <w:rFonts w:hint="eastAsia" w:asciiTheme="minorEastAsia" w:hAnsiTheme="minorEastAsia" w:eastAsiaTheme="minorEastAsia" w:cstheme="minorEastAsia"/>
                <w:b w:val="0"/>
                <w:bCs w:val="0"/>
                <w:color w:val="000000"/>
                <w:sz w:val="21"/>
                <w:szCs w:val="21"/>
                <w:vertAlign w:val="baseline"/>
                <w:lang w:val="en-US" w:eastAsia="zh-CN"/>
              </w:rPr>
              <w:t>发现网络和业务系统中网络和系统存在的安全缺陷，针对核心系统（预计10个）提供渗透测试报告和改进建议，验证当前的安全防护措施，找出风险点并提供整改建议，协助进行安全整改。输出《</w:t>
            </w:r>
            <w:r>
              <w:rPr>
                <w:rFonts w:hint="eastAsia" w:asciiTheme="minorEastAsia" w:hAnsiTheme="minorEastAsia" w:eastAsiaTheme="minorEastAsia" w:cstheme="minorEastAsia"/>
                <w:color w:val="auto"/>
                <w:sz w:val="21"/>
                <w:szCs w:val="21"/>
                <w:highlight w:val="none"/>
                <w:lang w:val="en-US" w:eastAsia="zh-CN"/>
              </w:rPr>
              <w:t>渗透测试报告</w:t>
            </w:r>
            <w:r>
              <w:rPr>
                <w:rFonts w:hint="eastAsia" w:asciiTheme="minorEastAsia" w:hAnsiTheme="minorEastAsia" w:eastAsiaTheme="minorEastAsia" w:cstheme="minorEastAsia"/>
                <w:b w:val="0"/>
                <w:bCs w:val="0"/>
                <w:color w:val="000000"/>
                <w:sz w:val="21"/>
                <w:szCs w:val="21"/>
                <w:vertAlign w:val="baseline"/>
                <w:lang w:val="en-US" w:eastAsia="zh-CN"/>
              </w:rPr>
              <w:t>》</w:t>
            </w:r>
            <w:r>
              <w:rPr>
                <w:rFonts w:hint="eastAsia" w:asciiTheme="minorEastAsia" w:hAnsiTheme="minorEastAsia" w:eastAsiaTheme="minorEastAsia" w:cstheme="minorEastAsia"/>
                <w:color w:val="auto"/>
                <w:sz w:val="21"/>
                <w:szCs w:val="21"/>
                <w:highlight w:val="none"/>
                <w:lang w:val="en-US" w:eastAsia="zh-CN"/>
              </w:rPr>
              <w:t>（附修复建议）。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2"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4</w:t>
            </w:r>
          </w:p>
        </w:tc>
        <w:tc>
          <w:tcPr>
            <w:tcW w:w="1045" w:type="pct"/>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防护体系治理及安全加固</w:t>
            </w:r>
          </w:p>
        </w:tc>
        <w:tc>
          <w:tcPr>
            <w:tcW w:w="354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加固内容涵盖系统补丁更新、防火墙策略调整、防病毒软件升级、危险服务关闭、共享设置优化、自动播放功能禁用、密码安全策略强化等方面，全面提升系统的安全性和稳定性。涉及系统开发问题，给出修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412"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bCs/>
                <w:color w:val="auto"/>
                <w:sz w:val="21"/>
                <w:szCs w:val="21"/>
                <w:highlight w:val="none"/>
                <w:lang w:val="en-US" w:eastAsia="zh-CN"/>
              </w:rPr>
              <w:t>5</w:t>
            </w:r>
          </w:p>
        </w:tc>
        <w:tc>
          <w:tcPr>
            <w:tcW w:w="1045" w:type="pct"/>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重保与应急响应</w:t>
            </w:r>
          </w:p>
        </w:tc>
        <w:tc>
          <w:tcPr>
            <w:tcW w:w="354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提供7*24小时专家驻场；输出《重保总结报告》（含攻击溯源及防护成效）。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2"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6</w:t>
            </w:r>
          </w:p>
        </w:tc>
        <w:tc>
          <w:tcPr>
            <w:tcW w:w="1045" w:type="pct"/>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安全培训</w:t>
            </w:r>
          </w:p>
        </w:tc>
        <w:tc>
          <w:tcPr>
            <w:tcW w:w="354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针对不同岗位和职责的人员提供不同培训内容，包括信息安全讲座（含保密要求）、信息安全意识教育、信息系统维护及管理技术培训。输出演练总结、培训材料。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412"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7</w:t>
            </w:r>
          </w:p>
        </w:tc>
        <w:tc>
          <w:tcPr>
            <w:tcW w:w="1045" w:type="pct"/>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日常技术支持</w:t>
            </w:r>
          </w:p>
        </w:tc>
        <w:tc>
          <w:tcPr>
            <w:tcW w:w="354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网络安全技术支持，通过巡检及时发现系统中存在的安全风险，并提供针对性的整改建议，提升业务系统的安全性。输出月度安全报告（含资产台账、漏洞清单）、安全管理制度、操作规范及应急响应机制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2"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8</w:t>
            </w:r>
          </w:p>
        </w:tc>
        <w:tc>
          <w:tcPr>
            <w:tcW w:w="1045" w:type="pct"/>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上线安全检测</w:t>
            </w:r>
          </w:p>
        </w:tc>
        <w:tc>
          <w:tcPr>
            <w:tcW w:w="354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对盐田区图书馆门户网站及微信改版项目（包括主机、业务应用、后台数据库等）进行全面的安全检测，出具安全检测报告。配合开展检测问题修复，并组织复测。输出《上线安全检测报告》。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412"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bCs/>
                <w:color w:val="auto"/>
                <w:sz w:val="21"/>
                <w:szCs w:val="21"/>
                <w:highlight w:val="none"/>
                <w:lang w:val="en-US" w:eastAsia="zh-CN"/>
              </w:rPr>
              <w:t>9</w:t>
            </w:r>
          </w:p>
        </w:tc>
        <w:tc>
          <w:tcPr>
            <w:tcW w:w="1045" w:type="pct"/>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源代码审计</w:t>
            </w:r>
          </w:p>
        </w:tc>
        <w:tc>
          <w:tcPr>
            <w:tcW w:w="354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对门户网站及微信改版项目进行源代码审计，输出代码审计报告；协助建设和开发单位完成问题修复，验证修复结果的有效性，输出复查报告。最终输出《源代码安全检测报告》。</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通过以下两种方式检查源代码，发现潜在的安全漏洞：</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（1）静态代码分析工具：通过分析源代码来发现潜在的安全漏洞和代码质量问题。</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（2）人工审查：对静态代码分析工具发现的问题进行复核和提供整改建议。</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覆盖注入、越权、敏感信息泄露等风险，审计工具需具备CWE兼容性认证。符合GB/T 34943-2017《信息安全技术 源代码审计指南》要求，审计范围覆盖核心业务模块及第三方组件。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2"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10</w:t>
            </w:r>
          </w:p>
        </w:tc>
        <w:tc>
          <w:tcPr>
            <w:tcW w:w="1045" w:type="pct"/>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安全咨询支持</w:t>
            </w:r>
          </w:p>
        </w:tc>
        <w:tc>
          <w:tcPr>
            <w:tcW w:w="354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针对门户网站及微信改版项目的建设、实施、验收及运维等提供安全建议和方案，提供安全咨询支持，对存在的网络安全问题提供解决方案，并指导方案的实施。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12"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color w:val="auto"/>
                <w:sz w:val="24"/>
                <w:szCs w:val="24"/>
                <w:vertAlign w:val="baseline"/>
                <w:lang w:val="en-US" w:eastAsia="zh-CN"/>
              </w:rPr>
              <w:t>★</w:t>
            </w:r>
            <w:r>
              <w:rPr>
                <w:rFonts w:hint="eastAsia" w:asciiTheme="minorEastAsia" w:hAnsiTheme="minorEastAsia" w:eastAsiaTheme="minorEastAsia" w:cstheme="minorEastAsia"/>
                <w:b/>
                <w:color w:val="auto"/>
                <w:sz w:val="21"/>
                <w:szCs w:val="21"/>
                <w:lang w:val="en-US" w:eastAsia="zh-CN"/>
              </w:rPr>
              <w:t>11</w:t>
            </w:r>
          </w:p>
        </w:tc>
        <w:tc>
          <w:tcPr>
            <w:tcW w:w="1045" w:type="pct"/>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等保测评</w:t>
            </w:r>
          </w:p>
        </w:tc>
        <w:tc>
          <w:tcPr>
            <w:tcW w:w="354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（1）系统定级和备案：根据《信息安全技术信息系统安全等级保护定级指南》和《信息安全等级保护管理办法》为采购人提供定级和备案服务。</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（2）差距测评：根据等保基本要求从技术和管理两大方面对物理、网络、主机、应用、数据、管理制度、管理机构、人员、系统建设、运维体系的等保管理要求测评。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（3）等保整改：根据差距测评结果对不符合部分进行整改，对无法通过安全服务实现整改而需要集成安全产品和系统的部分，提出安全需求，建立规划设计方案。</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等级保护测评报告：对盐田区图书馆门户网站及微信平台开展等级保护测评工作，包括但不限于以下几个层面检查:安全物理环境、安全通信网络、安全区域边界、安全计算环境、安全管理中心、安全管理制度安全管理机构、安全管理人员、安全建设官理、安全运维管理等。协助对中高危风险项整改，输出《等级保护测评报告》。</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lang w:eastAsia="zh-CN"/>
              </w:rPr>
              <w:t>等保测评需由具备资质的机构执行（相关费用已包括在本项目报价之内），测评报告需通过公安部门备案。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12"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12</w:t>
            </w:r>
          </w:p>
        </w:tc>
        <w:tc>
          <w:tcPr>
            <w:tcW w:w="104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交付物要求</w:t>
            </w:r>
          </w:p>
        </w:tc>
        <w:tc>
          <w:tcPr>
            <w:tcW w:w="354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所有报告以中文电子版及纸质版交付，签字并加盖相关确认印章。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 w:hRule="atLeast"/>
        </w:trPr>
        <w:tc>
          <w:tcPr>
            <w:tcW w:w="412"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color w:val="auto"/>
                <w:sz w:val="21"/>
                <w:szCs w:val="21"/>
                <w:lang w:val="en-US" w:eastAsia="zh-CN"/>
              </w:rPr>
              <w:t>13</w:t>
            </w:r>
          </w:p>
        </w:tc>
        <w:tc>
          <w:tcPr>
            <w:tcW w:w="1045" w:type="pct"/>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服务队伍</w:t>
            </w:r>
          </w:p>
        </w:tc>
        <w:tc>
          <w:tcPr>
            <w:tcW w:w="354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FF0000"/>
                <w:sz w:val="21"/>
                <w:szCs w:val="21"/>
              </w:rPr>
              <w:t>具备专业稳定的维护服务队伍，</w:t>
            </w:r>
            <w:r>
              <w:rPr>
                <w:rFonts w:hint="eastAsia" w:asciiTheme="minorEastAsia" w:hAnsiTheme="minorEastAsia" w:eastAsiaTheme="minorEastAsia" w:cstheme="minorEastAsia"/>
                <w:b/>
                <w:bCs/>
                <w:color w:val="FF0000"/>
                <w:sz w:val="21"/>
                <w:szCs w:val="21"/>
                <w:lang w:eastAsia="zh-CN"/>
              </w:rPr>
              <w:t>配备项目经理</w:t>
            </w:r>
            <w:r>
              <w:rPr>
                <w:rFonts w:hint="eastAsia" w:asciiTheme="minorEastAsia" w:hAnsiTheme="minorEastAsia" w:eastAsiaTheme="minorEastAsia" w:cstheme="minorEastAsia"/>
                <w:b/>
                <w:bCs/>
                <w:color w:val="FF0000"/>
                <w:sz w:val="21"/>
                <w:szCs w:val="21"/>
                <w:lang w:val="en-US" w:eastAsia="zh-CN"/>
              </w:rPr>
              <w:t>1人、驻场人员1人、其他技术人员不少于3人.</w:t>
            </w:r>
            <w:r>
              <w:rPr>
                <w:rFonts w:hint="eastAsia" w:asciiTheme="minorEastAsia" w:hAnsiTheme="minorEastAsia" w:eastAsiaTheme="minorEastAsia" w:cstheme="minorEastAsia"/>
                <w:b/>
                <w:bCs/>
                <w:color w:val="FF0000"/>
                <w:sz w:val="21"/>
                <w:szCs w:val="21"/>
              </w:rPr>
              <w:t>提供服务的相关人员须有国家和有关部门规定的相应资质</w:t>
            </w:r>
            <w:r>
              <w:rPr>
                <w:rFonts w:hint="eastAsia" w:asciiTheme="minorEastAsia" w:hAnsiTheme="minorEastAsia" w:eastAsiaTheme="minorEastAsia" w:cstheme="minorEastAsia"/>
                <w:b/>
                <w:bCs/>
                <w:color w:val="FF0000"/>
                <w:sz w:val="21"/>
                <w:szCs w:val="21"/>
                <w:lang w:eastAsia="zh-CN"/>
              </w:rPr>
              <w:t>，其中驻场人员须持有CISSP或CISP证书。</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 xml:space="preserve">说明：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带“★”指标项为实质性条款，不作为评分准则中的评分内容。如出现负偏离，将被视为未实质性满足招标文件要求作投标无效处理；带“▲”指标项为重要参数条款，负偏离时依相关评分准则内容作重点扣分处理。</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2.招标技术要求中，用红色加粗字体标注的指标项均要求提供证明资料，共</w:t>
      </w:r>
      <w:r>
        <w:rPr>
          <w:rFonts w:hint="eastAsia" w:asciiTheme="minorEastAsia" w:hAnsiTheme="minorEastAsia" w:eastAsiaTheme="minorEastAsia" w:cstheme="minorEastAsia"/>
          <w:color w:val="auto"/>
          <w:sz w:val="24"/>
          <w:szCs w:val="24"/>
          <w:u w:val="single"/>
          <w:vertAlign w:val="baseline"/>
          <w:lang w:val="en-US" w:eastAsia="zh-CN"/>
        </w:rPr>
        <w:t>1</w:t>
      </w:r>
      <w:r>
        <w:rPr>
          <w:rFonts w:hint="eastAsia" w:asciiTheme="minorEastAsia" w:hAnsiTheme="minorEastAsia" w:eastAsiaTheme="minorEastAsia" w:cstheme="minorEastAsia"/>
          <w:color w:val="auto"/>
          <w:sz w:val="24"/>
          <w:szCs w:val="24"/>
          <w:vertAlign w:val="baseline"/>
          <w:lang w:val="en-US" w:eastAsia="zh-CN"/>
        </w:rPr>
        <w:t>项；其余指标项未要求提供证明资料，无需提供相关证明资料。</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firstLine="481" w:firstLineChars="200"/>
        <w:jc w:val="both"/>
        <w:textAlignment w:val="auto"/>
        <w:outlineLvl w:val="1"/>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四、商务要求</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799"/>
        <w:gridCol w:w="6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商务指标项</w:t>
            </w:r>
          </w:p>
        </w:tc>
        <w:tc>
          <w:tcPr>
            <w:tcW w:w="353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1</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服务期</w:t>
            </w:r>
          </w:p>
        </w:tc>
        <w:tc>
          <w:tcPr>
            <w:tcW w:w="353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各项服务应按照规定的时间节点完成，网络安全服务在 7 个月内完成全部服务内容；门户网站及微信改版服务项目的上线安全检测、源代码审计及安全咨询支持服务应在项目上线前完成；等保测评在门户改版完成后</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故障服务响应</w:t>
            </w:r>
          </w:p>
        </w:tc>
        <w:tc>
          <w:tcPr>
            <w:tcW w:w="353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日常支持：</w:t>
            </w:r>
            <w:r>
              <w:rPr>
                <w:rFonts w:hint="eastAsia" w:asciiTheme="minorEastAsia" w:hAnsiTheme="minorEastAsia" w:eastAsiaTheme="minorEastAsia" w:cstheme="minorEastAsia"/>
                <w:sz w:val="21"/>
                <w:szCs w:val="21"/>
              </w:rPr>
              <w:t>提供7×24小时响应支持，在收到用户故障通知后，1小时内予以响应，一般故障须在4小时内完成修复，重大故障应在24小时内提出解决方案并尽快修复。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重保期间：</w:t>
            </w:r>
            <w:r>
              <w:rPr>
                <w:rFonts w:hint="eastAsia" w:asciiTheme="minorEastAsia" w:hAnsiTheme="minorEastAsia" w:eastAsiaTheme="minorEastAsia" w:cstheme="minorEastAsia"/>
                <w:color w:val="auto"/>
                <w:sz w:val="21"/>
                <w:szCs w:val="21"/>
                <w:highlight w:val="none"/>
                <w:lang w:val="en-US" w:eastAsia="zh-CN"/>
              </w:rPr>
              <w:t>驻点期间10分钟内响应安全事件，1小时内启动处置流程，4小时内控制风险。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服务流程</w:t>
            </w:r>
          </w:p>
        </w:tc>
        <w:tc>
          <w:tcPr>
            <w:tcW w:w="3532" w:type="pct"/>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中标人应在项目实施前制定详细的项目实施方案，包括服务规划、流程</w:t>
            </w:r>
            <w:r>
              <w:rPr>
                <w:rFonts w:hint="eastAsia" w:asciiTheme="minorEastAsia" w:hAnsiTheme="minorEastAsia" w:eastAsiaTheme="minorEastAsia" w:cstheme="minorEastAsia"/>
                <w:bCs/>
                <w:sz w:val="21"/>
                <w:szCs w:val="21"/>
                <w:lang w:eastAsia="zh-CN"/>
              </w:rPr>
              <w:t>、评测机构</w:t>
            </w:r>
            <w:r>
              <w:rPr>
                <w:rFonts w:hint="eastAsia" w:asciiTheme="minorEastAsia" w:hAnsiTheme="minorEastAsia" w:eastAsiaTheme="minorEastAsia" w:cstheme="minorEastAsia"/>
                <w:bCs/>
                <w:sz w:val="21"/>
                <w:szCs w:val="21"/>
              </w:rPr>
              <w:t>等，经采购人审核确认后实施。在项目实施过程中，应按照采购人要求的时间段进行系统升级切换，减少对现有业务的影响。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安全保障</w:t>
            </w:r>
          </w:p>
        </w:tc>
        <w:tc>
          <w:tcPr>
            <w:tcW w:w="3532" w:type="pct"/>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中标人需具备专业的网络安全运维服务能力，能够及时发现并处理可能出现的安全威胁，负责服务期间相关系统的安全漏洞修复和整改工作。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保密要求</w:t>
            </w:r>
          </w:p>
        </w:tc>
        <w:tc>
          <w:tcPr>
            <w:tcW w:w="3532" w:type="pct"/>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签订保密协议，禁止外泄系统架构、漏洞细节等敏感信息。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服务过程及成果要求</w:t>
            </w:r>
          </w:p>
        </w:tc>
        <w:tc>
          <w:tcPr>
            <w:tcW w:w="3532" w:type="pct"/>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服务过程需遵循《网络安全法》《数据安全法》及等保2.0标准。相关服务成果须达到国家信息化项目安全服务成果验收标准要求，直至通过相关审批部门的评测及认可为止。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▲7</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配套工具支持</w:t>
            </w:r>
          </w:p>
        </w:tc>
        <w:tc>
          <w:tcPr>
            <w:tcW w:w="3532" w:type="pct"/>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
                <w:bCs w:val="0"/>
                <w:color w:val="FF0000"/>
                <w:sz w:val="21"/>
                <w:szCs w:val="21"/>
                <w:lang w:val="en-US" w:eastAsia="zh-CN"/>
              </w:rPr>
              <w:t>投标人提供针对本项目实施过程中所使用的安全扫描、代码审计、等保测评等相关软件设备清单，并承诺所有软件设备均免费用于本项目。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12"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8</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服务性能</w:t>
            </w:r>
          </w:p>
        </w:tc>
        <w:tc>
          <w:tcPr>
            <w:tcW w:w="3532" w:type="pct"/>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如在项目</w:t>
            </w:r>
            <w:r>
              <w:rPr>
                <w:rFonts w:hint="eastAsia" w:asciiTheme="minorEastAsia" w:hAnsiTheme="minorEastAsia" w:eastAsiaTheme="minorEastAsia" w:cstheme="minorEastAsia"/>
                <w:sz w:val="21"/>
                <w:szCs w:val="21"/>
                <w:lang w:eastAsia="zh-CN"/>
              </w:rPr>
              <w:t>服务</w:t>
            </w:r>
            <w:r>
              <w:rPr>
                <w:rFonts w:hint="eastAsia" w:asciiTheme="minorEastAsia" w:hAnsiTheme="minorEastAsia" w:eastAsiaTheme="minorEastAsia" w:cstheme="minorEastAsia"/>
                <w:sz w:val="21"/>
                <w:szCs w:val="21"/>
              </w:rPr>
              <w:t>过程中，发现整体服务质量或服务性能不达标，则中标人须按照采购人要求免费进行整改和优化。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412" w:type="pct"/>
            <w:noWrap w:val="0"/>
            <w:vAlign w:val="center"/>
          </w:tcPr>
          <w:p>
            <w:pPr>
              <w:keepNext w:val="0"/>
              <w:keepLines w:val="0"/>
              <w:pageBreakBefore w:val="0"/>
              <w:widowControl w:val="0"/>
              <w:kinsoku/>
              <w:wordWrap/>
              <w:overflowPunct/>
              <w:topLinePunct w:val="0"/>
              <w:bidi w:val="0"/>
              <w:snapToGrid/>
              <w:spacing w:line="340" w:lineRule="exact"/>
              <w:jc w:val="center"/>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color w:val="auto"/>
                <w:sz w:val="21"/>
                <w:szCs w:val="21"/>
                <w:highlight w:val="none"/>
                <w:lang w:val="en-US" w:eastAsia="zh-CN"/>
              </w:rPr>
              <w:t>9</w:t>
            </w:r>
          </w:p>
        </w:tc>
        <w:tc>
          <w:tcPr>
            <w:tcW w:w="1055" w:type="pct"/>
            <w:noWrap w:val="0"/>
            <w:vAlign w:val="center"/>
          </w:tcPr>
          <w:p>
            <w:pPr>
              <w:keepNext w:val="0"/>
              <w:keepLines w:val="0"/>
              <w:pageBreakBefore w:val="0"/>
              <w:widowControl w:val="0"/>
              <w:kinsoku/>
              <w:wordWrap/>
              <w:overflowPunct/>
              <w:topLinePunct w:val="0"/>
              <w:bidi w:val="0"/>
              <w:snapToGrid/>
              <w:spacing w:line="340" w:lineRule="exact"/>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验收测评</w:t>
            </w:r>
          </w:p>
        </w:tc>
        <w:tc>
          <w:tcPr>
            <w:tcW w:w="3532" w:type="pct"/>
            <w:noWrap w:val="0"/>
            <w:vAlign w:val="center"/>
          </w:tcPr>
          <w:p>
            <w:pPr>
              <w:pStyle w:val="145"/>
              <w:keepNext w:val="0"/>
              <w:keepLines w:val="0"/>
              <w:pageBreakBefore w:val="0"/>
              <w:widowControl w:val="0"/>
              <w:kinsoku/>
              <w:wordWrap/>
              <w:overflowPunct/>
              <w:topLinePunct w:val="0"/>
              <w:bidi w:val="0"/>
              <w:snapToGrid/>
              <w:spacing w:line="34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lang w:val="en-US" w:eastAsia="zh-CN" w:bidi="ar-SA"/>
              </w:rPr>
              <w:t>项目完成后，中标人需提供第三方验收测评检测报告，证明服务达到相关标准。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12" w:type="pct"/>
            <w:noWrap w:val="0"/>
            <w:vAlign w:val="center"/>
          </w:tcPr>
          <w:p>
            <w:pPr>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w:t>
            </w:r>
          </w:p>
        </w:tc>
        <w:tc>
          <w:tcPr>
            <w:tcW w:w="1055" w:type="pct"/>
            <w:noWrap w:val="0"/>
            <w:vAlign w:val="center"/>
          </w:tcPr>
          <w:p>
            <w:pPr>
              <w:pStyle w:val="472"/>
              <w:keepNext w:val="0"/>
              <w:keepLines w:val="0"/>
              <w:pageBreakBefore w:val="0"/>
              <w:kinsoku/>
              <w:wordWrap/>
              <w:overflowPunct/>
              <w:topLinePunct w:val="0"/>
              <w:autoSpaceDE/>
              <w:autoSpaceDN/>
              <w:bidi w:val="0"/>
              <w:adjustRightInd/>
              <w:snapToGrid w:val="0"/>
              <w:spacing w:line="340" w:lineRule="exact"/>
              <w:ind w:firstLine="0" w:firstLineChars="0"/>
              <w:jc w:val="left"/>
              <w:rPr>
                <w:rFonts w:hint="eastAsia" w:ascii="宋体" w:hAnsi="宋体" w:cs="宋体"/>
                <w:color w:val="auto"/>
                <w:sz w:val="21"/>
                <w:szCs w:val="21"/>
                <w:highlight w:val="none"/>
                <w:lang w:eastAsia="zh-CN"/>
              </w:rPr>
            </w:pPr>
            <w:r>
              <w:rPr>
                <w:rFonts w:hint="eastAsia" w:asciiTheme="majorEastAsia" w:hAnsiTheme="majorEastAsia" w:eastAsiaTheme="majorEastAsia" w:cstheme="majorEastAsia"/>
                <w:b w:val="0"/>
                <w:color w:val="auto"/>
                <w:sz w:val="21"/>
                <w:szCs w:val="21"/>
                <w:highlight w:val="none"/>
                <w:lang w:eastAsia="zh-CN"/>
              </w:rPr>
              <w:t>结项审计</w:t>
            </w:r>
          </w:p>
        </w:tc>
        <w:tc>
          <w:tcPr>
            <w:tcW w:w="3532" w:type="pct"/>
            <w:noWrap w:val="0"/>
            <w:vAlign w:val="center"/>
          </w:tcPr>
          <w:p>
            <w:pPr>
              <w:pStyle w:val="472"/>
              <w:keepNext w:val="0"/>
              <w:keepLines w:val="0"/>
              <w:pageBreakBefore w:val="0"/>
              <w:kinsoku/>
              <w:wordWrap/>
              <w:overflowPunct/>
              <w:topLinePunct w:val="0"/>
              <w:autoSpaceDE/>
              <w:autoSpaceDN/>
              <w:bidi w:val="0"/>
              <w:adjustRightInd/>
              <w:snapToGrid w:val="0"/>
              <w:spacing w:line="340" w:lineRule="exact"/>
              <w:ind w:firstLine="0" w:firstLineChars="0"/>
              <w:jc w:val="left"/>
              <w:rPr>
                <w:rFonts w:hint="eastAsia" w:ascii="Times New Roman" w:hAnsi="Times New Roman" w:eastAsia="宋体" w:cs="Times New Roman"/>
                <w:color w:val="auto"/>
                <w:kern w:val="2"/>
                <w:sz w:val="21"/>
                <w:szCs w:val="21"/>
                <w:lang w:val="en-US" w:eastAsia="zh-CN" w:bidi="ar-SA"/>
              </w:rPr>
            </w:pPr>
            <w:r>
              <w:rPr>
                <w:rFonts w:hint="eastAsia" w:asciiTheme="majorEastAsia" w:hAnsiTheme="majorEastAsia" w:eastAsiaTheme="majorEastAsia" w:cstheme="majorEastAsia"/>
                <w:b w:val="0"/>
                <w:color w:val="auto"/>
                <w:sz w:val="21"/>
                <w:szCs w:val="21"/>
                <w:highlight w:val="none"/>
                <w:lang w:eastAsia="zh-CN"/>
              </w:rPr>
              <w:t>项目结束一个月内提供第三方单项审计报告。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412" w:type="pct"/>
            <w:noWrap w:val="0"/>
            <w:vAlign w:val="center"/>
          </w:tcPr>
          <w:p>
            <w:pPr>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11</w:t>
            </w:r>
          </w:p>
        </w:tc>
        <w:tc>
          <w:tcPr>
            <w:tcW w:w="1055" w:type="pct"/>
            <w:noWrap w:val="0"/>
            <w:vAlign w:val="center"/>
          </w:tcPr>
          <w:p>
            <w:pPr>
              <w:keepNext w:val="0"/>
              <w:keepLines w:val="0"/>
              <w:pageBreakBefore w:val="0"/>
              <w:widowControl w:val="0"/>
              <w:kinsoku/>
              <w:wordWrap/>
              <w:overflowPunct/>
              <w:topLinePunct w:val="0"/>
              <w:bidi w:val="0"/>
              <w:snapToGrid/>
              <w:spacing w:line="340" w:lineRule="exact"/>
              <w:jc w:val="both"/>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售后服务</w:t>
            </w:r>
          </w:p>
        </w:tc>
        <w:tc>
          <w:tcPr>
            <w:tcW w:w="3532" w:type="pct"/>
            <w:noWrap w:val="0"/>
            <w:vAlign w:val="center"/>
          </w:tcPr>
          <w:p>
            <w:pPr>
              <w:pStyle w:val="145"/>
              <w:keepNext w:val="0"/>
              <w:keepLines w:val="0"/>
              <w:pageBreakBefore w:val="0"/>
              <w:widowControl w:val="0"/>
              <w:kinsoku/>
              <w:wordWrap/>
              <w:overflowPunct/>
              <w:topLinePunct w:val="0"/>
              <w:bidi w:val="0"/>
              <w:snapToGrid/>
              <w:spacing w:line="340" w:lineRule="exact"/>
              <w:jc w:val="both"/>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eastAsia="宋体" w:cs="Times New Roman"/>
                <w:color w:val="auto"/>
                <w:kern w:val="2"/>
                <w:sz w:val="21"/>
                <w:szCs w:val="21"/>
                <w:lang w:val="en-US" w:eastAsia="zh-CN" w:bidi="ar-SA"/>
              </w:rPr>
              <w:t>项目</w:t>
            </w:r>
            <w:r>
              <w:rPr>
                <w:rFonts w:hint="eastAsia" w:ascii="Times New Roman" w:hAnsi="Times New Roman" w:eastAsia="宋体" w:cs="Times New Roman"/>
                <w:color w:val="auto"/>
                <w:kern w:val="2"/>
                <w:sz w:val="21"/>
                <w:szCs w:val="21"/>
                <w:lang w:val="en-US" w:eastAsia="zh-CN" w:bidi="ar-SA"/>
              </w:rPr>
              <w:t>后提供</w:t>
            </w:r>
            <w:r>
              <w:rPr>
                <w:rFonts w:hint="eastAsia" w:ascii="Times New Roman" w:eastAsia="宋体" w:cs="Times New Roman"/>
                <w:color w:val="auto"/>
                <w:kern w:val="2"/>
                <w:sz w:val="21"/>
                <w:szCs w:val="21"/>
                <w:lang w:val="en-US" w:eastAsia="zh-CN" w:bidi="ar-SA"/>
              </w:rPr>
              <w:t>1</w:t>
            </w:r>
            <w:r>
              <w:rPr>
                <w:rFonts w:hint="eastAsia" w:ascii="Times New Roman" w:hAnsi="Times New Roman" w:eastAsia="宋体" w:cs="Times New Roman"/>
                <w:color w:val="auto"/>
                <w:kern w:val="2"/>
                <w:sz w:val="21"/>
                <w:szCs w:val="21"/>
                <w:lang w:val="en-US" w:eastAsia="zh-CN" w:bidi="ar-SA"/>
              </w:rPr>
              <w:t>个月免费漏洞修复咨询</w:t>
            </w:r>
            <w:r>
              <w:rPr>
                <w:rFonts w:hint="eastAsia" w:ascii="Times New Roman" w:eastAsia="宋体" w:cs="Times New Roman"/>
                <w:color w:val="auto"/>
                <w:kern w:val="2"/>
                <w:sz w:val="21"/>
                <w:szCs w:val="21"/>
                <w:lang w:val="en-US" w:eastAsia="zh-CN" w:bidi="ar-SA"/>
              </w:rPr>
              <w:t>和过渡服务交接。</w:t>
            </w:r>
          </w:p>
        </w:tc>
      </w:tr>
    </w:tbl>
    <w:p>
      <w:pPr>
        <w:pageBreakBefore w:val="0"/>
        <w:kinsoku/>
        <w:wordWrap/>
        <w:overflowPunct/>
        <w:topLinePunct w:val="0"/>
        <w:bidi w:val="0"/>
        <w:ind w:firstLine="480" w:firstLineChars="200"/>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说明：</w:t>
      </w:r>
    </w:p>
    <w:p>
      <w:pPr>
        <w:pageBreakBefore w:val="0"/>
        <w:kinsoku/>
        <w:wordWrap/>
        <w:overflowPunct/>
        <w:topLinePunct w:val="0"/>
        <w:bidi w:val="0"/>
        <w:ind w:firstLine="480" w:firstLineChars="200"/>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lang w:val="en-US" w:eastAsia="zh-CN"/>
        </w:rPr>
        <w:t>1.</w:t>
      </w:r>
      <w:r>
        <w:rPr>
          <w:rFonts w:hint="eastAsia" w:asciiTheme="majorEastAsia" w:hAnsiTheme="majorEastAsia" w:eastAsiaTheme="majorEastAsia" w:cstheme="majorEastAsia"/>
          <w:b w:val="0"/>
          <w:bCs w:val="0"/>
          <w:color w:val="auto"/>
          <w:sz w:val="24"/>
          <w:szCs w:val="24"/>
        </w:rPr>
        <w:t>带“★”指标项为实质性条款，不作为评分准则中的评分内容。如出现负偏离，将被视为未实质性满足招标文件要求作投标无效处理；带“▲”指标项为重要参数，负偏离时依相关评分准则内容作重点扣分处理。</w:t>
      </w:r>
    </w:p>
    <w:p>
      <w:pPr>
        <w:pageBreakBefore w:val="0"/>
        <w:kinsoku/>
        <w:wordWrap/>
        <w:overflowPunct/>
        <w:topLinePunct w:val="0"/>
        <w:bidi w:val="0"/>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val="0"/>
          <w:color w:val="auto"/>
          <w:sz w:val="24"/>
          <w:szCs w:val="24"/>
          <w:lang w:val="en-US" w:eastAsia="zh-CN"/>
        </w:rPr>
        <w:t>2.</w:t>
      </w:r>
      <w:r>
        <w:rPr>
          <w:rFonts w:hint="eastAsia" w:asciiTheme="majorEastAsia" w:hAnsiTheme="majorEastAsia" w:eastAsiaTheme="majorEastAsia" w:cstheme="majorEastAsia"/>
          <w:b w:val="0"/>
          <w:bCs w:val="0"/>
          <w:color w:val="auto"/>
          <w:sz w:val="24"/>
          <w:szCs w:val="24"/>
        </w:rPr>
        <w:t>商务要求中，用红色加粗字体标注的指标项均要求提供证明资料，共</w:t>
      </w:r>
      <w:r>
        <w:rPr>
          <w:rFonts w:hint="eastAsia" w:asciiTheme="majorEastAsia" w:hAnsiTheme="majorEastAsia" w:eastAsiaTheme="majorEastAsia" w:cstheme="majorEastAsia"/>
          <w:b w:val="0"/>
          <w:bCs w:val="0"/>
          <w:color w:val="auto"/>
          <w:sz w:val="24"/>
          <w:szCs w:val="24"/>
          <w:u w:val="single"/>
          <w:lang w:val="en-US" w:eastAsia="zh-CN"/>
        </w:rPr>
        <w:t>1</w:t>
      </w:r>
      <w:r>
        <w:rPr>
          <w:rFonts w:hint="eastAsia" w:asciiTheme="majorEastAsia" w:hAnsiTheme="majorEastAsia" w:eastAsiaTheme="majorEastAsia" w:cstheme="majorEastAsia"/>
          <w:b w:val="0"/>
          <w:bCs w:val="0"/>
          <w:color w:val="auto"/>
          <w:sz w:val="24"/>
          <w:szCs w:val="24"/>
        </w:rPr>
        <w:t>项；其余指标项未要求提供证明资料，无需提供相关证明资料。</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firstLine="481" w:firstLineChars="200"/>
        <w:jc w:val="both"/>
        <w:textAlignment w:val="auto"/>
        <w:outlineLvl w:val="1"/>
        <w:rPr>
          <w:rFonts w:hint="eastAsia" w:asciiTheme="majorEastAsia" w:hAnsiTheme="majorEastAsia" w:eastAsiaTheme="majorEastAsia" w:cstheme="majorEastAsia"/>
          <w:b/>
          <w:bCs/>
          <w:kern w:val="0"/>
          <w:sz w:val="24"/>
          <w:szCs w:val="24"/>
          <w:lang w:val="en-US" w:eastAsia="zh-CN" w:bidi="ar-SA"/>
        </w:rPr>
      </w:pPr>
      <w:r>
        <w:rPr>
          <w:rFonts w:hint="eastAsia" w:asciiTheme="majorEastAsia" w:hAnsiTheme="majorEastAsia" w:eastAsiaTheme="majorEastAsia" w:cstheme="majorEastAsia"/>
          <w:b/>
          <w:bCs/>
          <w:kern w:val="0"/>
          <w:sz w:val="24"/>
          <w:szCs w:val="24"/>
          <w:lang w:val="en-US" w:eastAsia="zh-CN" w:bidi="ar-SA"/>
        </w:rPr>
        <w:t>五、评标办法</w:t>
      </w:r>
    </w:p>
    <w:p>
      <w:pPr>
        <w:pageBreakBefore w:val="0"/>
        <w:kinsoku/>
        <w:wordWrap/>
        <w:overflowPunct/>
        <w:topLinePunct w:val="0"/>
        <w:autoSpaceDE/>
        <w:autoSpaceDN/>
        <w:bidi w:val="0"/>
        <w:snapToGrid w:val="0"/>
        <w:spacing w:beforeAutospacing="0" w:afterAutospacing="0" w:line="560" w:lineRule="exact"/>
        <w:rPr>
          <w:vanish/>
          <w:sz w:val="24"/>
          <w:szCs w:val="24"/>
        </w:rPr>
      </w:pPr>
    </w:p>
    <w:bookmarkEnd w:id="0"/>
    <w:tbl>
      <w:tblPr>
        <w:tblStyle w:val="44"/>
        <w:tblW w:w="4988"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04"/>
        <w:gridCol w:w="660"/>
        <w:gridCol w:w="1456"/>
        <w:gridCol w:w="709"/>
        <w:gridCol w:w="789"/>
        <w:gridCol w:w="42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jc w:val="center"/>
        </w:trPr>
        <w:tc>
          <w:tcPr>
            <w:tcW w:w="41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序号</w:t>
            </w:r>
          </w:p>
        </w:tc>
        <w:tc>
          <w:tcPr>
            <w:tcW w:w="2120" w:type="pct"/>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评分项</w:t>
            </w:r>
          </w:p>
        </w:tc>
        <w:tc>
          <w:tcPr>
            <w:tcW w:w="246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41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1</w:t>
            </w:r>
          </w:p>
        </w:tc>
        <w:tc>
          <w:tcPr>
            <w:tcW w:w="2120" w:type="pct"/>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价格</w:t>
            </w:r>
          </w:p>
        </w:tc>
        <w:tc>
          <w:tcPr>
            <w:tcW w:w="246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jc w:val="center"/>
        </w:trPr>
        <w:tc>
          <w:tcPr>
            <w:tcW w:w="41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2</w:t>
            </w:r>
          </w:p>
        </w:tc>
        <w:tc>
          <w:tcPr>
            <w:tcW w:w="2120" w:type="pct"/>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技术</w:t>
            </w:r>
          </w:p>
        </w:tc>
        <w:tc>
          <w:tcPr>
            <w:tcW w:w="2465" w:type="pct"/>
            <w:tcBorders>
              <w:tl2br w:val="nil"/>
              <w:tr2bl w:val="nil"/>
            </w:tcBorders>
            <w:noWrap w:val="0"/>
            <w:vAlign w:val="center"/>
          </w:tcPr>
          <w:p>
            <w:pPr>
              <w:pageBreakBefore w:val="0"/>
              <w:kinsoku/>
              <w:wordWrap/>
              <w:overflowPunct/>
              <w:topLinePunct w:val="0"/>
              <w:bidi w:val="0"/>
              <w:spacing w:line="34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 w:hRule="atLeast"/>
          <w:tblCellSpacing w:w="0" w:type="dxa"/>
          <w:jc w:val="center"/>
        </w:trPr>
        <w:tc>
          <w:tcPr>
            <w:tcW w:w="41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p>
        </w:tc>
        <w:tc>
          <w:tcPr>
            <w:tcW w:w="3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85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评分因素</w:t>
            </w:r>
          </w:p>
        </w:tc>
        <w:tc>
          <w:tcPr>
            <w:tcW w:w="41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权重</w:t>
            </w:r>
          </w:p>
        </w:tc>
        <w:tc>
          <w:tcPr>
            <w:tcW w:w="46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评分方式</w:t>
            </w:r>
          </w:p>
        </w:tc>
        <w:tc>
          <w:tcPr>
            <w:tcW w:w="246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评分准则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jc w:val="center"/>
        </w:trPr>
        <w:tc>
          <w:tcPr>
            <w:tcW w:w="41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heme="majorEastAsia" w:hAnsiTheme="majorEastAsia" w:eastAsiaTheme="majorEastAsia" w:cstheme="majorEastAsia"/>
                <w:sz w:val="21"/>
                <w:szCs w:val="21"/>
              </w:rPr>
            </w:pPr>
          </w:p>
        </w:tc>
        <w:tc>
          <w:tcPr>
            <w:tcW w:w="3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1</w:t>
            </w:r>
          </w:p>
        </w:tc>
        <w:tc>
          <w:tcPr>
            <w:tcW w:w="85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t>技术规格偏离情况</w:t>
            </w:r>
          </w:p>
        </w:tc>
        <w:tc>
          <w:tcPr>
            <w:tcW w:w="41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10</w:t>
            </w:r>
          </w:p>
        </w:tc>
        <w:tc>
          <w:tcPr>
            <w:tcW w:w="46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专家打分</w:t>
            </w:r>
          </w:p>
        </w:tc>
        <w:tc>
          <w:tcPr>
            <w:tcW w:w="246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eastAsia="zh-CN"/>
              </w:rPr>
              <w:t>投标人</w:t>
            </w:r>
            <w:r>
              <w:rPr>
                <w:rFonts w:hint="eastAsia" w:asciiTheme="majorEastAsia" w:hAnsiTheme="majorEastAsia" w:eastAsiaTheme="majorEastAsia" w:cstheme="majorEastAsia"/>
                <w:color w:val="auto"/>
                <w:sz w:val="21"/>
                <w:szCs w:val="21"/>
              </w:rPr>
              <w:t>应如实填写《技术</w:t>
            </w:r>
            <w:r>
              <w:rPr>
                <w:rFonts w:hint="eastAsia" w:asciiTheme="majorEastAsia" w:hAnsiTheme="majorEastAsia" w:eastAsiaTheme="majorEastAsia" w:cstheme="majorEastAsia"/>
                <w:color w:val="auto"/>
                <w:sz w:val="21"/>
                <w:szCs w:val="21"/>
                <w:lang w:eastAsia="zh-CN"/>
              </w:rPr>
              <w:t>要求</w:t>
            </w:r>
            <w:r>
              <w:rPr>
                <w:rFonts w:hint="eastAsia" w:asciiTheme="majorEastAsia" w:hAnsiTheme="majorEastAsia" w:eastAsiaTheme="majorEastAsia" w:cstheme="majorEastAsia"/>
                <w:color w:val="auto"/>
                <w:sz w:val="21"/>
                <w:szCs w:val="21"/>
              </w:rPr>
              <w:t>偏离表》，评审委员会根据技术需求参数响应情况进行打分，</w:t>
            </w:r>
            <w:r>
              <w:rPr>
                <w:rFonts w:hint="eastAsia" w:asciiTheme="majorEastAsia" w:hAnsiTheme="majorEastAsia" w:eastAsiaTheme="majorEastAsia" w:cstheme="majorEastAsia"/>
                <w:color w:val="auto"/>
                <w:sz w:val="21"/>
                <w:szCs w:val="21"/>
                <w:highlight w:val="none"/>
              </w:rPr>
              <w:t>带“▲”的为重点参数</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每负偏离一项扣</w:t>
            </w:r>
            <w:r>
              <w:rPr>
                <w:rFonts w:hint="eastAsia" w:asciiTheme="majorEastAsia" w:hAnsiTheme="majorEastAsia" w:eastAsiaTheme="majorEastAsia" w:cstheme="majorEastAsia"/>
                <w:color w:val="auto"/>
                <w:sz w:val="21"/>
                <w:szCs w:val="21"/>
                <w:highlight w:val="none"/>
                <w:lang w:val="en-US" w:eastAsia="zh-CN"/>
              </w:rPr>
              <w:t>1.5分</w:t>
            </w:r>
            <w:r>
              <w:rPr>
                <w:rFonts w:hint="eastAsia" w:asciiTheme="majorEastAsia" w:hAnsiTheme="majorEastAsia" w:eastAsiaTheme="majorEastAsia" w:cstheme="majorEastAsia"/>
                <w:color w:val="auto"/>
                <w:sz w:val="21"/>
                <w:szCs w:val="21"/>
                <w:highlight w:val="none"/>
              </w:rPr>
              <w:t>，普通参数每负偏离一项扣</w:t>
            </w:r>
            <w:r>
              <w:rPr>
                <w:rFonts w:hint="eastAsia" w:asciiTheme="majorEastAsia" w:hAnsiTheme="majorEastAsia" w:eastAsiaTheme="majorEastAsia" w:cstheme="majorEastAsia"/>
                <w:color w:val="auto"/>
                <w:sz w:val="21"/>
                <w:szCs w:val="21"/>
                <w:highlight w:val="none"/>
                <w:lang w:val="en-US" w:eastAsia="zh-CN"/>
              </w:rPr>
              <w:t>1分</w:t>
            </w:r>
            <w:r>
              <w:rPr>
                <w:rFonts w:hint="eastAsia" w:asciiTheme="majorEastAsia" w:hAnsiTheme="majorEastAsia" w:eastAsiaTheme="majorEastAsia" w:cstheme="majorEastAsia"/>
                <w:color w:val="auto"/>
                <w:sz w:val="21"/>
                <w:szCs w:val="21"/>
                <w:highlight w:val="none"/>
              </w:rPr>
              <w:t>，扣完为止</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0分</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各项技术参数指标及要求全部满足的得</w:t>
            </w:r>
            <w:r>
              <w:rPr>
                <w:rFonts w:hint="eastAsia" w:asciiTheme="majorEastAsia" w:hAnsiTheme="majorEastAsia" w:eastAsiaTheme="majorEastAsia" w:cstheme="majorEastAsia"/>
                <w:color w:val="auto"/>
                <w:sz w:val="21"/>
                <w:szCs w:val="21"/>
                <w:highlight w:val="none"/>
                <w:lang w:eastAsia="zh-CN"/>
              </w:rPr>
              <w:t>满分</w:t>
            </w:r>
            <w:r>
              <w:rPr>
                <w:rFonts w:hint="eastAsia" w:asciiTheme="majorEastAsia" w:hAnsiTheme="majorEastAsia" w:eastAsiaTheme="majorEastAsia" w:cstheme="majorEastAsia"/>
                <w:color w:val="auto"/>
                <w:sz w:val="21"/>
                <w:szCs w:val="21"/>
                <w:highlight w:val="none"/>
                <w:lang w:val="en-US" w:eastAsia="zh-CN"/>
              </w:rPr>
              <w:t>（10分）</w:t>
            </w:r>
            <w:r>
              <w:rPr>
                <w:rFonts w:hint="eastAsia" w:asciiTheme="majorEastAsia" w:hAnsiTheme="majorEastAsia" w:eastAsiaTheme="majorEastAsia" w:cstheme="majorEastAsia"/>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3" w:hRule="atLeast"/>
          <w:tblCellSpacing w:w="0" w:type="dxa"/>
          <w:jc w:val="center"/>
        </w:trPr>
        <w:tc>
          <w:tcPr>
            <w:tcW w:w="41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heme="majorEastAsia" w:hAnsiTheme="majorEastAsia" w:eastAsiaTheme="majorEastAsia" w:cstheme="majorEastAsia"/>
                <w:sz w:val="21"/>
                <w:szCs w:val="21"/>
              </w:rPr>
            </w:pPr>
          </w:p>
        </w:tc>
        <w:tc>
          <w:tcPr>
            <w:tcW w:w="3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2</w:t>
            </w:r>
          </w:p>
        </w:tc>
        <w:tc>
          <w:tcPr>
            <w:tcW w:w="85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sz w:val="21"/>
                <w:szCs w:val="21"/>
                <w:lang w:eastAsia="zh-CN"/>
              </w:rPr>
              <w:t>服务方案</w:t>
            </w:r>
          </w:p>
        </w:tc>
        <w:tc>
          <w:tcPr>
            <w:tcW w:w="41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sz w:val="21"/>
                <w:szCs w:val="21"/>
                <w:lang w:val="en-US" w:eastAsia="zh-CN"/>
              </w:rPr>
              <w:t>10</w:t>
            </w:r>
          </w:p>
        </w:tc>
        <w:tc>
          <w:tcPr>
            <w:tcW w:w="46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sz w:val="21"/>
                <w:szCs w:val="21"/>
              </w:rPr>
              <w:t>专家评分</w:t>
            </w:r>
          </w:p>
        </w:tc>
        <w:tc>
          <w:tcPr>
            <w:tcW w:w="24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投标人提交针对本项目的服务方案，包括：方案总体设计、服务团队、等保测评方案等。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lang w:eastAsia="zh-CN"/>
              </w:rPr>
              <w:t>具备基础服务方案材料得</w:t>
            </w:r>
            <w:r>
              <w:rPr>
                <w:rFonts w:hint="eastAsia" w:asciiTheme="majorEastAsia" w:hAnsiTheme="majorEastAsia" w:eastAsiaTheme="majorEastAsia" w:cstheme="majorEastAsia"/>
                <w:color w:val="auto"/>
                <w:sz w:val="21"/>
                <w:szCs w:val="21"/>
                <w:highlight w:val="none"/>
                <w:lang w:val="en-US" w:eastAsia="zh-CN"/>
              </w:rPr>
              <w:t>4分</w:t>
            </w:r>
            <w:r>
              <w:rPr>
                <w:rFonts w:hint="eastAsia" w:asciiTheme="majorEastAsia" w:hAnsiTheme="majorEastAsia" w:eastAsiaTheme="majorEastAsia" w:cstheme="majorEastAsia"/>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lang w:eastAsia="zh-CN"/>
              </w:rPr>
              <w:t>其余内容</w:t>
            </w:r>
            <w:r>
              <w:rPr>
                <w:rFonts w:hint="eastAsia" w:asciiTheme="majorEastAsia" w:hAnsiTheme="majorEastAsia" w:eastAsiaTheme="majorEastAsia" w:cstheme="majorEastAsia"/>
                <w:color w:val="auto"/>
                <w:sz w:val="21"/>
                <w:szCs w:val="21"/>
              </w:rPr>
              <w:t>评审委员会根据</w:t>
            </w:r>
            <w:r>
              <w:rPr>
                <w:rFonts w:hint="eastAsia" w:asciiTheme="majorEastAsia" w:hAnsiTheme="majorEastAsia" w:eastAsiaTheme="majorEastAsia" w:cstheme="majorEastAsia"/>
                <w:color w:val="auto"/>
                <w:sz w:val="21"/>
                <w:szCs w:val="21"/>
                <w:lang w:eastAsia="zh-CN"/>
              </w:rPr>
              <w:t>方案的合理性、完备性、专业性等</w:t>
            </w:r>
            <w:r>
              <w:rPr>
                <w:rFonts w:hint="eastAsia" w:asciiTheme="majorEastAsia" w:hAnsiTheme="majorEastAsia" w:eastAsiaTheme="majorEastAsia" w:cstheme="majorEastAsia"/>
                <w:color w:val="auto"/>
                <w:sz w:val="21"/>
                <w:szCs w:val="21"/>
              </w:rPr>
              <w:t>情况</w:t>
            </w:r>
            <w:r>
              <w:rPr>
                <w:rFonts w:hint="eastAsia" w:asciiTheme="majorEastAsia" w:hAnsiTheme="majorEastAsia" w:eastAsiaTheme="majorEastAsia" w:cstheme="majorEastAsia"/>
                <w:color w:val="auto"/>
                <w:sz w:val="21"/>
                <w:szCs w:val="21"/>
                <w:lang w:eastAsia="zh-CN"/>
              </w:rPr>
              <w:t>，横向比较方案优劣，按优</w:t>
            </w:r>
            <w:r>
              <w:rPr>
                <w:rFonts w:hint="eastAsia" w:asciiTheme="majorEastAsia" w:hAnsiTheme="majorEastAsia" w:eastAsiaTheme="majorEastAsia" w:cstheme="majorEastAsia"/>
                <w:color w:val="auto"/>
                <w:sz w:val="21"/>
                <w:szCs w:val="21"/>
                <w:lang w:val="en-US" w:eastAsia="zh-CN"/>
              </w:rPr>
              <w:t>46</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6</w:t>
            </w:r>
            <w:r>
              <w:rPr>
                <w:rFonts w:hint="eastAsia" w:asciiTheme="majorEastAsia" w:hAnsiTheme="majorEastAsia" w:eastAsiaTheme="majorEastAsia" w:cstheme="majorEastAsia"/>
                <w:color w:val="auto"/>
                <w:sz w:val="21"/>
                <w:szCs w:val="21"/>
                <w:lang w:eastAsia="zh-CN"/>
              </w:rPr>
              <w:t>0%、良</w:t>
            </w:r>
            <w:r>
              <w:rPr>
                <w:rFonts w:hint="eastAsia" w:asciiTheme="majorEastAsia" w:hAnsiTheme="majorEastAsia" w:eastAsiaTheme="majorEastAsia" w:cstheme="majorEastAsia"/>
                <w:color w:val="auto"/>
                <w:sz w:val="21"/>
                <w:szCs w:val="21"/>
                <w:lang w:val="en-US" w:eastAsia="zh-CN"/>
              </w:rPr>
              <w:t>31</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45</w:t>
            </w:r>
            <w:r>
              <w:rPr>
                <w:rFonts w:hint="eastAsia" w:asciiTheme="majorEastAsia" w:hAnsiTheme="majorEastAsia" w:eastAsiaTheme="majorEastAsia" w:cstheme="majorEastAsia"/>
                <w:color w:val="auto"/>
                <w:sz w:val="21"/>
                <w:szCs w:val="21"/>
                <w:lang w:eastAsia="zh-CN"/>
              </w:rPr>
              <w:t>%、中</w:t>
            </w:r>
            <w:r>
              <w:rPr>
                <w:rFonts w:hint="eastAsia" w:asciiTheme="majorEastAsia" w:hAnsiTheme="majorEastAsia" w:eastAsiaTheme="majorEastAsia" w:cstheme="majorEastAsia"/>
                <w:color w:val="auto"/>
                <w:sz w:val="21"/>
                <w:szCs w:val="21"/>
                <w:lang w:val="en-US" w:eastAsia="zh-CN"/>
              </w:rPr>
              <w:t>16</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3</w:t>
            </w:r>
            <w:r>
              <w:rPr>
                <w:rFonts w:hint="eastAsia" w:asciiTheme="majorEastAsia" w:hAnsiTheme="majorEastAsia" w:eastAsiaTheme="majorEastAsia" w:cstheme="majorEastAsia"/>
                <w:color w:val="auto"/>
                <w:sz w:val="21"/>
                <w:szCs w:val="21"/>
                <w:lang w:eastAsia="zh-CN"/>
              </w:rPr>
              <w:t>0%、差0-</w:t>
            </w:r>
            <w:r>
              <w:rPr>
                <w:rFonts w:hint="eastAsia" w:asciiTheme="majorEastAsia" w:hAnsiTheme="majorEastAsia" w:eastAsiaTheme="majorEastAsia" w:cstheme="majorEastAsia"/>
                <w:color w:val="auto"/>
                <w:sz w:val="21"/>
                <w:szCs w:val="21"/>
                <w:lang w:val="en-US" w:eastAsia="zh-CN"/>
              </w:rPr>
              <w:t>15</w:t>
            </w:r>
            <w:r>
              <w:rPr>
                <w:rFonts w:hint="eastAsia" w:asciiTheme="majorEastAsia" w:hAnsiTheme="majorEastAsia" w:eastAsiaTheme="majorEastAsia" w:cstheme="majorEastAsia"/>
                <w:color w:val="auto"/>
                <w:sz w:val="21"/>
                <w:szCs w:val="21"/>
                <w:lang w:eastAsia="zh-CN"/>
              </w:rPr>
              <w:t>%打分。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 w:hRule="atLeast"/>
          <w:tblCellSpacing w:w="0" w:type="dxa"/>
          <w:jc w:val="center"/>
        </w:trPr>
        <w:tc>
          <w:tcPr>
            <w:tcW w:w="41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heme="majorEastAsia" w:hAnsiTheme="majorEastAsia" w:eastAsiaTheme="majorEastAsia" w:cstheme="majorEastAsia"/>
                <w:sz w:val="21"/>
                <w:szCs w:val="21"/>
              </w:rPr>
            </w:pPr>
          </w:p>
        </w:tc>
        <w:tc>
          <w:tcPr>
            <w:tcW w:w="3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3</w:t>
            </w:r>
          </w:p>
        </w:tc>
        <w:tc>
          <w:tcPr>
            <w:tcW w:w="85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服务人员配备</w:t>
            </w:r>
          </w:p>
        </w:tc>
        <w:tc>
          <w:tcPr>
            <w:tcW w:w="41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10</w:t>
            </w:r>
          </w:p>
        </w:tc>
        <w:tc>
          <w:tcPr>
            <w:tcW w:w="46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专家评分</w:t>
            </w:r>
          </w:p>
        </w:tc>
        <w:tc>
          <w:tcPr>
            <w:tcW w:w="24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（一）评分内容：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根据投标人提供服务团队配备资料进行打分。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lang w:eastAsia="zh-CN"/>
              </w:rPr>
              <w:t>配备项目经理</w:t>
            </w:r>
            <w:r>
              <w:rPr>
                <w:rFonts w:hint="eastAsia" w:asciiTheme="majorEastAsia" w:hAnsiTheme="majorEastAsia" w:eastAsiaTheme="majorEastAsia" w:cstheme="majorEastAsia"/>
                <w:color w:val="auto"/>
                <w:sz w:val="21"/>
                <w:szCs w:val="21"/>
                <w:highlight w:val="none"/>
                <w:lang w:val="en-US" w:eastAsia="zh-CN"/>
              </w:rPr>
              <w:t>1名，具有计算机或电子信息类本科或以上学历，</w:t>
            </w:r>
            <w:r>
              <w:rPr>
                <w:rFonts w:hint="eastAsia" w:asciiTheme="majorEastAsia" w:hAnsiTheme="majorEastAsia" w:eastAsiaTheme="majorEastAsia" w:cstheme="majorEastAsia"/>
                <w:color w:val="auto"/>
                <w:sz w:val="21"/>
                <w:szCs w:val="21"/>
                <w:highlight w:val="none"/>
                <w:lang w:eastAsia="zh-CN"/>
              </w:rPr>
              <w:t>得</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lang w:eastAsia="zh-CN"/>
              </w:rPr>
              <w:t>分；具备信息系统项目管理师、信息安全保障人员、信息安全工程师、ITSS服务工程师、CISM注册信息安全员等相关资格认证的，每提供一个证书得</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lang w:eastAsia="zh-CN"/>
              </w:rPr>
              <w:t>分，上限</w:t>
            </w:r>
            <w:r>
              <w:rPr>
                <w:rFonts w:hint="eastAsia" w:asciiTheme="majorEastAsia" w:hAnsiTheme="majorEastAsia" w:eastAsiaTheme="majorEastAsia" w:cstheme="majorEastAsia"/>
                <w:color w:val="auto"/>
                <w:sz w:val="21"/>
                <w:szCs w:val="21"/>
                <w:highlight w:val="none"/>
                <w:lang w:val="en-US" w:eastAsia="zh-CN"/>
              </w:rPr>
              <w:t>2分</w:t>
            </w:r>
            <w:r>
              <w:rPr>
                <w:rFonts w:hint="eastAsia" w:asciiTheme="majorEastAsia" w:hAnsiTheme="majorEastAsia" w:eastAsiaTheme="majorEastAsia" w:cstheme="majorEastAsia"/>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lang w:eastAsia="zh-CN"/>
              </w:rPr>
              <w:t>配备的驻场人员</w:t>
            </w:r>
            <w:r>
              <w:rPr>
                <w:rFonts w:hint="eastAsia" w:asciiTheme="majorEastAsia" w:hAnsiTheme="majorEastAsia" w:eastAsiaTheme="majorEastAsia" w:cstheme="majorEastAsia"/>
                <w:color w:val="auto"/>
                <w:sz w:val="21"/>
                <w:szCs w:val="21"/>
                <w:highlight w:val="none"/>
                <w:lang w:val="en-US" w:eastAsia="zh-CN"/>
              </w:rPr>
              <w:t>1名</w:t>
            </w:r>
            <w:r>
              <w:rPr>
                <w:rFonts w:hint="eastAsia" w:asciiTheme="majorEastAsia" w:hAnsiTheme="majorEastAsia" w:eastAsiaTheme="majorEastAsia" w:cstheme="majorEastAsia"/>
                <w:color w:val="auto"/>
                <w:sz w:val="21"/>
                <w:szCs w:val="21"/>
                <w:highlight w:val="none"/>
                <w:lang w:eastAsia="zh-CN"/>
              </w:rPr>
              <w:t>，具备</w:t>
            </w:r>
            <w:r>
              <w:rPr>
                <w:rFonts w:hint="eastAsia" w:asciiTheme="majorEastAsia" w:hAnsiTheme="majorEastAsia" w:eastAsiaTheme="majorEastAsia" w:cstheme="majorEastAsia"/>
                <w:color w:val="auto"/>
                <w:sz w:val="21"/>
                <w:szCs w:val="21"/>
                <w:highlight w:val="none"/>
                <w:lang w:val="en-US" w:eastAsia="zh-CN"/>
              </w:rPr>
              <w:t>CISP或CISSP证书</w:t>
            </w:r>
            <w:r>
              <w:rPr>
                <w:rFonts w:hint="eastAsia" w:asciiTheme="majorEastAsia" w:hAnsiTheme="majorEastAsia" w:eastAsiaTheme="majorEastAsia" w:cstheme="majorEastAsia"/>
                <w:color w:val="auto"/>
                <w:sz w:val="21"/>
                <w:szCs w:val="21"/>
                <w:highlight w:val="none"/>
                <w:lang w:eastAsia="zh-CN"/>
              </w:rPr>
              <w:t>的得</w:t>
            </w:r>
            <w:r>
              <w:rPr>
                <w:rFonts w:hint="eastAsia" w:asciiTheme="majorEastAsia" w:hAnsiTheme="majorEastAsia" w:eastAsiaTheme="majorEastAsia" w:cstheme="majorEastAsia"/>
                <w:color w:val="auto"/>
                <w:sz w:val="21"/>
                <w:szCs w:val="21"/>
                <w:highlight w:val="none"/>
                <w:lang w:val="en-US" w:eastAsia="zh-CN"/>
              </w:rPr>
              <w:t>2分；具备信息安全工程师证、信息系统项目管理师、高级网络信息安全工程师</w:t>
            </w:r>
            <w:r>
              <w:rPr>
                <w:rFonts w:hint="eastAsia" w:asciiTheme="majorEastAsia" w:hAnsiTheme="majorEastAsia" w:eastAsiaTheme="majorEastAsia" w:cstheme="majorEastAsia"/>
                <w:color w:val="auto"/>
                <w:sz w:val="21"/>
                <w:szCs w:val="21"/>
                <w:highlight w:val="none"/>
                <w:lang w:eastAsia="zh-CN"/>
              </w:rPr>
              <w:t>等相关资格认证的，每提供一个证书得</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lang w:eastAsia="zh-CN"/>
              </w:rPr>
              <w:t>分，上限</w:t>
            </w:r>
            <w:r>
              <w:rPr>
                <w:rFonts w:hint="eastAsia" w:asciiTheme="majorEastAsia" w:hAnsiTheme="majorEastAsia" w:eastAsiaTheme="majorEastAsia" w:cstheme="majorEastAsia"/>
                <w:color w:val="auto"/>
                <w:sz w:val="21"/>
                <w:szCs w:val="21"/>
                <w:highlight w:val="none"/>
                <w:lang w:val="en-US" w:eastAsia="zh-CN"/>
              </w:rPr>
              <w:t>2分</w:t>
            </w:r>
            <w:r>
              <w:rPr>
                <w:rFonts w:hint="eastAsia" w:asciiTheme="majorEastAsia" w:hAnsiTheme="majorEastAsia" w:eastAsiaTheme="majorEastAsia" w:cstheme="majorEastAsia"/>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3.其他项目</w:t>
            </w:r>
            <w:r>
              <w:rPr>
                <w:rFonts w:hint="eastAsia" w:asciiTheme="majorEastAsia" w:hAnsiTheme="majorEastAsia" w:eastAsiaTheme="majorEastAsia" w:cstheme="majorEastAsia"/>
                <w:color w:val="auto"/>
                <w:sz w:val="21"/>
                <w:szCs w:val="21"/>
                <w:highlight w:val="none"/>
                <w:lang w:eastAsia="zh-CN"/>
              </w:rPr>
              <w:t>成员（≥</w:t>
            </w:r>
            <w:r>
              <w:rPr>
                <w:rFonts w:hint="eastAsia" w:asciiTheme="majorEastAsia" w:hAnsiTheme="majorEastAsia" w:eastAsiaTheme="majorEastAsia" w:cstheme="majorEastAsia"/>
                <w:color w:val="auto"/>
                <w:sz w:val="21"/>
                <w:szCs w:val="21"/>
                <w:highlight w:val="none"/>
                <w:lang w:val="en-US" w:eastAsia="zh-CN"/>
              </w:rPr>
              <w:t>3人</w:t>
            </w:r>
            <w:r>
              <w:rPr>
                <w:rFonts w:hint="eastAsia" w:asciiTheme="majorEastAsia" w:hAnsiTheme="majorEastAsia" w:eastAsiaTheme="majorEastAsia" w:cstheme="majorEastAsia"/>
                <w:color w:val="auto"/>
                <w:sz w:val="21"/>
                <w:szCs w:val="21"/>
                <w:highlight w:val="none"/>
                <w:lang w:eastAsia="zh-CN"/>
              </w:rPr>
              <w:t>）内具备CISSP注册信息系统安全专家、信息安全工程师证、CISM注册信息安全员、</w:t>
            </w:r>
            <w:r>
              <w:rPr>
                <w:rFonts w:hint="eastAsia" w:asciiTheme="majorEastAsia" w:hAnsiTheme="majorEastAsia" w:eastAsiaTheme="majorEastAsia" w:cstheme="majorEastAsia"/>
                <w:color w:val="auto"/>
                <w:sz w:val="21"/>
                <w:szCs w:val="21"/>
                <w:highlight w:val="none"/>
                <w:lang w:val="en-US" w:eastAsia="zh-CN"/>
              </w:rPr>
              <w:t>CISP注册渗透测试工程师</w:t>
            </w:r>
            <w:r>
              <w:rPr>
                <w:rFonts w:hint="eastAsia" w:asciiTheme="majorEastAsia" w:hAnsiTheme="majorEastAsia" w:eastAsiaTheme="majorEastAsia" w:cstheme="majorEastAsia"/>
                <w:color w:val="auto"/>
                <w:sz w:val="21"/>
                <w:szCs w:val="21"/>
                <w:highlight w:val="none"/>
                <w:lang w:eastAsia="zh-CN"/>
              </w:rPr>
              <w:t>等相关资格认证的，每提供一人得</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lang w:eastAsia="zh-CN"/>
              </w:rPr>
              <w:t>分，上限</w:t>
            </w:r>
            <w:r>
              <w:rPr>
                <w:rFonts w:hint="eastAsia" w:asciiTheme="majorEastAsia" w:hAnsiTheme="majorEastAsia" w:eastAsiaTheme="majorEastAsia" w:cstheme="majorEastAsia"/>
                <w:color w:val="auto"/>
                <w:sz w:val="21"/>
                <w:szCs w:val="21"/>
                <w:highlight w:val="none"/>
                <w:lang w:val="en-US" w:eastAsia="zh-CN"/>
              </w:rPr>
              <w:t>2分</w:t>
            </w:r>
            <w:r>
              <w:rPr>
                <w:rFonts w:hint="eastAsia" w:asciiTheme="majorEastAsia" w:hAnsiTheme="majorEastAsia" w:eastAsiaTheme="majorEastAsia" w:cstheme="majorEastAsia"/>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（二）评分依据：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1.提供人员社保证明及资格证书证明等材料。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lang w:eastAsia="zh-CN"/>
              </w:rPr>
              <w:t>.未按要求提供或提供不清晰导致专家无法判断的不得分。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jc w:val="center"/>
        </w:trPr>
        <w:tc>
          <w:tcPr>
            <w:tcW w:w="41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3</w:t>
            </w:r>
          </w:p>
        </w:tc>
        <w:tc>
          <w:tcPr>
            <w:tcW w:w="2120" w:type="pct"/>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商务</w:t>
            </w:r>
          </w:p>
        </w:tc>
        <w:tc>
          <w:tcPr>
            <w:tcW w:w="246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jc w:val="center"/>
        </w:trPr>
        <w:tc>
          <w:tcPr>
            <w:tcW w:w="41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p>
        </w:tc>
        <w:tc>
          <w:tcPr>
            <w:tcW w:w="3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85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评分因素</w:t>
            </w:r>
          </w:p>
        </w:tc>
        <w:tc>
          <w:tcPr>
            <w:tcW w:w="41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权重</w:t>
            </w:r>
          </w:p>
        </w:tc>
        <w:tc>
          <w:tcPr>
            <w:tcW w:w="46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评分方式</w:t>
            </w:r>
          </w:p>
        </w:tc>
        <w:tc>
          <w:tcPr>
            <w:tcW w:w="246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评分准则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blCellSpacing w:w="0" w:type="dxa"/>
          <w:jc w:val="center"/>
        </w:trPr>
        <w:tc>
          <w:tcPr>
            <w:tcW w:w="41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p>
        </w:tc>
        <w:tc>
          <w:tcPr>
            <w:tcW w:w="3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85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商务要求</w:t>
            </w:r>
            <w:r>
              <w:rPr>
                <w:rFonts w:hint="eastAsia" w:asciiTheme="majorEastAsia" w:hAnsiTheme="majorEastAsia" w:eastAsiaTheme="majorEastAsia" w:cstheme="majorEastAsia"/>
                <w:sz w:val="21"/>
                <w:szCs w:val="21"/>
              </w:rPr>
              <w:t>偏离情况</w:t>
            </w:r>
          </w:p>
        </w:tc>
        <w:tc>
          <w:tcPr>
            <w:tcW w:w="41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10</w:t>
            </w:r>
          </w:p>
        </w:tc>
        <w:tc>
          <w:tcPr>
            <w:tcW w:w="46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专家评分</w:t>
            </w:r>
          </w:p>
        </w:tc>
        <w:tc>
          <w:tcPr>
            <w:tcW w:w="246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lang w:eastAsia="zh-CN"/>
              </w:rPr>
              <w:t>投标人</w:t>
            </w:r>
            <w:r>
              <w:rPr>
                <w:rFonts w:hint="eastAsia" w:asciiTheme="majorEastAsia" w:hAnsiTheme="majorEastAsia" w:eastAsiaTheme="majorEastAsia" w:cstheme="majorEastAsia"/>
                <w:color w:val="auto"/>
                <w:sz w:val="21"/>
                <w:szCs w:val="21"/>
              </w:rPr>
              <w:t>应如实填写《</w:t>
            </w:r>
            <w:r>
              <w:rPr>
                <w:rFonts w:hint="eastAsia" w:asciiTheme="majorEastAsia" w:hAnsiTheme="majorEastAsia" w:eastAsiaTheme="majorEastAsia" w:cstheme="majorEastAsia"/>
                <w:color w:val="auto"/>
                <w:sz w:val="21"/>
                <w:szCs w:val="21"/>
                <w:lang w:eastAsia="zh-CN"/>
              </w:rPr>
              <w:t>商务要求</w:t>
            </w:r>
            <w:r>
              <w:rPr>
                <w:rFonts w:hint="eastAsia" w:asciiTheme="majorEastAsia" w:hAnsiTheme="majorEastAsia" w:eastAsiaTheme="majorEastAsia" w:cstheme="majorEastAsia"/>
                <w:color w:val="auto"/>
                <w:sz w:val="21"/>
                <w:szCs w:val="21"/>
              </w:rPr>
              <w:t>偏离表》，评审委员会根据</w:t>
            </w:r>
            <w:r>
              <w:rPr>
                <w:rFonts w:hint="eastAsia" w:asciiTheme="majorEastAsia" w:hAnsiTheme="majorEastAsia" w:eastAsiaTheme="majorEastAsia" w:cstheme="majorEastAsia"/>
                <w:color w:val="auto"/>
                <w:sz w:val="21"/>
                <w:szCs w:val="21"/>
                <w:lang w:eastAsia="zh-CN"/>
              </w:rPr>
              <w:t>商务要求</w:t>
            </w:r>
            <w:r>
              <w:rPr>
                <w:rFonts w:hint="eastAsia" w:asciiTheme="majorEastAsia" w:hAnsiTheme="majorEastAsia" w:eastAsiaTheme="majorEastAsia" w:cstheme="majorEastAsia"/>
                <w:color w:val="auto"/>
                <w:sz w:val="21"/>
                <w:szCs w:val="21"/>
              </w:rPr>
              <w:t>参数响应情况进行打分，</w:t>
            </w:r>
            <w:r>
              <w:rPr>
                <w:rFonts w:hint="eastAsia" w:asciiTheme="majorEastAsia" w:hAnsiTheme="majorEastAsia" w:eastAsiaTheme="majorEastAsia" w:cstheme="majorEastAsia"/>
                <w:color w:val="auto"/>
                <w:sz w:val="21"/>
                <w:szCs w:val="21"/>
                <w:highlight w:val="none"/>
              </w:rPr>
              <w:t>带“▲”的为重点参数</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每负偏离一项扣</w:t>
            </w:r>
            <w:r>
              <w:rPr>
                <w:rFonts w:hint="eastAsia" w:asciiTheme="majorEastAsia" w:hAnsiTheme="majorEastAsia" w:eastAsiaTheme="majorEastAsia" w:cstheme="majorEastAsia"/>
                <w:color w:val="auto"/>
                <w:sz w:val="21"/>
                <w:szCs w:val="21"/>
                <w:highlight w:val="none"/>
                <w:lang w:val="en-US" w:eastAsia="zh-CN"/>
              </w:rPr>
              <w:t>2分</w:t>
            </w:r>
            <w:r>
              <w:rPr>
                <w:rFonts w:hint="eastAsia" w:asciiTheme="majorEastAsia" w:hAnsiTheme="majorEastAsia" w:eastAsiaTheme="majorEastAsia" w:cstheme="majorEastAsia"/>
                <w:color w:val="auto"/>
                <w:sz w:val="21"/>
                <w:szCs w:val="21"/>
                <w:highlight w:val="none"/>
              </w:rPr>
              <w:t>，普通参数每负偏离一项扣</w:t>
            </w:r>
            <w:r>
              <w:rPr>
                <w:rFonts w:hint="eastAsia" w:asciiTheme="majorEastAsia" w:hAnsiTheme="majorEastAsia" w:eastAsiaTheme="majorEastAsia" w:cstheme="majorEastAsia"/>
                <w:color w:val="auto"/>
                <w:sz w:val="21"/>
                <w:szCs w:val="21"/>
                <w:highlight w:val="none"/>
                <w:lang w:val="en-US" w:eastAsia="zh-CN"/>
              </w:rPr>
              <w:t>1分</w:t>
            </w:r>
            <w:r>
              <w:rPr>
                <w:rFonts w:hint="eastAsia" w:asciiTheme="majorEastAsia" w:hAnsiTheme="majorEastAsia" w:eastAsiaTheme="majorEastAsia" w:cstheme="majorEastAsia"/>
                <w:color w:val="auto"/>
                <w:sz w:val="21"/>
                <w:szCs w:val="21"/>
                <w:highlight w:val="none"/>
              </w:rPr>
              <w:t>，扣完为止</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0分</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各项技术参数指标及要求全部满足的得</w:t>
            </w:r>
            <w:r>
              <w:rPr>
                <w:rFonts w:hint="eastAsia" w:asciiTheme="majorEastAsia" w:hAnsiTheme="majorEastAsia" w:eastAsiaTheme="majorEastAsia" w:cstheme="majorEastAsia"/>
                <w:color w:val="auto"/>
                <w:sz w:val="21"/>
                <w:szCs w:val="21"/>
                <w:highlight w:val="none"/>
                <w:lang w:eastAsia="zh-CN"/>
              </w:rPr>
              <w:t>满分</w:t>
            </w:r>
            <w:r>
              <w:rPr>
                <w:rFonts w:hint="eastAsia" w:asciiTheme="majorEastAsia" w:hAnsiTheme="majorEastAsia" w:eastAsiaTheme="majorEastAsia" w:cstheme="majorEastAsia"/>
                <w:color w:val="auto"/>
                <w:sz w:val="21"/>
                <w:szCs w:val="21"/>
                <w:highlight w:val="none"/>
                <w:lang w:val="en-US" w:eastAsia="zh-CN"/>
              </w:rPr>
              <w:t>（10分）</w:t>
            </w:r>
            <w:r>
              <w:rPr>
                <w:rFonts w:hint="eastAsia" w:asciiTheme="majorEastAsia" w:hAnsiTheme="majorEastAsia" w:eastAsiaTheme="majorEastAsia" w:cstheme="majorEastAsia"/>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0" w:hRule="atLeast"/>
          <w:tblCellSpacing w:w="0" w:type="dxa"/>
          <w:jc w:val="center"/>
        </w:trPr>
        <w:tc>
          <w:tcPr>
            <w:tcW w:w="41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p>
        </w:tc>
        <w:tc>
          <w:tcPr>
            <w:tcW w:w="3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85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color w:val="FF0000"/>
                <w:sz w:val="21"/>
                <w:szCs w:val="21"/>
                <w:lang w:eastAsia="zh-CN"/>
              </w:rPr>
            </w:pPr>
            <w:r>
              <w:rPr>
                <w:rFonts w:hint="eastAsia" w:asciiTheme="majorEastAsia" w:hAnsiTheme="majorEastAsia" w:eastAsiaTheme="majorEastAsia" w:cstheme="majorEastAsia"/>
                <w:sz w:val="21"/>
                <w:szCs w:val="21"/>
                <w:lang w:eastAsia="zh-CN"/>
              </w:rPr>
              <w:t>服务质量保证情况</w:t>
            </w:r>
          </w:p>
        </w:tc>
        <w:tc>
          <w:tcPr>
            <w:tcW w:w="41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10</w:t>
            </w:r>
          </w:p>
        </w:tc>
        <w:tc>
          <w:tcPr>
            <w:tcW w:w="46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专家评分</w:t>
            </w:r>
          </w:p>
        </w:tc>
        <w:tc>
          <w:tcPr>
            <w:tcW w:w="246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投标人提供针对本项目的服务质量措施，包括：实施进度表、服务承诺、响应机制、服务质量控制等。</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lang w:eastAsia="zh-CN"/>
              </w:rPr>
              <w:t>具备基础服务质量措施材料得</w:t>
            </w:r>
            <w:r>
              <w:rPr>
                <w:rFonts w:hint="eastAsia" w:asciiTheme="majorEastAsia" w:hAnsiTheme="majorEastAsia" w:eastAsiaTheme="majorEastAsia" w:cstheme="majorEastAsia"/>
                <w:color w:val="auto"/>
                <w:sz w:val="21"/>
                <w:szCs w:val="21"/>
                <w:highlight w:val="none"/>
                <w:lang w:val="en-US" w:eastAsia="zh-CN"/>
              </w:rPr>
              <w:t>4分。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lang w:eastAsia="zh-CN"/>
              </w:rPr>
              <w:t>其余内容</w:t>
            </w:r>
            <w:r>
              <w:rPr>
                <w:rFonts w:hint="eastAsia" w:asciiTheme="majorEastAsia" w:hAnsiTheme="majorEastAsia" w:eastAsiaTheme="majorEastAsia" w:cstheme="majorEastAsia"/>
                <w:color w:val="auto"/>
                <w:sz w:val="21"/>
                <w:szCs w:val="21"/>
              </w:rPr>
              <w:t>评审委员会根据</w:t>
            </w:r>
            <w:r>
              <w:rPr>
                <w:rFonts w:hint="eastAsia" w:asciiTheme="majorEastAsia" w:hAnsiTheme="majorEastAsia" w:eastAsiaTheme="majorEastAsia" w:cstheme="majorEastAsia"/>
                <w:color w:val="auto"/>
                <w:sz w:val="21"/>
                <w:szCs w:val="21"/>
                <w:lang w:eastAsia="zh-CN"/>
              </w:rPr>
              <w:t>方案的合理性、完备性、专业性等</w:t>
            </w:r>
            <w:r>
              <w:rPr>
                <w:rFonts w:hint="eastAsia" w:asciiTheme="majorEastAsia" w:hAnsiTheme="majorEastAsia" w:eastAsiaTheme="majorEastAsia" w:cstheme="majorEastAsia"/>
                <w:color w:val="auto"/>
                <w:sz w:val="21"/>
                <w:szCs w:val="21"/>
              </w:rPr>
              <w:t>情况</w:t>
            </w:r>
            <w:r>
              <w:rPr>
                <w:rFonts w:hint="eastAsia" w:asciiTheme="majorEastAsia" w:hAnsiTheme="majorEastAsia" w:eastAsiaTheme="majorEastAsia" w:cstheme="majorEastAsia"/>
                <w:color w:val="auto"/>
                <w:sz w:val="21"/>
                <w:szCs w:val="21"/>
                <w:lang w:eastAsia="zh-CN"/>
              </w:rPr>
              <w:t>，横向比较方案优劣，按优</w:t>
            </w:r>
            <w:r>
              <w:rPr>
                <w:rFonts w:hint="eastAsia" w:asciiTheme="majorEastAsia" w:hAnsiTheme="majorEastAsia" w:eastAsiaTheme="majorEastAsia" w:cstheme="majorEastAsia"/>
                <w:color w:val="auto"/>
                <w:sz w:val="21"/>
                <w:szCs w:val="21"/>
                <w:lang w:val="en-US" w:eastAsia="zh-CN"/>
              </w:rPr>
              <w:t>46</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6</w:t>
            </w:r>
            <w:r>
              <w:rPr>
                <w:rFonts w:hint="eastAsia" w:asciiTheme="majorEastAsia" w:hAnsiTheme="majorEastAsia" w:eastAsiaTheme="majorEastAsia" w:cstheme="majorEastAsia"/>
                <w:color w:val="auto"/>
                <w:sz w:val="21"/>
                <w:szCs w:val="21"/>
                <w:lang w:eastAsia="zh-CN"/>
              </w:rPr>
              <w:t>0%、良</w:t>
            </w:r>
            <w:r>
              <w:rPr>
                <w:rFonts w:hint="eastAsia" w:asciiTheme="majorEastAsia" w:hAnsiTheme="majorEastAsia" w:eastAsiaTheme="majorEastAsia" w:cstheme="majorEastAsia"/>
                <w:color w:val="auto"/>
                <w:sz w:val="21"/>
                <w:szCs w:val="21"/>
                <w:lang w:val="en-US" w:eastAsia="zh-CN"/>
              </w:rPr>
              <w:t>31</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45</w:t>
            </w:r>
            <w:r>
              <w:rPr>
                <w:rFonts w:hint="eastAsia" w:asciiTheme="majorEastAsia" w:hAnsiTheme="majorEastAsia" w:eastAsiaTheme="majorEastAsia" w:cstheme="majorEastAsia"/>
                <w:color w:val="auto"/>
                <w:sz w:val="21"/>
                <w:szCs w:val="21"/>
                <w:lang w:eastAsia="zh-CN"/>
              </w:rPr>
              <w:t>%、中</w:t>
            </w:r>
            <w:r>
              <w:rPr>
                <w:rFonts w:hint="eastAsia" w:asciiTheme="majorEastAsia" w:hAnsiTheme="majorEastAsia" w:eastAsiaTheme="majorEastAsia" w:cstheme="majorEastAsia"/>
                <w:color w:val="auto"/>
                <w:sz w:val="21"/>
                <w:szCs w:val="21"/>
                <w:lang w:val="en-US" w:eastAsia="zh-CN"/>
              </w:rPr>
              <w:t>16</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3</w:t>
            </w:r>
            <w:r>
              <w:rPr>
                <w:rFonts w:hint="eastAsia" w:asciiTheme="majorEastAsia" w:hAnsiTheme="majorEastAsia" w:eastAsiaTheme="majorEastAsia" w:cstheme="majorEastAsia"/>
                <w:color w:val="auto"/>
                <w:sz w:val="21"/>
                <w:szCs w:val="21"/>
                <w:lang w:eastAsia="zh-CN"/>
              </w:rPr>
              <w:t>0%、差0-</w:t>
            </w:r>
            <w:r>
              <w:rPr>
                <w:rFonts w:hint="eastAsia" w:asciiTheme="majorEastAsia" w:hAnsiTheme="majorEastAsia" w:eastAsiaTheme="majorEastAsia" w:cstheme="majorEastAsia"/>
                <w:color w:val="auto"/>
                <w:sz w:val="21"/>
                <w:szCs w:val="21"/>
                <w:lang w:val="en-US" w:eastAsia="zh-CN"/>
              </w:rPr>
              <w:t>15</w:t>
            </w:r>
            <w:r>
              <w:rPr>
                <w:rFonts w:hint="eastAsia" w:asciiTheme="majorEastAsia" w:hAnsiTheme="majorEastAsia" w:eastAsiaTheme="majorEastAsia" w:cstheme="majorEastAsia"/>
                <w:color w:val="auto"/>
                <w:sz w:val="21"/>
                <w:szCs w:val="21"/>
                <w:lang w:eastAsia="zh-CN"/>
              </w:rPr>
              <w:t>%打分。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jc w:val="center"/>
        </w:trPr>
        <w:tc>
          <w:tcPr>
            <w:tcW w:w="41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4</w:t>
            </w:r>
          </w:p>
        </w:tc>
        <w:tc>
          <w:tcPr>
            <w:tcW w:w="2120" w:type="pct"/>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综合实力部分</w:t>
            </w:r>
          </w:p>
        </w:tc>
        <w:tc>
          <w:tcPr>
            <w:tcW w:w="246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color w:val="auto"/>
                <w:sz w:val="21"/>
                <w:szCs w:val="21"/>
                <w:lang w:val="en-US" w:eastAsia="zh-CN"/>
              </w:rPr>
            </w:pPr>
            <w:r>
              <w:rPr>
                <w:rFonts w:hint="eastAsia" w:asciiTheme="majorEastAsia" w:hAnsiTheme="majorEastAsia" w:eastAsiaTheme="majorEastAsia" w:cstheme="majorEastAsia"/>
                <w:b w:val="0"/>
                <w:bCs/>
                <w:color w:val="auto"/>
                <w:sz w:val="21"/>
                <w:szCs w:val="21"/>
                <w:lang w:val="en-US" w:eastAsia="zh-CN"/>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 w:hRule="atLeast"/>
          <w:tblCellSpacing w:w="0" w:type="dxa"/>
          <w:jc w:val="center"/>
        </w:trPr>
        <w:tc>
          <w:tcPr>
            <w:tcW w:w="41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p>
        </w:tc>
        <w:tc>
          <w:tcPr>
            <w:tcW w:w="3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85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评分因素</w:t>
            </w:r>
          </w:p>
        </w:tc>
        <w:tc>
          <w:tcPr>
            <w:tcW w:w="41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权重</w:t>
            </w:r>
          </w:p>
        </w:tc>
        <w:tc>
          <w:tcPr>
            <w:tcW w:w="46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评分方式</w:t>
            </w:r>
          </w:p>
        </w:tc>
        <w:tc>
          <w:tcPr>
            <w:tcW w:w="246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评分准则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 w:hRule="atLeast"/>
          <w:tblCellSpacing w:w="0" w:type="dxa"/>
          <w:jc w:val="center"/>
        </w:trPr>
        <w:tc>
          <w:tcPr>
            <w:tcW w:w="41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heme="majorEastAsia" w:hAnsiTheme="majorEastAsia" w:eastAsiaTheme="majorEastAsia" w:cstheme="majorEastAsia"/>
                <w:sz w:val="21"/>
                <w:szCs w:val="21"/>
              </w:rPr>
            </w:pPr>
          </w:p>
        </w:tc>
        <w:tc>
          <w:tcPr>
            <w:tcW w:w="3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85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同类业绩</w:t>
            </w:r>
          </w:p>
        </w:tc>
        <w:tc>
          <w:tcPr>
            <w:tcW w:w="41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10</w:t>
            </w:r>
          </w:p>
        </w:tc>
        <w:tc>
          <w:tcPr>
            <w:tcW w:w="46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专家评分</w:t>
            </w:r>
          </w:p>
        </w:tc>
        <w:tc>
          <w:tcPr>
            <w:tcW w:w="2465" w:type="pct"/>
            <w:tcBorders>
              <w:tl2br w:val="nil"/>
              <w:tr2bl w:val="nil"/>
            </w:tcBorders>
            <w:noWrap w:val="0"/>
            <w:vAlign w:val="center"/>
          </w:tcPr>
          <w:p>
            <w:pPr>
              <w:pageBreakBefore w:val="0"/>
              <w:kinsoku/>
              <w:wordWrap/>
              <w:overflowPunct/>
              <w:topLinePunct w:val="0"/>
              <w:bidi w:val="0"/>
              <w:spacing w:line="34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（一）评分内容：</w:t>
            </w:r>
          </w:p>
          <w:p>
            <w:pPr>
              <w:pageBreakBefore w:val="0"/>
              <w:kinsoku/>
              <w:wordWrap/>
              <w:overflowPunct/>
              <w:topLinePunct w:val="0"/>
              <w:bidi w:val="0"/>
              <w:spacing w:line="34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投标人自</w:t>
            </w:r>
            <w:r>
              <w:rPr>
                <w:rFonts w:hint="eastAsia" w:asciiTheme="majorEastAsia" w:hAnsiTheme="majorEastAsia" w:eastAsiaTheme="majorEastAsia" w:cstheme="majorEastAsia"/>
                <w:sz w:val="21"/>
                <w:szCs w:val="21"/>
                <w:lang w:val="en-US" w:eastAsia="zh-CN"/>
              </w:rPr>
              <w:t>2022</w:t>
            </w:r>
            <w:r>
              <w:rPr>
                <w:rFonts w:hint="eastAsia" w:asciiTheme="majorEastAsia" w:hAnsiTheme="majorEastAsia" w:eastAsiaTheme="majorEastAsia" w:cstheme="majorEastAsia"/>
                <w:sz w:val="21"/>
                <w:szCs w:val="21"/>
              </w:rPr>
              <w:t>年1月1日至本项目截标之日内所签订的</w:t>
            </w:r>
            <w:r>
              <w:rPr>
                <w:rFonts w:hint="eastAsia" w:asciiTheme="majorEastAsia" w:hAnsiTheme="majorEastAsia" w:eastAsiaTheme="majorEastAsia" w:cstheme="majorEastAsia"/>
                <w:sz w:val="21"/>
                <w:szCs w:val="21"/>
                <w:lang w:eastAsia="zh-CN"/>
              </w:rPr>
              <w:t>政府类、公共文化机构类等</w:t>
            </w:r>
            <w:r>
              <w:rPr>
                <w:rFonts w:hint="eastAsia" w:asciiTheme="majorEastAsia" w:hAnsiTheme="majorEastAsia" w:eastAsiaTheme="majorEastAsia" w:cstheme="majorEastAsia"/>
                <w:sz w:val="21"/>
                <w:szCs w:val="21"/>
              </w:rPr>
              <w:t>项目同类业绩项目合同（以合同签订日期为准），每提供</w:t>
            </w:r>
            <w:r>
              <w:rPr>
                <w:rFonts w:hint="eastAsia" w:asciiTheme="majorEastAsia" w:hAnsiTheme="majorEastAsia" w:eastAsiaTheme="majorEastAsia" w:cstheme="majorEastAsia"/>
                <w:sz w:val="21"/>
                <w:szCs w:val="21"/>
                <w:lang w:val="en-US" w:eastAsia="zh-CN"/>
              </w:rPr>
              <w:t>一份</w:t>
            </w:r>
            <w:r>
              <w:rPr>
                <w:rFonts w:hint="eastAsia" w:asciiTheme="majorEastAsia" w:hAnsiTheme="majorEastAsia" w:eastAsiaTheme="majorEastAsia" w:cstheme="majorEastAsia"/>
                <w:sz w:val="21"/>
                <w:szCs w:val="21"/>
              </w:rPr>
              <w:t>同类业绩得</w:t>
            </w:r>
            <w:r>
              <w:rPr>
                <w:rFonts w:hint="eastAsia" w:asciiTheme="majorEastAsia" w:hAnsiTheme="majorEastAsia" w:eastAsiaTheme="majorEastAsia" w:cstheme="majorEastAsia"/>
                <w:sz w:val="21"/>
                <w:szCs w:val="21"/>
                <w:lang w:val="en-US" w:eastAsia="zh-CN"/>
              </w:rPr>
              <w:t>2分</w:t>
            </w:r>
            <w:r>
              <w:rPr>
                <w:rFonts w:hint="eastAsia" w:asciiTheme="majorEastAsia" w:hAnsiTheme="majorEastAsia" w:eastAsiaTheme="majorEastAsia" w:cstheme="majorEastAsia"/>
                <w:sz w:val="21"/>
                <w:szCs w:val="21"/>
              </w:rPr>
              <w:t>，最高得</w:t>
            </w:r>
            <w:r>
              <w:rPr>
                <w:rFonts w:hint="eastAsia" w:asciiTheme="majorEastAsia" w:hAnsiTheme="majorEastAsia" w:eastAsiaTheme="majorEastAsia" w:cstheme="majorEastAsia"/>
                <w:sz w:val="21"/>
                <w:szCs w:val="21"/>
                <w:lang w:val="en-US" w:eastAsia="zh-CN"/>
              </w:rPr>
              <w:t>10分</w:t>
            </w:r>
            <w:r>
              <w:rPr>
                <w:rFonts w:hint="eastAsia" w:asciiTheme="majorEastAsia" w:hAnsiTheme="majorEastAsia" w:eastAsiaTheme="majorEastAsia" w:cstheme="majorEastAsia"/>
                <w:sz w:val="21"/>
                <w:szCs w:val="21"/>
              </w:rPr>
              <w:t>。</w:t>
            </w:r>
          </w:p>
          <w:p>
            <w:pPr>
              <w:pageBreakBefore w:val="0"/>
              <w:kinsoku/>
              <w:wordWrap/>
              <w:overflowPunct/>
              <w:topLinePunct w:val="0"/>
              <w:bidi w:val="0"/>
              <w:spacing w:line="34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（二）评分依据：</w:t>
            </w:r>
          </w:p>
          <w:p>
            <w:pPr>
              <w:pageBreakBefore w:val="0"/>
              <w:kinsoku/>
              <w:wordWrap/>
              <w:overflowPunct/>
              <w:topLinePunct w:val="0"/>
              <w:bidi w:val="0"/>
              <w:spacing w:line="34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要求提供合同关键信息（包括但不限于合同标的、签订时间、双方签章页）作为得分依据，通过合同关键信息无法判断是否得分的，同时提供能证明得分的其它证明资料，如项目报告或合同甲方出具的证明文件等。</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sz w:val="21"/>
                <w:szCs w:val="21"/>
              </w:rPr>
              <w:t>2.以上资料均要求提供扫描件，原件备查。备注：评分中出现无证明资料或证书过期或专家无法凭所提供资料判断是否得分的情况，一律作不得分处理。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 w:hRule="atLeast"/>
          <w:tblCellSpacing w:w="0" w:type="dxa"/>
          <w:jc w:val="center"/>
        </w:trPr>
        <w:tc>
          <w:tcPr>
            <w:tcW w:w="413"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heme="majorEastAsia" w:hAnsiTheme="majorEastAsia" w:eastAsiaTheme="majorEastAsia" w:cstheme="majorEastAsia"/>
                <w:color w:val="auto"/>
                <w:sz w:val="21"/>
                <w:szCs w:val="21"/>
                <w:lang w:val="en-US" w:eastAsia="zh-CN"/>
              </w:rPr>
            </w:pPr>
          </w:p>
        </w:tc>
        <w:tc>
          <w:tcPr>
            <w:tcW w:w="387" w:type="pc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sz w:val="21"/>
                <w:szCs w:val="21"/>
                <w:lang w:val="en-US" w:eastAsia="zh-CN"/>
              </w:rPr>
              <w:t>2</w:t>
            </w:r>
          </w:p>
        </w:tc>
        <w:tc>
          <w:tcPr>
            <w:tcW w:w="854" w:type="pc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auto"/>
                <w:sz w:val="21"/>
                <w:szCs w:val="21"/>
                <w:lang w:eastAsia="zh-CN"/>
              </w:rPr>
              <w:t>项目实施保障</w:t>
            </w:r>
          </w:p>
        </w:tc>
        <w:tc>
          <w:tcPr>
            <w:tcW w:w="416" w:type="pc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eastAsia="zh-CN"/>
              </w:rPr>
              <w:t>15</w:t>
            </w:r>
          </w:p>
        </w:tc>
        <w:tc>
          <w:tcPr>
            <w:tcW w:w="463" w:type="pct"/>
            <w:tcBorders>
              <w:tl2br w:val="nil"/>
              <w:tr2bl w:val="nil"/>
            </w:tcBorders>
            <w:shd w:val="clear" w:color="auto" w:fill="auto"/>
            <w:noWrap w:val="0"/>
            <w:vAlign w:val="center"/>
          </w:tcPr>
          <w:p>
            <w:pPr>
              <w:pageBreakBefore w:val="0"/>
              <w:numPr>
                <w:ilvl w:val="0"/>
                <w:numId w:val="0"/>
              </w:numPr>
              <w:kinsoku/>
              <w:wordWrap/>
              <w:overflowPunct/>
              <w:topLinePunct w:val="0"/>
              <w:bidi w:val="0"/>
              <w:spacing w:line="340" w:lineRule="exact"/>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eastAsia="zh-CN"/>
              </w:rPr>
              <w:t>专家评分</w:t>
            </w:r>
          </w:p>
        </w:tc>
        <w:tc>
          <w:tcPr>
            <w:tcW w:w="2465" w:type="pct"/>
            <w:tcBorders>
              <w:tl2br w:val="nil"/>
              <w:tr2bl w:val="nil"/>
            </w:tcBorders>
            <w:noWrap w:val="0"/>
            <w:vAlign w:val="center"/>
          </w:tcPr>
          <w:p>
            <w:pPr>
              <w:pageBreakBefore w:val="0"/>
              <w:numPr>
                <w:ilvl w:val="0"/>
                <w:numId w:val="0"/>
              </w:numPr>
              <w:kinsoku/>
              <w:wordWrap/>
              <w:overflowPunct/>
              <w:topLinePunct w:val="0"/>
              <w:bidi w:val="0"/>
              <w:spacing w:line="340" w:lineRule="exact"/>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（一）评分内容：</w:t>
            </w:r>
          </w:p>
          <w:p>
            <w:pPr>
              <w:pageBreakBefore w:val="0"/>
              <w:numPr>
                <w:ilvl w:val="0"/>
                <w:numId w:val="0"/>
              </w:numPr>
              <w:kinsoku/>
              <w:wordWrap/>
              <w:overflowPunct/>
              <w:topLinePunct w:val="0"/>
              <w:bidi w:val="0"/>
              <w:spacing w:line="340" w:lineRule="exact"/>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根据投标人提供项目实施保障材料进行打分。具体如下：</w:t>
            </w:r>
          </w:p>
          <w:p>
            <w:pPr>
              <w:pageBreakBefore w:val="0"/>
              <w:numPr>
                <w:ilvl w:val="0"/>
                <w:numId w:val="0"/>
              </w:numPr>
              <w:kinsoku/>
              <w:wordWrap/>
              <w:overflowPunct/>
              <w:topLinePunct w:val="0"/>
              <w:bidi w:val="0"/>
              <w:spacing w:line="340" w:lineRule="exact"/>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1.具备《信息安全服务资质认证》信息系统安全集成、信息系统安全运维、信息系统风险评估、信息系统应急处理等4个方向认证，每提供一个认证得2分，上限6分。</w:t>
            </w:r>
          </w:p>
          <w:p>
            <w:pPr>
              <w:pageBreakBefore w:val="0"/>
              <w:numPr>
                <w:ilvl w:val="0"/>
                <w:numId w:val="0"/>
              </w:numPr>
              <w:kinsoku/>
              <w:wordWrap/>
              <w:overflowPunct/>
              <w:topLinePunct w:val="0"/>
              <w:bidi w:val="0"/>
              <w:spacing w:line="340" w:lineRule="exac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lang w:eastAsia="zh-CN"/>
              </w:rPr>
              <w:t>具有项目履约过程中所需相关资格认证证书，如信息技术服务管理体系认证</w:t>
            </w:r>
            <w:r>
              <w:rPr>
                <w:rFonts w:hint="eastAsia" w:asciiTheme="majorEastAsia" w:hAnsiTheme="majorEastAsia" w:eastAsiaTheme="majorEastAsia" w:cstheme="majorEastAsia"/>
                <w:color w:val="auto"/>
                <w:sz w:val="21"/>
                <w:szCs w:val="21"/>
                <w:lang w:val="en-US" w:eastAsia="zh-CN"/>
              </w:rPr>
              <w:t>、DSMM数据安全能力成熟度管理体系认证、ITSS信息技术服务标准符合性认证、或其它与本项目实施相关的信息系统认证证书，每提供一项证书得3分，上限9分。</w:t>
            </w:r>
          </w:p>
          <w:p>
            <w:pPr>
              <w:pageBreakBefore w:val="0"/>
              <w:numPr>
                <w:ilvl w:val="0"/>
                <w:numId w:val="0"/>
              </w:numPr>
              <w:kinsoku/>
              <w:wordWrap/>
              <w:overflowPunct/>
              <w:topLinePunct w:val="0"/>
              <w:bidi w:val="0"/>
              <w:spacing w:line="340" w:lineRule="exact"/>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（二）评分依据：</w:t>
            </w:r>
          </w:p>
          <w:p>
            <w:pPr>
              <w:pageBreakBefore w:val="0"/>
              <w:numPr>
                <w:ilvl w:val="0"/>
                <w:numId w:val="0"/>
              </w:numPr>
              <w:kinsoku/>
              <w:wordWrap/>
              <w:overflowPunct/>
              <w:topLinePunct w:val="0"/>
              <w:bidi w:val="0"/>
              <w:spacing w:line="340" w:lineRule="exac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eastAsia="zh-CN"/>
              </w:rPr>
              <w:t>要求提供相关许可证、证书扫描件，原件备查。备注：评分中出现无证明资料或证书过期或专家无法凭所提供资料判断是否得分的情况，一律作不得分处理。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 w:hRule="atLeast"/>
          <w:tblCellSpacing w:w="0" w:type="dxa"/>
          <w:jc w:val="center"/>
        </w:trPr>
        <w:tc>
          <w:tcPr>
            <w:tcW w:w="413"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heme="majorEastAsia" w:hAnsiTheme="majorEastAsia" w:eastAsiaTheme="majorEastAsia" w:cstheme="majorEastAsia"/>
                <w:b w:val="0"/>
                <w:bCs w:val="0"/>
                <w:color w:val="auto"/>
                <w:sz w:val="21"/>
                <w:szCs w:val="21"/>
                <w:lang w:val="en-US" w:eastAsia="zh-CN"/>
              </w:rPr>
            </w:pPr>
          </w:p>
        </w:tc>
        <w:tc>
          <w:tcPr>
            <w:tcW w:w="387" w:type="pc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sz w:val="21"/>
                <w:szCs w:val="21"/>
                <w:lang w:val="en-US" w:eastAsia="zh-CN"/>
              </w:rPr>
              <w:t>3</w:t>
            </w:r>
          </w:p>
        </w:tc>
        <w:tc>
          <w:tcPr>
            <w:tcW w:w="854" w:type="pc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color w:val="auto"/>
                <w:sz w:val="21"/>
                <w:szCs w:val="21"/>
                <w:lang w:eastAsia="zh-CN"/>
              </w:rPr>
              <w:t>投标文件质量</w:t>
            </w:r>
          </w:p>
        </w:tc>
        <w:tc>
          <w:tcPr>
            <w:tcW w:w="416" w:type="pc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color w:val="auto"/>
                <w:sz w:val="21"/>
                <w:szCs w:val="21"/>
                <w:lang w:val="en-US" w:eastAsia="zh-CN"/>
              </w:rPr>
              <w:t>3</w:t>
            </w:r>
          </w:p>
        </w:tc>
        <w:tc>
          <w:tcPr>
            <w:tcW w:w="463" w:type="pc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color w:val="auto"/>
                <w:sz w:val="21"/>
                <w:szCs w:val="21"/>
              </w:rPr>
              <w:t>专家评分</w:t>
            </w:r>
          </w:p>
        </w:tc>
        <w:tc>
          <w:tcPr>
            <w:tcW w:w="2465" w:type="pct"/>
            <w:tcBorders>
              <w:tl2br w:val="nil"/>
              <w:tr2bl w:val="nil"/>
            </w:tcBorders>
            <w:shd w:val="clear" w:color="auto" w:fill="auto"/>
            <w:noWrap w:val="0"/>
            <w:vAlign w:val="center"/>
          </w:tcPr>
          <w:p>
            <w:pPr>
              <w:pStyle w:val="29"/>
              <w:keepNext w:val="0"/>
              <w:keepLines w:val="0"/>
              <w:pageBreakBefore w:val="0"/>
              <w:numPr>
                <w:ilvl w:val="0"/>
                <w:numId w:val="0"/>
              </w:numPr>
              <w:pBdr>
                <w:bottom w:val="none" w:color="auto" w:sz="0" w:space="0"/>
              </w:pBdr>
              <w:tabs>
                <w:tab w:val="clear" w:pos="4153"/>
                <w:tab w:val="clear" w:pos="8306"/>
              </w:tabs>
              <w:kinsoku/>
              <w:wordWrap/>
              <w:overflowPunct/>
              <w:topLinePunct w:val="0"/>
              <w:autoSpaceDE/>
              <w:autoSpaceDN/>
              <w:bidi w:val="0"/>
              <w:adjustRightInd/>
              <w:snapToGrid/>
              <w:spacing w:line="340" w:lineRule="exact"/>
              <w:ind w:left="0" w:leftChars="0" w:right="2" w:rightChars="1" w:firstLine="0" w:firstLineChars="0"/>
              <w:jc w:val="both"/>
              <w:textAlignment w:val="auto"/>
              <w:rPr>
                <w:rFonts w:hint="eastAsia" w:asciiTheme="majorEastAsia" w:hAnsiTheme="majorEastAsia" w:eastAsiaTheme="majorEastAsia" w:cstheme="majorEastAsia"/>
                <w:b w:val="0"/>
                <w:bCs w:val="0"/>
                <w:color w:val="auto"/>
                <w:kern w:val="2"/>
                <w:sz w:val="21"/>
                <w:szCs w:val="21"/>
                <w:lang w:val="en-US" w:eastAsia="zh-CN" w:bidi="ar-SA"/>
              </w:rPr>
            </w:pPr>
            <w:r>
              <w:rPr>
                <w:rFonts w:hint="eastAsia" w:asciiTheme="majorEastAsia" w:hAnsiTheme="majorEastAsia" w:eastAsiaTheme="majorEastAsia" w:cstheme="majorEastAsia"/>
                <w:b w:val="0"/>
                <w:bCs w:val="0"/>
                <w:color w:val="auto"/>
                <w:sz w:val="21"/>
                <w:szCs w:val="21"/>
                <w:lang w:eastAsia="zh-CN"/>
              </w:rPr>
              <w:t>投标人需提供本项目招标公告“投标人资格要求”中提及的全部材料及证明文件得</w:t>
            </w:r>
            <w:r>
              <w:rPr>
                <w:rFonts w:hint="eastAsia" w:asciiTheme="majorEastAsia" w:hAnsiTheme="majorEastAsia" w:eastAsiaTheme="majorEastAsia" w:cstheme="majorEastAsia"/>
                <w:b w:val="0"/>
                <w:bCs w:val="0"/>
                <w:color w:val="auto"/>
                <w:sz w:val="21"/>
                <w:szCs w:val="21"/>
                <w:lang w:val="en-US" w:eastAsia="zh-CN"/>
              </w:rPr>
              <w:t>3分，</w:t>
            </w:r>
            <w:r>
              <w:rPr>
                <w:rFonts w:hint="eastAsia" w:asciiTheme="majorEastAsia" w:hAnsiTheme="majorEastAsia" w:eastAsiaTheme="majorEastAsia" w:cstheme="majorEastAsia"/>
                <w:b w:val="0"/>
                <w:bCs w:val="0"/>
                <w:color w:val="auto"/>
                <w:sz w:val="21"/>
                <w:szCs w:val="21"/>
                <w:lang w:eastAsia="zh-CN"/>
              </w:rPr>
              <w:t>提供不完整本项不得分。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 w:hRule="atLeast"/>
          <w:tblCellSpacing w:w="0" w:type="dxa"/>
          <w:jc w:val="center"/>
        </w:trPr>
        <w:tc>
          <w:tcPr>
            <w:tcW w:w="413"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heme="majorEastAsia" w:hAnsiTheme="majorEastAsia" w:eastAsiaTheme="majorEastAsia" w:cstheme="majorEastAsia"/>
                <w:b w:val="0"/>
                <w:bCs w:val="0"/>
                <w:color w:val="auto"/>
                <w:sz w:val="21"/>
                <w:szCs w:val="21"/>
                <w:lang w:val="en-US" w:eastAsia="zh-CN"/>
              </w:rPr>
            </w:pPr>
          </w:p>
        </w:tc>
        <w:tc>
          <w:tcPr>
            <w:tcW w:w="387" w:type="pc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sz w:val="21"/>
                <w:szCs w:val="21"/>
                <w:lang w:val="en-US" w:eastAsia="zh-CN"/>
              </w:rPr>
              <w:t>4</w:t>
            </w:r>
          </w:p>
        </w:tc>
        <w:tc>
          <w:tcPr>
            <w:tcW w:w="854" w:type="pc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Theme="majorEastAsia" w:hAnsiTheme="majorEastAsia" w:eastAsiaTheme="majorEastAsia" w:cstheme="majorEastAsia"/>
                <w:b w:val="0"/>
                <w:bCs w:val="0"/>
                <w:color w:val="auto"/>
                <w:kern w:val="2"/>
                <w:sz w:val="21"/>
                <w:szCs w:val="21"/>
                <w:lang w:val="en-US" w:eastAsia="zh-CN" w:bidi="ar-SA"/>
              </w:rPr>
            </w:pPr>
            <w:r>
              <w:rPr>
                <w:rFonts w:hint="eastAsia" w:asciiTheme="majorEastAsia" w:hAnsiTheme="majorEastAsia" w:eastAsiaTheme="majorEastAsia" w:cstheme="majorEastAsia"/>
                <w:b w:val="0"/>
                <w:bCs w:val="0"/>
                <w:color w:val="auto"/>
                <w:sz w:val="21"/>
                <w:szCs w:val="21"/>
                <w:lang w:eastAsia="zh-CN"/>
              </w:rPr>
              <w:t>公司诚信</w:t>
            </w:r>
          </w:p>
        </w:tc>
        <w:tc>
          <w:tcPr>
            <w:tcW w:w="416" w:type="pc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Theme="majorEastAsia" w:hAnsiTheme="majorEastAsia" w:eastAsiaTheme="majorEastAsia" w:cstheme="majorEastAsia"/>
                <w:b w:val="0"/>
                <w:bCs w:val="0"/>
                <w:color w:val="auto"/>
                <w:kern w:val="2"/>
                <w:sz w:val="21"/>
                <w:szCs w:val="21"/>
                <w:lang w:val="en-US" w:eastAsia="zh-CN" w:bidi="ar-SA"/>
              </w:rPr>
            </w:pPr>
            <w:r>
              <w:rPr>
                <w:rFonts w:hint="eastAsia" w:asciiTheme="majorEastAsia" w:hAnsiTheme="majorEastAsia" w:eastAsiaTheme="majorEastAsia" w:cstheme="majorEastAsia"/>
                <w:b w:val="0"/>
                <w:bCs w:val="0"/>
                <w:color w:val="auto"/>
                <w:sz w:val="21"/>
                <w:szCs w:val="21"/>
                <w:lang w:val="en-US" w:eastAsia="zh-CN"/>
              </w:rPr>
              <w:t>2</w:t>
            </w:r>
          </w:p>
        </w:tc>
        <w:tc>
          <w:tcPr>
            <w:tcW w:w="463" w:type="pct"/>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Theme="majorEastAsia" w:hAnsiTheme="majorEastAsia" w:eastAsiaTheme="majorEastAsia" w:cstheme="majorEastAsia"/>
                <w:b w:val="0"/>
                <w:bCs w:val="0"/>
                <w:color w:val="auto"/>
                <w:kern w:val="2"/>
                <w:sz w:val="21"/>
                <w:szCs w:val="21"/>
                <w:lang w:val="en-US" w:eastAsia="zh-CN" w:bidi="ar-SA"/>
              </w:rPr>
            </w:pPr>
            <w:r>
              <w:rPr>
                <w:rFonts w:hint="eastAsia" w:asciiTheme="majorEastAsia" w:hAnsiTheme="majorEastAsia" w:eastAsiaTheme="majorEastAsia" w:cstheme="majorEastAsia"/>
                <w:b w:val="0"/>
                <w:bCs w:val="0"/>
                <w:color w:val="auto"/>
                <w:sz w:val="21"/>
                <w:szCs w:val="21"/>
              </w:rPr>
              <w:t>专家评分</w:t>
            </w:r>
          </w:p>
        </w:tc>
        <w:tc>
          <w:tcPr>
            <w:tcW w:w="2465" w:type="pct"/>
            <w:tcBorders>
              <w:tl2br w:val="nil"/>
              <w:tr2bl w:val="nil"/>
            </w:tcBorders>
            <w:shd w:val="clear" w:color="auto" w:fill="auto"/>
            <w:noWrap w:val="0"/>
            <w:vAlign w:val="center"/>
          </w:tcPr>
          <w:p>
            <w:pPr>
              <w:pStyle w:val="29"/>
              <w:keepNext w:val="0"/>
              <w:keepLines w:val="0"/>
              <w:pageBreakBefore w:val="0"/>
              <w:numPr>
                <w:ilvl w:val="0"/>
                <w:numId w:val="0"/>
              </w:numPr>
              <w:pBdr>
                <w:bottom w:val="none" w:color="auto" w:sz="0" w:space="0"/>
              </w:pBdr>
              <w:tabs>
                <w:tab w:val="clear" w:pos="4153"/>
                <w:tab w:val="clear" w:pos="8306"/>
              </w:tabs>
              <w:kinsoku/>
              <w:wordWrap/>
              <w:overflowPunct/>
              <w:topLinePunct w:val="0"/>
              <w:autoSpaceDE/>
              <w:autoSpaceDN/>
              <w:bidi w:val="0"/>
              <w:adjustRightInd/>
              <w:snapToGrid/>
              <w:spacing w:line="340" w:lineRule="exact"/>
              <w:ind w:left="0" w:leftChars="0" w:right="2" w:rightChars="1" w:firstLine="0" w:firstLineChars="0"/>
              <w:jc w:val="both"/>
              <w:textAlignment w:val="auto"/>
              <w:rPr>
                <w:rFonts w:hint="eastAsia" w:asciiTheme="majorEastAsia" w:hAnsiTheme="majorEastAsia" w:eastAsiaTheme="majorEastAsia" w:cstheme="majorEastAsia"/>
                <w:b w:val="0"/>
                <w:bCs w:val="0"/>
                <w:color w:val="auto"/>
                <w:sz w:val="21"/>
                <w:szCs w:val="21"/>
                <w:lang w:eastAsia="zh-CN"/>
              </w:rPr>
            </w:pPr>
            <w:r>
              <w:rPr>
                <w:rFonts w:hint="eastAsia" w:asciiTheme="majorEastAsia" w:hAnsiTheme="majorEastAsia" w:eastAsiaTheme="majorEastAsia" w:cstheme="majorEastAsia"/>
                <w:b w:val="0"/>
                <w:bCs w:val="0"/>
                <w:color w:val="auto"/>
                <w:sz w:val="21"/>
                <w:szCs w:val="21"/>
                <w:lang w:eastAsia="zh-CN"/>
              </w:rPr>
              <w:t>投标人未被列入“信用中国”网站(www.creditchina.gov.cn)“失信被执行人或重大税收违法案件当事人名单或政府采购严重违法失信名单”记录名单；不处于中国政府采购网(www.ccgp.gov.cn)“政府采购严重违法失信行为信息记录名单”中的禁止参加政府采购活动期间。</w:t>
            </w:r>
          </w:p>
          <w:p>
            <w:pPr>
              <w:pStyle w:val="29"/>
              <w:keepNext w:val="0"/>
              <w:keepLines w:val="0"/>
              <w:pageBreakBefore w:val="0"/>
              <w:numPr>
                <w:ilvl w:val="0"/>
                <w:numId w:val="0"/>
              </w:numPr>
              <w:pBdr>
                <w:bottom w:val="none" w:color="auto" w:sz="0" w:space="0"/>
              </w:pBdr>
              <w:tabs>
                <w:tab w:val="clear" w:pos="4153"/>
                <w:tab w:val="clear" w:pos="8306"/>
              </w:tabs>
              <w:kinsoku/>
              <w:wordWrap/>
              <w:overflowPunct/>
              <w:topLinePunct w:val="0"/>
              <w:autoSpaceDE/>
              <w:autoSpaceDN/>
              <w:bidi w:val="0"/>
              <w:adjustRightInd/>
              <w:snapToGrid/>
              <w:spacing w:line="340" w:lineRule="exact"/>
              <w:ind w:left="0" w:leftChars="0" w:right="2" w:rightChars="1" w:firstLine="0" w:firstLineChars="0"/>
              <w:jc w:val="both"/>
              <w:textAlignment w:val="auto"/>
              <w:rPr>
                <w:rFonts w:hint="default" w:asciiTheme="majorEastAsia" w:hAnsiTheme="majorEastAsia" w:eastAsiaTheme="majorEastAsia" w:cstheme="majorEastAsia"/>
                <w:b w:val="0"/>
                <w:bCs w:val="0"/>
                <w:color w:val="auto"/>
                <w:kern w:val="2"/>
                <w:sz w:val="21"/>
                <w:szCs w:val="21"/>
                <w:lang w:val="en-US" w:eastAsia="zh-CN" w:bidi="ar-SA"/>
              </w:rPr>
            </w:pPr>
            <w:r>
              <w:rPr>
                <w:rFonts w:hint="eastAsia" w:asciiTheme="majorEastAsia" w:hAnsiTheme="majorEastAsia" w:eastAsiaTheme="majorEastAsia" w:cstheme="majorEastAsia"/>
                <w:b w:val="0"/>
                <w:bCs w:val="0"/>
                <w:color w:val="auto"/>
                <w:sz w:val="21"/>
                <w:szCs w:val="21"/>
                <w:lang w:eastAsia="zh-CN"/>
              </w:rPr>
              <w:t>投标人需提供“信用中国”网站（www.creditchina.gov.cn）及中国政府采购网(www.ccgp.gov.cn)查询结果，如相关失信记录已失效，需提供相关证明资料。提供材料符合要求得</w:t>
            </w:r>
            <w:r>
              <w:rPr>
                <w:rFonts w:hint="eastAsia" w:asciiTheme="majorEastAsia" w:hAnsiTheme="majorEastAsia" w:eastAsiaTheme="majorEastAsia" w:cstheme="majorEastAsia"/>
                <w:b w:val="0"/>
                <w:bCs w:val="0"/>
                <w:color w:val="auto"/>
                <w:sz w:val="21"/>
                <w:szCs w:val="21"/>
                <w:lang w:val="en-US" w:eastAsia="zh-CN"/>
              </w:rPr>
              <w:t>2分，不提供本项不得分。</w:t>
            </w:r>
          </w:p>
        </w:tc>
      </w:tr>
    </w:tbl>
    <w:p>
      <w:pPr>
        <w:pageBreakBefore w:val="0"/>
        <w:kinsoku/>
        <w:wordWrap/>
        <w:overflowPunct/>
        <w:topLinePunct w:val="0"/>
        <w:bidi w:val="0"/>
        <w:rPr>
          <w:b w:val="0"/>
          <w:bCs w:val="0"/>
          <w:color w:val="FF0000"/>
          <w:sz w:val="24"/>
          <w:szCs w:val="24"/>
        </w:rPr>
      </w:pP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auto"/>
        <w:ind w:firstLine="481" w:firstLineChars="200"/>
        <w:jc w:val="both"/>
        <w:textAlignment w:val="auto"/>
        <w:outlineLvl w:val="1"/>
        <w:rPr>
          <w:rFonts w:hint="eastAsia" w:asciiTheme="minorEastAsia" w:hAnsiTheme="minorEastAsia" w:eastAsiaTheme="minorEastAsia" w:cstheme="minorEastAsia"/>
          <w:b/>
          <w:bCs/>
          <w:kern w:val="0"/>
          <w:sz w:val="24"/>
          <w:szCs w:val="24"/>
          <w:lang w:val="en-US" w:eastAsia="zh-CN" w:bidi="ar-SA"/>
        </w:rPr>
      </w:pPr>
      <w:bookmarkStart w:id="1" w:name="_Hlk72218009"/>
      <w:r>
        <w:rPr>
          <w:rFonts w:hint="eastAsia" w:asciiTheme="minorEastAsia" w:hAnsiTheme="minorEastAsia" w:eastAsiaTheme="minorEastAsia" w:cstheme="minorEastAsia"/>
          <w:b/>
          <w:bCs/>
          <w:kern w:val="0"/>
          <w:sz w:val="24"/>
          <w:szCs w:val="24"/>
          <w:lang w:val="en-US" w:eastAsia="zh-CN" w:bidi="ar-SA"/>
        </w:rPr>
        <w:t>六、投标文件组成要求及格式</w:t>
      </w:r>
    </w:p>
    <w:bookmarkEnd w:id="1"/>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sz w:val="24"/>
          <w:szCs w:val="24"/>
        </w:rPr>
      </w:pPr>
      <w:bookmarkStart w:id="2" w:name="bt合同条款"/>
      <w:bookmarkEnd w:id="2"/>
      <w:bookmarkStart w:id="3" w:name="bt合同格式"/>
      <w:bookmarkEnd w:id="3"/>
      <w:bookmarkStart w:id="4" w:name="bt投标函"/>
      <w:bookmarkEnd w:id="4"/>
      <w:bookmarkStart w:id="5" w:name="bt合同条款及格式"/>
      <w:bookmarkEnd w:id="5"/>
      <w:bookmarkStart w:id="6" w:name="bt投标人情况介绍"/>
      <w:bookmarkEnd w:id="6"/>
      <w:bookmarkStart w:id="7" w:name="bt其他资料由投标人自定"/>
      <w:bookmarkEnd w:id="7"/>
      <w:bookmarkStart w:id="8" w:name="bt其他资料2"/>
      <w:bookmarkEnd w:id="8"/>
      <w:bookmarkStart w:id="9" w:name="合同格式"/>
      <w:bookmarkEnd w:id="9"/>
      <w:bookmarkStart w:id="10" w:name="bt本工程承诺书"/>
      <w:bookmarkEnd w:id="10"/>
      <w:bookmarkStart w:id="11" w:name="bt开标一览表"/>
      <w:bookmarkEnd w:id="11"/>
      <w:bookmarkStart w:id="12" w:name="bt项目管理班子配备情况"/>
      <w:bookmarkEnd w:id="12"/>
      <w:bookmarkStart w:id="13" w:name="bt投标报价汇总表"/>
      <w:bookmarkEnd w:id="13"/>
      <w:bookmarkStart w:id="14" w:name="bt说明"/>
      <w:bookmarkEnd w:id="14"/>
      <w:bookmarkStart w:id="15" w:name="bt技术标投标文件格式"/>
      <w:bookmarkEnd w:id="15"/>
      <w:bookmarkStart w:id="16" w:name="bt投标文件签署授权委托书"/>
      <w:bookmarkEnd w:id="16"/>
      <w:bookmarkStart w:id="17" w:name="bt商务标投标文件格式"/>
      <w:bookmarkEnd w:id="17"/>
      <w:bookmarkStart w:id="18" w:name="bt投标人须知"/>
      <w:bookmarkEnd w:id="18"/>
      <w:bookmarkStart w:id="19" w:name="_Hlk72257253"/>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投标人资格证明文件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法定代表人（负责人）证明书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投标文件签署授权委托书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（四）供应商基本情况表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技术要求偏离表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（六）服务方案（</w:t>
      </w:r>
      <w:r>
        <w:rPr>
          <w:rFonts w:hint="eastAsia" w:asciiTheme="minorEastAsia" w:hAnsiTheme="minorEastAsia" w:eastAsiaTheme="minorEastAsia" w:cstheme="minorEastAsia"/>
          <w:sz w:val="24"/>
          <w:szCs w:val="24"/>
          <w:lang w:val="en-US" w:eastAsia="zh-CN"/>
        </w:rPr>
        <w:t>格式自定</w:t>
      </w:r>
      <w:r>
        <w:rPr>
          <w:rFonts w:hint="eastAsia" w:asciiTheme="minorEastAsia" w:hAnsiTheme="minorEastAsia" w:eastAsiaTheme="minorEastAsia" w:cstheme="minorEastAsia"/>
          <w:sz w:val="24"/>
          <w:szCs w:val="24"/>
          <w:lang w:eastAsia="zh-CN"/>
        </w:rPr>
        <w:t>）</w:t>
      </w:r>
    </w:p>
    <w:p>
      <w:pPr>
        <w:pStyle w:val="2"/>
        <w:pageBreakBefore w:val="0"/>
        <w:widowControl w:val="0"/>
        <w:kinsoku/>
        <w:wordWrap/>
        <w:overflowPunct/>
        <w:topLinePunct w:val="0"/>
        <w:autoSpaceDE/>
        <w:autoSpaceDN/>
        <w:bidi w:val="0"/>
        <w:spacing w:after="0"/>
        <w:ind w:left="0" w:lef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kern w:val="0"/>
          <w:sz w:val="24"/>
          <w:szCs w:val="24"/>
          <w:lang w:val="en-US" w:eastAsia="zh-CN" w:bidi="ar-SA"/>
        </w:rPr>
        <w:t>（</w:t>
      </w:r>
      <w:bookmarkStart w:id="26" w:name="_GoBack"/>
      <w:bookmarkEnd w:id="26"/>
      <w:r>
        <w:rPr>
          <w:rFonts w:hint="eastAsia" w:asciiTheme="minorEastAsia" w:hAnsiTheme="minorEastAsia" w:eastAsiaTheme="minorEastAsia" w:cstheme="minorEastAsia"/>
          <w:bCs/>
          <w:kern w:val="0"/>
          <w:sz w:val="24"/>
          <w:szCs w:val="24"/>
          <w:lang w:val="en-US" w:eastAsia="zh-CN" w:bidi="ar-SA"/>
        </w:rPr>
        <w:t>七）服务人员配备</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格式自定</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商务要求偏离表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服务质量措施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格式自定</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（十）</w:t>
      </w:r>
      <w:r>
        <w:rPr>
          <w:rFonts w:hint="eastAsia" w:asciiTheme="minorEastAsia" w:hAnsiTheme="minorEastAsia" w:eastAsiaTheme="minorEastAsia" w:cstheme="minorEastAsia"/>
          <w:sz w:val="24"/>
          <w:szCs w:val="24"/>
        </w:rPr>
        <w:t>投标方同类业绩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格式自定</w:t>
      </w:r>
      <w:r>
        <w:rPr>
          <w:rFonts w:hint="eastAsia" w:asciiTheme="minorEastAsia" w:hAnsiTheme="minorEastAsia" w:eastAsiaTheme="minorEastAsia" w:cstheme="minorEastAsia"/>
          <w:sz w:val="24"/>
          <w:szCs w:val="24"/>
          <w:lang w:eastAsia="zh-CN"/>
        </w:rPr>
        <w:t>）</w:t>
      </w:r>
    </w:p>
    <w:p>
      <w:pPr>
        <w:pStyle w:val="6"/>
        <w:pageBreakBefore w:val="0"/>
        <w:widowControl w:val="0"/>
        <w:kinsoku/>
        <w:wordWrap/>
        <w:overflowPunct/>
        <w:topLinePunct w:val="0"/>
        <w:autoSpaceDE/>
        <w:autoSpaceDN/>
        <w:bidi w:val="0"/>
        <w:adjustRightInd w:val="0"/>
        <w:snapToGrid w:val="0"/>
        <w:spacing w:before="0" w:after="0" w:line="240" w:lineRule="auto"/>
        <w:ind w:firstLine="480" w:firstLineChars="200"/>
        <w:jc w:val="both"/>
        <w:textAlignment w:val="auto"/>
        <w:rPr>
          <w:rFonts w:hint="eastAsia"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（十一）项目履约保障</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格式自定</w:t>
      </w:r>
      <w:r>
        <w:rPr>
          <w:rFonts w:hint="eastAsia" w:asciiTheme="minorEastAsia" w:hAnsiTheme="minorEastAsia" w:eastAsiaTheme="minorEastAsia" w:cstheme="minorEastAsia"/>
          <w:b w:val="0"/>
          <w:bCs w:val="0"/>
          <w:sz w:val="24"/>
          <w:szCs w:val="24"/>
          <w:lang w:eastAsia="zh-CN"/>
        </w:rPr>
        <w:t>）</w:t>
      </w:r>
    </w:p>
    <w:bookmarkEnd w:id="19"/>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sz w:val="24"/>
          <w:szCs w:val="24"/>
        </w:rPr>
      </w:pPr>
      <w:bookmarkStart w:id="20" w:name="_Hlk72257201"/>
      <w:r>
        <w:rPr>
          <w:rFonts w:hint="eastAsia" w:asciiTheme="minorEastAsia" w:hAnsiTheme="minorEastAsia" w:eastAsiaTheme="minorEastAsia" w:cstheme="minorEastAsia"/>
          <w:kern w:val="2"/>
          <w:sz w:val="24"/>
          <w:szCs w:val="24"/>
          <w:lang w:val="en-US" w:eastAsia="zh-CN" w:bidi="ar-SA"/>
        </w:rPr>
        <w:t>（十二）</w:t>
      </w:r>
      <w:r>
        <w:rPr>
          <w:rFonts w:hint="eastAsia" w:asciiTheme="minorEastAsia" w:hAnsiTheme="minorEastAsia" w:eastAsiaTheme="minorEastAsia" w:cstheme="minorEastAsia"/>
          <w:sz w:val="24"/>
          <w:szCs w:val="24"/>
        </w:rPr>
        <w:t>项目详细报价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（十三）</w:t>
      </w:r>
      <w:r>
        <w:rPr>
          <w:rFonts w:hint="eastAsia" w:asciiTheme="minorEastAsia" w:hAnsiTheme="minorEastAsia" w:eastAsiaTheme="minorEastAsia" w:cstheme="minorEastAsia"/>
          <w:sz w:val="24"/>
          <w:szCs w:val="24"/>
        </w:rPr>
        <w:t>投标人认为需要加以说明的其他内容（格式自定）</w:t>
      </w:r>
    </w:p>
    <w:bookmarkEnd w:id="20"/>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4"/>
        <w:rPr>
          <w:rFonts w:hint="eastAsia" w:ascii="楷体_GB2312" w:hAnsi="楷体_GB2312" w:eastAsia="楷体_GB2312" w:cs="楷体_GB2312"/>
          <w:bCs/>
          <w:kern w:val="0"/>
          <w:sz w:val="24"/>
          <w:szCs w:val="24"/>
        </w:rPr>
      </w:pPr>
      <w:bookmarkStart w:id="21" w:name="_Hlk72260530"/>
    </w:p>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4"/>
        <w:rPr>
          <w:rFonts w:hint="eastAsia" w:ascii="楷体_GB2312" w:hAnsi="楷体_GB2312" w:eastAsia="楷体_GB2312" w:cs="楷体_GB2312"/>
          <w:bCs/>
          <w:kern w:val="0"/>
          <w:sz w:val="24"/>
          <w:szCs w:val="24"/>
        </w:rPr>
      </w:pPr>
      <w:r>
        <w:rPr>
          <w:rFonts w:hint="eastAsia" w:ascii="楷体_GB2312" w:hAnsi="楷体_GB2312" w:eastAsia="楷体_GB2312" w:cs="楷体_GB2312"/>
          <w:bCs/>
          <w:kern w:val="0"/>
          <w:sz w:val="24"/>
          <w:szCs w:val="24"/>
        </w:rPr>
        <w:t>（一）投标人资格证明文件</w:t>
      </w: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b w:val="0"/>
          <w:bCs w:val="0"/>
          <w:color w:val="auto"/>
          <w:sz w:val="24"/>
          <w:szCs w:val="24"/>
          <w:highlight w:val="none"/>
        </w:rPr>
      </w:pPr>
      <w:r>
        <w:rPr>
          <w:rFonts w:hint="eastAsia"/>
          <w:b w:val="0"/>
          <w:bCs w:val="0"/>
          <w:color w:val="auto"/>
          <w:sz w:val="24"/>
          <w:szCs w:val="24"/>
          <w:highlight w:val="none"/>
        </w:rPr>
        <w:t>（特别提示：投标人须提供</w:t>
      </w:r>
      <w:r>
        <w:rPr>
          <w:rFonts w:hint="eastAsia"/>
          <w:b w:val="0"/>
          <w:bCs w:val="0"/>
          <w:color w:val="auto"/>
          <w:sz w:val="24"/>
          <w:szCs w:val="24"/>
          <w:highlight w:val="none"/>
          <w:lang w:eastAsia="zh-CN"/>
        </w:rPr>
        <w:t>本采购需求书提及</w:t>
      </w:r>
      <w:r>
        <w:rPr>
          <w:rFonts w:hint="eastAsia"/>
          <w:b w:val="0"/>
          <w:bCs w:val="0"/>
          <w:color w:val="auto"/>
          <w:sz w:val="24"/>
          <w:szCs w:val="24"/>
          <w:highlight w:val="none"/>
        </w:rPr>
        <w:t>相关的资格证明资料）</w:t>
      </w:r>
    </w:p>
    <w:p>
      <w:pPr>
        <w:pStyle w:val="2"/>
        <w:pageBreakBefore w:val="0"/>
        <w:widowControl w:val="0"/>
        <w:kinsoku/>
        <w:wordWrap/>
        <w:overflowPunct/>
        <w:topLinePunct w:val="0"/>
        <w:autoSpaceDE/>
        <w:autoSpaceDN/>
        <w:bidi w:val="0"/>
        <w:adjustRightInd w:val="0"/>
        <w:snapToGrid w:val="0"/>
        <w:spacing w:after="0"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可包括：（1）营业执照副本复印件、税务登记证复印件；（2）具有本采购项目的合法经营范围（提供工商信息或经营范围等资质证明截图扫描件，在国家企业信用信息公示系统网站查询）；（3）“信用中国”网站（www.creditchina.gov.cn）及中国政府采购网(www.ccgp.gov.cn)查询结果；（4）</w:t>
      </w:r>
      <w:r>
        <w:rPr>
          <w:rFonts w:hint="eastAsia" w:asciiTheme="minorEastAsia" w:hAnsiTheme="minorEastAsia" w:eastAsiaTheme="minorEastAsia" w:cstheme="minorEastAsia"/>
          <w:b w:val="0"/>
          <w:bCs w:val="0"/>
          <w:color w:val="auto"/>
          <w:sz w:val="24"/>
          <w:szCs w:val="24"/>
          <w:lang w:eastAsia="zh-CN"/>
        </w:rPr>
        <w:t>有效期内的网络安全服务资质证书扫描件。</w:t>
      </w:r>
    </w:p>
    <w:p>
      <w:pPr>
        <w:pStyle w:val="2"/>
        <w:pageBreakBefore w:val="0"/>
        <w:widowControl w:val="0"/>
        <w:kinsoku/>
        <w:wordWrap/>
        <w:overflowPunct/>
        <w:topLinePunct w:val="0"/>
        <w:autoSpaceDE/>
        <w:autoSpaceDN/>
        <w:bidi w:val="0"/>
        <w:adjustRightInd w:val="0"/>
        <w:snapToGrid w:val="0"/>
        <w:spacing w:after="0" w:line="240" w:lineRule="auto"/>
        <w:ind w:left="0" w:leftChars="0" w:firstLine="480" w:firstLineChars="200"/>
        <w:textAlignment w:val="auto"/>
        <w:rPr>
          <w:rFonts w:hint="eastAsia"/>
          <w:sz w:val="24"/>
          <w:szCs w:val="24"/>
          <w:lang w:val="en-US" w:eastAsia="zh-CN"/>
        </w:rPr>
      </w:pPr>
    </w:p>
    <w:p>
      <w:pPr>
        <w:pStyle w:val="6"/>
        <w:pageBreakBefore w:val="0"/>
        <w:widowControl w:val="0"/>
        <w:kinsoku/>
        <w:wordWrap/>
        <w:overflowPunct/>
        <w:topLinePunct w:val="0"/>
        <w:autoSpaceDE/>
        <w:autoSpaceDN/>
        <w:bidi w:val="0"/>
        <w:adjustRightInd w:val="0"/>
        <w:snapToGrid w:val="0"/>
        <w:spacing w:before="0" w:after="0" w:line="240" w:lineRule="auto"/>
        <w:ind w:left="0" w:leftChars="0" w:firstLine="480" w:firstLineChars="200"/>
        <w:jc w:val="both"/>
        <w:textAlignment w:val="auto"/>
        <w:rPr>
          <w:rFonts w:hint="eastAsia" w:ascii="楷体_GB2312" w:hAnsi="楷体_GB2312" w:eastAsia="楷体_GB2312" w:cs="楷体_GB2312"/>
          <w:b w:val="0"/>
          <w:sz w:val="24"/>
          <w:szCs w:val="24"/>
        </w:rPr>
      </w:pPr>
      <w:r>
        <w:rPr>
          <w:rFonts w:hint="eastAsia" w:ascii="楷体_GB2312" w:hAnsi="楷体_GB2312" w:eastAsia="楷体_GB2312" w:cs="楷体_GB2312"/>
          <w:b w:val="0"/>
          <w:sz w:val="24"/>
          <w:szCs w:val="24"/>
          <w:lang w:eastAsia="zh-CN"/>
        </w:rPr>
        <w:t>（二</w:t>
      </w:r>
      <w:bookmarkStart w:id="22" w:name="_Hlk72092499"/>
      <w:r>
        <w:rPr>
          <w:rFonts w:hint="eastAsia" w:ascii="楷体_GB2312" w:hAnsi="楷体_GB2312" w:eastAsia="楷体_GB2312" w:cs="楷体_GB2312"/>
          <w:b w:val="0"/>
          <w:sz w:val="24"/>
          <w:szCs w:val="24"/>
          <w:lang w:eastAsia="zh-CN"/>
        </w:rPr>
        <w:t>）</w:t>
      </w:r>
      <w:r>
        <w:rPr>
          <w:rFonts w:hint="eastAsia" w:ascii="楷体_GB2312" w:hAnsi="楷体_GB2312" w:eastAsia="楷体_GB2312" w:cs="楷体_GB2312"/>
          <w:b w:val="0"/>
          <w:sz w:val="24"/>
          <w:szCs w:val="24"/>
        </w:rPr>
        <w:t>法定代表人（负责人）证明书</w:t>
      </w:r>
      <w:bookmarkEnd w:id="22"/>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同志，现任我单位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职务，为法定代表人（负责人），</w:t>
      </w: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rPr>
        <w:t>， 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，特此证明。</w:t>
      </w: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说明</w:t>
      </w:r>
      <w:r>
        <w:rPr>
          <w:rFonts w:hint="eastAsia" w:ascii="宋体" w:hAnsi="宋体" w:eastAsia="宋体" w:cs="宋体"/>
          <w:color w:val="auto"/>
          <w:sz w:val="24"/>
          <w:szCs w:val="24"/>
        </w:rPr>
        <w:t>：1、法定代表人为投标人（企业事业单位、国家机关、社会团体）的主要行政负责人。2、本证明书要求投标供应商同时提供法定代表人（负责人）的身份证扫描件（正反两面）作为附件方为有效；3、如是法定代表人（负责人）直接参与投标，必须填写《法定代表人（负责人）证明书》，可不用填写《投标</w:t>
      </w:r>
      <w:r>
        <w:rPr>
          <w:rFonts w:hint="eastAsia" w:ascii="宋体" w:hAnsi="宋体" w:eastAsia="宋体" w:cs="宋体"/>
          <w:sz w:val="24"/>
          <w:szCs w:val="24"/>
        </w:rPr>
        <w:t>文件签署授权委托书》。4、内容必须填写真实、清楚，涂改无效，不得转让、买卖。</w:t>
      </w: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sz w:val="24"/>
          <w:szCs w:val="24"/>
        </w:rPr>
      </w:pPr>
    </w:p>
    <w:p>
      <w:pPr>
        <w:pStyle w:val="6"/>
        <w:pageBreakBefore w:val="0"/>
        <w:widowControl w:val="0"/>
        <w:kinsoku/>
        <w:wordWrap/>
        <w:overflowPunct/>
        <w:topLinePunct w:val="0"/>
        <w:autoSpaceDE/>
        <w:autoSpaceDN/>
        <w:bidi w:val="0"/>
        <w:adjustRightInd w:val="0"/>
        <w:snapToGrid w:val="0"/>
        <w:spacing w:before="0" w:after="0" w:line="240" w:lineRule="auto"/>
        <w:ind w:left="0" w:leftChars="0" w:firstLine="480" w:firstLineChars="200"/>
        <w:jc w:val="both"/>
        <w:textAlignment w:val="auto"/>
        <w:rPr>
          <w:rFonts w:hint="eastAsia" w:ascii="楷体_GB2312" w:hAnsi="楷体_GB2312" w:eastAsia="楷体_GB2312" w:cs="楷体_GB2312"/>
          <w:b w:val="0"/>
          <w:sz w:val="24"/>
          <w:szCs w:val="24"/>
        </w:rPr>
      </w:pPr>
      <w:r>
        <w:rPr>
          <w:rFonts w:hint="eastAsia" w:ascii="楷体_GB2312" w:hAnsi="楷体_GB2312" w:eastAsia="楷体_GB2312" w:cs="楷体_GB2312"/>
          <w:b w:val="0"/>
          <w:sz w:val="24"/>
          <w:szCs w:val="24"/>
          <w:lang w:eastAsia="zh-CN"/>
        </w:rPr>
        <w:t>（三）</w:t>
      </w:r>
      <w:r>
        <w:rPr>
          <w:rFonts w:hint="eastAsia" w:ascii="楷体_GB2312" w:hAnsi="楷体_GB2312" w:eastAsia="楷体_GB2312" w:cs="楷体_GB2312"/>
          <w:b w:val="0"/>
          <w:sz w:val="24"/>
          <w:szCs w:val="24"/>
        </w:rPr>
        <w:t>投标文件签署授权委托书</w:t>
      </w: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sz w:val="24"/>
          <w:szCs w:val="24"/>
        </w:rPr>
      </w:pPr>
      <w:r>
        <w:rPr>
          <w:rFonts w:hint="eastAsia"/>
          <w:sz w:val="24"/>
          <w:szCs w:val="24"/>
        </w:rPr>
        <w:t>本授权委托书声明：我</w:t>
      </w:r>
      <w:r>
        <w:rPr>
          <w:rFonts w:hint="eastAsia"/>
          <w:sz w:val="24"/>
          <w:szCs w:val="24"/>
          <w:u w:val="single"/>
        </w:rPr>
        <w:t xml:space="preserve">   （委托人姓名）  </w:t>
      </w:r>
      <w:r>
        <w:rPr>
          <w:rFonts w:hint="eastAsia"/>
          <w:sz w:val="24"/>
          <w:szCs w:val="24"/>
        </w:rPr>
        <w:t>系</w:t>
      </w:r>
      <w:r>
        <w:rPr>
          <w:rFonts w:hint="eastAsia"/>
          <w:sz w:val="24"/>
          <w:szCs w:val="24"/>
          <w:u w:val="single"/>
        </w:rPr>
        <w:t xml:space="preserve">    （投标人名称）  </w:t>
      </w:r>
      <w:r>
        <w:rPr>
          <w:rFonts w:hint="eastAsia"/>
          <w:sz w:val="24"/>
          <w:szCs w:val="24"/>
        </w:rPr>
        <w:t>的法定代表人（负责人），现授权委托</w:t>
      </w:r>
      <w:r>
        <w:rPr>
          <w:rFonts w:hint="eastAsia"/>
          <w:sz w:val="24"/>
          <w:szCs w:val="24"/>
          <w:u w:val="single"/>
        </w:rPr>
        <w:t xml:space="preserve">   （受托人/代理人姓名）   </w:t>
      </w:r>
      <w:r>
        <w:rPr>
          <w:rFonts w:hint="eastAsia"/>
          <w:sz w:val="24"/>
          <w:szCs w:val="24"/>
        </w:rPr>
        <w:t>为我单位签署本项目已递交的投标文件的法定代表人（负责人）的授权委托代理人，代理人全权代表我所签署的本项目已递交的投标文件内容我均承认。</w:t>
      </w:r>
    </w:p>
    <w:p>
      <w:pPr>
        <w:pStyle w:val="9"/>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sz w:val="24"/>
          <w:szCs w:val="24"/>
        </w:rPr>
      </w:pPr>
      <w:r>
        <w:rPr>
          <w:rFonts w:hint="eastAsia"/>
          <w:sz w:val="24"/>
          <w:szCs w:val="24"/>
        </w:rPr>
        <w:t>除非委托方书面提前撤销，本授权委托书至委托事项完成之前持续有效。代理人无转委托权，特此委托。</w:t>
      </w: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sz w:val="24"/>
          <w:szCs w:val="24"/>
        </w:rPr>
      </w:pP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sz w:val="24"/>
          <w:szCs w:val="24"/>
          <w:u w:val="single"/>
        </w:rPr>
      </w:pPr>
      <w:r>
        <w:rPr>
          <w:rFonts w:hint="eastAsia"/>
          <w:sz w:val="24"/>
          <w:szCs w:val="24"/>
        </w:rPr>
        <w:t>受托人/代理人：</w:t>
      </w:r>
      <w:r>
        <w:rPr>
          <w:rFonts w:hint="eastAsia"/>
          <w:sz w:val="24"/>
          <w:szCs w:val="24"/>
          <w:u w:val="single"/>
        </w:rPr>
        <w:t xml:space="preserve">             </w:t>
      </w: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sz w:val="24"/>
          <w:szCs w:val="24"/>
        </w:rPr>
      </w:pPr>
      <w:r>
        <w:rPr>
          <w:rFonts w:hint="eastAsia"/>
          <w:sz w:val="24"/>
          <w:szCs w:val="24"/>
        </w:rPr>
        <w:t>联系电话：</w:t>
      </w:r>
      <w:r>
        <w:rPr>
          <w:rFonts w:hint="eastAsia"/>
          <w:sz w:val="24"/>
          <w:szCs w:val="24"/>
          <w:u w:val="single"/>
        </w:rPr>
        <w:t xml:space="preserve">            </w:t>
      </w:r>
      <w:r>
        <w:rPr>
          <w:rFonts w:hint="eastAsia"/>
          <w:sz w:val="24"/>
          <w:szCs w:val="24"/>
        </w:rPr>
        <w:t xml:space="preserve">  手机：</w:t>
      </w:r>
      <w:r>
        <w:rPr>
          <w:rFonts w:hint="eastAsia"/>
          <w:sz w:val="24"/>
          <w:szCs w:val="24"/>
          <w:u w:val="single"/>
        </w:rPr>
        <w:t xml:space="preserve">                   </w:t>
      </w: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u w:val="single"/>
        </w:rPr>
      </w:pPr>
      <w:r>
        <w:rPr>
          <w:rFonts w:hint="eastAsia"/>
          <w:sz w:val="24"/>
          <w:szCs w:val="24"/>
        </w:rPr>
        <w:t>身份证号码：</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sz w:val="24"/>
          <w:szCs w:val="24"/>
        </w:rPr>
      </w:pPr>
      <w:r>
        <w:rPr>
          <w:rFonts w:hint="eastAsia"/>
          <w:sz w:val="24"/>
          <w:szCs w:val="24"/>
        </w:rPr>
        <w:t>授权委托日期：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color w:val="auto"/>
          <w:sz w:val="24"/>
          <w:szCs w:val="24"/>
        </w:rPr>
      </w:pP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ascii="宋体" w:hAnsi="宋体"/>
          <w:color w:val="auto"/>
          <w:sz w:val="24"/>
          <w:szCs w:val="24"/>
        </w:rPr>
      </w:pPr>
      <w:r>
        <w:rPr>
          <w:rFonts w:hint="eastAsia" w:ascii="宋体" w:hAnsi="宋体"/>
          <w:color w:val="auto"/>
          <w:sz w:val="24"/>
          <w:szCs w:val="24"/>
        </w:rPr>
        <w:t>说明：1、本委托书须提供受托人（代理人）的身份证扫描件（正反两面）方为有效；2、如是受托人（代理人）参与投标，则必须提供《法定代表人（负责人）证明书》和《投标文件签署授权委托书》，且《投标函》的委托代理人与《投标文件签署授权委托书》的受托人（代理人）必须一致。</w:t>
      </w:r>
    </w:p>
    <w:p>
      <w:pPr>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b/>
          <w:color w:val="auto"/>
          <w:sz w:val="24"/>
          <w:szCs w:val="24"/>
        </w:rPr>
      </w:pPr>
      <w:r>
        <w:rPr>
          <w:rFonts w:hint="eastAsia"/>
          <w:b/>
          <w:color w:val="auto"/>
          <w:sz w:val="24"/>
          <w:szCs w:val="24"/>
        </w:rPr>
        <w:t>附：非中国国籍管辖范围人员，可提供公安部门认可的身份证明材料扫描件。</w:t>
      </w:r>
    </w:p>
    <w:p>
      <w:pPr>
        <w:pStyle w:val="2"/>
        <w:pageBreakBefore w:val="0"/>
        <w:kinsoku/>
        <w:wordWrap/>
        <w:overflowPunct/>
        <w:topLinePunct w:val="0"/>
        <w:autoSpaceDE/>
        <w:autoSpaceDN/>
        <w:bidi w:val="0"/>
        <w:spacing w:after="0" w:line="240" w:lineRule="auto"/>
        <w:textAlignment w:val="auto"/>
        <w:rPr>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楷体_GB2312" w:hAnsi="楷体_GB2312" w:eastAsia="楷体_GB2312" w:cs="楷体_GB2312"/>
          <w:color w:val="auto"/>
          <w:sz w:val="24"/>
          <w:szCs w:val="24"/>
          <w:lang w:eastAsia="zh-CN"/>
        </w:rPr>
      </w:pPr>
      <w:r>
        <w:rPr>
          <w:rFonts w:hint="eastAsia" w:ascii="楷体_GB2312" w:hAnsi="楷体_GB2312" w:eastAsia="楷体_GB2312" w:cs="楷体_GB2312"/>
          <w:color w:val="auto"/>
          <w:sz w:val="24"/>
          <w:szCs w:val="24"/>
          <w:lang w:eastAsia="zh-CN"/>
        </w:rPr>
        <w:t>（四）供应商基本情况表</w:t>
      </w:r>
    </w:p>
    <w:p>
      <w:pPr>
        <w:pStyle w:val="41"/>
        <w:keepNext w:val="0"/>
        <w:keepLines w:val="0"/>
        <w:pageBreakBefore w:val="0"/>
        <w:widowControl w:val="0"/>
        <w:kinsoku/>
        <w:wordWrap/>
        <w:overflowPunct/>
        <w:topLinePunct w:val="0"/>
        <w:autoSpaceDE/>
        <w:autoSpaceDN/>
        <w:bidi w:val="0"/>
        <w:snapToGrid w:val="0"/>
        <w:spacing w:before="0" w:after="0" w:line="240" w:lineRule="auto"/>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keepNext w:val="0"/>
        <w:keepLines w:val="0"/>
        <w:pageBreakBefore w:val="0"/>
        <w:widowControl w:val="0"/>
        <w:kinsoku/>
        <w:wordWrap/>
        <w:overflowPunct/>
        <w:topLinePunct w:val="0"/>
        <w:autoSpaceDE/>
        <w:autoSpaceDN/>
        <w:bidi w:val="0"/>
        <w:spacing w:line="240" w:lineRule="auto"/>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4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gridSpan w:val="2"/>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1" w:type="dxa"/>
            <w:gridSpan w:val="8"/>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9"/>
              <w:keepNext w:val="0"/>
              <w:keepLines w:val="0"/>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1" w:type="dxa"/>
            <w:gridSpan w:val="8"/>
            <w:noWrap w:val="0"/>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keepNext w:val="0"/>
        <w:keepLines w:val="0"/>
        <w:pageBreakBefore w:val="0"/>
        <w:widowControl w:val="0"/>
        <w:kinsoku/>
        <w:wordWrap/>
        <w:overflowPunct/>
        <w:topLinePunct w:val="0"/>
        <w:autoSpaceDE/>
        <w:autoSpaceDN/>
        <w:bidi w:val="0"/>
        <w:spacing w:line="240" w:lineRule="auto"/>
        <w:textAlignment w:val="auto"/>
      </w:pP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80" w:firstLineChars="200"/>
        <w:textAlignment w:val="auto"/>
        <w:rPr>
          <w:sz w:val="24"/>
          <w:szCs w:val="24"/>
        </w:rPr>
      </w:pPr>
    </w:p>
    <w:bookmarkEnd w:id="21"/>
    <w:p>
      <w:pPr>
        <w:pStyle w:val="6"/>
        <w:pageBreakBefore w:val="0"/>
        <w:widowControl w:val="0"/>
        <w:numPr>
          <w:ilvl w:val="0"/>
          <w:numId w:val="0"/>
        </w:numPr>
        <w:kinsoku/>
        <w:wordWrap/>
        <w:overflowPunct/>
        <w:topLinePunct w:val="0"/>
        <w:autoSpaceDE/>
        <w:autoSpaceDN/>
        <w:bidi w:val="0"/>
        <w:adjustRightInd w:val="0"/>
        <w:snapToGrid w:val="0"/>
        <w:spacing w:before="0" w:after="0" w:line="240" w:lineRule="auto"/>
        <w:ind w:left="0" w:leftChars="0" w:firstLine="480" w:firstLineChars="200"/>
        <w:jc w:val="both"/>
        <w:textAlignment w:val="auto"/>
        <w:rPr>
          <w:rFonts w:hint="eastAsia" w:ascii="楷体_GB2312" w:hAnsi="楷体_GB2312" w:eastAsia="楷体_GB2312" w:cs="楷体_GB2312"/>
          <w:b w:val="0"/>
          <w:sz w:val="24"/>
          <w:szCs w:val="24"/>
          <w:lang w:eastAsia="zh-CN"/>
        </w:rPr>
      </w:pPr>
      <w:r>
        <w:rPr>
          <w:rFonts w:hint="eastAsia" w:ascii="楷体_GB2312" w:hAnsi="楷体_GB2312" w:eastAsia="楷体_GB2312" w:cs="楷体_GB2312"/>
          <w:b w:val="0"/>
          <w:bCs/>
          <w:kern w:val="2"/>
          <w:sz w:val="24"/>
          <w:szCs w:val="24"/>
          <w:lang w:val="en-US" w:eastAsia="zh-CN" w:bidi="ar-SA"/>
        </w:rPr>
        <w:t>（五）</w:t>
      </w:r>
      <w:r>
        <w:rPr>
          <w:rFonts w:hint="eastAsia" w:ascii="楷体_GB2312" w:hAnsi="楷体_GB2312" w:eastAsia="楷体_GB2312" w:cs="楷体_GB2312"/>
          <w:b w:val="0"/>
          <w:sz w:val="24"/>
          <w:szCs w:val="24"/>
          <w:lang w:eastAsia="zh-CN"/>
        </w:rPr>
        <w:t>技术要求偏离表</w:t>
      </w:r>
    </w:p>
    <w:tbl>
      <w:tblPr>
        <w:tblStyle w:val="44"/>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0"/>
        <w:gridCol w:w="2534"/>
        <w:gridCol w:w="1733"/>
        <w:gridCol w:w="1317"/>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序号</w:t>
            </w:r>
          </w:p>
        </w:tc>
        <w:tc>
          <w:tcPr>
            <w:tcW w:w="1650"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技术指标</w:t>
            </w:r>
            <w:r>
              <w:rPr>
                <w:rFonts w:hint="eastAsia" w:ascii="宋体" w:hAnsi="宋体" w:eastAsia="宋体" w:cs="宋体"/>
                <w:b w:val="0"/>
                <w:bCs/>
                <w:color w:val="auto"/>
                <w:sz w:val="24"/>
                <w:szCs w:val="24"/>
              </w:rPr>
              <w:t>项</w:t>
            </w:r>
          </w:p>
        </w:tc>
        <w:tc>
          <w:tcPr>
            <w:tcW w:w="2534"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招标</w:t>
            </w:r>
            <w:r>
              <w:rPr>
                <w:rFonts w:hint="eastAsia" w:ascii="宋体" w:hAnsi="宋体" w:eastAsia="宋体" w:cs="宋体"/>
                <w:color w:val="auto"/>
                <w:sz w:val="24"/>
                <w:szCs w:val="24"/>
                <w:lang w:eastAsia="zh-CN"/>
              </w:rPr>
              <w:t>技术</w:t>
            </w:r>
            <w:r>
              <w:rPr>
                <w:rFonts w:hint="eastAsia" w:ascii="宋体" w:hAnsi="宋体" w:eastAsia="宋体" w:cs="宋体"/>
                <w:color w:val="auto"/>
                <w:sz w:val="24"/>
                <w:szCs w:val="24"/>
              </w:rPr>
              <w:t>要求</w:t>
            </w:r>
          </w:p>
        </w:tc>
        <w:tc>
          <w:tcPr>
            <w:tcW w:w="1733"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lang w:eastAsia="zh-CN"/>
              </w:rPr>
              <w:t>技术</w:t>
            </w:r>
            <w:r>
              <w:rPr>
                <w:rFonts w:hint="eastAsia" w:ascii="宋体" w:hAnsi="宋体" w:eastAsia="宋体" w:cs="宋体"/>
                <w:color w:val="auto"/>
                <w:sz w:val="24"/>
                <w:szCs w:val="24"/>
              </w:rPr>
              <w:t>响应</w:t>
            </w:r>
          </w:p>
        </w:tc>
        <w:tc>
          <w:tcPr>
            <w:tcW w:w="1317"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偏离情况</w:t>
            </w:r>
          </w:p>
        </w:tc>
        <w:tc>
          <w:tcPr>
            <w:tcW w:w="800"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1650"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p>
        </w:tc>
        <w:tc>
          <w:tcPr>
            <w:tcW w:w="2534"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（填写相关内容）</w:t>
            </w:r>
          </w:p>
        </w:tc>
        <w:tc>
          <w:tcPr>
            <w:tcW w:w="1733"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c>
          <w:tcPr>
            <w:tcW w:w="1317"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c>
          <w:tcPr>
            <w:tcW w:w="800"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1650" w:type="dxa"/>
            <w:shd w:val="clear" w:color="auto" w:fill="auto"/>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w:t>
            </w:r>
          </w:p>
        </w:tc>
        <w:tc>
          <w:tcPr>
            <w:tcW w:w="2534" w:type="dxa"/>
            <w:shd w:val="clear" w:color="auto" w:fill="auto"/>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（填写相关内容）</w:t>
            </w:r>
          </w:p>
        </w:tc>
        <w:tc>
          <w:tcPr>
            <w:tcW w:w="1733"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c>
          <w:tcPr>
            <w:tcW w:w="1317"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c>
          <w:tcPr>
            <w:tcW w:w="800"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16"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3</w:t>
            </w:r>
          </w:p>
        </w:tc>
        <w:tc>
          <w:tcPr>
            <w:tcW w:w="1650" w:type="dxa"/>
            <w:shd w:val="clear" w:color="auto" w:fill="auto"/>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w:t>
            </w:r>
          </w:p>
        </w:tc>
        <w:tc>
          <w:tcPr>
            <w:tcW w:w="2534" w:type="dxa"/>
            <w:shd w:val="clear" w:color="auto" w:fill="auto"/>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（填写相关内容）</w:t>
            </w:r>
          </w:p>
        </w:tc>
        <w:tc>
          <w:tcPr>
            <w:tcW w:w="1733"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c>
          <w:tcPr>
            <w:tcW w:w="1317"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c>
          <w:tcPr>
            <w:tcW w:w="800"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4</w:t>
            </w:r>
          </w:p>
        </w:tc>
        <w:tc>
          <w:tcPr>
            <w:tcW w:w="1650" w:type="dxa"/>
            <w:shd w:val="clear" w:color="auto" w:fill="auto"/>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w:t>
            </w:r>
          </w:p>
        </w:tc>
        <w:tc>
          <w:tcPr>
            <w:tcW w:w="2534" w:type="dxa"/>
            <w:shd w:val="clear" w:color="auto" w:fill="auto"/>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（填写相关内容）</w:t>
            </w:r>
          </w:p>
        </w:tc>
        <w:tc>
          <w:tcPr>
            <w:tcW w:w="1733"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c>
          <w:tcPr>
            <w:tcW w:w="1317"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c>
          <w:tcPr>
            <w:tcW w:w="800"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4"/>
                <w:szCs w:val="24"/>
              </w:rPr>
            </w:pPr>
          </w:p>
        </w:tc>
        <w:tc>
          <w:tcPr>
            <w:tcW w:w="1650" w:type="dxa"/>
            <w:shd w:val="clear" w:color="auto" w:fill="auto"/>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p>
        </w:tc>
        <w:tc>
          <w:tcPr>
            <w:tcW w:w="2534" w:type="dxa"/>
            <w:shd w:val="clear" w:color="auto" w:fill="auto"/>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（填写相关内容）</w:t>
            </w:r>
          </w:p>
        </w:tc>
        <w:tc>
          <w:tcPr>
            <w:tcW w:w="1733"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Cs/>
                <w:color w:val="auto"/>
                <w:sz w:val="24"/>
                <w:szCs w:val="24"/>
              </w:rPr>
            </w:pPr>
          </w:p>
        </w:tc>
        <w:tc>
          <w:tcPr>
            <w:tcW w:w="1317"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Cs/>
                <w:color w:val="auto"/>
                <w:sz w:val="24"/>
                <w:szCs w:val="24"/>
              </w:rPr>
            </w:pPr>
          </w:p>
        </w:tc>
        <w:tc>
          <w:tcPr>
            <w:tcW w:w="800"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Cs/>
                <w:color w:val="auto"/>
                <w:sz w:val="24"/>
                <w:szCs w:val="24"/>
              </w:rPr>
            </w:pPr>
          </w:p>
        </w:tc>
      </w:tr>
    </w:tbl>
    <w:p>
      <w:pPr>
        <w:pageBreakBefore w:val="0"/>
        <w:widowControl w:val="0"/>
        <w:numPr>
          <w:ilvl w:val="0"/>
          <w:numId w:val="0"/>
        </w:numPr>
        <w:kinsoku/>
        <w:wordWrap/>
        <w:overflowPunct/>
        <w:topLinePunct w:val="0"/>
        <w:autoSpaceDE/>
        <w:autoSpaceDN/>
        <w:bidi w:val="0"/>
        <w:textAlignment w:val="auto"/>
        <w:rPr>
          <w:rFonts w:hint="eastAsia"/>
          <w:sz w:val="24"/>
          <w:szCs w:val="24"/>
          <w:lang w:eastAsia="zh-CN"/>
        </w:rPr>
      </w:pP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bookmarkStart w:id="23" w:name="_Hlk72095977"/>
      <w:r>
        <w:rPr>
          <w:rFonts w:hint="eastAsia"/>
          <w:sz w:val="24"/>
          <w:szCs w:val="24"/>
        </w:rPr>
        <w:t>证明资料【如有的话，提供的证明资料应统一编号（排序），格式自定】</w:t>
      </w:r>
      <w:bookmarkEnd w:id="23"/>
      <w:r>
        <w:rPr>
          <w:rFonts w:hint="eastAsia"/>
          <w:sz w:val="24"/>
          <w:szCs w:val="24"/>
        </w:rPr>
        <w:t>：</w:t>
      </w: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p>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4"/>
        <w:rPr>
          <w:rFonts w:hint="eastAsia" w:ascii="楷体_GB2312" w:hAnsi="楷体_GB2312" w:eastAsia="楷体_GB2312" w:cs="楷体_GB2312"/>
          <w:bCs/>
          <w:kern w:val="0"/>
          <w:sz w:val="24"/>
          <w:szCs w:val="24"/>
          <w:lang w:eastAsia="zh-CN"/>
        </w:rPr>
      </w:pPr>
      <w:r>
        <w:rPr>
          <w:rFonts w:hint="eastAsia" w:ascii="楷体_GB2312" w:hAnsi="楷体_GB2312" w:eastAsia="楷体_GB2312" w:cs="楷体_GB2312"/>
          <w:bCs/>
          <w:kern w:val="0"/>
          <w:sz w:val="24"/>
          <w:szCs w:val="24"/>
        </w:rPr>
        <w:t>（</w:t>
      </w:r>
      <w:r>
        <w:rPr>
          <w:rFonts w:hint="eastAsia" w:ascii="楷体_GB2312" w:hAnsi="楷体_GB2312" w:eastAsia="楷体_GB2312" w:cs="楷体_GB2312"/>
          <w:bCs/>
          <w:kern w:val="0"/>
          <w:sz w:val="24"/>
          <w:szCs w:val="24"/>
          <w:lang w:eastAsia="zh-CN"/>
        </w:rPr>
        <w:t>六</w:t>
      </w:r>
      <w:r>
        <w:rPr>
          <w:rFonts w:hint="eastAsia" w:ascii="楷体_GB2312" w:hAnsi="楷体_GB2312" w:eastAsia="楷体_GB2312" w:cs="楷体_GB2312"/>
          <w:bCs/>
          <w:kern w:val="0"/>
          <w:sz w:val="24"/>
          <w:szCs w:val="24"/>
        </w:rPr>
        <w:t>）</w:t>
      </w:r>
      <w:r>
        <w:rPr>
          <w:rFonts w:hint="eastAsia" w:ascii="楷体_GB2312" w:hAnsi="楷体_GB2312" w:eastAsia="楷体_GB2312" w:cs="楷体_GB2312"/>
          <w:bCs/>
          <w:kern w:val="0"/>
          <w:sz w:val="24"/>
          <w:szCs w:val="24"/>
          <w:lang w:eastAsia="zh-CN"/>
        </w:rPr>
        <w:t>服务方案</w:t>
      </w:r>
      <w:r>
        <w:rPr>
          <w:rFonts w:hint="eastAsia" w:ascii="楷体_GB2312" w:hAnsi="楷体_GB2312" w:eastAsia="楷体_GB2312" w:cs="楷体_GB2312"/>
          <w:b w:val="0"/>
          <w:bCs w:val="0"/>
          <w:sz w:val="24"/>
          <w:szCs w:val="24"/>
          <w:lang w:eastAsia="zh-CN"/>
        </w:rPr>
        <w:t>（</w:t>
      </w:r>
      <w:r>
        <w:rPr>
          <w:rFonts w:hint="eastAsia" w:ascii="楷体_GB2312" w:hAnsi="楷体_GB2312" w:eastAsia="楷体_GB2312" w:cs="楷体_GB2312"/>
          <w:b w:val="0"/>
          <w:bCs w:val="0"/>
          <w:sz w:val="24"/>
          <w:szCs w:val="24"/>
          <w:lang w:val="en-US" w:eastAsia="zh-CN"/>
        </w:rPr>
        <w:t>格式自定</w:t>
      </w:r>
      <w:r>
        <w:rPr>
          <w:rFonts w:hint="eastAsia" w:ascii="楷体_GB2312" w:hAnsi="楷体_GB2312" w:eastAsia="楷体_GB2312" w:cs="楷体_GB2312"/>
          <w:b w:val="0"/>
          <w:bCs w:val="0"/>
          <w:sz w:val="24"/>
          <w:szCs w:val="24"/>
          <w:lang w:eastAsia="zh-CN"/>
        </w:rPr>
        <w:t>）</w:t>
      </w: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b w:val="0"/>
          <w:bCs w:val="0"/>
          <w:color w:val="auto"/>
          <w:sz w:val="24"/>
          <w:szCs w:val="24"/>
          <w:highlight w:val="none"/>
        </w:rPr>
      </w:pPr>
      <w:r>
        <w:rPr>
          <w:rFonts w:hint="eastAsia"/>
          <w:b w:val="0"/>
          <w:bCs w:val="0"/>
          <w:color w:val="auto"/>
          <w:sz w:val="24"/>
          <w:szCs w:val="24"/>
          <w:highlight w:val="none"/>
        </w:rPr>
        <w:t>（投标人提交针对本项目的服务方案，包括：包括方案总体设计、服务流程、服务配套设施和工具、等保测评经验、额外服务支持内容等。）</w:t>
      </w: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p>
    <w:p>
      <w:pPr>
        <w:pStyle w:val="2"/>
        <w:pageBreakBefore w:val="0"/>
        <w:widowControl w:val="0"/>
        <w:kinsoku/>
        <w:wordWrap/>
        <w:overflowPunct/>
        <w:topLinePunct w:val="0"/>
        <w:autoSpaceDE/>
        <w:autoSpaceDN/>
        <w:bidi w:val="0"/>
        <w:spacing w:after="0"/>
        <w:ind w:left="0" w:leftChars="0" w:firstLine="480" w:firstLineChars="200"/>
        <w:textAlignment w:val="auto"/>
        <w:rPr>
          <w:rFonts w:hint="eastAsia" w:ascii="楷体_GB2312" w:hAnsi="楷体_GB2312" w:eastAsia="楷体_GB2312" w:cs="楷体_GB2312"/>
          <w:bCs/>
          <w:kern w:val="0"/>
          <w:sz w:val="24"/>
          <w:szCs w:val="24"/>
          <w:lang w:val="en-US" w:eastAsia="zh-CN" w:bidi="ar-SA"/>
        </w:rPr>
      </w:pPr>
      <w:r>
        <w:rPr>
          <w:rFonts w:hint="eastAsia" w:ascii="楷体_GB2312" w:hAnsi="楷体_GB2312" w:eastAsia="楷体_GB2312" w:cs="楷体_GB2312"/>
          <w:bCs/>
          <w:kern w:val="0"/>
          <w:sz w:val="24"/>
          <w:szCs w:val="24"/>
          <w:lang w:val="en-US" w:eastAsia="zh-CN" w:bidi="ar-SA"/>
        </w:rPr>
        <w:t>（七）服务人员配备</w:t>
      </w:r>
      <w:r>
        <w:rPr>
          <w:rFonts w:hint="eastAsia" w:ascii="楷体_GB2312" w:hAnsi="楷体_GB2312" w:eastAsia="楷体_GB2312" w:cs="楷体_GB2312"/>
          <w:b w:val="0"/>
          <w:bCs w:val="0"/>
          <w:sz w:val="24"/>
          <w:szCs w:val="24"/>
          <w:lang w:eastAsia="zh-CN"/>
        </w:rPr>
        <w:t>（</w:t>
      </w:r>
      <w:r>
        <w:rPr>
          <w:rFonts w:hint="eastAsia" w:ascii="楷体_GB2312" w:hAnsi="楷体_GB2312" w:eastAsia="楷体_GB2312" w:cs="楷体_GB2312"/>
          <w:b w:val="0"/>
          <w:bCs w:val="0"/>
          <w:sz w:val="24"/>
          <w:szCs w:val="24"/>
          <w:lang w:val="en-US" w:eastAsia="zh-CN"/>
        </w:rPr>
        <w:t>格式自定</w:t>
      </w:r>
      <w:r>
        <w:rPr>
          <w:rFonts w:hint="eastAsia" w:ascii="楷体_GB2312" w:hAnsi="楷体_GB2312" w:eastAsia="楷体_GB2312" w:cs="楷体_GB2312"/>
          <w:b w:val="0"/>
          <w:bCs w:val="0"/>
          <w:sz w:val="24"/>
          <w:szCs w:val="24"/>
          <w:lang w:eastAsia="zh-CN"/>
        </w:rPr>
        <w:t>）</w:t>
      </w: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楷体_GB2312" w:hAnsi="楷体_GB2312" w:eastAsia="楷体_GB2312" w:cs="楷体_GB2312"/>
          <w:sz w:val="24"/>
          <w:szCs w:val="24"/>
        </w:rPr>
      </w:pPr>
      <w:r>
        <w:rPr>
          <w:rFonts w:hint="eastAsia" w:ascii="楷体_GB2312" w:hAnsi="楷体_GB2312" w:eastAsia="楷体_GB2312" w:cs="楷体_GB2312"/>
          <w:b w:val="0"/>
          <w:bCs w:val="0"/>
          <w:sz w:val="24"/>
          <w:szCs w:val="24"/>
          <w:lang w:eastAsia="zh-CN"/>
        </w:rPr>
        <w:t>（八）</w:t>
      </w:r>
      <w:r>
        <w:rPr>
          <w:rFonts w:hint="eastAsia" w:ascii="楷体_GB2312" w:hAnsi="楷体_GB2312" w:eastAsia="楷体_GB2312" w:cs="楷体_GB2312"/>
          <w:b w:val="0"/>
          <w:bCs w:val="0"/>
          <w:sz w:val="24"/>
          <w:szCs w:val="24"/>
        </w:rPr>
        <w:t>商务要求偏离表</w:t>
      </w:r>
    </w:p>
    <w:tbl>
      <w:tblPr>
        <w:tblStyle w:val="44"/>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0"/>
        <w:gridCol w:w="2534"/>
        <w:gridCol w:w="1733"/>
        <w:gridCol w:w="1317"/>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序号</w:t>
            </w:r>
          </w:p>
        </w:tc>
        <w:tc>
          <w:tcPr>
            <w:tcW w:w="1650"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商务</w:t>
            </w:r>
            <w:r>
              <w:rPr>
                <w:rFonts w:hint="eastAsia" w:ascii="宋体" w:hAnsi="宋体" w:cs="宋体"/>
                <w:b w:val="0"/>
                <w:bCs/>
                <w:color w:val="auto"/>
                <w:sz w:val="24"/>
                <w:szCs w:val="24"/>
                <w:lang w:eastAsia="zh-CN"/>
              </w:rPr>
              <w:t>指标</w:t>
            </w:r>
            <w:r>
              <w:rPr>
                <w:rFonts w:hint="eastAsia" w:ascii="宋体" w:hAnsi="宋体" w:eastAsia="宋体" w:cs="宋体"/>
                <w:b w:val="0"/>
                <w:bCs/>
                <w:color w:val="auto"/>
                <w:sz w:val="24"/>
                <w:szCs w:val="24"/>
              </w:rPr>
              <w:t>项</w:t>
            </w:r>
          </w:p>
        </w:tc>
        <w:tc>
          <w:tcPr>
            <w:tcW w:w="2534"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招标商务要求</w:t>
            </w:r>
          </w:p>
        </w:tc>
        <w:tc>
          <w:tcPr>
            <w:tcW w:w="1733"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商务响应</w:t>
            </w:r>
          </w:p>
        </w:tc>
        <w:tc>
          <w:tcPr>
            <w:tcW w:w="1317"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偏离情况</w:t>
            </w:r>
          </w:p>
        </w:tc>
        <w:tc>
          <w:tcPr>
            <w:tcW w:w="800"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1650"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p>
        </w:tc>
        <w:tc>
          <w:tcPr>
            <w:tcW w:w="2534"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（填写相关内容）</w:t>
            </w:r>
          </w:p>
        </w:tc>
        <w:tc>
          <w:tcPr>
            <w:tcW w:w="1733"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c>
          <w:tcPr>
            <w:tcW w:w="1317"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c>
          <w:tcPr>
            <w:tcW w:w="800"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1650" w:type="dxa"/>
            <w:shd w:val="clear" w:color="auto" w:fill="auto"/>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w:t>
            </w:r>
          </w:p>
        </w:tc>
        <w:tc>
          <w:tcPr>
            <w:tcW w:w="2534" w:type="dxa"/>
            <w:shd w:val="clear" w:color="auto" w:fill="auto"/>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（填写相关内容）</w:t>
            </w:r>
          </w:p>
        </w:tc>
        <w:tc>
          <w:tcPr>
            <w:tcW w:w="1733"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c>
          <w:tcPr>
            <w:tcW w:w="1317"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c>
          <w:tcPr>
            <w:tcW w:w="800"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3</w:t>
            </w:r>
          </w:p>
        </w:tc>
        <w:tc>
          <w:tcPr>
            <w:tcW w:w="1650" w:type="dxa"/>
            <w:shd w:val="clear" w:color="auto" w:fill="auto"/>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w:t>
            </w:r>
          </w:p>
        </w:tc>
        <w:tc>
          <w:tcPr>
            <w:tcW w:w="2534" w:type="dxa"/>
            <w:shd w:val="clear" w:color="auto" w:fill="auto"/>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（填写相关内容）</w:t>
            </w:r>
          </w:p>
        </w:tc>
        <w:tc>
          <w:tcPr>
            <w:tcW w:w="1733"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c>
          <w:tcPr>
            <w:tcW w:w="1317"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c>
          <w:tcPr>
            <w:tcW w:w="800"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4</w:t>
            </w:r>
          </w:p>
        </w:tc>
        <w:tc>
          <w:tcPr>
            <w:tcW w:w="1650" w:type="dxa"/>
            <w:shd w:val="clear" w:color="auto" w:fill="auto"/>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w:t>
            </w:r>
          </w:p>
        </w:tc>
        <w:tc>
          <w:tcPr>
            <w:tcW w:w="2534" w:type="dxa"/>
            <w:shd w:val="clear" w:color="auto" w:fill="auto"/>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（填写相关内容）</w:t>
            </w:r>
          </w:p>
        </w:tc>
        <w:tc>
          <w:tcPr>
            <w:tcW w:w="1733"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c>
          <w:tcPr>
            <w:tcW w:w="1317"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c>
          <w:tcPr>
            <w:tcW w:w="800"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4"/>
                <w:szCs w:val="24"/>
              </w:rPr>
            </w:pPr>
          </w:p>
        </w:tc>
        <w:tc>
          <w:tcPr>
            <w:tcW w:w="1650" w:type="dxa"/>
            <w:shd w:val="clear" w:color="auto" w:fill="auto"/>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p>
        </w:tc>
        <w:tc>
          <w:tcPr>
            <w:tcW w:w="2534" w:type="dxa"/>
            <w:shd w:val="clear" w:color="auto" w:fill="auto"/>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（填写相关内容）</w:t>
            </w:r>
          </w:p>
        </w:tc>
        <w:tc>
          <w:tcPr>
            <w:tcW w:w="1733"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Cs/>
                <w:color w:val="auto"/>
                <w:sz w:val="24"/>
                <w:szCs w:val="24"/>
              </w:rPr>
            </w:pPr>
          </w:p>
        </w:tc>
        <w:tc>
          <w:tcPr>
            <w:tcW w:w="1317"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Cs/>
                <w:color w:val="auto"/>
                <w:sz w:val="24"/>
                <w:szCs w:val="24"/>
              </w:rPr>
            </w:pPr>
          </w:p>
        </w:tc>
        <w:tc>
          <w:tcPr>
            <w:tcW w:w="800"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Cs/>
                <w:color w:val="auto"/>
                <w:sz w:val="24"/>
                <w:szCs w:val="24"/>
              </w:rPr>
            </w:pPr>
          </w:p>
        </w:tc>
      </w:tr>
    </w:tbl>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bookmarkStart w:id="24" w:name="_Hlk72260576"/>
      <w:r>
        <w:rPr>
          <w:rFonts w:hint="eastAsia"/>
          <w:sz w:val="24"/>
          <w:szCs w:val="24"/>
        </w:rPr>
        <w:t>证明资料【如有的话，提供的证明资料应统一编号（排序），格式自定】：</w:t>
      </w:r>
    </w:p>
    <w:p>
      <w:pPr>
        <w:pStyle w:val="6"/>
        <w:pageBreakBefore w:val="0"/>
        <w:widowControl w:val="0"/>
        <w:numPr>
          <w:ilvl w:val="0"/>
          <w:numId w:val="0"/>
        </w:numPr>
        <w:kinsoku/>
        <w:wordWrap/>
        <w:overflowPunct/>
        <w:topLinePunct w:val="0"/>
        <w:autoSpaceDE/>
        <w:autoSpaceDN/>
        <w:bidi w:val="0"/>
        <w:adjustRightInd w:val="0"/>
        <w:snapToGrid w:val="0"/>
        <w:spacing w:before="0" w:after="0" w:line="240" w:lineRule="auto"/>
        <w:ind w:left="0" w:leftChars="0" w:firstLine="480" w:firstLineChars="200"/>
        <w:jc w:val="both"/>
        <w:textAlignment w:val="auto"/>
        <w:rPr>
          <w:rFonts w:hint="eastAsia" w:ascii="黑体" w:cs="Times New Roman"/>
          <w:b w:val="0"/>
          <w:bCs w:val="0"/>
          <w:kern w:val="2"/>
          <w:sz w:val="24"/>
          <w:szCs w:val="24"/>
          <w:lang w:val="en-US" w:eastAsia="zh-CN" w:bidi="ar-SA"/>
        </w:rPr>
      </w:pPr>
    </w:p>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4"/>
        <w:rPr>
          <w:rFonts w:hint="eastAsia" w:ascii="楷体_GB2312" w:hAnsi="楷体_GB2312" w:eastAsia="楷体_GB2312" w:cs="楷体_GB2312"/>
          <w:bCs/>
          <w:kern w:val="0"/>
          <w:sz w:val="24"/>
          <w:szCs w:val="24"/>
        </w:rPr>
      </w:pPr>
      <w:r>
        <w:rPr>
          <w:rFonts w:hint="eastAsia" w:ascii="楷体_GB2312" w:hAnsi="楷体_GB2312" w:eastAsia="楷体_GB2312" w:cs="楷体_GB2312"/>
          <w:bCs/>
          <w:kern w:val="0"/>
          <w:sz w:val="24"/>
          <w:szCs w:val="24"/>
        </w:rPr>
        <w:t>（</w:t>
      </w:r>
      <w:r>
        <w:rPr>
          <w:rFonts w:hint="eastAsia" w:ascii="楷体_GB2312" w:hAnsi="楷体_GB2312" w:eastAsia="楷体_GB2312" w:cs="楷体_GB2312"/>
          <w:bCs/>
          <w:kern w:val="0"/>
          <w:sz w:val="24"/>
          <w:szCs w:val="24"/>
          <w:lang w:eastAsia="zh-CN"/>
        </w:rPr>
        <w:t>九</w:t>
      </w:r>
      <w:r>
        <w:rPr>
          <w:rFonts w:hint="eastAsia" w:ascii="楷体_GB2312" w:hAnsi="楷体_GB2312" w:eastAsia="楷体_GB2312" w:cs="楷体_GB2312"/>
          <w:bCs/>
          <w:kern w:val="0"/>
          <w:sz w:val="24"/>
          <w:szCs w:val="24"/>
        </w:rPr>
        <w:t>）服务质量措施</w:t>
      </w:r>
      <w:r>
        <w:rPr>
          <w:rFonts w:hint="eastAsia" w:ascii="楷体_GB2312" w:hAnsi="楷体_GB2312" w:eastAsia="楷体_GB2312" w:cs="楷体_GB2312"/>
          <w:b w:val="0"/>
          <w:bCs w:val="0"/>
          <w:sz w:val="24"/>
          <w:szCs w:val="24"/>
          <w:lang w:eastAsia="zh-CN"/>
        </w:rPr>
        <w:t>（</w:t>
      </w:r>
      <w:r>
        <w:rPr>
          <w:rFonts w:hint="eastAsia" w:ascii="楷体_GB2312" w:hAnsi="楷体_GB2312" w:eastAsia="楷体_GB2312" w:cs="楷体_GB2312"/>
          <w:b w:val="0"/>
          <w:bCs w:val="0"/>
          <w:sz w:val="24"/>
          <w:szCs w:val="24"/>
          <w:lang w:val="en-US" w:eastAsia="zh-CN"/>
        </w:rPr>
        <w:t>格式自定</w:t>
      </w:r>
      <w:r>
        <w:rPr>
          <w:rFonts w:hint="eastAsia" w:ascii="楷体_GB2312" w:hAnsi="楷体_GB2312" w:eastAsia="楷体_GB2312" w:cs="楷体_GB2312"/>
          <w:b w:val="0"/>
          <w:bCs w:val="0"/>
          <w:sz w:val="24"/>
          <w:szCs w:val="24"/>
          <w:lang w:eastAsia="zh-CN"/>
        </w:rPr>
        <w:t>）</w:t>
      </w: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b w:val="0"/>
          <w:bCs w:val="0"/>
          <w:color w:val="auto"/>
          <w:sz w:val="24"/>
          <w:szCs w:val="24"/>
          <w:highlight w:val="none"/>
        </w:rPr>
      </w:pPr>
      <w:r>
        <w:rPr>
          <w:rFonts w:hint="eastAsia"/>
          <w:b w:val="0"/>
          <w:bCs w:val="0"/>
          <w:color w:val="auto"/>
          <w:sz w:val="24"/>
          <w:szCs w:val="24"/>
          <w:highlight w:val="none"/>
        </w:rPr>
        <w:t>（投标人提供针对本项目的服务质量措施，包括：完成时间及计划、服务承诺、响应机制、实施进度表、项目完成（服务期满）后的服务承诺、服务质量控制等。）</w:t>
      </w:r>
    </w:p>
    <w:p>
      <w:pPr>
        <w:pageBreakBefore w:val="0"/>
        <w:widowControl w:val="0"/>
        <w:kinsoku/>
        <w:wordWrap/>
        <w:overflowPunct/>
        <w:topLinePunct w:val="0"/>
        <w:autoSpaceDE/>
        <w:autoSpaceDN/>
        <w:bidi w:val="0"/>
        <w:textAlignment w:val="auto"/>
        <w:rPr>
          <w:rFonts w:hint="eastAsia"/>
          <w:sz w:val="24"/>
          <w:szCs w:val="24"/>
          <w:lang w:val="en-US" w:eastAsia="zh-CN"/>
        </w:rPr>
      </w:pPr>
    </w:p>
    <w:p>
      <w:pPr>
        <w:pStyle w:val="6"/>
        <w:pageBreakBefore w:val="0"/>
        <w:widowControl w:val="0"/>
        <w:numPr>
          <w:ilvl w:val="0"/>
          <w:numId w:val="0"/>
        </w:numPr>
        <w:kinsoku/>
        <w:wordWrap/>
        <w:overflowPunct/>
        <w:topLinePunct w:val="0"/>
        <w:autoSpaceDE/>
        <w:autoSpaceDN/>
        <w:bidi w:val="0"/>
        <w:adjustRightInd w:val="0"/>
        <w:snapToGrid w:val="0"/>
        <w:spacing w:before="0" w:after="0" w:line="240" w:lineRule="auto"/>
        <w:ind w:left="0" w:leftChars="0" w:firstLine="480" w:firstLineChars="200"/>
        <w:jc w:val="both"/>
        <w:textAlignment w:val="auto"/>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kern w:val="2"/>
          <w:sz w:val="24"/>
          <w:szCs w:val="24"/>
          <w:lang w:val="en-US" w:eastAsia="zh-CN" w:bidi="ar-SA"/>
        </w:rPr>
        <w:t>（十）</w:t>
      </w:r>
      <w:r>
        <w:rPr>
          <w:rFonts w:hint="eastAsia" w:ascii="楷体_GB2312" w:hAnsi="楷体_GB2312" w:eastAsia="楷体_GB2312" w:cs="楷体_GB2312"/>
          <w:b w:val="0"/>
          <w:bCs w:val="0"/>
          <w:sz w:val="24"/>
          <w:szCs w:val="24"/>
        </w:rPr>
        <w:t>投标方同类业绩</w:t>
      </w:r>
      <w:r>
        <w:rPr>
          <w:rFonts w:hint="eastAsia" w:ascii="楷体_GB2312" w:hAnsi="楷体_GB2312" w:eastAsia="楷体_GB2312" w:cs="楷体_GB2312"/>
          <w:b w:val="0"/>
          <w:bCs w:val="0"/>
          <w:sz w:val="24"/>
          <w:szCs w:val="24"/>
          <w:lang w:eastAsia="zh-CN"/>
        </w:rPr>
        <w:t>（</w:t>
      </w:r>
      <w:r>
        <w:rPr>
          <w:rFonts w:hint="eastAsia" w:ascii="楷体_GB2312" w:hAnsi="楷体_GB2312" w:eastAsia="楷体_GB2312" w:cs="楷体_GB2312"/>
          <w:b w:val="0"/>
          <w:bCs w:val="0"/>
          <w:sz w:val="24"/>
          <w:szCs w:val="24"/>
          <w:lang w:val="en-US" w:eastAsia="zh-CN"/>
        </w:rPr>
        <w:t>格式自定</w:t>
      </w:r>
      <w:r>
        <w:rPr>
          <w:rFonts w:hint="eastAsia" w:ascii="楷体_GB2312" w:hAnsi="楷体_GB2312" w:eastAsia="楷体_GB2312" w:cs="楷体_GB2312"/>
          <w:b w:val="0"/>
          <w:bCs w:val="0"/>
          <w:sz w:val="24"/>
          <w:szCs w:val="24"/>
          <w:lang w:eastAsia="zh-CN"/>
        </w:rPr>
        <w:t>）</w:t>
      </w:r>
    </w:p>
    <w:p>
      <w:pPr>
        <w:pageBreakBefore w:val="0"/>
        <w:widowControl w:val="0"/>
        <w:numPr>
          <w:ilvl w:val="0"/>
          <w:numId w:val="0"/>
        </w:numPr>
        <w:kinsoku/>
        <w:wordWrap/>
        <w:overflowPunct/>
        <w:topLinePunct w:val="0"/>
        <w:autoSpaceDE/>
        <w:autoSpaceDN/>
        <w:bidi w:val="0"/>
        <w:textAlignment w:val="auto"/>
        <w:rPr>
          <w:rFonts w:hint="eastAsia"/>
          <w:sz w:val="24"/>
          <w:szCs w:val="24"/>
          <w:lang w:eastAsia="zh-CN"/>
        </w:rPr>
      </w:pPr>
    </w:p>
    <w:bookmarkEnd w:id="24"/>
    <w:p>
      <w:pPr>
        <w:pStyle w:val="6"/>
        <w:pageBreakBefore w:val="0"/>
        <w:widowControl w:val="0"/>
        <w:kinsoku/>
        <w:wordWrap/>
        <w:overflowPunct/>
        <w:topLinePunct w:val="0"/>
        <w:autoSpaceDE/>
        <w:autoSpaceDN/>
        <w:bidi w:val="0"/>
        <w:adjustRightInd w:val="0"/>
        <w:snapToGrid w:val="0"/>
        <w:spacing w:before="0" w:after="0" w:line="240" w:lineRule="auto"/>
        <w:ind w:firstLine="480" w:firstLineChars="200"/>
        <w:jc w:val="both"/>
        <w:textAlignment w:val="auto"/>
        <w:rPr>
          <w:rFonts w:hint="eastAsia" w:ascii="楷体_GB2312" w:hAnsi="楷体_GB2312" w:eastAsia="楷体_GB2312" w:cs="楷体_GB2312"/>
          <w:b w:val="0"/>
          <w:sz w:val="24"/>
          <w:szCs w:val="24"/>
          <w:lang w:eastAsia="zh-CN"/>
        </w:rPr>
      </w:pPr>
      <w:r>
        <w:rPr>
          <w:rFonts w:hint="eastAsia" w:ascii="楷体_GB2312" w:hAnsi="楷体_GB2312" w:eastAsia="楷体_GB2312" w:cs="楷体_GB2312"/>
          <w:b w:val="0"/>
          <w:sz w:val="24"/>
          <w:szCs w:val="24"/>
          <w:lang w:eastAsia="zh-CN"/>
        </w:rPr>
        <w:t>（十一）项目履约保障</w:t>
      </w:r>
      <w:r>
        <w:rPr>
          <w:rFonts w:hint="eastAsia" w:ascii="楷体_GB2312" w:hAnsi="楷体_GB2312" w:eastAsia="楷体_GB2312" w:cs="楷体_GB2312"/>
          <w:b w:val="0"/>
          <w:bCs w:val="0"/>
          <w:sz w:val="24"/>
          <w:szCs w:val="24"/>
          <w:lang w:eastAsia="zh-CN"/>
        </w:rPr>
        <w:t>（</w:t>
      </w:r>
      <w:r>
        <w:rPr>
          <w:rFonts w:hint="eastAsia" w:ascii="楷体_GB2312" w:hAnsi="楷体_GB2312" w:eastAsia="楷体_GB2312" w:cs="楷体_GB2312"/>
          <w:b w:val="0"/>
          <w:bCs w:val="0"/>
          <w:sz w:val="24"/>
          <w:szCs w:val="24"/>
          <w:lang w:val="en-US" w:eastAsia="zh-CN"/>
        </w:rPr>
        <w:t>格式自定</w:t>
      </w:r>
      <w:r>
        <w:rPr>
          <w:rFonts w:hint="eastAsia" w:ascii="楷体_GB2312" w:hAnsi="楷体_GB2312" w:eastAsia="楷体_GB2312" w:cs="楷体_GB2312"/>
          <w:b w:val="0"/>
          <w:bCs w:val="0"/>
          <w:sz w:val="24"/>
          <w:szCs w:val="24"/>
          <w:lang w:eastAsia="zh-CN"/>
        </w:rPr>
        <w:t>）</w:t>
      </w:r>
    </w:p>
    <w:p>
      <w:pPr>
        <w:pageBreakBefore w:val="0"/>
        <w:widowControl w:val="0"/>
        <w:kinsoku/>
        <w:wordWrap/>
        <w:overflowPunct/>
        <w:topLinePunct w:val="0"/>
        <w:autoSpaceDE/>
        <w:autoSpaceDN/>
        <w:bidi w:val="0"/>
        <w:textAlignment w:val="auto"/>
        <w:rPr>
          <w:rFonts w:hint="eastAsia"/>
          <w:sz w:val="24"/>
          <w:szCs w:val="24"/>
          <w:lang w:eastAsia="zh-CN"/>
        </w:rPr>
      </w:pPr>
    </w:p>
    <w:p>
      <w:pPr>
        <w:pStyle w:val="6"/>
        <w:pageBreakBefore w:val="0"/>
        <w:widowControl w:val="0"/>
        <w:kinsoku/>
        <w:wordWrap/>
        <w:overflowPunct/>
        <w:topLinePunct w:val="0"/>
        <w:autoSpaceDE/>
        <w:autoSpaceDN/>
        <w:bidi w:val="0"/>
        <w:adjustRightInd w:val="0"/>
        <w:snapToGrid w:val="0"/>
        <w:spacing w:before="0" w:after="0" w:line="240" w:lineRule="auto"/>
        <w:ind w:left="0" w:leftChars="0" w:firstLine="480" w:firstLineChars="200"/>
        <w:jc w:val="both"/>
        <w:textAlignment w:val="auto"/>
        <w:rPr>
          <w:rFonts w:hint="eastAsia" w:ascii="楷体_GB2312" w:hAnsi="楷体_GB2312" w:eastAsia="楷体_GB2312" w:cs="楷体_GB2312"/>
          <w:b w:val="0"/>
          <w:sz w:val="24"/>
          <w:szCs w:val="24"/>
        </w:rPr>
      </w:pPr>
      <w:r>
        <w:rPr>
          <w:rFonts w:hint="eastAsia" w:ascii="楷体_GB2312" w:hAnsi="楷体_GB2312" w:eastAsia="楷体_GB2312" w:cs="楷体_GB2312"/>
          <w:b w:val="0"/>
          <w:sz w:val="24"/>
          <w:szCs w:val="24"/>
          <w:lang w:eastAsia="zh-CN"/>
        </w:rPr>
        <w:t>（十二）</w:t>
      </w:r>
      <w:r>
        <w:rPr>
          <w:rFonts w:hint="eastAsia" w:ascii="楷体_GB2312" w:hAnsi="楷体_GB2312" w:eastAsia="楷体_GB2312" w:cs="楷体_GB2312"/>
          <w:b w:val="0"/>
          <w:sz w:val="24"/>
          <w:szCs w:val="24"/>
        </w:rPr>
        <w:t>项目详细报价</w:t>
      </w: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1.总报价：</w:t>
      </w:r>
    </w:p>
    <w:tbl>
      <w:tblPr>
        <w:tblStyle w:val="44"/>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1878"/>
        <w:gridCol w:w="2100"/>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351"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val="0"/>
                <w:bCs w:val="0"/>
                <w:snapToGrid w:val="0"/>
                <w:kern w:val="0"/>
                <w:sz w:val="24"/>
                <w:szCs w:val="24"/>
              </w:rPr>
            </w:pPr>
            <w:r>
              <w:rPr>
                <w:rFonts w:hint="eastAsia" w:asciiTheme="minorEastAsia" w:hAnsiTheme="minorEastAsia" w:eastAsiaTheme="minorEastAsia" w:cstheme="minorEastAsia"/>
                <w:b w:val="0"/>
                <w:bCs w:val="0"/>
                <w:snapToGrid w:val="0"/>
                <w:kern w:val="0"/>
                <w:sz w:val="24"/>
                <w:szCs w:val="24"/>
              </w:rPr>
              <w:t>项目名称</w:t>
            </w:r>
          </w:p>
        </w:tc>
        <w:tc>
          <w:tcPr>
            <w:tcW w:w="1878"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val="0"/>
                <w:bCs w:val="0"/>
                <w:snapToGrid w:val="0"/>
                <w:kern w:val="0"/>
                <w:sz w:val="24"/>
                <w:szCs w:val="24"/>
              </w:rPr>
            </w:pPr>
            <w:r>
              <w:rPr>
                <w:rFonts w:hint="eastAsia" w:asciiTheme="minorEastAsia" w:hAnsiTheme="minorEastAsia" w:eastAsiaTheme="minorEastAsia" w:cstheme="minorEastAsia"/>
                <w:b w:val="0"/>
                <w:bCs w:val="0"/>
                <w:snapToGrid w:val="0"/>
                <w:kern w:val="0"/>
                <w:sz w:val="24"/>
                <w:szCs w:val="24"/>
              </w:rPr>
              <w:t>项目编号</w:t>
            </w:r>
          </w:p>
        </w:tc>
        <w:tc>
          <w:tcPr>
            <w:tcW w:w="2100"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val="0"/>
                <w:bCs w:val="0"/>
                <w:snapToGrid w:val="0"/>
                <w:kern w:val="0"/>
                <w:sz w:val="24"/>
                <w:szCs w:val="24"/>
                <w:lang w:val="en-US" w:eastAsia="zh-CN"/>
              </w:rPr>
            </w:pPr>
            <w:r>
              <w:rPr>
                <w:rFonts w:hint="eastAsia" w:asciiTheme="minorEastAsia" w:hAnsiTheme="minorEastAsia" w:eastAsiaTheme="minorEastAsia" w:cstheme="minorEastAsia"/>
                <w:b w:val="0"/>
                <w:bCs w:val="0"/>
                <w:snapToGrid w:val="0"/>
                <w:kern w:val="0"/>
                <w:sz w:val="24"/>
                <w:szCs w:val="24"/>
                <w:lang w:val="en-US" w:eastAsia="zh-CN"/>
              </w:rPr>
              <w:t>项目总价（元）</w:t>
            </w:r>
          </w:p>
        </w:tc>
        <w:tc>
          <w:tcPr>
            <w:tcW w:w="2257"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val="0"/>
                <w:bCs w:val="0"/>
                <w:snapToGrid w:val="0"/>
                <w:kern w:val="0"/>
                <w:sz w:val="24"/>
                <w:szCs w:val="24"/>
              </w:rPr>
            </w:pPr>
            <w:r>
              <w:rPr>
                <w:rFonts w:hint="eastAsia" w:asciiTheme="minorEastAsia" w:hAnsiTheme="minorEastAsia" w:eastAsiaTheme="minorEastAsia" w:cstheme="minorEastAsia"/>
                <w:b w:val="0"/>
                <w:bCs w:val="0"/>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351"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val="0"/>
                <w:bCs w:val="0"/>
                <w:snapToGrid w:val="0"/>
                <w:kern w:val="0"/>
                <w:sz w:val="24"/>
                <w:szCs w:val="24"/>
              </w:rPr>
            </w:pPr>
          </w:p>
        </w:tc>
        <w:tc>
          <w:tcPr>
            <w:tcW w:w="1878" w:type="dxa"/>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val="0"/>
                <w:bCs w:val="0"/>
                <w:snapToGrid w:val="0"/>
                <w:kern w:val="0"/>
                <w:sz w:val="24"/>
                <w:szCs w:val="24"/>
              </w:rPr>
            </w:pPr>
          </w:p>
        </w:tc>
        <w:tc>
          <w:tcPr>
            <w:tcW w:w="2100" w:type="dxa"/>
            <w:vAlign w:val="center"/>
          </w:tcPr>
          <w:p>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Theme="minorEastAsia" w:hAnsiTheme="minorEastAsia" w:eastAsiaTheme="minorEastAsia" w:cstheme="minorEastAsia"/>
                <w:b w:val="0"/>
                <w:bCs w:val="0"/>
                <w:snapToGrid w:val="0"/>
                <w:kern w:val="0"/>
                <w:sz w:val="24"/>
                <w:szCs w:val="24"/>
              </w:rPr>
            </w:pPr>
          </w:p>
        </w:tc>
        <w:tc>
          <w:tcPr>
            <w:tcW w:w="2257" w:type="dxa"/>
            <w:vAlign w:val="center"/>
          </w:tcPr>
          <w:p>
            <w:pPr>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b w:val="0"/>
                <w:bCs w:val="0"/>
                <w:snapToGrid w:val="0"/>
                <w:kern w:val="0"/>
                <w:sz w:val="24"/>
                <w:szCs w:val="24"/>
                <w:lang w:eastAsia="zh-CN"/>
              </w:rPr>
            </w:pPr>
          </w:p>
        </w:tc>
      </w:tr>
    </w:tbl>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Theme="minorEastAsia" w:hAnsiTheme="minorEastAsia" w:eastAsiaTheme="minorEastAsia" w:cstheme="minorEastAsia"/>
          <w:b w:val="0"/>
          <w:bCs w:val="0"/>
          <w:snapToGrid w:val="0"/>
          <w:kern w:val="0"/>
          <w:sz w:val="24"/>
          <w:szCs w:val="24"/>
          <w:lang w:val="en-US" w:eastAsia="zh-CN"/>
        </w:rPr>
      </w:pPr>
      <w:r>
        <w:rPr>
          <w:rFonts w:hint="eastAsia" w:asciiTheme="minorEastAsia" w:hAnsiTheme="minorEastAsia" w:eastAsiaTheme="minorEastAsia" w:cstheme="minorEastAsia"/>
          <w:b w:val="0"/>
          <w:bCs w:val="0"/>
          <w:snapToGrid w:val="0"/>
          <w:kern w:val="0"/>
          <w:sz w:val="24"/>
          <w:szCs w:val="24"/>
          <w:lang w:val="en-US" w:eastAsia="zh-CN"/>
        </w:rPr>
        <w:t>2.分项报价：</w:t>
      </w:r>
    </w:p>
    <w:tbl>
      <w:tblPr>
        <w:tblStyle w:val="45"/>
        <w:tblW w:w="50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885"/>
        <w:gridCol w:w="832"/>
        <w:gridCol w:w="1333"/>
        <w:gridCol w:w="1649"/>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4"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eastAsia="zh-CN"/>
              </w:rPr>
            </w:pPr>
            <w:r>
              <w:rPr>
                <w:rFonts w:hint="eastAsia" w:asciiTheme="minorEastAsia" w:hAnsiTheme="minorEastAsia" w:eastAsiaTheme="minorEastAsia" w:cstheme="minorEastAsia"/>
                <w:b w:val="0"/>
                <w:bCs w:val="0"/>
                <w:color w:val="auto"/>
                <w:sz w:val="24"/>
                <w:szCs w:val="24"/>
                <w:vertAlign w:val="baseline"/>
                <w:lang w:eastAsia="zh-CN"/>
              </w:rPr>
              <w:t>序号</w:t>
            </w:r>
          </w:p>
        </w:tc>
        <w:tc>
          <w:tcPr>
            <w:tcW w:w="1699"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eastAsia="zh-CN"/>
              </w:rPr>
            </w:pPr>
            <w:r>
              <w:rPr>
                <w:rFonts w:hint="eastAsia" w:asciiTheme="minorEastAsia" w:hAnsiTheme="minorEastAsia" w:eastAsiaTheme="minorEastAsia" w:cstheme="minorEastAsia"/>
                <w:b w:val="0"/>
                <w:bCs w:val="0"/>
                <w:color w:val="auto"/>
                <w:sz w:val="24"/>
                <w:szCs w:val="24"/>
                <w:vertAlign w:val="baseline"/>
                <w:lang w:eastAsia="zh-CN"/>
              </w:rPr>
              <w:t>服务内容</w:t>
            </w:r>
          </w:p>
        </w:tc>
        <w:tc>
          <w:tcPr>
            <w:tcW w:w="490"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eastAsia="zh-CN"/>
              </w:rPr>
            </w:pPr>
            <w:r>
              <w:rPr>
                <w:rFonts w:hint="eastAsia" w:asciiTheme="minorEastAsia" w:hAnsiTheme="minorEastAsia" w:eastAsiaTheme="minorEastAsia" w:cstheme="minorEastAsia"/>
                <w:b w:val="0"/>
                <w:bCs w:val="0"/>
                <w:color w:val="auto"/>
                <w:sz w:val="24"/>
                <w:szCs w:val="24"/>
                <w:vertAlign w:val="baseline"/>
                <w:lang w:eastAsia="zh-CN"/>
              </w:rPr>
              <w:t>数量</w:t>
            </w:r>
          </w:p>
        </w:tc>
        <w:tc>
          <w:tcPr>
            <w:tcW w:w="785"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eastAsia="zh-CN"/>
              </w:rPr>
            </w:pPr>
            <w:r>
              <w:rPr>
                <w:rFonts w:hint="eastAsia" w:asciiTheme="minorEastAsia" w:hAnsiTheme="minorEastAsia" w:eastAsiaTheme="minorEastAsia" w:cstheme="minorEastAsia"/>
                <w:b w:val="0"/>
                <w:bCs w:val="0"/>
                <w:color w:val="auto"/>
                <w:sz w:val="24"/>
                <w:szCs w:val="24"/>
                <w:vertAlign w:val="baseline"/>
                <w:lang w:eastAsia="zh-CN"/>
              </w:rPr>
              <w:t>单价（元）</w:t>
            </w:r>
          </w:p>
        </w:tc>
        <w:tc>
          <w:tcPr>
            <w:tcW w:w="97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eastAsia="zh-CN"/>
              </w:rPr>
            </w:pPr>
            <w:r>
              <w:rPr>
                <w:rFonts w:hint="eastAsia" w:asciiTheme="minorEastAsia" w:hAnsiTheme="minorEastAsia" w:eastAsiaTheme="minorEastAsia" w:cstheme="minorEastAsia"/>
                <w:b w:val="0"/>
                <w:bCs w:val="0"/>
                <w:color w:val="auto"/>
                <w:sz w:val="24"/>
                <w:szCs w:val="24"/>
                <w:vertAlign w:val="baseline"/>
                <w:lang w:eastAsia="zh-CN"/>
              </w:rPr>
              <w:t>小计（元）</w:t>
            </w:r>
          </w:p>
        </w:tc>
        <w:tc>
          <w:tcPr>
            <w:tcW w:w="609"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eastAsia="zh-CN"/>
              </w:rPr>
            </w:pPr>
            <w:r>
              <w:rPr>
                <w:rFonts w:hint="eastAsia" w:asciiTheme="minorEastAsia" w:hAnsiTheme="minorEastAsia" w:eastAsiaTheme="minorEastAsia" w:cstheme="minorEastAsia"/>
                <w:b w:val="0"/>
                <w:bCs w:val="0"/>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444"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1</w:t>
            </w:r>
          </w:p>
        </w:tc>
        <w:tc>
          <w:tcPr>
            <w:tcW w:w="1699"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eastAsia="zh-CN"/>
              </w:rPr>
            </w:pPr>
          </w:p>
        </w:tc>
        <w:tc>
          <w:tcPr>
            <w:tcW w:w="490"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785"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vertAlign w:val="baseline"/>
                <w:lang w:eastAsia="zh-CN"/>
              </w:rPr>
            </w:pPr>
          </w:p>
        </w:tc>
        <w:tc>
          <w:tcPr>
            <w:tcW w:w="97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vertAlign w:val="baseline"/>
                <w:lang w:eastAsia="zh-CN"/>
              </w:rPr>
            </w:pPr>
          </w:p>
        </w:tc>
        <w:tc>
          <w:tcPr>
            <w:tcW w:w="609"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4"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2</w:t>
            </w:r>
          </w:p>
        </w:tc>
        <w:tc>
          <w:tcPr>
            <w:tcW w:w="1699"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eastAsia="zh-CN"/>
              </w:rPr>
            </w:pPr>
          </w:p>
        </w:tc>
        <w:tc>
          <w:tcPr>
            <w:tcW w:w="490"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785"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vertAlign w:val="baseline"/>
                <w:lang w:eastAsia="zh-CN"/>
              </w:rPr>
            </w:pPr>
          </w:p>
        </w:tc>
        <w:tc>
          <w:tcPr>
            <w:tcW w:w="97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vertAlign w:val="baseline"/>
                <w:lang w:eastAsia="zh-CN"/>
              </w:rPr>
            </w:pPr>
          </w:p>
        </w:tc>
        <w:tc>
          <w:tcPr>
            <w:tcW w:w="609"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444"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3</w:t>
            </w:r>
          </w:p>
        </w:tc>
        <w:tc>
          <w:tcPr>
            <w:tcW w:w="1699"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490"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785"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vertAlign w:val="baseline"/>
                <w:lang w:eastAsia="zh-CN"/>
              </w:rPr>
            </w:pPr>
          </w:p>
        </w:tc>
        <w:tc>
          <w:tcPr>
            <w:tcW w:w="97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vertAlign w:val="baseline"/>
                <w:lang w:eastAsia="zh-CN"/>
              </w:rPr>
            </w:pPr>
          </w:p>
        </w:tc>
        <w:tc>
          <w:tcPr>
            <w:tcW w:w="609"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4"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4</w:t>
            </w:r>
          </w:p>
        </w:tc>
        <w:tc>
          <w:tcPr>
            <w:tcW w:w="1699"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490"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785"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vertAlign w:val="baseline"/>
                <w:lang w:eastAsia="zh-CN"/>
              </w:rPr>
            </w:pPr>
          </w:p>
        </w:tc>
        <w:tc>
          <w:tcPr>
            <w:tcW w:w="97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vertAlign w:val="baseline"/>
                <w:lang w:eastAsia="zh-CN"/>
              </w:rPr>
            </w:pPr>
          </w:p>
        </w:tc>
        <w:tc>
          <w:tcPr>
            <w:tcW w:w="609"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444"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5</w:t>
            </w:r>
          </w:p>
        </w:tc>
        <w:tc>
          <w:tcPr>
            <w:tcW w:w="1699"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490"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785"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vertAlign w:val="baseline"/>
                <w:lang w:eastAsia="zh-CN"/>
              </w:rPr>
            </w:pPr>
          </w:p>
        </w:tc>
        <w:tc>
          <w:tcPr>
            <w:tcW w:w="97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vertAlign w:val="baseline"/>
                <w:lang w:eastAsia="zh-CN"/>
              </w:rPr>
            </w:pPr>
          </w:p>
        </w:tc>
        <w:tc>
          <w:tcPr>
            <w:tcW w:w="609"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4"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p>
        </w:tc>
        <w:tc>
          <w:tcPr>
            <w:tcW w:w="1699"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490"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785"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vertAlign w:val="baseline"/>
                <w:lang w:eastAsia="zh-CN"/>
              </w:rPr>
            </w:pPr>
          </w:p>
        </w:tc>
        <w:tc>
          <w:tcPr>
            <w:tcW w:w="971"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vertAlign w:val="baseline"/>
                <w:lang w:eastAsia="zh-CN"/>
              </w:rPr>
            </w:pPr>
          </w:p>
        </w:tc>
        <w:tc>
          <w:tcPr>
            <w:tcW w:w="609" w:type="pct"/>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vertAlign w:val="baseline"/>
                <w:lang w:eastAsia="zh-CN"/>
              </w:rPr>
            </w:pPr>
          </w:p>
        </w:tc>
      </w:tr>
    </w:tbl>
    <w:p>
      <w:pPr>
        <w:pageBreakBefore w:val="0"/>
        <w:widowControl w:val="0"/>
        <w:kinsoku/>
        <w:wordWrap/>
        <w:overflowPunct/>
        <w:topLinePunct w:val="0"/>
        <w:autoSpaceDE/>
        <w:autoSpaceDN/>
        <w:bidi w:val="0"/>
        <w:adjustRightInd w:val="0"/>
        <w:snapToGrid w:val="0"/>
        <w:spacing w:line="240" w:lineRule="auto"/>
        <w:textAlignment w:val="auto"/>
        <w:rPr>
          <w:rFonts w:hint="default" w:asciiTheme="minorEastAsia" w:hAnsiTheme="minorEastAsia" w:eastAsiaTheme="minorEastAsia" w:cstheme="minorEastAsia"/>
          <w:b w:val="0"/>
          <w:bCs w:val="0"/>
          <w:snapToGrid w:val="0"/>
          <w:kern w:val="0"/>
          <w:sz w:val="24"/>
          <w:szCs w:val="24"/>
          <w:lang w:val="en-US" w:eastAsia="zh-CN"/>
        </w:rPr>
      </w:pP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napToGrid w:val="0"/>
          <w:kern w:val="0"/>
          <w:sz w:val="24"/>
          <w:szCs w:val="24"/>
          <w:lang w:eastAsia="zh-CN"/>
        </w:rPr>
        <w:t>说明：</w:t>
      </w:r>
      <w:r>
        <w:rPr>
          <w:rFonts w:hint="eastAsia" w:asciiTheme="minorEastAsia" w:hAnsiTheme="minorEastAsia" w:eastAsiaTheme="minorEastAsia" w:cstheme="minorEastAsia"/>
          <w:b w:val="0"/>
          <w:bCs w:val="0"/>
          <w:snapToGrid w:val="0"/>
          <w:kern w:val="0"/>
          <w:sz w:val="24"/>
          <w:szCs w:val="24"/>
        </w:rPr>
        <w:t>1</w:t>
      </w:r>
      <w:r>
        <w:rPr>
          <w:rFonts w:hint="eastAsia" w:asciiTheme="minorEastAsia" w:hAnsiTheme="minorEastAsia" w:eastAsiaTheme="minorEastAsia" w:cstheme="minorEastAsia"/>
          <w:b w:val="0"/>
          <w:bCs w:val="0"/>
          <w:snapToGrid w:val="0"/>
          <w:kern w:val="0"/>
          <w:sz w:val="24"/>
          <w:szCs w:val="24"/>
          <w:lang w:val="en-US" w:eastAsia="zh-CN"/>
        </w:rPr>
        <w:t>.</w:t>
      </w:r>
      <w:r>
        <w:rPr>
          <w:rFonts w:hint="eastAsia" w:asciiTheme="minorEastAsia" w:hAnsiTheme="minorEastAsia" w:eastAsiaTheme="minorEastAsia" w:cstheme="minorEastAsia"/>
          <w:b w:val="0"/>
          <w:bCs w:val="0"/>
          <w:sz w:val="24"/>
          <w:szCs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Theme="minorEastAsia" w:hAnsiTheme="minorEastAsia" w:eastAsiaTheme="minorEastAsia" w:cstheme="minorEastAsia"/>
          <w:b w:val="0"/>
          <w:bCs w:val="0"/>
          <w:snapToGrid w:val="0"/>
          <w:kern w:val="0"/>
          <w:sz w:val="24"/>
          <w:szCs w:val="24"/>
        </w:rPr>
      </w:pPr>
      <w:r>
        <w:rPr>
          <w:rFonts w:hint="eastAsia" w:asciiTheme="minorEastAsia" w:hAnsiTheme="minorEastAsia" w:eastAsiaTheme="minorEastAsia" w:cstheme="minorEastAsia"/>
          <w:b w:val="0"/>
          <w:bCs w:val="0"/>
          <w:snapToGrid w:val="0"/>
          <w:kern w:val="0"/>
          <w:sz w:val="24"/>
          <w:szCs w:val="24"/>
          <w:lang w:val="en-US" w:eastAsia="zh-CN"/>
        </w:rPr>
        <w:t>2.</w:t>
      </w:r>
      <w:r>
        <w:rPr>
          <w:rFonts w:hint="eastAsia" w:asciiTheme="minorEastAsia" w:hAnsiTheme="minorEastAsia" w:eastAsiaTheme="minorEastAsia" w:cstheme="minorEastAsia"/>
          <w:b w:val="0"/>
          <w:bCs w:val="0"/>
          <w:snapToGrid w:val="0"/>
          <w:kern w:val="0"/>
          <w:sz w:val="24"/>
          <w:szCs w:val="24"/>
        </w:rPr>
        <w:t>投标人如果需要对报价或其它内容加以说明，可在备注栏填写。</w:t>
      </w:r>
    </w:p>
    <w:p>
      <w:pPr>
        <w:pageBreakBefore w:val="0"/>
        <w:widowControl w:val="0"/>
        <w:tabs>
          <w:tab w:val="left" w:pos="315"/>
          <w:tab w:val="left" w:pos="420"/>
          <w:tab w:val="left" w:pos="540"/>
          <w:tab w:val="left" w:pos="1440"/>
          <w:tab w:val="left" w:pos="16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3.</w:t>
      </w:r>
      <w:r>
        <w:rPr>
          <w:rFonts w:hint="eastAsia" w:asciiTheme="minorEastAsia" w:hAnsiTheme="minorEastAsia" w:eastAsiaTheme="minorEastAsia" w:cstheme="minorEastAsia"/>
          <w:b w:val="0"/>
          <w:bCs w:val="0"/>
          <w:kern w:val="0"/>
          <w:sz w:val="24"/>
          <w:szCs w:val="24"/>
        </w:rPr>
        <w:t>若评审委员会成员对是否须由投标人作出报价合理性说明，以及书面说明是否采纳等判断不一致的，按照“少数服从多数”的原则确定评审委员会的意见。</w:t>
      </w:r>
    </w:p>
    <w:p>
      <w:pPr>
        <w:pStyle w:val="6"/>
        <w:pageBreakBefore w:val="0"/>
        <w:widowControl w:val="0"/>
        <w:kinsoku/>
        <w:wordWrap/>
        <w:overflowPunct/>
        <w:topLinePunct w:val="0"/>
        <w:autoSpaceDE/>
        <w:autoSpaceDN/>
        <w:bidi w:val="0"/>
        <w:adjustRightInd w:val="0"/>
        <w:snapToGrid w:val="0"/>
        <w:spacing w:before="0" w:after="0" w:line="240" w:lineRule="auto"/>
        <w:ind w:left="0" w:leftChars="0" w:firstLine="480" w:firstLineChars="200"/>
        <w:jc w:val="both"/>
        <w:textAlignment w:val="auto"/>
        <w:rPr>
          <w:rFonts w:hint="eastAsia" w:ascii="楷体_GB2312" w:hAnsi="楷体_GB2312" w:eastAsia="楷体_GB2312" w:cs="楷体_GB2312"/>
          <w:b w:val="0"/>
          <w:bCs w:val="0"/>
          <w:sz w:val="24"/>
          <w:szCs w:val="24"/>
          <w:lang w:eastAsia="zh-CN"/>
        </w:rPr>
      </w:pPr>
    </w:p>
    <w:p>
      <w:pPr>
        <w:pStyle w:val="6"/>
        <w:pageBreakBefore w:val="0"/>
        <w:widowControl w:val="0"/>
        <w:kinsoku/>
        <w:wordWrap/>
        <w:overflowPunct/>
        <w:topLinePunct w:val="0"/>
        <w:autoSpaceDE/>
        <w:autoSpaceDN/>
        <w:bidi w:val="0"/>
        <w:adjustRightInd w:val="0"/>
        <w:snapToGrid w:val="0"/>
        <w:spacing w:before="0" w:after="0" w:line="240" w:lineRule="auto"/>
        <w:ind w:left="0" w:leftChars="0" w:firstLine="480" w:firstLineChars="200"/>
        <w:jc w:val="both"/>
        <w:textAlignment w:val="auto"/>
        <w:rPr>
          <w:rFonts w:hint="eastAsia" w:ascii="楷体_GB2312" w:hAnsi="楷体_GB2312" w:eastAsia="楷体_GB2312" w:cs="楷体_GB2312"/>
          <w:b w:val="0"/>
          <w:bCs w:val="0"/>
          <w:kern w:val="0"/>
          <w:sz w:val="24"/>
          <w:szCs w:val="24"/>
        </w:rPr>
      </w:pPr>
      <w:r>
        <w:rPr>
          <w:rFonts w:hint="eastAsia" w:ascii="楷体_GB2312" w:hAnsi="楷体_GB2312" w:eastAsia="楷体_GB2312" w:cs="楷体_GB2312"/>
          <w:b w:val="0"/>
          <w:bCs w:val="0"/>
          <w:sz w:val="24"/>
          <w:szCs w:val="24"/>
          <w:lang w:eastAsia="zh-CN"/>
        </w:rPr>
        <w:t>（</w:t>
      </w:r>
      <w:bookmarkStart w:id="25" w:name="_Hlk72062872"/>
      <w:r>
        <w:rPr>
          <w:rFonts w:hint="eastAsia" w:ascii="楷体_GB2312" w:hAnsi="楷体_GB2312" w:eastAsia="楷体_GB2312" w:cs="楷体_GB2312"/>
          <w:b w:val="0"/>
          <w:bCs w:val="0"/>
          <w:sz w:val="24"/>
          <w:szCs w:val="24"/>
          <w:lang w:eastAsia="zh-CN"/>
        </w:rPr>
        <w:t>十三）</w:t>
      </w:r>
      <w:r>
        <w:rPr>
          <w:rFonts w:hint="eastAsia" w:ascii="楷体_GB2312" w:hAnsi="楷体_GB2312" w:eastAsia="楷体_GB2312" w:cs="楷体_GB2312"/>
          <w:b w:val="0"/>
          <w:bCs w:val="0"/>
          <w:sz w:val="24"/>
          <w:szCs w:val="24"/>
        </w:rPr>
        <w:t>投标人认为需要加以说明的其他内容</w:t>
      </w:r>
      <w:bookmarkEnd w:id="25"/>
      <w:r>
        <w:rPr>
          <w:rFonts w:hint="eastAsia" w:ascii="楷体_GB2312" w:hAnsi="楷体_GB2312" w:eastAsia="楷体_GB2312" w:cs="楷体_GB2312"/>
          <w:b w:val="0"/>
          <w:bCs w:val="0"/>
          <w:kern w:val="0"/>
          <w:sz w:val="24"/>
          <w:szCs w:val="24"/>
        </w:rPr>
        <w:t>（格式自定）</w:t>
      </w:r>
    </w:p>
    <w:p>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ascii="宋体" w:hAnsi="宋体"/>
          <w:b w:val="0"/>
          <w:bCs w:val="0"/>
          <w:color w:val="FF0000"/>
          <w:sz w:val="24"/>
          <w:szCs w:val="24"/>
        </w:rPr>
      </w:pPr>
    </w:p>
    <w:p>
      <w:pPr>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auto"/>
        <w:rPr>
          <w:sz w:val="32"/>
          <w:szCs w:val="32"/>
        </w:rPr>
      </w:pPr>
    </w:p>
    <w:sectPr>
      <w:headerReference r:id="rId3" w:type="first"/>
      <w:footerReference r:id="rId4" w:type="default"/>
      <w:footerReference r:id="rId5" w:type="even"/>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Helvetica">
    <w:altName w:val="FreeSans"/>
    <w:panose1 w:val="020B0504020202030204"/>
    <w:charset w:val="00"/>
    <w:family w:val="swiss"/>
    <w:pitch w:val="default"/>
    <w:sig w:usb0="00000000" w:usb1="00000000" w:usb2="00000000" w:usb3="00000000" w:csb0="00000093" w:csb1="00000000"/>
  </w:font>
  <w:font w:name="Tahoma">
    <w:altName w:val="DejaVu Sans"/>
    <w:panose1 w:val="020B0604030504040204"/>
    <w:charset w:val="00"/>
    <w:family w:val="swiss"/>
    <w:pitch w:val="default"/>
    <w:sig w:usb0="00000000" w:usb1="00000000" w:usb2="00000029" w:usb3="00000000" w:csb0="200101FF" w:csb1="20280000"/>
  </w:font>
  <w:font w:name="文鼎粗黑">
    <w:altName w:val="方正黑体_GBK"/>
    <w:panose1 w:val="00000000000000000000"/>
    <w:charset w:val="86"/>
    <w:family w:val="modern"/>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8" w:usb3="00000000" w:csb0="000001FF" w:csb1="00000000"/>
  </w:font>
  <w:font w:name="Cambria">
    <w:altName w:val="FreeSerif"/>
    <w:panose1 w:val="02040503050406030204"/>
    <w:charset w:val="00"/>
    <w:family w:val="roman"/>
    <w:pitch w:val="default"/>
    <w:sig w:usb0="00000000" w:usb1="00000000" w:usb2="00000000" w:usb3="00000000" w:csb0="2000019F" w:csb1="00000000"/>
  </w:font>
  <w:font w:name="ˎ̥">
    <w:altName w:val="华文仿宋"/>
    <w:panose1 w:val="00000000000000000000"/>
    <w:charset w:val="00"/>
    <w:family w:val="roman"/>
    <w:pitch w:val="default"/>
    <w:sig w:usb0="00000000" w:usb1="00000000" w:usb2="00000000" w:usb3="00000000" w:csb0="00040001" w:csb1="00000000"/>
  </w:font>
  <w:font w:name="??">
    <w:altName w:val="华文仿宋"/>
    <w:panose1 w:val="00000000000000000000"/>
    <w:charset w:val="01"/>
    <w:family w:val="auto"/>
    <w:pitch w:val="default"/>
    <w:sig w:usb0="00000000" w:usb1="00000000" w:usb2="00000000" w:usb3="00000000" w:csb0="00040001" w:csb1="00000000"/>
  </w:font>
  <w:font w:name="汉仪细等线简">
    <w:altName w:val="华文仿宋"/>
    <w:panose1 w:val="00000000000000000000"/>
    <w:charset w:val="86"/>
    <w:family w:val="modern"/>
    <w:pitch w:val="default"/>
    <w:sig w:usb0="00000000" w:usb1="00000000" w:usb2="00000012"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altName w:val="DejaVu Sans"/>
    <w:panose1 w:val="020B0606020202030204"/>
    <w:charset w:val="00"/>
    <w:family w:val="swiss"/>
    <w:pitch w:val="default"/>
    <w:sig w:usb0="00000000" w:usb1="00000000" w:usb2="00000000" w:usb3="00000000" w:csb0="2000009F" w:csb1="DFD70000"/>
  </w:font>
  <w:font w:name="微软雅黑">
    <w:altName w:val="方正黑体_GBK"/>
    <w:panose1 w:val="020B0503020204020204"/>
    <w:charset w:val="86"/>
    <w:family w:val="swiss"/>
    <w:pitch w:val="default"/>
    <w:sig w:usb0="00000000" w:usb1="00000000" w:usb2="00000016" w:usb3="00000000" w:csb0="0004001F" w:csb1="00000000"/>
  </w:font>
  <w:font w:name="PMingLiU">
    <w:altName w:val="文泉驿微米黑"/>
    <w:panose1 w:val="02020500000000000000"/>
    <w:charset w:val="88"/>
    <w:family w:val="roma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t xml:space="preserve">- </w:t>
    </w:r>
    <w:r>
      <w:fldChar w:fldCharType="begin"/>
    </w:r>
    <w:r>
      <w:instrText xml:space="preserve"> PAGE </w:instrText>
    </w:r>
    <w:r>
      <w:fldChar w:fldCharType="separate"/>
    </w:r>
    <w:r>
      <w:t>11</w:t>
    </w:r>
    <w:r>
      <w:fldChar w:fldCharType="end"/>
    </w:r>
    <w:r>
      <w:t xml:space="preserve"> -</w: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rPr>
        <w:rStyle w:val="49"/>
      </w:rPr>
      <w:fldChar w:fldCharType="begin"/>
    </w:r>
    <w:r>
      <w:rPr>
        <w:rStyle w:val="49"/>
      </w:rPr>
      <w:instrText xml:space="preserve">PAGE  </w:instrText>
    </w:r>
    <w:r>
      <w:rPr>
        <w:rStyle w:val="49"/>
      </w:rPr>
      <w:fldChar w:fldCharType="separate"/>
    </w:r>
    <w:r>
      <w:rPr>
        <w:rStyle w:val="49"/>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0"/>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7"/>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08"/>
      <w:lvlText w:val=""/>
      <w:lvlJc w:val="left"/>
      <w:pPr>
        <w:tabs>
          <w:tab w:val="left" w:pos="420"/>
        </w:tabs>
        <w:ind w:left="420" w:hanging="420"/>
      </w:pPr>
      <w:rPr>
        <w:rFonts w:hint="default" w:ascii="Wingdings" w:hAnsi="Wingdings"/>
      </w:rPr>
    </w:lvl>
    <w:lvl w:ilvl="1" w:tentative="0">
      <w:start w:val="1"/>
      <w:numFmt w:val="bullet"/>
      <w:pStyle w:val="10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76"/>
      <w:lvlText w:val=""/>
      <w:lvlJc w:val="left"/>
      <w:pPr>
        <w:tabs>
          <w:tab w:val="left" w:pos="840"/>
        </w:tabs>
        <w:ind w:left="840" w:hanging="420"/>
      </w:pPr>
      <w:rPr>
        <w:rFonts w:hint="default" w:ascii="Wingdings" w:hAnsi="Wingdings"/>
      </w:rPr>
    </w:lvl>
    <w:lvl w:ilvl="1" w:tentative="0">
      <w:start w:val="1"/>
      <w:numFmt w:val="bullet"/>
      <w:pStyle w:val="7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168"/>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7AEF7716"/>
    <w:multiLevelType w:val="multilevel"/>
    <w:tmpl w:val="7AEF7716"/>
    <w:lvl w:ilvl="0" w:tentative="0">
      <w:start w:val="1"/>
      <w:numFmt w:val="chineseCountingThousand"/>
      <w:pStyle w:val="121"/>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false"/>
  <w:bordersDoNotSurroundFooter w:val="false"/>
  <w:hideSpellingErrors/>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lN2Q0NmUwMjNjYjQ1YjNiNjY2ZDM0MWFmYzIxNDkifQ=="/>
    <w:docVar w:name="KSO_WPS_MARK_KEY" w:val="3b4443a3-308c-438b-9b6f-f77070be377b"/>
  </w:docVars>
  <w:rsids>
    <w:rsidRoot w:val="00000000"/>
    <w:rsid w:val="00ED0FCE"/>
    <w:rsid w:val="01435E9E"/>
    <w:rsid w:val="017070EC"/>
    <w:rsid w:val="036B3E07"/>
    <w:rsid w:val="05FF6A88"/>
    <w:rsid w:val="071149A7"/>
    <w:rsid w:val="07B10D93"/>
    <w:rsid w:val="0931194E"/>
    <w:rsid w:val="093A1985"/>
    <w:rsid w:val="093F28FF"/>
    <w:rsid w:val="0944373C"/>
    <w:rsid w:val="0ACE70A8"/>
    <w:rsid w:val="0BA72E08"/>
    <w:rsid w:val="0C077CF1"/>
    <w:rsid w:val="0C7F31F0"/>
    <w:rsid w:val="0C910640"/>
    <w:rsid w:val="0C981EF4"/>
    <w:rsid w:val="0CF10B03"/>
    <w:rsid w:val="0D2973B5"/>
    <w:rsid w:val="0EDA4B4A"/>
    <w:rsid w:val="11865AC3"/>
    <w:rsid w:val="13242D4F"/>
    <w:rsid w:val="135F0966"/>
    <w:rsid w:val="13E20771"/>
    <w:rsid w:val="164B59F1"/>
    <w:rsid w:val="1965492D"/>
    <w:rsid w:val="19713A5D"/>
    <w:rsid w:val="197C306D"/>
    <w:rsid w:val="19C82F75"/>
    <w:rsid w:val="1A626DED"/>
    <w:rsid w:val="1A7F5382"/>
    <w:rsid w:val="1AE43BEF"/>
    <w:rsid w:val="1AFE4096"/>
    <w:rsid w:val="1BAE184C"/>
    <w:rsid w:val="1C231486"/>
    <w:rsid w:val="1E7E4FA7"/>
    <w:rsid w:val="20255DDE"/>
    <w:rsid w:val="21B70FCB"/>
    <w:rsid w:val="2372766A"/>
    <w:rsid w:val="239D5B35"/>
    <w:rsid w:val="23B86B35"/>
    <w:rsid w:val="23D0178C"/>
    <w:rsid w:val="24AC64AE"/>
    <w:rsid w:val="24E54A43"/>
    <w:rsid w:val="2539485F"/>
    <w:rsid w:val="256D3348"/>
    <w:rsid w:val="25E44856"/>
    <w:rsid w:val="25E8275F"/>
    <w:rsid w:val="263B7A7A"/>
    <w:rsid w:val="26641134"/>
    <w:rsid w:val="26840EC9"/>
    <w:rsid w:val="28105106"/>
    <w:rsid w:val="294F0DD5"/>
    <w:rsid w:val="29747ABE"/>
    <w:rsid w:val="2BC44000"/>
    <w:rsid w:val="2BE7385E"/>
    <w:rsid w:val="2C8E62CA"/>
    <w:rsid w:val="2D0E4F1B"/>
    <w:rsid w:val="2ED551CF"/>
    <w:rsid w:val="2F3876CF"/>
    <w:rsid w:val="2F4C2272"/>
    <w:rsid w:val="32B9278B"/>
    <w:rsid w:val="330A5D8A"/>
    <w:rsid w:val="33F462DD"/>
    <w:rsid w:val="34B2143C"/>
    <w:rsid w:val="350F1150"/>
    <w:rsid w:val="363E0D95"/>
    <w:rsid w:val="367651B9"/>
    <w:rsid w:val="368936BD"/>
    <w:rsid w:val="3920052F"/>
    <w:rsid w:val="39CA4CB2"/>
    <w:rsid w:val="3ABB6E88"/>
    <w:rsid w:val="3D495AA8"/>
    <w:rsid w:val="40EC1CE7"/>
    <w:rsid w:val="416C06CB"/>
    <w:rsid w:val="41B755CE"/>
    <w:rsid w:val="41FF037A"/>
    <w:rsid w:val="42B41AD7"/>
    <w:rsid w:val="43413857"/>
    <w:rsid w:val="44BE6C7B"/>
    <w:rsid w:val="46C266FB"/>
    <w:rsid w:val="46D87B0C"/>
    <w:rsid w:val="47525B10"/>
    <w:rsid w:val="484418FD"/>
    <w:rsid w:val="485004D9"/>
    <w:rsid w:val="48C567DE"/>
    <w:rsid w:val="48EF602A"/>
    <w:rsid w:val="49F31BC7"/>
    <w:rsid w:val="4AE14C60"/>
    <w:rsid w:val="4AED72BA"/>
    <w:rsid w:val="4B2F32E7"/>
    <w:rsid w:val="4D597F6B"/>
    <w:rsid w:val="4D813083"/>
    <w:rsid w:val="4F5D15A2"/>
    <w:rsid w:val="51155E60"/>
    <w:rsid w:val="5137709D"/>
    <w:rsid w:val="51A93670"/>
    <w:rsid w:val="53D80C05"/>
    <w:rsid w:val="55AB51B7"/>
    <w:rsid w:val="55B47996"/>
    <w:rsid w:val="55CD6ACB"/>
    <w:rsid w:val="570167E5"/>
    <w:rsid w:val="57646B6A"/>
    <w:rsid w:val="58D71AF3"/>
    <w:rsid w:val="58FD6493"/>
    <w:rsid w:val="59701E26"/>
    <w:rsid w:val="59A725D6"/>
    <w:rsid w:val="5A0B398D"/>
    <w:rsid w:val="5B0D1700"/>
    <w:rsid w:val="5B1D4417"/>
    <w:rsid w:val="5B5639C9"/>
    <w:rsid w:val="5C4D64CA"/>
    <w:rsid w:val="5C52370C"/>
    <w:rsid w:val="5CA34C35"/>
    <w:rsid w:val="5D3D7E97"/>
    <w:rsid w:val="5D4E513F"/>
    <w:rsid w:val="5E35692F"/>
    <w:rsid w:val="5E5E77BF"/>
    <w:rsid w:val="5F4B6A33"/>
    <w:rsid w:val="5F5A15AE"/>
    <w:rsid w:val="61BB564B"/>
    <w:rsid w:val="622E6B4D"/>
    <w:rsid w:val="6306451B"/>
    <w:rsid w:val="63442359"/>
    <w:rsid w:val="63780F1A"/>
    <w:rsid w:val="63941681"/>
    <w:rsid w:val="6452052E"/>
    <w:rsid w:val="64F67690"/>
    <w:rsid w:val="657E3738"/>
    <w:rsid w:val="670A6AA8"/>
    <w:rsid w:val="67CA7A7E"/>
    <w:rsid w:val="697A0D2B"/>
    <w:rsid w:val="69E55ED3"/>
    <w:rsid w:val="6AF32AE2"/>
    <w:rsid w:val="6B6D04D1"/>
    <w:rsid w:val="6C0E202B"/>
    <w:rsid w:val="6C44776E"/>
    <w:rsid w:val="6D696CF2"/>
    <w:rsid w:val="6D721FA5"/>
    <w:rsid w:val="6E2652D4"/>
    <w:rsid w:val="6F2B3DE3"/>
    <w:rsid w:val="70096E04"/>
    <w:rsid w:val="72115137"/>
    <w:rsid w:val="721779A8"/>
    <w:rsid w:val="723D7EE4"/>
    <w:rsid w:val="72DE384A"/>
    <w:rsid w:val="73255908"/>
    <w:rsid w:val="73763B75"/>
    <w:rsid w:val="7394027A"/>
    <w:rsid w:val="73C65A80"/>
    <w:rsid w:val="74275AAB"/>
    <w:rsid w:val="74AD3448"/>
    <w:rsid w:val="756F5B2D"/>
    <w:rsid w:val="76856ADF"/>
    <w:rsid w:val="76C46349"/>
    <w:rsid w:val="77511122"/>
    <w:rsid w:val="77903252"/>
    <w:rsid w:val="77CC458A"/>
    <w:rsid w:val="77ED15C0"/>
    <w:rsid w:val="78290AF7"/>
    <w:rsid w:val="787212BF"/>
    <w:rsid w:val="7AA9545B"/>
    <w:rsid w:val="7B2D2778"/>
    <w:rsid w:val="7BF36EC3"/>
    <w:rsid w:val="7C8F5E57"/>
    <w:rsid w:val="7EB16E58"/>
    <w:rsid w:val="7EC95A82"/>
    <w:rsid w:val="7F0C53B5"/>
    <w:rsid w:val="FBC7E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7"/>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2"/>
    <w:qFormat/>
    <w:uiPriority w:val="0"/>
    <w:pPr>
      <w:adjustRightInd w:val="0"/>
      <w:jc w:val="center"/>
      <w:textAlignment w:val="baseline"/>
      <w:outlineLvl w:val="1"/>
    </w:pPr>
    <w:rPr>
      <w:kern w:val="0"/>
      <w:sz w:val="24"/>
      <w:szCs w:val="20"/>
    </w:rPr>
  </w:style>
  <w:style w:type="paragraph" w:styleId="5">
    <w:name w:val="heading 3"/>
    <w:basedOn w:val="6"/>
    <w:next w:val="1"/>
    <w:link w:val="56"/>
    <w:qFormat/>
    <w:uiPriority w:val="0"/>
    <w:pPr>
      <w:spacing w:before="260" w:after="260" w:line="240" w:lineRule="auto"/>
      <w:outlineLvl w:val="2"/>
    </w:pPr>
    <w:rPr>
      <w:rFonts w:ascii="宋体" w:hAnsi="宋体" w:eastAsia="宋体"/>
      <w:szCs w:val="32"/>
    </w:rPr>
  </w:style>
  <w:style w:type="paragraph" w:styleId="6">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1"/>
    <w:qFormat/>
    <w:uiPriority w:val="0"/>
    <w:pPr>
      <w:keepNext/>
      <w:keepLines/>
      <w:spacing w:before="280" w:after="290" w:line="376" w:lineRule="auto"/>
      <w:outlineLvl w:val="4"/>
    </w:pPr>
    <w:rPr>
      <w:b/>
      <w:sz w:val="28"/>
      <w:szCs w:val="20"/>
    </w:rPr>
  </w:style>
  <w:style w:type="paragraph" w:styleId="11">
    <w:name w:val="heading 6"/>
    <w:basedOn w:val="1"/>
    <w:next w:val="9"/>
    <w:link w:val="84"/>
    <w:qFormat/>
    <w:uiPriority w:val="0"/>
    <w:pPr>
      <w:keepNext/>
      <w:keepLines/>
      <w:spacing w:before="240" w:after="64" w:line="320" w:lineRule="auto"/>
      <w:outlineLvl w:val="5"/>
    </w:pPr>
    <w:rPr>
      <w:rFonts w:ascii="Arial" w:hAnsi="Arial" w:eastAsia="黑体"/>
      <w:b/>
      <w:sz w:val="24"/>
      <w:szCs w:val="20"/>
    </w:rPr>
  </w:style>
  <w:style w:type="paragraph" w:styleId="12">
    <w:name w:val="heading 7"/>
    <w:basedOn w:val="1"/>
    <w:next w:val="9"/>
    <w:link w:val="85"/>
    <w:qFormat/>
    <w:uiPriority w:val="0"/>
    <w:pPr>
      <w:keepNext/>
      <w:keepLines/>
      <w:spacing w:before="240" w:after="64" w:line="320" w:lineRule="auto"/>
      <w:outlineLvl w:val="6"/>
    </w:pPr>
    <w:rPr>
      <w:b/>
      <w:sz w:val="24"/>
      <w:szCs w:val="20"/>
    </w:rPr>
  </w:style>
  <w:style w:type="paragraph" w:styleId="13">
    <w:name w:val="heading 8"/>
    <w:basedOn w:val="1"/>
    <w:next w:val="9"/>
    <w:link w:val="86"/>
    <w:qFormat/>
    <w:uiPriority w:val="0"/>
    <w:pPr>
      <w:keepNext/>
      <w:keepLines/>
      <w:spacing w:before="240" w:after="64" w:line="320" w:lineRule="auto"/>
      <w:outlineLvl w:val="7"/>
    </w:pPr>
    <w:rPr>
      <w:rFonts w:ascii="Arial" w:hAnsi="Arial" w:eastAsia="黑体"/>
      <w:sz w:val="24"/>
      <w:szCs w:val="20"/>
    </w:rPr>
  </w:style>
  <w:style w:type="paragraph" w:styleId="14">
    <w:name w:val="heading 9"/>
    <w:basedOn w:val="1"/>
    <w:next w:val="9"/>
    <w:link w:val="87"/>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leftChars="200"/>
    </w:pPr>
  </w:style>
  <w:style w:type="paragraph" w:styleId="3">
    <w:name w:val="Body Text Indent"/>
    <w:basedOn w:val="1"/>
    <w:link w:val="80"/>
    <w:qFormat/>
    <w:uiPriority w:val="0"/>
    <w:pPr>
      <w:spacing w:line="360" w:lineRule="auto"/>
      <w:ind w:firstLine="420" w:firstLineChars="200"/>
    </w:pPr>
  </w:style>
  <w:style w:type="paragraph" w:styleId="9">
    <w:name w:val="Normal Indent"/>
    <w:basedOn w:val="1"/>
    <w:next w:val="10"/>
    <w:link w:val="58"/>
    <w:qFormat/>
    <w:uiPriority w:val="0"/>
    <w:pPr>
      <w:ind w:firstLine="420"/>
    </w:pPr>
    <w:rPr>
      <w:szCs w:val="20"/>
    </w:rPr>
  </w:style>
  <w:style w:type="paragraph" w:styleId="10">
    <w:name w:val="Body Text"/>
    <w:basedOn w:val="1"/>
    <w:next w:val="1"/>
    <w:link w:val="93"/>
    <w:qFormat/>
    <w:uiPriority w:val="0"/>
    <w:pPr>
      <w:spacing w:line="360" w:lineRule="auto"/>
    </w:pPr>
    <w:rPr>
      <w:b/>
      <w:bCs/>
      <w:sz w:val="24"/>
    </w:rPr>
  </w:style>
  <w:style w:type="paragraph" w:styleId="15">
    <w:name w:val="toc 7"/>
    <w:basedOn w:val="1"/>
    <w:next w:val="1"/>
    <w:semiHidden/>
    <w:qFormat/>
    <w:uiPriority w:val="0"/>
    <w:pPr>
      <w:ind w:left="1260"/>
      <w:jc w:val="left"/>
    </w:pPr>
    <w:rPr>
      <w:szCs w:val="21"/>
    </w:rPr>
  </w:style>
  <w:style w:type="paragraph" w:styleId="16">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7">
    <w:name w:val="List Bullet"/>
    <w:basedOn w:val="1"/>
    <w:qFormat/>
    <w:uiPriority w:val="0"/>
    <w:pPr>
      <w:numPr>
        <w:ilvl w:val="0"/>
        <w:numId w:val="1"/>
      </w:numPr>
    </w:pPr>
    <w:rPr>
      <w:szCs w:val="20"/>
    </w:rPr>
  </w:style>
  <w:style w:type="paragraph" w:styleId="18">
    <w:name w:val="Document Map"/>
    <w:basedOn w:val="1"/>
    <w:semiHidden/>
    <w:qFormat/>
    <w:uiPriority w:val="0"/>
    <w:pPr>
      <w:shd w:val="clear" w:color="auto" w:fill="000080"/>
    </w:pPr>
  </w:style>
  <w:style w:type="paragraph" w:styleId="19">
    <w:name w:val="annotation text"/>
    <w:basedOn w:val="1"/>
    <w:link w:val="185"/>
    <w:qFormat/>
    <w:uiPriority w:val="0"/>
    <w:pPr>
      <w:autoSpaceDE w:val="0"/>
      <w:autoSpaceDN w:val="0"/>
      <w:adjustRightInd w:val="0"/>
      <w:jc w:val="left"/>
      <w:textAlignment w:val="baseline"/>
    </w:pPr>
    <w:rPr>
      <w:rFonts w:ascii="宋体"/>
      <w:kern w:val="0"/>
      <w:sz w:val="34"/>
      <w:szCs w:val="20"/>
    </w:rPr>
  </w:style>
  <w:style w:type="paragraph" w:styleId="20">
    <w:name w:val="Body Text 3"/>
    <w:basedOn w:val="1"/>
    <w:link w:val="99"/>
    <w:qFormat/>
    <w:uiPriority w:val="0"/>
    <w:pPr>
      <w:spacing w:after="120"/>
    </w:pPr>
    <w:rPr>
      <w:sz w:val="16"/>
      <w:szCs w:val="16"/>
    </w:r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1"/>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9"/>
    <w:qFormat/>
    <w:uiPriority w:val="0"/>
    <w:rPr>
      <w:rFonts w:ascii="宋体" w:hAnsi="Courier New"/>
      <w:sz w:val="32"/>
      <w:szCs w:val="20"/>
    </w:rPr>
  </w:style>
  <w:style w:type="paragraph" w:styleId="26">
    <w:name w:val="Body Text Indent 2"/>
    <w:basedOn w:val="1"/>
    <w:link w:val="94"/>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0"/>
    <w:semiHidden/>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95"/>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Subtitle"/>
    <w:next w:val="1"/>
    <w:link w:val="310"/>
    <w:qFormat/>
    <w:uiPriority w:val="0"/>
    <w:pPr>
      <w:wordWrap w:val="0"/>
      <w:spacing w:after="60"/>
      <w:jc w:val="center"/>
    </w:pPr>
    <w:rPr>
      <w:rFonts w:ascii="Calibri" w:hAnsi="Calibri" w:eastAsia="宋体" w:cs="Times New Roman"/>
      <w:sz w:val="24"/>
      <w:lang w:val="en-US" w:eastAsia="zh-CN" w:bidi="ar-SA"/>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96"/>
    <w:qFormat/>
    <w:uiPriority w:val="0"/>
    <w:pPr>
      <w:spacing w:line="360" w:lineRule="auto"/>
      <w:ind w:firstLine="482" w:firstLineChars="200"/>
    </w:pPr>
    <w:rPr>
      <w:rFonts w:ascii="宋体"/>
      <w:b/>
      <w:bCs/>
      <w:sz w:val="24"/>
    </w:rPr>
  </w:style>
  <w:style w:type="paragraph" w:styleId="35">
    <w:name w:val="toc 2"/>
    <w:basedOn w:val="1"/>
    <w:next w:val="1"/>
    <w:semiHidden/>
    <w:qFormat/>
    <w:uiPriority w:val="0"/>
    <w:pPr>
      <w:tabs>
        <w:tab w:val="right" w:leader="dot" w:pos="8296"/>
      </w:tabs>
      <w:ind w:left="210"/>
      <w:jc w:val="left"/>
    </w:pPr>
    <w:rPr>
      <w:smallCaps/>
    </w:rPr>
  </w:style>
  <w:style w:type="paragraph" w:styleId="36">
    <w:name w:val="toc 9"/>
    <w:basedOn w:val="1"/>
    <w:next w:val="1"/>
    <w:semiHidden/>
    <w:qFormat/>
    <w:uiPriority w:val="0"/>
    <w:pPr>
      <w:ind w:left="1680"/>
      <w:jc w:val="left"/>
    </w:pPr>
    <w:rPr>
      <w:szCs w:val="21"/>
    </w:rPr>
  </w:style>
  <w:style w:type="paragraph" w:styleId="37">
    <w:name w:val="Body Text 2"/>
    <w:basedOn w:val="1"/>
    <w:link w:val="97"/>
    <w:qFormat/>
    <w:uiPriority w:val="0"/>
    <w:pPr>
      <w:spacing w:line="360" w:lineRule="auto"/>
    </w:pPr>
    <w:rPr>
      <w:sz w:val="24"/>
    </w:rPr>
  </w:style>
  <w:style w:type="paragraph" w:styleId="38">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9">
    <w:name w:val="Normal (Web)"/>
    <w:basedOn w:val="1"/>
    <w:qFormat/>
    <w:uiPriority w:val="99"/>
    <w:rPr>
      <w:sz w:val="24"/>
    </w:rPr>
  </w:style>
  <w:style w:type="paragraph" w:styleId="40">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1">
    <w:name w:val="Title"/>
    <w:basedOn w:val="1"/>
    <w:next w:val="1"/>
    <w:link w:val="88"/>
    <w:qFormat/>
    <w:uiPriority w:val="0"/>
    <w:pPr>
      <w:spacing w:before="240" w:after="60"/>
      <w:jc w:val="center"/>
      <w:outlineLvl w:val="0"/>
    </w:pPr>
    <w:rPr>
      <w:rFonts w:ascii="Arial" w:hAnsi="Arial" w:eastAsia="隶书" w:cs="Arial"/>
      <w:b/>
      <w:bCs/>
      <w:sz w:val="32"/>
      <w:szCs w:val="32"/>
    </w:rPr>
  </w:style>
  <w:style w:type="paragraph" w:styleId="42">
    <w:name w:val="annotation subject"/>
    <w:basedOn w:val="19"/>
    <w:next w:val="19"/>
    <w:link w:val="186"/>
    <w:qFormat/>
    <w:uiPriority w:val="0"/>
    <w:pPr>
      <w:autoSpaceDE/>
      <w:autoSpaceDN/>
      <w:adjustRightInd/>
      <w:textAlignment w:val="auto"/>
    </w:pPr>
    <w:rPr>
      <w:rFonts w:ascii="Times New Roman"/>
      <w:b/>
      <w:bCs/>
      <w:kern w:val="2"/>
      <w:sz w:val="21"/>
      <w:szCs w:val="24"/>
    </w:rPr>
  </w:style>
  <w:style w:type="paragraph" w:styleId="43">
    <w:name w:val="Body Text First Indent"/>
    <w:basedOn w:val="10"/>
    <w:link w:val="131"/>
    <w:qFormat/>
    <w:uiPriority w:val="0"/>
    <w:pPr>
      <w:spacing w:after="120" w:line="240" w:lineRule="auto"/>
      <w:ind w:firstLine="420" w:firstLineChars="100"/>
    </w:pPr>
    <w:rPr>
      <w:sz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i/>
      <w:sz w:val="20"/>
    </w:rPr>
  </w:style>
  <w:style w:type="character" w:styleId="52">
    <w:name w:val="Hyperlink"/>
    <w:qFormat/>
    <w:uiPriority w:val="0"/>
    <w:rPr>
      <w:color w:val="0000FF"/>
      <w:u w:val="single"/>
    </w:rPr>
  </w:style>
  <w:style w:type="character" w:styleId="53">
    <w:name w:val="annotation reference"/>
    <w:basedOn w:val="47"/>
    <w:qFormat/>
    <w:uiPriority w:val="0"/>
    <w:rPr>
      <w:sz w:val="21"/>
      <w:szCs w:val="21"/>
    </w:rPr>
  </w:style>
  <w:style w:type="character" w:customStyle="1" w:styleId="54">
    <w:name w:val="标题 4 字符"/>
    <w:link w:val="6"/>
    <w:qFormat/>
    <w:uiPriority w:val="0"/>
    <w:rPr>
      <w:rFonts w:ascii="Arial" w:hAnsi="Arial" w:eastAsia="黑体"/>
      <w:b/>
      <w:bCs/>
      <w:kern w:val="2"/>
      <w:sz w:val="28"/>
      <w:szCs w:val="28"/>
      <w:lang w:val="en-US" w:eastAsia="zh-CN" w:bidi="ar-SA"/>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6">
    <w:name w:val="标题 3 字符"/>
    <w:link w:val="5"/>
    <w:qFormat/>
    <w:uiPriority w:val="0"/>
    <w:rPr>
      <w:rFonts w:ascii="宋体" w:hAnsi="宋体" w:eastAsia="宋体"/>
      <w:b/>
      <w:bCs/>
      <w:kern w:val="2"/>
      <w:sz w:val="28"/>
      <w:szCs w:val="32"/>
      <w:lang w:val="en-US" w:eastAsia="zh-CN" w:bidi="ar-SA"/>
    </w:rPr>
  </w:style>
  <w:style w:type="character" w:customStyle="1" w:styleId="57">
    <w:name w:val="标题 1 字符"/>
    <w:link w:val="4"/>
    <w:qFormat/>
    <w:uiPriority w:val="0"/>
    <w:rPr>
      <w:rFonts w:ascii="宋体" w:hAnsi="宋体" w:eastAsia="黑体"/>
      <w:b/>
      <w:bCs/>
      <w:kern w:val="44"/>
      <w:sz w:val="28"/>
      <w:szCs w:val="44"/>
      <w:lang w:val="en-US" w:eastAsia="zh-CN" w:bidi="ar-SA"/>
    </w:rPr>
  </w:style>
  <w:style w:type="character" w:customStyle="1" w:styleId="58">
    <w:name w:val="正文缩进 字符"/>
    <w:link w:val="9"/>
    <w:qFormat/>
    <w:uiPriority w:val="0"/>
    <w:rPr>
      <w:rFonts w:eastAsia="宋体"/>
      <w:kern w:val="2"/>
      <w:sz w:val="21"/>
      <w:lang w:val="en-US" w:eastAsia="zh-CN" w:bidi="ar-SA"/>
    </w:rPr>
  </w:style>
  <w:style w:type="character" w:customStyle="1" w:styleId="59">
    <w:name w:val="标题 3 Char"/>
    <w:qFormat/>
    <w:uiPriority w:val="0"/>
    <w:rPr>
      <w:rFonts w:ascii="黑体" w:eastAsia="黑体"/>
      <w:bCs/>
      <w:sz w:val="30"/>
    </w:rPr>
  </w:style>
  <w:style w:type="paragraph" w:customStyle="1" w:styleId="60">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qFormat/>
    <w:uiPriority w:val="0"/>
    <w:pPr>
      <w:spacing w:afterLines="50"/>
      <w:ind w:left="600" w:leftChars="600"/>
    </w:pPr>
  </w:style>
  <w:style w:type="paragraph" w:customStyle="1" w:styleId="68">
    <w:name w:val="Char Char Char Char Char"/>
    <w:basedOn w:val="1"/>
    <w:qFormat/>
    <w:uiPriority w:val="0"/>
    <w:rPr>
      <w:rFonts w:ascii="Tahoma" w:hAnsi="Tahoma"/>
      <w:sz w:val="24"/>
      <w:szCs w:val="20"/>
    </w:rPr>
  </w:style>
  <w:style w:type="paragraph" w:customStyle="1" w:styleId="69">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0">
    <w:name w:val="Char Char"/>
    <w:basedOn w:val="1"/>
    <w:qFormat/>
    <w:uiPriority w:val="0"/>
    <w:rPr>
      <w:rFonts w:ascii="Tahoma" w:hAnsi="Tahoma"/>
      <w:sz w:val="24"/>
      <w:szCs w:val="20"/>
    </w:rPr>
  </w:style>
  <w:style w:type="paragraph" w:customStyle="1" w:styleId="71">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2">
    <w:name w:val="标题 2 字符"/>
    <w:link w:val="7"/>
    <w:qFormat/>
    <w:uiPriority w:val="0"/>
    <w:rPr>
      <w:rFonts w:ascii="宋体" w:hAnsi="宋体" w:eastAsia="宋体"/>
      <w:b/>
      <w:bCs/>
      <w:sz w:val="24"/>
      <w:lang w:val="en-US" w:eastAsia="zh-CN" w:bidi="ar-SA"/>
    </w:rPr>
  </w:style>
  <w:style w:type="paragraph" w:customStyle="1" w:styleId="7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4">
    <w:name w:val="List Paragraph"/>
    <w:basedOn w:val="1"/>
    <w:qFormat/>
    <w:uiPriority w:val="0"/>
    <w:pPr>
      <w:ind w:firstLine="420" w:firstLineChars="200"/>
    </w:pPr>
    <w:rPr>
      <w:rFonts w:ascii="Calibri" w:hAnsi="Calibri"/>
      <w:szCs w:val="22"/>
    </w:rPr>
  </w:style>
  <w:style w:type="paragraph" w:customStyle="1" w:styleId="75">
    <w:name w:val="USE 1"/>
    <w:basedOn w:val="1"/>
    <w:qFormat/>
    <w:uiPriority w:val="0"/>
    <w:pPr>
      <w:spacing w:line="200" w:lineRule="atLeast"/>
      <w:jc w:val="left"/>
    </w:pPr>
    <w:rPr>
      <w:rFonts w:ascii="宋体" w:hAnsi="宋体"/>
      <w:b/>
      <w:sz w:val="24"/>
      <w:szCs w:val="28"/>
    </w:rPr>
  </w:style>
  <w:style w:type="paragraph" w:customStyle="1" w:styleId="76">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7">
    <w:name w:val="正文文字缩进项目"/>
    <w:basedOn w:val="3"/>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8">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79">
    <w:name w:val="H4 Char2"/>
    <w:qFormat/>
    <w:uiPriority w:val="0"/>
    <w:rPr>
      <w:rFonts w:ascii="Arial" w:hAnsi="Arial" w:eastAsia="黑体"/>
      <w:b/>
      <w:bCs/>
      <w:kern w:val="2"/>
      <w:sz w:val="28"/>
      <w:szCs w:val="28"/>
      <w:lang w:val="en-US" w:eastAsia="zh-CN" w:bidi="ar-SA"/>
    </w:rPr>
  </w:style>
  <w:style w:type="character" w:customStyle="1" w:styleId="80">
    <w:name w:val="正文文本缩进 字符"/>
    <w:link w:val="3"/>
    <w:qFormat/>
    <w:uiPriority w:val="0"/>
    <w:rPr>
      <w:rFonts w:eastAsia="宋体"/>
      <w:kern w:val="2"/>
      <w:sz w:val="21"/>
      <w:szCs w:val="24"/>
      <w:lang w:val="en-US" w:eastAsia="zh-CN" w:bidi="ar-SA"/>
    </w:rPr>
  </w:style>
  <w:style w:type="character" w:customStyle="1" w:styleId="81">
    <w:name w:val="标题 5 字符"/>
    <w:link w:val="8"/>
    <w:qFormat/>
    <w:uiPriority w:val="0"/>
    <w:rPr>
      <w:rFonts w:eastAsia="宋体"/>
      <w:b/>
      <w:kern w:val="2"/>
      <w:sz w:val="28"/>
      <w:lang w:val="en-US" w:eastAsia="zh-CN" w:bidi="ar-SA"/>
    </w:rPr>
  </w:style>
  <w:style w:type="character" w:customStyle="1" w:styleId="82">
    <w:name w:val="第*章 Char"/>
    <w:qFormat/>
    <w:uiPriority w:val="0"/>
    <w:rPr>
      <w:rFonts w:ascii="Arial" w:hAnsi="Arial" w:eastAsia="黑体"/>
      <w:b/>
      <w:bCs/>
      <w:kern w:val="2"/>
      <w:sz w:val="32"/>
      <w:szCs w:val="32"/>
    </w:rPr>
  </w:style>
  <w:style w:type="character" w:customStyle="1" w:styleId="83">
    <w:name w:val="章标题1 Char"/>
    <w:qFormat/>
    <w:uiPriority w:val="0"/>
    <w:rPr>
      <w:rFonts w:eastAsia="宋体"/>
      <w:b/>
      <w:bCs/>
      <w:kern w:val="2"/>
      <w:sz w:val="32"/>
      <w:szCs w:val="32"/>
      <w:lang w:val="en-US" w:eastAsia="zh-CN" w:bidi="ar-SA"/>
    </w:rPr>
  </w:style>
  <w:style w:type="character" w:customStyle="1" w:styleId="84">
    <w:name w:val="标题 6 字符"/>
    <w:link w:val="11"/>
    <w:qFormat/>
    <w:uiPriority w:val="0"/>
    <w:rPr>
      <w:rFonts w:ascii="Arial" w:hAnsi="Arial" w:eastAsia="黑体"/>
      <w:b/>
      <w:kern w:val="2"/>
      <w:sz w:val="24"/>
      <w:lang w:val="en-US" w:eastAsia="zh-CN" w:bidi="ar-SA"/>
    </w:rPr>
  </w:style>
  <w:style w:type="character" w:customStyle="1" w:styleId="85">
    <w:name w:val="标题 7 字符"/>
    <w:link w:val="12"/>
    <w:qFormat/>
    <w:uiPriority w:val="0"/>
    <w:rPr>
      <w:rFonts w:eastAsia="宋体"/>
      <w:b/>
      <w:kern w:val="2"/>
      <w:sz w:val="24"/>
      <w:lang w:val="en-US" w:eastAsia="zh-CN" w:bidi="ar-SA"/>
    </w:rPr>
  </w:style>
  <w:style w:type="character" w:customStyle="1" w:styleId="86">
    <w:name w:val="标题 8 字符"/>
    <w:link w:val="13"/>
    <w:qFormat/>
    <w:uiPriority w:val="0"/>
    <w:rPr>
      <w:rFonts w:ascii="Arial" w:hAnsi="Arial" w:eastAsia="黑体"/>
      <w:kern w:val="2"/>
      <w:sz w:val="24"/>
      <w:lang w:val="en-US" w:eastAsia="zh-CN" w:bidi="ar-SA"/>
    </w:rPr>
  </w:style>
  <w:style w:type="character" w:customStyle="1" w:styleId="87">
    <w:name w:val="标题 9 字符"/>
    <w:link w:val="14"/>
    <w:qFormat/>
    <w:uiPriority w:val="0"/>
    <w:rPr>
      <w:rFonts w:ascii="Arial" w:hAnsi="Arial" w:eastAsia="黑体"/>
      <w:kern w:val="2"/>
      <w:sz w:val="21"/>
      <w:lang w:val="en-US" w:eastAsia="zh-CN" w:bidi="ar-SA"/>
    </w:rPr>
  </w:style>
  <w:style w:type="character" w:customStyle="1" w:styleId="88">
    <w:name w:val="标题 字符"/>
    <w:link w:val="41"/>
    <w:qFormat/>
    <w:uiPriority w:val="0"/>
    <w:rPr>
      <w:rFonts w:ascii="Arial" w:hAnsi="Arial" w:eastAsia="隶书" w:cs="Arial"/>
      <w:b/>
      <w:bCs/>
      <w:kern w:val="2"/>
      <w:sz w:val="32"/>
      <w:szCs w:val="32"/>
      <w:lang w:val="en-US" w:eastAsia="zh-CN" w:bidi="ar-SA"/>
    </w:rPr>
  </w:style>
  <w:style w:type="character" w:customStyle="1" w:styleId="89">
    <w:name w:val="日期 字符"/>
    <w:link w:val="25"/>
    <w:qFormat/>
    <w:uiPriority w:val="0"/>
    <w:rPr>
      <w:rFonts w:ascii="宋体" w:hAnsi="Courier New" w:eastAsia="宋体"/>
      <w:kern w:val="2"/>
      <w:sz w:val="32"/>
      <w:lang w:val="en-US" w:eastAsia="zh-CN" w:bidi="ar-SA"/>
    </w:rPr>
  </w:style>
  <w:style w:type="character" w:customStyle="1" w:styleId="90">
    <w:name w:val="HTML 预设格式 字符"/>
    <w:link w:val="38"/>
    <w:qFormat/>
    <w:uiPriority w:val="0"/>
    <w:rPr>
      <w:rFonts w:ascii="Arial Unicode MS" w:hAnsi="Arial Unicode MS" w:eastAsia="Arial Unicode MS"/>
      <w:color w:val="000000"/>
      <w:lang w:val="en-US" w:eastAsia="zh-CN" w:bidi="ar-SA"/>
    </w:rPr>
  </w:style>
  <w:style w:type="character" w:customStyle="1" w:styleId="91">
    <w:name w:val="纯文本 字符"/>
    <w:link w:val="23"/>
    <w:qFormat/>
    <w:uiPriority w:val="0"/>
    <w:rPr>
      <w:rFonts w:ascii="宋体" w:hAnsi="Courier New" w:eastAsia="宋体"/>
      <w:kern w:val="2"/>
      <w:sz w:val="21"/>
      <w:lang w:val="en-US" w:eastAsia="zh-CN" w:bidi="ar-SA"/>
    </w:rPr>
  </w:style>
  <w:style w:type="character" w:customStyle="1" w:styleId="92">
    <w:name w:val="正文文字首行缩进 Char"/>
    <w:qFormat/>
    <w:uiPriority w:val="0"/>
    <w:rPr>
      <w:kern w:val="2"/>
      <w:sz w:val="21"/>
      <w:szCs w:val="24"/>
    </w:rPr>
  </w:style>
  <w:style w:type="character" w:customStyle="1" w:styleId="93">
    <w:name w:val="正文文本 字符"/>
    <w:link w:val="10"/>
    <w:qFormat/>
    <w:uiPriority w:val="0"/>
    <w:rPr>
      <w:rFonts w:eastAsia="宋体"/>
      <w:b/>
      <w:bCs/>
      <w:kern w:val="2"/>
      <w:sz w:val="24"/>
      <w:szCs w:val="24"/>
      <w:lang w:val="en-US" w:eastAsia="zh-CN" w:bidi="ar-SA"/>
    </w:rPr>
  </w:style>
  <w:style w:type="character" w:customStyle="1" w:styleId="94">
    <w:name w:val="正文文本缩进 2 字符"/>
    <w:link w:val="26"/>
    <w:qFormat/>
    <w:uiPriority w:val="0"/>
    <w:rPr>
      <w:rFonts w:ascii="宋体" w:hAnsi="宋体" w:eastAsia="宋体"/>
      <w:kern w:val="2"/>
      <w:sz w:val="21"/>
      <w:szCs w:val="24"/>
      <w:lang w:val="en-US" w:eastAsia="zh-CN" w:bidi="ar-SA"/>
    </w:rPr>
  </w:style>
  <w:style w:type="character" w:customStyle="1" w:styleId="95">
    <w:name w:val="页眉 字符"/>
    <w:link w:val="29"/>
    <w:qFormat/>
    <w:uiPriority w:val="99"/>
    <w:rPr>
      <w:rFonts w:eastAsia="宋体"/>
      <w:kern w:val="2"/>
      <w:sz w:val="18"/>
      <w:szCs w:val="18"/>
      <w:lang w:val="en-US" w:eastAsia="zh-CN" w:bidi="ar-SA"/>
    </w:rPr>
  </w:style>
  <w:style w:type="character" w:customStyle="1" w:styleId="96">
    <w:name w:val="正文文本缩进 3 字符"/>
    <w:link w:val="34"/>
    <w:qFormat/>
    <w:uiPriority w:val="0"/>
    <w:rPr>
      <w:rFonts w:ascii="宋体" w:eastAsia="宋体"/>
      <w:b/>
      <w:bCs/>
      <w:kern w:val="2"/>
      <w:sz w:val="24"/>
      <w:szCs w:val="24"/>
      <w:lang w:val="en-US" w:eastAsia="zh-CN" w:bidi="ar-SA"/>
    </w:rPr>
  </w:style>
  <w:style w:type="character" w:customStyle="1" w:styleId="97">
    <w:name w:val="正文文本 2 字符"/>
    <w:link w:val="37"/>
    <w:qFormat/>
    <w:uiPriority w:val="0"/>
    <w:rPr>
      <w:rFonts w:eastAsia="宋体"/>
      <w:kern w:val="2"/>
      <w:sz w:val="24"/>
      <w:szCs w:val="24"/>
      <w:lang w:val="en-US" w:eastAsia="zh-CN" w:bidi="ar-SA"/>
    </w:rPr>
  </w:style>
  <w:style w:type="character" w:customStyle="1" w:styleId="98">
    <w:name w:val="页脚 字符"/>
    <w:link w:val="28"/>
    <w:qFormat/>
    <w:uiPriority w:val="0"/>
    <w:rPr>
      <w:rFonts w:eastAsia="宋体"/>
      <w:kern w:val="2"/>
      <w:sz w:val="18"/>
      <w:szCs w:val="18"/>
      <w:lang w:val="en-US" w:eastAsia="zh-CN" w:bidi="ar-SA"/>
    </w:rPr>
  </w:style>
  <w:style w:type="character" w:customStyle="1" w:styleId="99">
    <w:name w:val="正文文本 3 字符"/>
    <w:link w:val="20"/>
    <w:qFormat/>
    <w:uiPriority w:val="0"/>
    <w:rPr>
      <w:rFonts w:eastAsia="宋体"/>
      <w:kern w:val="2"/>
      <w:sz w:val="16"/>
      <w:szCs w:val="16"/>
      <w:lang w:val="en-US" w:eastAsia="zh-CN" w:bidi="ar-SA"/>
    </w:rPr>
  </w:style>
  <w:style w:type="character" w:customStyle="1" w:styleId="100">
    <w:name w:val="批注框文本 字符"/>
    <w:link w:val="27"/>
    <w:semiHidden/>
    <w:qFormat/>
    <w:uiPriority w:val="0"/>
    <w:rPr>
      <w:rFonts w:eastAsia="宋体"/>
      <w:kern w:val="2"/>
      <w:sz w:val="18"/>
      <w:szCs w:val="18"/>
      <w:lang w:val="en-US" w:eastAsia="zh-CN" w:bidi="ar-SA"/>
    </w:rPr>
  </w:style>
  <w:style w:type="paragraph" w:customStyle="1" w:styleId="101">
    <w:name w:val="样式1"/>
    <w:basedOn w:val="41"/>
    <w:qFormat/>
    <w:uiPriority w:val="0"/>
    <w:pPr>
      <w:spacing w:before="120" w:after="120"/>
    </w:pPr>
    <w:rPr>
      <w:rFonts w:eastAsia="黑体"/>
      <w:b w:val="0"/>
      <w:sz w:val="30"/>
      <w:szCs w:val="21"/>
    </w:rPr>
  </w:style>
  <w:style w:type="paragraph" w:customStyle="1" w:styleId="102">
    <w:name w:val="样式2"/>
    <w:basedOn w:val="41"/>
    <w:next w:val="101"/>
    <w:qFormat/>
    <w:uiPriority w:val="0"/>
    <w:pPr>
      <w:spacing w:before="120" w:after="120"/>
    </w:pPr>
    <w:rPr>
      <w:rFonts w:eastAsia="黑体"/>
      <w:b w:val="0"/>
      <w:sz w:val="30"/>
      <w:szCs w:val="30"/>
    </w:rPr>
  </w:style>
  <w:style w:type="character" w:customStyle="1" w:styleId="103">
    <w:name w:val="标题 3 Char Char"/>
    <w:qFormat/>
    <w:uiPriority w:val="0"/>
    <w:rPr>
      <w:rFonts w:eastAsia="宋体"/>
      <w:b/>
      <w:bCs/>
      <w:kern w:val="2"/>
      <w:sz w:val="32"/>
      <w:szCs w:val="32"/>
      <w:lang w:val="en-US" w:eastAsia="zh-CN" w:bidi="ar-SA"/>
    </w:rPr>
  </w:style>
  <w:style w:type="paragraph" w:customStyle="1" w:styleId="10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6">
    <w:name w:val="--规划正文"/>
    <w:basedOn w:val="1"/>
    <w:qFormat/>
    <w:uiPriority w:val="0"/>
    <w:pPr>
      <w:spacing w:line="360" w:lineRule="auto"/>
      <w:ind w:firstLine="200" w:firstLineChars="200"/>
    </w:pPr>
    <w:rPr>
      <w:szCs w:val="20"/>
    </w:rPr>
  </w:style>
  <w:style w:type="paragraph" w:customStyle="1" w:styleId="107">
    <w:name w:val="设计依据"/>
    <w:basedOn w:val="10"/>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8">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9">
    <w:name w:val="样式4"/>
    <w:basedOn w:val="1"/>
    <w:qFormat/>
    <w:uiPriority w:val="0"/>
    <w:pPr>
      <w:tabs>
        <w:tab w:val="left" w:pos="842"/>
      </w:tabs>
      <w:spacing w:line="360" w:lineRule="auto"/>
      <w:ind w:left="842" w:hanging="420"/>
    </w:pPr>
    <w:rPr>
      <w:sz w:val="24"/>
    </w:rPr>
  </w:style>
  <w:style w:type="paragraph" w:customStyle="1" w:styleId="110">
    <w:name w:val="文字"/>
    <w:basedOn w:val="1"/>
    <w:qFormat/>
    <w:uiPriority w:val="0"/>
    <w:pPr>
      <w:tabs>
        <w:tab w:val="left" w:pos="8520"/>
      </w:tabs>
      <w:spacing w:line="312" w:lineRule="auto"/>
      <w:ind w:right="-210" w:firstLine="556"/>
    </w:pPr>
    <w:rPr>
      <w:rFonts w:ascii="宋体"/>
      <w:sz w:val="28"/>
      <w:szCs w:val="20"/>
    </w:rPr>
  </w:style>
  <w:style w:type="paragraph" w:customStyle="1" w:styleId="111">
    <w:name w:val="--规划-表格-居左"/>
    <w:basedOn w:val="106"/>
    <w:qFormat/>
    <w:uiPriority w:val="0"/>
    <w:pPr>
      <w:spacing w:line="240" w:lineRule="auto"/>
      <w:ind w:firstLine="0" w:firstLineChars="0"/>
    </w:pPr>
    <w:rPr>
      <w:sz w:val="20"/>
    </w:rPr>
  </w:style>
  <w:style w:type="paragraph" w:customStyle="1" w:styleId="112">
    <w:name w:val="--规划-表格-居中"/>
    <w:basedOn w:val="106"/>
    <w:qFormat/>
    <w:uiPriority w:val="0"/>
    <w:pPr>
      <w:spacing w:line="240" w:lineRule="auto"/>
      <w:ind w:firstLine="0" w:firstLineChars="0"/>
      <w:jc w:val="center"/>
    </w:pPr>
    <w:rPr>
      <w:sz w:val="20"/>
    </w:rPr>
  </w:style>
  <w:style w:type="paragraph" w:customStyle="1" w:styleId="113">
    <w:name w:val="--编号内缩进"/>
    <w:basedOn w:val="1"/>
    <w:qFormat/>
    <w:uiPriority w:val="0"/>
    <w:pPr>
      <w:spacing w:line="360" w:lineRule="auto"/>
      <w:ind w:left="420" w:firstLine="200" w:firstLineChars="200"/>
    </w:pPr>
    <w:rPr>
      <w:szCs w:val="21"/>
    </w:rPr>
  </w:style>
  <w:style w:type="paragraph" w:customStyle="1" w:styleId="114">
    <w:name w:val="--规划-题注"/>
    <w:basedOn w:val="1"/>
    <w:next w:val="106"/>
    <w:qFormat/>
    <w:uiPriority w:val="0"/>
    <w:pPr>
      <w:spacing w:line="360" w:lineRule="auto"/>
      <w:jc w:val="center"/>
    </w:pPr>
    <w:rPr>
      <w:rFonts w:eastAsia="黑体"/>
    </w:rPr>
  </w:style>
  <w:style w:type="paragraph" w:customStyle="1" w:styleId="115">
    <w:name w:val="--规划-图和表"/>
    <w:next w:val="106"/>
    <w:qFormat/>
    <w:uiPriority w:val="0"/>
    <w:pPr>
      <w:jc w:val="center"/>
    </w:pPr>
    <w:rPr>
      <w:rFonts w:ascii="Times New Roman" w:hAnsi="Times New Roman" w:eastAsia="宋体" w:cs="Times New Roman"/>
      <w:kern w:val="2"/>
      <w:sz w:val="21"/>
      <w:lang w:val="en-US" w:eastAsia="zh-CN" w:bidi="ar-SA"/>
    </w:rPr>
  </w:style>
  <w:style w:type="paragraph" w:customStyle="1" w:styleId="116">
    <w:name w:val="--规划-小标题"/>
    <w:basedOn w:val="1"/>
    <w:next w:val="106"/>
    <w:qFormat/>
    <w:uiPriority w:val="0"/>
    <w:pPr>
      <w:keepNext/>
      <w:keepLines/>
      <w:spacing w:line="360" w:lineRule="auto"/>
      <w:outlineLvl w:val="4"/>
    </w:pPr>
    <w:rPr>
      <w:rFonts w:eastAsia="黑体"/>
    </w:rPr>
  </w:style>
  <w:style w:type="paragraph" w:customStyle="1" w:styleId="117">
    <w:name w:val="--规划正文 Char"/>
    <w:basedOn w:val="1"/>
    <w:qFormat/>
    <w:uiPriority w:val="0"/>
    <w:pPr>
      <w:spacing w:line="360" w:lineRule="auto"/>
      <w:ind w:firstLine="200" w:firstLineChars="200"/>
    </w:pPr>
    <w:rPr>
      <w:sz w:val="24"/>
    </w:rPr>
  </w:style>
  <w:style w:type="paragraph" w:customStyle="1" w:styleId="118">
    <w:name w:val="缺省文本"/>
    <w:basedOn w:val="1"/>
    <w:qFormat/>
    <w:uiPriority w:val="0"/>
    <w:pPr>
      <w:autoSpaceDE w:val="0"/>
      <w:autoSpaceDN w:val="0"/>
      <w:adjustRightInd w:val="0"/>
      <w:jc w:val="left"/>
    </w:pPr>
    <w:rPr>
      <w:kern w:val="0"/>
    </w:rPr>
  </w:style>
  <w:style w:type="paragraph" w:customStyle="1" w:styleId="119">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0">
    <w:name w:val="--规划正文 Char Char"/>
    <w:qFormat/>
    <w:uiPriority w:val="0"/>
    <w:rPr>
      <w:rFonts w:eastAsia="宋体"/>
      <w:kern w:val="2"/>
      <w:sz w:val="24"/>
      <w:szCs w:val="24"/>
      <w:lang w:val="en-US" w:eastAsia="zh-CN" w:bidi="ar-SA"/>
    </w:rPr>
  </w:style>
  <w:style w:type="paragraph" w:customStyle="1" w:styleId="121">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2">
    <w:name w:val="--规划正文 Char1"/>
    <w:qFormat/>
    <w:uiPriority w:val="0"/>
    <w:rPr>
      <w:rFonts w:eastAsia="宋体"/>
      <w:kern w:val="2"/>
      <w:sz w:val="21"/>
      <w:lang w:val="en-US" w:eastAsia="zh-CN" w:bidi="ar-SA"/>
    </w:rPr>
  </w:style>
  <w:style w:type="paragraph" w:customStyle="1" w:styleId="123">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4">
    <w:name w:val="列表项目"/>
    <w:basedOn w:val="1"/>
    <w:qFormat/>
    <w:uiPriority w:val="0"/>
    <w:pPr>
      <w:tabs>
        <w:tab w:val="left" w:pos="420"/>
        <w:tab w:val="left" w:pos="1080"/>
      </w:tabs>
      <w:spacing w:line="288" w:lineRule="auto"/>
      <w:ind w:left="1080" w:hanging="360"/>
    </w:pPr>
    <w:rPr>
      <w:sz w:val="24"/>
      <w:szCs w:val="20"/>
    </w:rPr>
  </w:style>
  <w:style w:type="character" w:customStyle="1" w:styleId="125">
    <w:name w:val="content1"/>
    <w:qFormat/>
    <w:uiPriority w:val="0"/>
    <w:rPr>
      <w:rFonts w:hint="default" w:ascii="??" w:hAnsi="??"/>
      <w:sz w:val="16"/>
      <w:szCs w:val="16"/>
      <w:u w:val="none"/>
    </w:rPr>
  </w:style>
  <w:style w:type="character" w:customStyle="1" w:styleId="126">
    <w:name w:val="unnamed4"/>
    <w:basedOn w:val="47"/>
    <w:qFormat/>
    <w:uiPriority w:val="0"/>
  </w:style>
  <w:style w:type="character" w:customStyle="1" w:styleId="127">
    <w:name w:val="font2"/>
    <w:basedOn w:val="47"/>
    <w:qFormat/>
    <w:uiPriority w:val="0"/>
  </w:style>
  <w:style w:type="character" w:customStyle="1" w:styleId="128">
    <w:name w:val="font41"/>
    <w:qFormat/>
    <w:uiPriority w:val="0"/>
    <w:rPr>
      <w:color w:val="000000"/>
      <w:spacing w:val="260"/>
      <w:sz w:val="18"/>
      <w:szCs w:val="18"/>
      <w:u w:val="none"/>
    </w:rPr>
  </w:style>
  <w:style w:type="paragraph" w:customStyle="1" w:styleId="12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0">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1">
    <w:name w:val="正文文本首行缩进 字符"/>
    <w:link w:val="43"/>
    <w:qFormat/>
    <w:uiPriority w:val="0"/>
    <w:rPr>
      <w:rFonts w:eastAsia="宋体"/>
      <w:b/>
      <w:bCs/>
      <w:kern w:val="2"/>
      <w:sz w:val="21"/>
      <w:szCs w:val="24"/>
      <w:lang w:val="en-US" w:eastAsia="zh-CN" w:bidi="ar-SA"/>
    </w:rPr>
  </w:style>
  <w:style w:type="paragraph" w:customStyle="1" w:styleId="132">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3">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4">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5">
    <w:name w:val="mode"/>
    <w:basedOn w:val="47"/>
    <w:qFormat/>
    <w:uiPriority w:val="0"/>
  </w:style>
  <w:style w:type="paragraph" w:customStyle="1" w:styleId="136">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37">
    <w:name w:val="unnamed3"/>
    <w:basedOn w:val="47"/>
    <w:qFormat/>
    <w:uiPriority w:val="0"/>
  </w:style>
  <w:style w:type="paragraph" w:customStyle="1" w:styleId="138">
    <w:name w:val="8"/>
    <w:basedOn w:val="1"/>
    <w:next w:val="3"/>
    <w:qFormat/>
    <w:uiPriority w:val="0"/>
    <w:pPr>
      <w:spacing w:after="120"/>
      <w:ind w:left="420" w:leftChars="200"/>
    </w:pPr>
  </w:style>
  <w:style w:type="paragraph" w:customStyle="1" w:styleId="139">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0">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1">
    <w:name w:val="5"/>
    <w:basedOn w:val="1"/>
    <w:qFormat/>
    <w:uiPriority w:val="0"/>
    <w:pPr>
      <w:autoSpaceDE w:val="0"/>
      <w:autoSpaceDN w:val="0"/>
      <w:adjustRightInd w:val="0"/>
      <w:jc w:val="left"/>
    </w:pPr>
    <w:rPr>
      <w:rFonts w:ascii="宋体"/>
      <w:b/>
      <w:bCs/>
      <w:kern w:val="0"/>
      <w:sz w:val="18"/>
      <w:szCs w:val="18"/>
    </w:rPr>
  </w:style>
  <w:style w:type="paragraph" w:customStyle="1" w:styleId="142">
    <w:name w:val="6"/>
    <w:basedOn w:val="141"/>
    <w:qFormat/>
    <w:uiPriority w:val="0"/>
    <w:pPr>
      <w:spacing w:line="270" w:lineRule="atLeast"/>
      <w:jc w:val="both"/>
    </w:pPr>
    <w:rPr>
      <w:b w:val="0"/>
      <w:bCs w:val="0"/>
    </w:rPr>
  </w:style>
  <w:style w:type="paragraph" w:customStyle="1" w:styleId="14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4">
    <w:name w:val="姜文清定义的正文"/>
    <w:basedOn w:val="1"/>
    <w:qFormat/>
    <w:uiPriority w:val="0"/>
    <w:pPr>
      <w:spacing w:line="240" w:lineRule="atLeast"/>
      <w:ind w:firstLine="567"/>
    </w:pPr>
    <w:rPr>
      <w:szCs w:val="20"/>
    </w:rPr>
  </w:style>
  <w:style w:type="paragraph" w:customStyle="1" w:styleId="14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6">
    <w:name w:val="CM2"/>
    <w:basedOn w:val="145"/>
    <w:next w:val="145"/>
    <w:qFormat/>
    <w:uiPriority w:val="0"/>
    <w:pPr>
      <w:spacing w:line="200" w:lineRule="atLeast"/>
    </w:pPr>
    <w:rPr>
      <w:rFonts w:ascii="Arial" w:hAnsi="Arial" w:eastAsia="宋体" w:cs="Times New Roman"/>
      <w:color w:val="auto"/>
    </w:rPr>
  </w:style>
  <w:style w:type="paragraph" w:customStyle="1" w:styleId="147">
    <w:name w:val="Normal Paragraph"/>
    <w:basedOn w:val="1"/>
    <w:qFormat/>
    <w:uiPriority w:val="0"/>
    <w:pPr>
      <w:widowControl/>
      <w:spacing w:before="120" w:line="360" w:lineRule="auto"/>
      <w:ind w:firstLine="425"/>
    </w:pPr>
    <w:rPr>
      <w:kern w:val="0"/>
      <w:sz w:val="24"/>
    </w:rPr>
  </w:style>
  <w:style w:type="character" w:customStyle="1" w:styleId="148">
    <w:name w:val="blue"/>
    <w:basedOn w:val="47"/>
    <w:qFormat/>
    <w:uiPriority w:val="0"/>
  </w:style>
  <w:style w:type="paragraph" w:customStyle="1" w:styleId="149">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0">
    <w:name w:val="font"/>
    <w:basedOn w:val="47"/>
    <w:qFormat/>
    <w:uiPriority w:val="0"/>
  </w:style>
  <w:style w:type="character" w:customStyle="1" w:styleId="151">
    <w:name w:val="font11"/>
    <w:qFormat/>
    <w:uiPriority w:val="0"/>
    <w:rPr>
      <w:rFonts w:hint="default" w:ascii="ˎ̥" w:hAnsi="ˎ̥"/>
    </w:rPr>
  </w:style>
  <w:style w:type="paragraph" w:customStyle="1" w:styleId="152">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3">
    <w:name w:val="proddescription"/>
    <w:basedOn w:val="47"/>
    <w:qFormat/>
    <w:uiPriority w:val="0"/>
  </w:style>
  <w:style w:type="character" w:customStyle="1" w:styleId="154">
    <w:name w:val="prodheadlines"/>
    <w:basedOn w:val="47"/>
    <w:qFormat/>
    <w:uiPriority w:val="0"/>
  </w:style>
  <w:style w:type="character" w:customStyle="1" w:styleId="155">
    <w:name w:val="text"/>
    <w:basedOn w:val="47"/>
    <w:qFormat/>
    <w:uiPriority w:val="0"/>
  </w:style>
  <w:style w:type="paragraph" w:customStyle="1" w:styleId="156">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8">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9">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0">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1">
    <w:name w:val="段落正文"/>
    <w:basedOn w:val="23"/>
    <w:qFormat/>
    <w:uiPriority w:val="0"/>
    <w:pPr>
      <w:ind w:firstLine="560" w:firstLineChars="200"/>
    </w:pPr>
    <w:rPr>
      <w:sz w:val="28"/>
    </w:rPr>
  </w:style>
  <w:style w:type="character" w:customStyle="1" w:styleId="162">
    <w:name w:val="gray6"/>
    <w:basedOn w:val="47"/>
    <w:qFormat/>
    <w:uiPriority w:val="0"/>
  </w:style>
  <w:style w:type="character" w:customStyle="1" w:styleId="163">
    <w:name w:val="style9"/>
    <w:basedOn w:val="47"/>
    <w:qFormat/>
    <w:uiPriority w:val="0"/>
  </w:style>
  <w:style w:type="paragraph" w:customStyle="1" w:styleId="164">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5">
    <w:name w:val="grame"/>
    <w:basedOn w:val="47"/>
    <w:qFormat/>
    <w:uiPriority w:val="0"/>
  </w:style>
  <w:style w:type="paragraph" w:customStyle="1" w:styleId="166">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7">
    <w:name w:val="Char1"/>
    <w:basedOn w:val="1"/>
    <w:qFormat/>
    <w:uiPriority w:val="0"/>
    <w:pPr>
      <w:jc w:val="left"/>
    </w:pPr>
    <w:rPr>
      <w:rFonts w:ascii="Tahoma" w:hAnsi="Tahoma"/>
      <w:sz w:val="24"/>
      <w:szCs w:val="20"/>
    </w:rPr>
  </w:style>
  <w:style w:type="paragraph" w:customStyle="1" w:styleId="168">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2">
    <w:name w:val="font6"/>
    <w:basedOn w:val="1"/>
    <w:qFormat/>
    <w:uiPriority w:val="0"/>
    <w:pPr>
      <w:widowControl/>
      <w:spacing w:before="100" w:beforeAutospacing="1" w:after="100" w:afterAutospacing="1"/>
      <w:jc w:val="left"/>
    </w:pPr>
    <w:rPr>
      <w:kern w:val="0"/>
      <w:sz w:val="24"/>
    </w:rPr>
  </w:style>
  <w:style w:type="paragraph" w:customStyle="1" w:styleId="17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5">
    <w:name w:val="表格字"/>
    <w:basedOn w:val="1"/>
    <w:qFormat/>
    <w:uiPriority w:val="0"/>
    <w:pPr>
      <w:adjustRightInd w:val="0"/>
      <w:jc w:val="center"/>
    </w:pPr>
    <w:rPr>
      <w:rFonts w:ascii="宋体"/>
      <w:sz w:val="24"/>
      <w:szCs w:val="20"/>
    </w:rPr>
  </w:style>
  <w:style w:type="character" w:customStyle="1" w:styleId="176">
    <w:name w:val="样式 小三 加粗"/>
    <w:qFormat/>
    <w:uiPriority w:val="0"/>
    <w:rPr>
      <w:rFonts w:eastAsia="宋体"/>
      <w:b/>
      <w:bCs/>
      <w:sz w:val="32"/>
    </w:rPr>
  </w:style>
  <w:style w:type="paragraph" w:customStyle="1" w:styleId="17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9">
    <w:name w:val="Char Char Char"/>
    <w:basedOn w:val="1"/>
    <w:qFormat/>
    <w:uiPriority w:val="0"/>
    <w:rPr>
      <w:rFonts w:ascii="Tahoma" w:hAnsi="Tahoma"/>
      <w:sz w:val="24"/>
      <w:szCs w:val="20"/>
    </w:rPr>
  </w:style>
  <w:style w:type="paragraph" w:customStyle="1" w:styleId="18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1">
    <w:name w:val="info4"/>
    <w:basedOn w:val="47"/>
    <w:qFormat/>
    <w:uiPriority w:val="0"/>
  </w:style>
  <w:style w:type="paragraph" w:customStyle="1" w:styleId="182">
    <w:name w:val="缩进正文"/>
    <w:basedOn w:val="1"/>
    <w:link w:val="183"/>
    <w:qFormat/>
    <w:uiPriority w:val="0"/>
    <w:pPr>
      <w:ind w:firstLine="560" w:firstLineChars="200"/>
    </w:pPr>
    <w:rPr>
      <w:rFonts w:eastAsia="仿宋_GB2312" w:cs="宋体"/>
      <w:sz w:val="28"/>
      <w:szCs w:val="20"/>
    </w:rPr>
  </w:style>
  <w:style w:type="character" w:customStyle="1" w:styleId="183">
    <w:name w:val="缩进正文 Char"/>
    <w:link w:val="182"/>
    <w:qFormat/>
    <w:uiPriority w:val="0"/>
    <w:rPr>
      <w:rFonts w:eastAsia="仿宋_GB2312" w:cs="宋体"/>
      <w:kern w:val="2"/>
      <w:sz w:val="28"/>
      <w:lang w:val="en-US" w:eastAsia="zh-CN" w:bidi="ar-SA"/>
    </w:rPr>
  </w:style>
  <w:style w:type="paragraph" w:customStyle="1" w:styleId="184">
    <w:name w:val="列出段落1"/>
    <w:basedOn w:val="1"/>
    <w:qFormat/>
    <w:uiPriority w:val="0"/>
    <w:pPr>
      <w:ind w:firstLine="420" w:firstLineChars="200"/>
    </w:pPr>
    <w:rPr>
      <w:rFonts w:ascii="Calibri" w:hAnsi="Calibri" w:cs="Calibri"/>
      <w:szCs w:val="21"/>
    </w:rPr>
  </w:style>
  <w:style w:type="character" w:customStyle="1" w:styleId="185">
    <w:name w:val="批注文字 字符"/>
    <w:basedOn w:val="47"/>
    <w:link w:val="19"/>
    <w:qFormat/>
    <w:uiPriority w:val="0"/>
    <w:rPr>
      <w:rFonts w:ascii="宋体"/>
      <w:sz w:val="34"/>
    </w:rPr>
  </w:style>
  <w:style w:type="character" w:customStyle="1" w:styleId="186">
    <w:name w:val="批注主题 字符"/>
    <w:basedOn w:val="185"/>
    <w:link w:val="42"/>
    <w:qFormat/>
    <w:uiPriority w:val="0"/>
    <w:rPr>
      <w:rFonts w:ascii="宋体"/>
      <w:sz w:val="34"/>
    </w:rPr>
  </w:style>
  <w:style w:type="paragraph" w:customStyle="1" w:styleId="187">
    <w:name w:val="评价"/>
    <w:basedOn w:val="1"/>
    <w:qFormat/>
    <w:uiPriority w:val="0"/>
    <w:pPr>
      <w:spacing w:afterLines="20"/>
      <w:ind w:firstLine="1446" w:firstLineChars="200"/>
    </w:pPr>
    <w:rPr>
      <w:rFonts w:ascii="Calibri" w:hAnsi="Calibri"/>
      <w:sz w:val="24"/>
    </w:rPr>
  </w:style>
  <w:style w:type="paragraph" w:customStyle="1" w:styleId="1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9">
    <w:name w:val="alt-edited1"/>
    <w:qFormat/>
    <w:uiPriority w:val="0"/>
    <w:rPr>
      <w:color w:val="4D90F0"/>
    </w:rPr>
  </w:style>
  <w:style w:type="paragraph" w:customStyle="1" w:styleId="190">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1">
    <w:name w:val="文档结构图 Char1"/>
    <w:semiHidden/>
    <w:qFormat/>
    <w:uiPriority w:val="0"/>
    <w:rPr>
      <w:sz w:val="20"/>
    </w:rPr>
  </w:style>
  <w:style w:type="character" w:customStyle="1" w:styleId="192">
    <w:name w:val="文档结构图 Char"/>
    <w:semiHidden/>
    <w:qFormat/>
    <w:uiPriority w:val="0"/>
    <w:rPr>
      <w:sz w:val="20"/>
    </w:rPr>
  </w:style>
  <w:style w:type="character" w:customStyle="1" w:styleId="193">
    <w:name w:val="short_text"/>
    <w:basedOn w:val="47"/>
    <w:qFormat/>
    <w:uiPriority w:val="0"/>
    <w:rPr>
      <w:sz w:val="20"/>
    </w:rPr>
  </w:style>
  <w:style w:type="character" w:customStyle="1" w:styleId="194">
    <w:name w:val="标题 Char1"/>
    <w:qFormat/>
    <w:uiPriority w:val="0"/>
    <w:rPr>
      <w:b/>
      <w:sz w:val="20"/>
    </w:rPr>
  </w:style>
  <w:style w:type="character" w:customStyle="1" w:styleId="195">
    <w:name w:val="正文文本缩进 3 Char1"/>
    <w:semiHidden/>
    <w:qFormat/>
    <w:uiPriority w:val="0"/>
    <w:rPr>
      <w:sz w:val="20"/>
    </w:rPr>
  </w:style>
  <w:style w:type="character" w:customStyle="1" w:styleId="196">
    <w:name w:val="font21"/>
    <w:qFormat/>
    <w:uiPriority w:val="0"/>
    <w:rPr>
      <w:color w:val="FF0000"/>
      <w:sz w:val="20"/>
      <w:u w:val="none"/>
    </w:rPr>
  </w:style>
  <w:style w:type="character" w:customStyle="1" w:styleId="197">
    <w:name w:val="不明显强调1"/>
    <w:qFormat/>
    <w:uiPriority w:val="0"/>
    <w:rPr>
      <w:i/>
      <w:sz w:val="20"/>
    </w:rPr>
  </w:style>
  <w:style w:type="character" w:customStyle="1" w:styleId="198">
    <w:name w:val="font71"/>
    <w:qFormat/>
    <w:uiPriority w:val="0"/>
    <w:rPr>
      <w:sz w:val="20"/>
      <w:u w:val="none"/>
    </w:rPr>
  </w:style>
  <w:style w:type="character" w:customStyle="1" w:styleId="199">
    <w:name w:val="页眉 Char1"/>
    <w:semiHidden/>
    <w:qFormat/>
    <w:uiPriority w:val="0"/>
    <w:rPr>
      <w:sz w:val="20"/>
    </w:rPr>
  </w:style>
  <w:style w:type="character" w:customStyle="1" w:styleId="200">
    <w:name w:val="正文文本缩进 2 Char1"/>
    <w:semiHidden/>
    <w:qFormat/>
    <w:uiPriority w:val="0"/>
    <w:rPr>
      <w:sz w:val="20"/>
    </w:rPr>
  </w:style>
  <w:style w:type="character" w:customStyle="1" w:styleId="201">
    <w:name w:val="font61"/>
    <w:qFormat/>
    <w:uiPriority w:val="0"/>
    <w:rPr>
      <w:sz w:val="20"/>
      <w:u w:val="none"/>
    </w:rPr>
  </w:style>
  <w:style w:type="character" w:customStyle="1" w:styleId="202">
    <w:name w:val="纯文本 Char1"/>
    <w:semiHidden/>
    <w:qFormat/>
    <w:uiPriority w:val="0"/>
    <w:rPr>
      <w:sz w:val="20"/>
    </w:rPr>
  </w:style>
  <w:style w:type="character" w:customStyle="1" w:styleId="203">
    <w:name w:val="正文文本 3 Char1"/>
    <w:semiHidden/>
    <w:qFormat/>
    <w:uiPriority w:val="0"/>
    <w:rPr>
      <w:sz w:val="20"/>
    </w:rPr>
  </w:style>
  <w:style w:type="character" w:customStyle="1" w:styleId="204">
    <w:name w:val="正文文本缩进 Char1"/>
    <w:semiHidden/>
    <w:qFormat/>
    <w:uiPriority w:val="0"/>
    <w:rPr>
      <w:sz w:val="20"/>
    </w:rPr>
  </w:style>
  <w:style w:type="character" w:customStyle="1" w:styleId="205">
    <w:name w:val="明显参考1"/>
    <w:qFormat/>
    <w:uiPriority w:val="0"/>
    <w:rPr>
      <w:b/>
      <w:sz w:val="20"/>
    </w:rPr>
  </w:style>
  <w:style w:type="character" w:customStyle="1" w:styleId="206">
    <w:name w:val="apple-converted-space"/>
    <w:qFormat/>
    <w:uiPriority w:val="0"/>
    <w:rPr>
      <w:sz w:val="20"/>
    </w:rPr>
  </w:style>
  <w:style w:type="character" w:customStyle="1" w:styleId="207">
    <w:name w:val="书籍标题1"/>
    <w:qFormat/>
    <w:uiPriority w:val="0"/>
    <w:rPr>
      <w:b/>
      <w:i/>
      <w:sz w:val="20"/>
    </w:rPr>
  </w:style>
  <w:style w:type="character" w:customStyle="1" w:styleId="208">
    <w:name w:val="long_text"/>
    <w:qFormat/>
    <w:uiPriority w:val="0"/>
    <w:rPr>
      <w:sz w:val="20"/>
    </w:rPr>
  </w:style>
  <w:style w:type="character" w:customStyle="1" w:styleId="209">
    <w:name w:val="日期 Char1"/>
    <w:semiHidden/>
    <w:qFormat/>
    <w:uiPriority w:val="0"/>
    <w:rPr>
      <w:sz w:val="20"/>
    </w:rPr>
  </w:style>
  <w:style w:type="character" w:customStyle="1" w:styleId="210">
    <w:name w:val="批注文字 Char1"/>
    <w:semiHidden/>
    <w:qFormat/>
    <w:uiPriority w:val="0"/>
    <w:rPr>
      <w:sz w:val="20"/>
    </w:rPr>
  </w:style>
  <w:style w:type="character" w:customStyle="1" w:styleId="211">
    <w:name w:val="明显强调1"/>
    <w:qFormat/>
    <w:uiPriority w:val="0"/>
    <w:rPr>
      <w:i/>
      <w:sz w:val="20"/>
    </w:rPr>
  </w:style>
  <w:style w:type="character" w:customStyle="1" w:styleId="212">
    <w:name w:val="16"/>
    <w:qFormat/>
    <w:uiPriority w:val="0"/>
    <w:rPr>
      <w:b/>
      <w:color w:val="FF0356"/>
      <w:sz w:val="20"/>
    </w:rPr>
  </w:style>
  <w:style w:type="character" w:customStyle="1" w:styleId="213">
    <w:name w:val="批注主题 Char1"/>
    <w:semiHidden/>
    <w:qFormat/>
    <w:uiPriority w:val="0"/>
    <w:rPr>
      <w:b/>
      <w:sz w:val="20"/>
    </w:rPr>
  </w:style>
  <w:style w:type="character" w:customStyle="1" w:styleId="214">
    <w:name w:val="正文文本 2 Char1"/>
    <w:semiHidden/>
    <w:qFormat/>
    <w:uiPriority w:val="0"/>
    <w:rPr>
      <w:sz w:val="20"/>
    </w:rPr>
  </w:style>
  <w:style w:type="character" w:customStyle="1" w:styleId="215">
    <w:name w:val="font31"/>
    <w:qFormat/>
    <w:uiPriority w:val="0"/>
    <w:rPr>
      <w:color w:val="FF0000"/>
      <w:sz w:val="20"/>
      <w:u w:val="none"/>
      <w:vertAlign w:val="superscript"/>
    </w:rPr>
  </w:style>
  <w:style w:type="character" w:customStyle="1" w:styleId="216">
    <w:name w:val="不明显参考1"/>
    <w:qFormat/>
    <w:uiPriority w:val="0"/>
    <w:rPr>
      <w:sz w:val="20"/>
    </w:rPr>
  </w:style>
  <w:style w:type="character" w:customStyle="1" w:styleId="217">
    <w:name w:val="HTML 预设格式 Char1"/>
    <w:semiHidden/>
    <w:qFormat/>
    <w:uiPriority w:val="0"/>
    <w:rPr>
      <w:sz w:val="20"/>
    </w:rPr>
  </w:style>
  <w:style w:type="character" w:customStyle="1" w:styleId="218">
    <w:name w:val="font01"/>
    <w:qFormat/>
    <w:uiPriority w:val="0"/>
    <w:rPr>
      <w:color w:val="FF0000"/>
      <w:sz w:val="20"/>
      <w:u w:val="none"/>
      <w:vertAlign w:val="superscript"/>
    </w:rPr>
  </w:style>
  <w:style w:type="character" w:customStyle="1" w:styleId="219">
    <w:name w:val="页脚 Char1"/>
    <w:semiHidden/>
    <w:qFormat/>
    <w:uiPriority w:val="0"/>
    <w:rPr>
      <w:sz w:val="20"/>
    </w:rPr>
  </w:style>
  <w:style w:type="character" w:customStyle="1" w:styleId="220">
    <w:name w:val="批注框文本 Char1"/>
    <w:semiHidden/>
    <w:qFormat/>
    <w:uiPriority w:val="0"/>
    <w:rPr>
      <w:sz w:val="20"/>
    </w:rPr>
  </w:style>
  <w:style w:type="paragraph" w:customStyle="1" w:styleId="221">
    <w:name w:val="列出段落2"/>
    <w:basedOn w:val="1"/>
    <w:next w:val="222"/>
    <w:qFormat/>
    <w:uiPriority w:val="0"/>
    <w:pPr>
      <w:ind w:firstLine="420"/>
    </w:pPr>
    <w:rPr>
      <w:rFonts w:hAnsi="Calibri"/>
      <w:kern w:val="0"/>
      <w:szCs w:val="20"/>
    </w:rPr>
  </w:style>
  <w:style w:type="paragraph" w:customStyle="1" w:styleId="222">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3">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4">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6">
    <w:name w:val="xl86"/>
    <w:basedOn w:val="1"/>
    <w:next w:val="227"/>
    <w:qFormat/>
    <w:uiPriority w:val="0"/>
    <w:pPr>
      <w:widowControl/>
      <w:shd w:val="clear" w:color="000000" w:fill="FFFFFF"/>
      <w:spacing w:before="280" w:after="280"/>
      <w:jc w:val="center"/>
    </w:pPr>
    <w:rPr>
      <w:rFonts w:ascii="宋体" w:hAnsi="Calibri"/>
      <w:kern w:val="0"/>
      <w:sz w:val="20"/>
      <w:szCs w:val="20"/>
    </w:rPr>
  </w:style>
  <w:style w:type="paragraph" w:customStyle="1" w:styleId="227">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8">
    <w:name w:val="TOC Heading4"/>
    <w:next w:val="1"/>
    <w:qFormat/>
    <w:uiPriority w:val="0"/>
    <w:pPr>
      <w:wordWrap w:val="0"/>
    </w:pPr>
    <w:rPr>
      <w:rFonts w:ascii="Calibri" w:hAnsi="Calibri" w:eastAsia="宋体" w:cs="Times New Roman"/>
      <w:sz w:val="32"/>
      <w:lang w:val="en-US" w:eastAsia="zh-CN" w:bidi="ar-SA"/>
    </w:rPr>
  </w:style>
  <w:style w:type="paragraph" w:customStyle="1" w:styleId="229">
    <w:name w:val="toc 15"/>
    <w:next w:val="1"/>
    <w:qFormat/>
    <w:uiPriority w:val="0"/>
    <w:pPr>
      <w:wordWrap w:val="0"/>
      <w:jc w:val="both"/>
    </w:pPr>
    <w:rPr>
      <w:rFonts w:ascii="Calibri" w:hAnsi="Calibri" w:eastAsia="宋体" w:cs="Times New Roman"/>
      <w:sz w:val="21"/>
      <w:lang w:val="en-US" w:eastAsia="zh-CN" w:bidi="ar-SA"/>
    </w:rPr>
  </w:style>
  <w:style w:type="paragraph" w:customStyle="1" w:styleId="230">
    <w:name w:val="TOC Heading2"/>
    <w:next w:val="1"/>
    <w:qFormat/>
    <w:uiPriority w:val="0"/>
    <w:pPr>
      <w:wordWrap w:val="0"/>
    </w:pPr>
    <w:rPr>
      <w:rFonts w:ascii="Calibri" w:hAnsi="Calibri" w:eastAsia="宋体" w:cs="Times New Roman"/>
      <w:sz w:val="32"/>
      <w:lang w:val="en-US" w:eastAsia="zh-CN" w:bidi="ar-SA"/>
    </w:rPr>
  </w:style>
  <w:style w:type="paragraph" w:customStyle="1" w:styleId="231">
    <w:name w:val="TOC Heading1"/>
    <w:next w:val="1"/>
    <w:qFormat/>
    <w:uiPriority w:val="0"/>
    <w:pPr>
      <w:wordWrap w:val="0"/>
    </w:pPr>
    <w:rPr>
      <w:rFonts w:ascii="Calibri" w:hAnsi="Calibri" w:eastAsia="宋体" w:cs="Times New Roman"/>
      <w:sz w:val="32"/>
      <w:lang w:val="en-US" w:eastAsia="zh-CN" w:bidi="ar-SA"/>
    </w:rPr>
  </w:style>
  <w:style w:type="paragraph" w:customStyle="1" w:styleId="232">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3">
    <w:name w:val="font7"/>
    <w:basedOn w:val="1"/>
    <w:next w:val="234"/>
    <w:qFormat/>
    <w:uiPriority w:val="0"/>
    <w:pPr>
      <w:widowControl/>
      <w:spacing w:before="280" w:after="280"/>
    </w:pPr>
    <w:rPr>
      <w:rFonts w:ascii="Arial" w:hAnsi="Calibri"/>
      <w:kern w:val="0"/>
      <w:sz w:val="18"/>
      <w:szCs w:val="20"/>
    </w:rPr>
  </w:style>
  <w:style w:type="paragraph" w:customStyle="1" w:styleId="234">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5">
    <w:name w:val="xl113"/>
    <w:basedOn w:val="1"/>
    <w:next w:val="236"/>
    <w:qFormat/>
    <w:uiPriority w:val="0"/>
    <w:pPr>
      <w:widowControl/>
      <w:shd w:val="clear" w:color="000000" w:fill="FFFFFF"/>
      <w:spacing w:before="280" w:after="280"/>
      <w:jc w:val="center"/>
    </w:pPr>
    <w:rPr>
      <w:rFonts w:ascii="宋体" w:hAnsi="Calibri"/>
      <w:b/>
      <w:kern w:val="0"/>
      <w:sz w:val="20"/>
      <w:szCs w:val="20"/>
    </w:rPr>
  </w:style>
  <w:style w:type="paragraph" w:customStyle="1" w:styleId="236">
    <w:name w:val="TOC Heading10"/>
    <w:next w:val="1"/>
    <w:qFormat/>
    <w:uiPriority w:val="0"/>
    <w:pPr>
      <w:wordWrap w:val="0"/>
    </w:pPr>
    <w:rPr>
      <w:rFonts w:ascii="Calibri" w:hAnsi="Calibri" w:eastAsia="宋体" w:cs="Times New Roman"/>
      <w:sz w:val="32"/>
      <w:lang w:val="en-US" w:eastAsia="zh-CN" w:bidi="ar-SA"/>
    </w:rPr>
  </w:style>
  <w:style w:type="paragraph" w:customStyle="1" w:styleId="237">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8">
    <w:name w:val="xl73"/>
    <w:basedOn w:val="1"/>
    <w:next w:val="239"/>
    <w:qFormat/>
    <w:uiPriority w:val="0"/>
    <w:pPr>
      <w:widowControl/>
      <w:shd w:val="clear" w:color="000000" w:fill="FFFFFF"/>
      <w:spacing w:before="280" w:after="280"/>
      <w:jc w:val="center"/>
    </w:pPr>
    <w:rPr>
      <w:rFonts w:ascii="宋体" w:hAnsi="Calibri"/>
      <w:kern w:val="0"/>
      <w:sz w:val="20"/>
      <w:szCs w:val="20"/>
    </w:rPr>
  </w:style>
  <w:style w:type="paragraph" w:customStyle="1" w:styleId="239">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40">
    <w:name w:val="xl79"/>
    <w:basedOn w:val="1"/>
    <w:next w:val="241"/>
    <w:qFormat/>
    <w:uiPriority w:val="0"/>
    <w:pPr>
      <w:widowControl/>
      <w:shd w:val="clear" w:color="000000" w:fill="FFFFFF"/>
      <w:spacing w:before="280" w:after="280"/>
    </w:pPr>
    <w:rPr>
      <w:rFonts w:ascii="宋体" w:hAnsi="Calibri"/>
      <w:b/>
      <w:kern w:val="0"/>
      <w:sz w:val="20"/>
      <w:szCs w:val="20"/>
    </w:rPr>
  </w:style>
  <w:style w:type="paragraph" w:customStyle="1" w:styleId="241">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2">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3">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4">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5">
    <w:name w:val="xl112"/>
    <w:basedOn w:val="1"/>
    <w:next w:val="244"/>
    <w:qFormat/>
    <w:uiPriority w:val="0"/>
    <w:pPr>
      <w:widowControl/>
      <w:shd w:val="clear" w:color="000000" w:fill="FFFFFF"/>
      <w:spacing w:before="280" w:after="280"/>
      <w:jc w:val="center"/>
    </w:pPr>
    <w:rPr>
      <w:rFonts w:ascii="宋体" w:hAnsi="Calibri"/>
      <w:b/>
      <w:kern w:val="0"/>
      <w:sz w:val="20"/>
      <w:szCs w:val="20"/>
    </w:rPr>
  </w:style>
  <w:style w:type="paragraph" w:customStyle="1" w:styleId="246">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7">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9">
    <w:name w:val="xl74"/>
    <w:basedOn w:val="1"/>
    <w:next w:val="250"/>
    <w:qFormat/>
    <w:uiPriority w:val="0"/>
    <w:pPr>
      <w:widowControl/>
      <w:shd w:val="clear" w:color="000000" w:fill="FFFFFF"/>
      <w:spacing w:before="280" w:after="280"/>
    </w:pPr>
    <w:rPr>
      <w:rFonts w:ascii="宋体" w:hAnsi="Calibri"/>
      <w:kern w:val="0"/>
      <w:sz w:val="20"/>
      <w:szCs w:val="20"/>
    </w:rPr>
  </w:style>
  <w:style w:type="paragraph" w:customStyle="1" w:styleId="250">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1">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3">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4">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5">
    <w:name w:val="列出段落5"/>
    <w:basedOn w:val="1"/>
    <w:next w:val="256"/>
    <w:qFormat/>
    <w:uiPriority w:val="0"/>
    <w:pPr>
      <w:ind w:firstLine="420"/>
    </w:pPr>
    <w:rPr>
      <w:rFonts w:hAnsi="Calibri"/>
      <w:kern w:val="0"/>
      <w:szCs w:val="20"/>
    </w:rPr>
  </w:style>
  <w:style w:type="paragraph" w:customStyle="1" w:styleId="256">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7">
    <w:name w:val="xl66"/>
    <w:basedOn w:val="1"/>
    <w:next w:val="258"/>
    <w:qFormat/>
    <w:uiPriority w:val="0"/>
    <w:pPr>
      <w:widowControl/>
      <w:shd w:val="clear" w:color="000000" w:fill="FFFFFF"/>
      <w:spacing w:before="280" w:after="280"/>
    </w:pPr>
    <w:rPr>
      <w:rFonts w:ascii="宋体" w:hAnsi="Calibri"/>
      <w:kern w:val="0"/>
      <w:sz w:val="20"/>
      <w:szCs w:val="20"/>
    </w:rPr>
  </w:style>
  <w:style w:type="paragraph" w:customStyle="1" w:styleId="258">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9">
    <w:name w:val="TOC Heading3"/>
    <w:next w:val="1"/>
    <w:qFormat/>
    <w:uiPriority w:val="0"/>
    <w:pPr>
      <w:wordWrap w:val="0"/>
    </w:pPr>
    <w:rPr>
      <w:rFonts w:ascii="Calibri" w:hAnsi="Calibri" w:eastAsia="宋体" w:cs="Times New Roman"/>
      <w:sz w:val="32"/>
      <w:lang w:val="en-US" w:eastAsia="zh-CN" w:bidi="ar-SA"/>
    </w:rPr>
  </w:style>
  <w:style w:type="paragraph" w:customStyle="1" w:styleId="260">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1">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2">
    <w:name w:val="xl84"/>
    <w:basedOn w:val="1"/>
    <w:next w:val="263"/>
    <w:qFormat/>
    <w:uiPriority w:val="0"/>
    <w:pPr>
      <w:widowControl/>
      <w:shd w:val="clear" w:color="000000" w:fill="FFFFFF"/>
      <w:spacing w:before="280" w:after="280"/>
      <w:jc w:val="center"/>
    </w:pPr>
    <w:rPr>
      <w:rFonts w:ascii="宋体" w:hAnsi="Calibri"/>
      <w:kern w:val="0"/>
      <w:sz w:val="20"/>
      <w:szCs w:val="20"/>
    </w:rPr>
  </w:style>
  <w:style w:type="paragraph" w:customStyle="1" w:styleId="263">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4">
    <w:name w:val="xl81"/>
    <w:basedOn w:val="1"/>
    <w:next w:val="265"/>
    <w:qFormat/>
    <w:uiPriority w:val="0"/>
    <w:pPr>
      <w:widowControl/>
      <w:shd w:val="clear" w:color="000000" w:fill="FFFFFF"/>
      <w:spacing w:before="280" w:after="280"/>
    </w:pPr>
    <w:rPr>
      <w:rFonts w:ascii="宋体" w:hAnsi="Calibri"/>
      <w:kern w:val="0"/>
      <w:sz w:val="20"/>
      <w:szCs w:val="20"/>
    </w:rPr>
  </w:style>
  <w:style w:type="paragraph" w:customStyle="1" w:styleId="265">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6">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7">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8">
    <w:name w:val="TOC Heading12"/>
    <w:next w:val="1"/>
    <w:qFormat/>
    <w:uiPriority w:val="0"/>
    <w:pPr>
      <w:wordWrap w:val="0"/>
    </w:pPr>
    <w:rPr>
      <w:rFonts w:ascii="Calibri" w:hAnsi="Calibri" w:eastAsia="宋体" w:cs="Times New Roman"/>
      <w:sz w:val="32"/>
      <w:lang w:val="en-US" w:eastAsia="zh-CN" w:bidi="ar-SA"/>
    </w:rPr>
  </w:style>
  <w:style w:type="paragraph" w:customStyle="1" w:styleId="269">
    <w:name w:val="TOC Heading8"/>
    <w:next w:val="1"/>
    <w:qFormat/>
    <w:uiPriority w:val="0"/>
    <w:pPr>
      <w:wordWrap w:val="0"/>
    </w:pPr>
    <w:rPr>
      <w:rFonts w:ascii="Calibri" w:hAnsi="Calibri" w:eastAsia="宋体" w:cs="Times New Roman"/>
      <w:sz w:val="32"/>
      <w:lang w:val="en-US" w:eastAsia="zh-CN" w:bidi="ar-SA"/>
    </w:rPr>
  </w:style>
  <w:style w:type="paragraph" w:customStyle="1" w:styleId="270">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1">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3">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4">
    <w:name w:val="xl116"/>
    <w:basedOn w:val="1"/>
    <w:next w:val="275"/>
    <w:qFormat/>
    <w:uiPriority w:val="0"/>
    <w:pPr>
      <w:widowControl/>
      <w:shd w:val="clear" w:color="000000" w:fill="FFFFFF"/>
      <w:spacing w:before="280" w:after="280"/>
      <w:jc w:val="center"/>
    </w:pPr>
    <w:rPr>
      <w:rFonts w:ascii="Arial Narrow" w:hAnsi="Calibri"/>
      <w:kern w:val="0"/>
      <w:sz w:val="20"/>
      <w:szCs w:val="20"/>
    </w:rPr>
  </w:style>
  <w:style w:type="paragraph" w:customStyle="1" w:styleId="275">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6">
    <w:name w:val="font8"/>
    <w:basedOn w:val="1"/>
    <w:next w:val="277"/>
    <w:qFormat/>
    <w:uiPriority w:val="0"/>
    <w:pPr>
      <w:widowControl/>
      <w:spacing w:before="280" w:after="280"/>
    </w:pPr>
    <w:rPr>
      <w:rFonts w:ascii="Arial" w:hAnsi="Calibri"/>
      <w:kern w:val="0"/>
      <w:sz w:val="20"/>
      <w:szCs w:val="20"/>
    </w:rPr>
  </w:style>
  <w:style w:type="paragraph" w:customStyle="1" w:styleId="277">
    <w:name w:val="TOC Heading11"/>
    <w:next w:val="1"/>
    <w:qFormat/>
    <w:uiPriority w:val="0"/>
    <w:pPr>
      <w:wordWrap w:val="0"/>
    </w:pPr>
    <w:rPr>
      <w:rFonts w:ascii="Calibri" w:hAnsi="Calibri" w:eastAsia="宋体" w:cs="Times New Roman"/>
      <w:sz w:val="32"/>
      <w:lang w:val="en-US" w:eastAsia="zh-CN" w:bidi="ar-SA"/>
    </w:rPr>
  </w:style>
  <w:style w:type="paragraph" w:customStyle="1" w:styleId="278">
    <w:name w:val="xl69"/>
    <w:basedOn w:val="1"/>
    <w:next w:val="279"/>
    <w:qFormat/>
    <w:uiPriority w:val="0"/>
    <w:pPr>
      <w:widowControl/>
      <w:shd w:val="clear" w:color="000000" w:fill="FFFFFF"/>
      <w:spacing w:before="280" w:after="280"/>
    </w:pPr>
    <w:rPr>
      <w:rFonts w:ascii="宋体" w:hAnsi="Calibri"/>
      <w:b/>
      <w:kern w:val="0"/>
      <w:sz w:val="20"/>
      <w:szCs w:val="20"/>
    </w:rPr>
  </w:style>
  <w:style w:type="paragraph" w:customStyle="1" w:styleId="279">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80">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1">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2">
    <w:name w:val="列出段落3"/>
    <w:basedOn w:val="1"/>
    <w:next w:val="283"/>
    <w:qFormat/>
    <w:uiPriority w:val="0"/>
    <w:pPr>
      <w:ind w:firstLine="420"/>
    </w:pPr>
    <w:rPr>
      <w:rFonts w:hAnsi="Calibri"/>
      <w:kern w:val="0"/>
      <w:szCs w:val="20"/>
    </w:rPr>
  </w:style>
  <w:style w:type="paragraph" w:customStyle="1" w:styleId="283">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4">
    <w:name w:val="TOC 标题1"/>
    <w:next w:val="1"/>
    <w:qFormat/>
    <w:uiPriority w:val="0"/>
    <w:pPr>
      <w:wordWrap w:val="0"/>
    </w:pPr>
    <w:rPr>
      <w:rFonts w:ascii="Calibri" w:hAnsi="Calibri" w:eastAsia="宋体" w:cs="Times New Roman"/>
      <w:sz w:val="32"/>
      <w:lang w:val="en-US" w:eastAsia="zh-CN" w:bidi="ar-SA"/>
    </w:rPr>
  </w:style>
  <w:style w:type="paragraph" w:customStyle="1" w:styleId="285">
    <w:name w:val="TOC Heading5"/>
    <w:next w:val="1"/>
    <w:qFormat/>
    <w:uiPriority w:val="0"/>
    <w:pPr>
      <w:wordWrap w:val="0"/>
    </w:pPr>
    <w:rPr>
      <w:rFonts w:ascii="Calibri" w:hAnsi="Calibri" w:eastAsia="宋体" w:cs="Times New Roman"/>
      <w:sz w:val="32"/>
      <w:lang w:val="en-US" w:eastAsia="zh-CN" w:bidi="ar-SA"/>
    </w:rPr>
  </w:style>
  <w:style w:type="paragraph" w:customStyle="1" w:styleId="286">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7">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8">
    <w:name w:val="xl115"/>
    <w:basedOn w:val="1"/>
    <w:next w:val="289"/>
    <w:qFormat/>
    <w:uiPriority w:val="0"/>
    <w:pPr>
      <w:widowControl/>
      <w:shd w:val="clear" w:color="000000" w:fill="FFFFFF"/>
      <w:spacing w:before="280" w:after="280"/>
      <w:jc w:val="center"/>
    </w:pPr>
    <w:rPr>
      <w:rFonts w:ascii="宋体" w:hAnsi="Calibri"/>
      <w:b/>
      <w:kern w:val="0"/>
      <w:sz w:val="20"/>
      <w:szCs w:val="20"/>
    </w:rPr>
  </w:style>
  <w:style w:type="paragraph" w:customStyle="1" w:styleId="289">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90">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1">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2">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3">
    <w:name w:val="xl93"/>
    <w:basedOn w:val="1"/>
    <w:next w:val="294"/>
    <w:qFormat/>
    <w:uiPriority w:val="0"/>
    <w:pPr>
      <w:widowControl/>
      <w:shd w:val="clear" w:color="000000" w:fill="FFFFFF"/>
      <w:spacing w:before="280" w:after="280"/>
      <w:jc w:val="center"/>
    </w:pPr>
    <w:rPr>
      <w:rFonts w:ascii="宋体" w:hAnsi="Calibri"/>
      <w:kern w:val="0"/>
      <w:sz w:val="20"/>
      <w:szCs w:val="20"/>
    </w:rPr>
  </w:style>
  <w:style w:type="paragraph" w:customStyle="1" w:styleId="294">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5">
    <w:name w:val="xl96"/>
    <w:basedOn w:val="1"/>
    <w:next w:val="246"/>
    <w:qFormat/>
    <w:uiPriority w:val="0"/>
    <w:pPr>
      <w:widowControl/>
      <w:shd w:val="clear" w:color="000000" w:fill="FFFFFF"/>
      <w:spacing w:before="280" w:after="280"/>
      <w:jc w:val="center"/>
    </w:pPr>
    <w:rPr>
      <w:rFonts w:ascii="宋体" w:hAnsi="Calibri"/>
      <w:kern w:val="0"/>
      <w:sz w:val="20"/>
      <w:szCs w:val="20"/>
    </w:rPr>
  </w:style>
  <w:style w:type="paragraph" w:customStyle="1" w:styleId="296">
    <w:name w:val="xl106"/>
    <w:basedOn w:val="1"/>
    <w:next w:val="280"/>
    <w:qFormat/>
    <w:uiPriority w:val="0"/>
    <w:pPr>
      <w:widowControl/>
      <w:shd w:val="clear" w:color="000000" w:fill="FFFFFF"/>
      <w:spacing w:before="280" w:after="280"/>
    </w:pPr>
    <w:rPr>
      <w:rFonts w:ascii="宋体" w:hAnsi="Calibri"/>
      <w:kern w:val="0"/>
      <w:sz w:val="20"/>
      <w:szCs w:val="20"/>
    </w:rPr>
  </w:style>
  <w:style w:type="paragraph" w:customStyle="1" w:styleId="297">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8">
    <w:name w:val="TOC Heading14"/>
    <w:next w:val="1"/>
    <w:qFormat/>
    <w:uiPriority w:val="0"/>
    <w:pPr>
      <w:wordWrap w:val="0"/>
    </w:pPr>
    <w:rPr>
      <w:rFonts w:ascii="Calibri" w:hAnsi="Calibri" w:eastAsia="宋体" w:cs="Times New Roman"/>
      <w:sz w:val="32"/>
      <w:lang w:val="en-US" w:eastAsia="zh-CN" w:bidi="ar-SA"/>
    </w:rPr>
  </w:style>
  <w:style w:type="paragraph" w:customStyle="1" w:styleId="299">
    <w:name w:val="Char Char Char Char Char Char Char1"/>
    <w:basedOn w:val="1"/>
    <w:next w:val="300"/>
    <w:qFormat/>
    <w:uiPriority w:val="0"/>
    <w:pPr>
      <w:widowControl/>
      <w:spacing w:after="160" w:line="240" w:lineRule="exact"/>
    </w:pPr>
    <w:rPr>
      <w:rFonts w:hAnsi="Calibri"/>
      <w:kern w:val="0"/>
      <w:szCs w:val="20"/>
    </w:rPr>
  </w:style>
  <w:style w:type="paragraph" w:customStyle="1" w:styleId="300">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1">
    <w:name w:val="列出段落4"/>
    <w:basedOn w:val="1"/>
    <w:next w:val="302"/>
    <w:qFormat/>
    <w:uiPriority w:val="0"/>
    <w:pPr>
      <w:ind w:firstLine="420"/>
    </w:pPr>
    <w:rPr>
      <w:rFonts w:hAnsi="Calibri"/>
      <w:kern w:val="0"/>
      <w:szCs w:val="20"/>
    </w:rPr>
  </w:style>
  <w:style w:type="paragraph" w:customStyle="1" w:styleId="302">
    <w:name w:val="TOC Heading9"/>
    <w:next w:val="1"/>
    <w:qFormat/>
    <w:uiPriority w:val="0"/>
    <w:pPr>
      <w:wordWrap w:val="0"/>
    </w:pPr>
    <w:rPr>
      <w:rFonts w:ascii="Calibri" w:hAnsi="Calibri" w:eastAsia="宋体" w:cs="Times New Roman"/>
      <w:sz w:val="32"/>
      <w:lang w:val="en-US" w:eastAsia="zh-CN" w:bidi="ar-SA"/>
    </w:rPr>
  </w:style>
  <w:style w:type="paragraph" w:customStyle="1" w:styleId="303">
    <w:name w:val="xl71"/>
    <w:basedOn w:val="1"/>
    <w:next w:val="304"/>
    <w:qFormat/>
    <w:uiPriority w:val="0"/>
    <w:pPr>
      <w:widowControl/>
      <w:shd w:val="clear" w:color="000000" w:fill="FFFFFF"/>
      <w:spacing w:before="280" w:after="280"/>
    </w:pPr>
    <w:rPr>
      <w:rFonts w:ascii="宋体" w:hAnsi="Calibri"/>
      <w:kern w:val="0"/>
      <w:sz w:val="24"/>
      <w:szCs w:val="20"/>
    </w:rPr>
  </w:style>
  <w:style w:type="paragraph" w:customStyle="1" w:styleId="304">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5">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6">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7">
    <w:name w:val="xl108"/>
    <w:basedOn w:val="1"/>
    <w:next w:val="308"/>
    <w:qFormat/>
    <w:uiPriority w:val="0"/>
    <w:pPr>
      <w:widowControl/>
      <w:shd w:val="clear" w:color="000000" w:fill="FFFFFF"/>
      <w:spacing w:before="280" w:after="280"/>
    </w:pPr>
    <w:rPr>
      <w:rFonts w:ascii="宋体" w:hAnsi="Calibri"/>
      <w:kern w:val="0"/>
      <w:sz w:val="18"/>
      <w:szCs w:val="20"/>
    </w:rPr>
  </w:style>
  <w:style w:type="paragraph" w:customStyle="1" w:styleId="308">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9">
    <w:name w:val="TOC Heading7"/>
    <w:next w:val="1"/>
    <w:qFormat/>
    <w:uiPriority w:val="0"/>
    <w:pPr>
      <w:wordWrap w:val="0"/>
    </w:pPr>
    <w:rPr>
      <w:rFonts w:ascii="Calibri" w:hAnsi="Calibri" w:eastAsia="宋体" w:cs="Times New Roman"/>
      <w:sz w:val="32"/>
      <w:lang w:val="en-US" w:eastAsia="zh-CN" w:bidi="ar-SA"/>
    </w:rPr>
  </w:style>
  <w:style w:type="character" w:customStyle="1" w:styleId="310">
    <w:name w:val="副标题 字符"/>
    <w:basedOn w:val="47"/>
    <w:link w:val="32"/>
    <w:qFormat/>
    <w:uiPriority w:val="0"/>
    <w:rPr>
      <w:rFonts w:ascii="Calibri" w:hAnsi="Calibri"/>
      <w:sz w:val="24"/>
    </w:rPr>
  </w:style>
  <w:style w:type="paragraph" w:customStyle="1" w:styleId="311">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2">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3">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4">
    <w:name w:val="列出段落6"/>
    <w:basedOn w:val="1"/>
    <w:next w:val="315"/>
    <w:qFormat/>
    <w:uiPriority w:val="0"/>
    <w:pPr>
      <w:ind w:firstLine="420"/>
    </w:pPr>
    <w:rPr>
      <w:rFonts w:hAnsi="Calibri"/>
      <w:kern w:val="0"/>
      <w:szCs w:val="20"/>
    </w:rPr>
  </w:style>
  <w:style w:type="paragraph" w:customStyle="1" w:styleId="315">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6">
    <w:name w:val="xl80"/>
    <w:basedOn w:val="1"/>
    <w:next w:val="317"/>
    <w:qFormat/>
    <w:uiPriority w:val="0"/>
    <w:pPr>
      <w:widowControl/>
      <w:shd w:val="clear" w:color="000000" w:fill="FFFFFF"/>
      <w:spacing w:before="280" w:after="280"/>
      <w:jc w:val="center"/>
    </w:pPr>
    <w:rPr>
      <w:rFonts w:ascii="宋体" w:hAnsi="Calibri"/>
      <w:b/>
      <w:kern w:val="0"/>
      <w:sz w:val="20"/>
      <w:szCs w:val="20"/>
    </w:rPr>
  </w:style>
  <w:style w:type="paragraph" w:customStyle="1" w:styleId="317">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8">
    <w:name w:val="Char Char Char Char1"/>
    <w:basedOn w:val="1"/>
    <w:next w:val="319"/>
    <w:qFormat/>
    <w:uiPriority w:val="0"/>
    <w:pPr>
      <w:widowControl/>
      <w:spacing w:after="160" w:line="240" w:lineRule="exact"/>
    </w:pPr>
    <w:rPr>
      <w:rFonts w:ascii="Verdana" w:hAnsi="Calibri" w:eastAsia="仿宋_GB2312"/>
      <w:kern w:val="0"/>
      <w:sz w:val="24"/>
      <w:szCs w:val="20"/>
    </w:rPr>
  </w:style>
  <w:style w:type="paragraph" w:customStyle="1" w:styleId="319">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20">
    <w:name w:val="xl102"/>
    <w:basedOn w:val="1"/>
    <w:next w:val="321"/>
    <w:qFormat/>
    <w:uiPriority w:val="0"/>
    <w:pPr>
      <w:widowControl/>
      <w:shd w:val="clear" w:color="000000" w:fill="FFFFFF"/>
      <w:spacing w:before="280" w:after="280"/>
      <w:jc w:val="right"/>
    </w:pPr>
    <w:rPr>
      <w:rFonts w:ascii="宋体" w:hAnsi="Calibri"/>
      <w:kern w:val="0"/>
      <w:sz w:val="20"/>
      <w:szCs w:val="20"/>
    </w:rPr>
  </w:style>
  <w:style w:type="paragraph" w:customStyle="1" w:styleId="321">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2">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3">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4">
    <w:name w:val="xl65"/>
    <w:basedOn w:val="1"/>
    <w:next w:val="225"/>
    <w:qFormat/>
    <w:uiPriority w:val="0"/>
    <w:pPr>
      <w:widowControl/>
      <w:shd w:val="clear" w:color="000000" w:fill="FFFFFF"/>
      <w:spacing w:before="280" w:after="280"/>
      <w:jc w:val="center"/>
    </w:pPr>
    <w:rPr>
      <w:rFonts w:ascii="宋体" w:hAnsi="Calibri"/>
      <w:kern w:val="0"/>
      <w:sz w:val="20"/>
      <w:szCs w:val="20"/>
    </w:rPr>
  </w:style>
  <w:style w:type="paragraph" w:customStyle="1" w:styleId="325">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6">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7">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8">
    <w:name w:val="xl75"/>
    <w:basedOn w:val="1"/>
    <w:next w:val="329"/>
    <w:qFormat/>
    <w:uiPriority w:val="0"/>
    <w:pPr>
      <w:widowControl/>
      <w:shd w:val="clear" w:color="000000" w:fill="FFFFFF"/>
      <w:spacing w:before="280" w:after="280"/>
    </w:pPr>
    <w:rPr>
      <w:rFonts w:ascii="宋体" w:hAnsi="Calibri"/>
      <w:kern w:val="0"/>
      <w:sz w:val="20"/>
      <w:szCs w:val="20"/>
    </w:rPr>
  </w:style>
  <w:style w:type="paragraph" w:customStyle="1" w:styleId="329">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30">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1">
    <w:name w:val="TOC Heading6"/>
    <w:next w:val="1"/>
    <w:qFormat/>
    <w:uiPriority w:val="0"/>
    <w:pPr>
      <w:wordWrap w:val="0"/>
    </w:pPr>
    <w:rPr>
      <w:rFonts w:ascii="Calibri" w:hAnsi="Calibri" w:eastAsia="宋体" w:cs="Times New Roman"/>
      <w:sz w:val="32"/>
      <w:lang w:val="en-US" w:eastAsia="zh-CN" w:bidi="ar-SA"/>
    </w:rPr>
  </w:style>
  <w:style w:type="paragraph" w:customStyle="1" w:styleId="332">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3">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4">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5">
    <w:name w:val="xl104"/>
    <w:basedOn w:val="1"/>
    <w:next w:val="336"/>
    <w:qFormat/>
    <w:uiPriority w:val="0"/>
    <w:pPr>
      <w:widowControl/>
      <w:shd w:val="clear" w:color="000000" w:fill="FFFFFF"/>
      <w:spacing w:before="280" w:after="280"/>
      <w:jc w:val="center"/>
    </w:pPr>
    <w:rPr>
      <w:rFonts w:ascii="宋体" w:hAnsi="Calibri"/>
      <w:kern w:val="0"/>
      <w:sz w:val="20"/>
      <w:szCs w:val="20"/>
    </w:rPr>
  </w:style>
  <w:style w:type="paragraph" w:customStyle="1" w:styleId="336">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7">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8">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9">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40">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1">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2">
    <w:name w:val="无间隔1"/>
    <w:next w:val="337"/>
    <w:qFormat/>
    <w:uiPriority w:val="0"/>
    <w:pPr>
      <w:widowControl w:val="0"/>
      <w:jc w:val="both"/>
    </w:pPr>
    <w:rPr>
      <w:rFonts w:ascii="Calibri" w:hAnsi="Calibri" w:eastAsia="宋体" w:cs="Times New Roman"/>
      <w:sz w:val="22"/>
      <w:lang w:val="en-US" w:eastAsia="zh-CN" w:bidi="ar-SA"/>
    </w:rPr>
  </w:style>
  <w:style w:type="paragraph" w:customStyle="1" w:styleId="343">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4">
    <w:name w:val="xl105"/>
    <w:basedOn w:val="1"/>
    <w:next w:val="345"/>
    <w:qFormat/>
    <w:uiPriority w:val="0"/>
    <w:pPr>
      <w:widowControl/>
      <w:shd w:val="clear" w:color="000000" w:fill="FFFFFF"/>
      <w:spacing w:before="280" w:after="280"/>
    </w:pPr>
    <w:rPr>
      <w:rFonts w:ascii="宋体" w:hAnsi="Calibri"/>
      <w:kern w:val="0"/>
      <w:sz w:val="18"/>
      <w:szCs w:val="20"/>
    </w:rPr>
  </w:style>
  <w:style w:type="paragraph" w:customStyle="1" w:styleId="345">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6">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7">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8">
    <w:name w:val="xl111"/>
    <w:basedOn w:val="1"/>
    <w:next w:val="349"/>
    <w:qFormat/>
    <w:uiPriority w:val="0"/>
    <w:pPr>
      <w:widowControl/>
      <w:shd w:val="clear" w:color="000000" w:fill="FFFFFF"/>
      <w:spacing w:before="280" w:after="280"/>
      <w:jc w:val="center"/>
    </w:pPr>
    <w:rPr>
      <w:rFonts w:ascii="宋体" w:hAnsi="Calibri"/>
      <w:b/>
      <w:kern w:val="0"/>
      <w:sz w:val="20"/>
      <w:szCs w:val="20"/>
    </w:rPr>
  </w:style>
  <w:style w:type="paragraph" w:customStyle="1" w:styleId="349">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1">
    <w:name w:val="p0"/>
    <w:basedOn w:val="1"/>
    <w:next w:val="352"/>
    <w:qFormat/>
    <w:uiPriority w:val="0"/>
    <w:pPr>
      <w:widowControl/>
      <w:spacing w:before="280" w:after="280"/>
    </w:pPr>
    <w:rPr>
      <w:rFonts w:ascii="宋体" w:hAnsi="Calibri"/>
      <w:kern w:val="0"/>
      <w:sz w:val="24"/>
      <w:szCs w:val="20"/>
    </w:rPr>
  </w:style>
  <w:style w:type="paragraph" w:customStyle="1" w:styleId="352">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3">
    <w:name w:val="列出段落11"/>
    <w:basedOn w:val="1"/>
    <w:next w:val="354"/>
    <w:qFormat/>
    <w:uiPriority w:val="0"/>
    <w:pPr>
      <w:widowControl/>
      <w:spacing w:line="360" w:lineRule="auto"/>
      <w:ind w:firstLine="420"/>
    </w:pPr>
    <w:rPr>
      <w:rFonts w:hAnsi="Calibri" w:eastAsia="微软雅黑"/>
      <w:kern w:val="0"/>
      <w:sz w:val="24"/>
      <w:szCs w:val="20"/>
    </w:rPr>
  </w:style>
  <w:style w:type="paragraph" w:customStyle="1" w:styleId="354">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5">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6">
    <w:name w:val="xl91"/>
    <w:basedOn w:val="1"/>
    <w:next w:val="253"/>
    <w:qFormat/>
    <w:uiPriority w:val="0"/>
    <w:pPr>
      <w:widowControl/>
      <w:shd w:val="clear" w:color="000000" w:fill="FFFFFF"/>
      <w:spacing w:before="280" w:after="280"/>
    </w:pPr>
    <w:rPr>
      <w:rFonts w:ascii="宋体" w:hAnsi="Calibri"/>
      <w:kern w:val="0"/>
      <w:sz w:val="20"/>
      <w:szCs w:val="20"/>
    </w:rPr>
  </w:style>
  <w:style w:type="paragraph" w:customStyle="1" w:styleId="357">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8">
    <w:name w:val="_Style 1"/>
    <w:basedOn w:val="1"/>
    <w:next w:val="359"/>
    <w:qFormat/>
    <w:uiPriority w:val="0"/>
    <w:pPr>
      <w:ind w:firstLine="420"/>
    </w:pPr>
    <w:rPr>
      <w:rFonts w:hAnsi="Calibri"/>
      <w:kern w:val="0"/>
      <w:szCs w:val="20"/>
    </w:rPr>
  </w:style>
  <w:style w:type="paragraph" w:customStyle="1" w:styleId="359">
    <w:name w:val="TOC Heading13"/>
    <w:next w:val="1"/>
    <w:qFormat/>
    <w:uiPriority w:val="0"/>
    <w:pPr>
      <w:wordWrap w:val="0"/>
    </w:pPr>
    <w:rPr>
      <w:rFonts w:ascii="Calibri" w:hAnsi="Calibri" w:eastAsia="宋体" w:cs="Times New Roman"/>
      <w:sz w:val="32"/>
      <w:lang w:val="en-US" w:eastAsia="zh-CN" w:bidi="ar-SA"/>
    </w:rPr>
  </w:style>
  <w:style w:type="paragraph" w:customStyle="1" w:styleId="360">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1">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2">
    <w:name w:val="x_msonormal"/>
    <w:basedOn w:val="1"/>
    <w:next w:val="312"/>
    <w:qFormat/>
    <w:uiPriority w:val="0"/>
    <w:pPr>
      <w:widowControl/>
      <w:spacing w:before="280" w:after="280"/>
    </w:pPr>
    <w:rPr>
      <w:rFonts w:ascii="PMingLiU" w:hAnsi="Calibri" w:eastAsia="PMingLiU"/>
      <w:kern w:val="0"/>
      <w:sz w:val="24"/>
      <w:szCs w:val="20"/>
    </w:rPr>
  </w:style>
  <w:style w:type="paragraph" w:customStyle="1" w:styleId="363">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4">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5">
    <w:name w:val="TOC Heading17"/>
    <w:next w:val="1"/>
    <w:qFormat/>
    <w:uiPriority w:val="0"/>
    <w:pPr>
      <w:wordWrap w:val="0"/>
    </w:pPr>
    <w:rPr>
      <w:rFonts w:ascii="Calibri" w:hAnsi="Calibri" w:eastAsia="宋体" w:cs="Times New Roman"/>
      <w:sz w:val="32"/>
      <w:lang w:val="en-US" w:eastAsia="zh-CN" w:bidi="ar-SA"/>
    </w:rPr>
  </w:style>
  <w:style w:type="paragraph" w:customStyle="1" w:styleId="366">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7">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8">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9">
    <w:name w:val="xl118"/>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370">
    <w:name w:val="xl83"/>
    <w:basedOn w:val="1"/>
    <w:next w:val="298"/>
    <w:qFormat/>
    <w:uiPriority w:val="0"/>
    <w:pPr>
      <w:widowControl/>
      <w:shd w:val="clear" w:color="000000" w:fill="FFFFFF"/>
      <w:spacing w:before="280" w:after="280"/>
    </w:pPr>
    <w:rPr>
      <w:rFonts w:ascii="宋体" w:hAnsi="Calibri"/>
      <w:kern w:val="0"/>
      <w:sz w:val="20"/>
      <w:szCs w:val="20"/>
    </w:rPr>
  </w:style>
  <w:style w:type="paragraph" w:customStyle="1" w:styleId="371">
    <w:name w:val="xl103"/>
    <w:basedOn w:val="1"/>
    <w:next w:val="372"/>
    <w:qFormat/>
    <w:uiPriority w:val="0"/>
    <w:pPr>
      <w:widowControl/>
      <w:shd w:val="clear" w:color="000000" w:fill="FFFFFF"/>
      <w:spacing w:before="280" w:after="280"/>
    </w:pPr>
    <w:rPr>
      <w:rFonts w:ascii="宋体" w:hAnsi="Calibri"/>
      <w:kern w:val="0"/>
      <w:sz w:val="20"/>
      <w:szCs w:val="20"/>
    </w:rPr>
  </w:style>
  <w:style w:type="paragraph" w:customStyle="1" w:styleId="372">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3">
    <w:name w:val="xl68"/>
    <w:basedOn w:val="1"/>
    <w:next w:val="374"/>
    <w:qFormat/>
    <w:uiPriority w:val="0"/>
    <w:pPr>
      <w:widowControl/>
      <w:shd w:val="clear" w:color="000000" w:fill="FFFFFF"/>
      <w:spacing w:before="280" w:after="280"/>
    </w:pPr>
    <w:rPr>
      <w:rFonts w:ascii="宋体" w:hAnsi="Calibri"/>
      <w:b/>
      <w:kern w:val="0"/>
      <w:sz w:val="20"/>
      <w:szCs w:val="20"/>
    </w:rPr>
  </w:style>
  <w:style w:type="paragraph" w:customStyle="1" w:styleId="374">
    <w:name w:val="TOC Heading16"/>
    <w:next w:val="1"/>
    <w:qFormat/>
    <w:uiPriority w:val="0"/>
    <w:pPr>
      <w:wordWrap w:val="0"/>
    </w:pPr>
    <w:rPr>
      <w:rFonts w:ascii="Calibri" w:hAnsi="Calibri" w:eastAsia="宋体" w:cs="Times New Roman"/>
      <w:sz w:val="32"/>
      <w:lang w:val="en-US" w:eastAsia="zh-CN" w:bidi="ar-SA"/>
    </w:rPr>
  </w:style>
  <w:style w:type="paragraph" w:customStyle="1" w:styleId="375">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6">
    <w:name w:val="xl94"/>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77">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8">
    <w:name w:val="xl92"/>
    <w:basedOn w:val="1"/>
    <w:next w:val="379"/>
    <w:qFormat/>
    <w:uiPriority w:val="0"/>
    <w:pPr>
      <w:widowControl/>
      <w:shd w:val="clear" w:color="000000" w:fill="FFFFFF"/>
      <w:spacing w:before="280" w:after="280"/>
    </w:pPr>
    <w:rPr>
      <w:rFonts w:ascii="宋体" w:hAnsi="Calibri"/>
      <w:kern w:val="0"/>
      <w:sz w:val="20"/>
      <w:szCs w:val="20"/>
    </w:rPr>
  </w:style>
  <w:style w:type="paragraph" w:customStyle="1" w:styleId="379">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80">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1">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2">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3">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4">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5">
    <w:name w:val="xl110"/>
    <w:basedOn w:val="1"/>
    <w:next w:val="341"/>
    <w:qFormat/>
    <w:uiPriority w:val="0"/>
    <w:pPr>
      <w:widowControl/>
      <w:shd w:val="clear" w:color="000000" w:fill="FFFFFF"/>
      <w:spacing w:before="280" w:after="280"/>
      <w:jc w:val="center"/>
    </w:pPr>
    <w:rPr>
      <w:rFonts w:ascii="宋体" w:hAnsi="Calibri"/>
      <w:kern w:val="0"/>
      <w:sz w:val="20"/>
      <w:szCs w:val="20"/>
    </w:rPr>
  </w:style>
  <w:style w:type="paragraph" w:customStyle="1" w:styleId="386">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7">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8">
    <w:name w:val="xl85"/>
    <w:basedOn w:val="1"/>
    <w:next w:val="389"/>
    <w:qFormat/>
    <w:uiPriority w:val="0"/>
    <w:pPr>
      <w:widowControl/>
      <w:shd w:val="clear" w:color="000000" w:fill="FFFFFF"/>
      <w:spacing w:before="280" w:after="280"/>
      <w:jc w:val="center"/>
    </w:pPr>
    <w:rPr>
      <w:rFonts w:ascii="宋体" w:hAnsi="Calibri"/>
      <w:kern w:val="0"/>
      <w:sz w:val="20"/>
      <w:szCs w:val="20"/>
    </w:rPr>
  </w:style>
  <w:style w:type="paragraph" w:customStyle="1" w:styleId="389">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90">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1">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2">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3">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4">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5">
    <w:name w:val="xl99"/>
    <w:basedOn w:val="1"/>
    <w:next w:val="380"/>
    <w:qFormat/>
    <w:uiPriority w:val="0"/>
    <w:pPr>
      <w:widowControl/>
      <w:shd w:val="clear" w:color="000000" w:fill="FFFFFF"/>
      <w:spacing w:before="280" w:after="280"/>
    </w:pPr>
    <w:rPr>
      <w:rFonts w:ascii="宋体" w:hAnsi="Calibri"/>
      <w:kern w:val="0"/>
      <w:sz w:val="18"/>
      <w:szCs w:val="20"/>
    </w:rPr>
  </w:style>
  <w:style w:type="paragraph" w:customStyle="1" w:styleId="396">
    <w:name w:val="xl97"/>
    <w:basedOn w:val="1"/>
    <w:next w:val="268"/>
    <w:qFormat/>
    <w:uiPriority w:val="0"/>
    <w:pPr>
      <w:widowControl/>
      <w:shd w:val="clear" w:color="000000" w:fill="FFFFFF"/>
      <w:spacing w:before="280" w:after="280"/>
      <w:jc w:val="center"/>
    </w:pPr>
    <w:rPr>
      <w:rFonts w:ascii="宋体" w:hAnsi="Calibri"/>
      <w:kern w:val="0"/>
      <w:sz w:val="20"/>
      <w:szCs w:val="20"/>
    </w:rPr>
  </w:style>
  <w:style w:type="paragraph" w:customStyle="1" w:styleId="397">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8">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9">
    <w:name w:val="TOC Heading15"/>
    <w:next w:val="1"/>
    <w:qFormat/>
    <w:uiPriority w:val="0"/>
    <w:pPr>
      <w:wordWrap w:val="0"/>
    </w:pPr>
    <w:rPr>
      <w:rFonts w:ascii="Calibri" w:hAnsi="Calibri" w:eastAsia="宋体" w:cs="Times New Roman"/>
      <w:sz w:val="32"/>
      <w:lang w:val="en-US" w:eastAsia="zh-CN" w:bidi="ar-SA"/>
    </w:rPr>
  </w:style>
  <w:style w:type="paragraph" w:customStyle="1" w:styleId="400">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1">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2">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3">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4">
    <w:name w:val="xl95"/>
    <w:basedOn w:val="1"/>
    <w:next w:val="405"/>
    <w:qFormat/>
    <w:uiPriority w:val="0"/>
    <w:pPr>
      <w:widowControl/>
      <w:shd w:val="clear" w:color="000000" w:fill="FFFFFF"/>
      <w:spacing w:before="280" w:after="280"/>
    </w:pPr>
    <w:rPr>
      <w:rFonts w:ascii="宋体" w:hAnsi="Calibri"/>
      <w:kern w:val="0"/>
      <w:sz w:val="20"/>
      <w:szCs w:val="20"/>
    </w:rPr>
  </w:style>
  <w:style w:type="paragraph" w:customStyle="1" w:styleId="405">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6">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7">
    <w:name w:val="xl67"/>
    <w:basedOn w:val="1"/>
    <w:next w:val="408"/>
    <w:qFormat/>
    <w:uiPriority w:val="0"/>
    <w:pPr>
      <w:widowControl/>
      <w:shd w:val="clear" w:color="000000" w:fill="FFFFFF"/>
      <w:spacing w:before="280" w:after="280"/>
      <w:jc w:val="center"/>
    </w:pPr>
    <w:rPr>
      <w:rFonts w:ascii="宋体" w:hAnsi="Calibri"/>
      <w:b/>
      <w:kern w:val="0"/>
      <w:sz w:val="20"/>
      <w:szCs w:val="20"/>
    </w:rPr>
  </w:style>
  <w:style w:type="paragraph" w:customStyle="1" w:styleId="408">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9">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10">
    <w:name w:val="正文 A"/>
    <w:next w:val="327"/>
    <w:qFormat/>
    <w:uiPriority w:val="0"/>
    <w:rPr>
      <w:rFonts w:ascii="Arial" w:hAnsi="Calibri" w:eastAsia="Arial Unicode MS" w:cs="Times New Roman"/>
      <w:color w:val="000000"/>
      <w:sz w:val="21"/>
      <w:lang w:val="en-US" w:eastAsia="zh-CN" w:bidi="ar-SA"/>
    </w:rPr>
  </w:style>
  <w:style w:type="paragraph" w:customStyle="1" w:styleId="411">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2">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3">
    <w:name w:val="xl88"/>
    <w:basedOn w:val="1"/>
    <w:next w:val="399"/>
    <w:qFormat/>
    <w:uiPriority w:val="0"/>
    <w:pPr>
      <w:widowControl/>
      <w:shd w:val="clear" w:color="000000" w:fill="FFFFFF"/>
      <w:spacing w:before="280" w:after="280"/>
      <w:jc w:val="center"/>
    </w:pPr>
    <w:rPr>
      <w:rFonts w:ascii="宋体" w:hAnsi="Calibri"/>
      <w:kern w:val="0"/>
      <w:sz w:val="20"/>
      <w:szCs w:val="20"/>
    </w:rPr>
  </w:style>
  <w:style w:type="paragraph" w:customStyle="1" w:styleId="414">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5">
    <w:name w:val="xl100"/>
    <w:basedOn w:val="1"/>
    <w:next w:val="416"/>
    <w:qFormat/>
    <w:uiPriority w:val="0"/>
    <w:pPr>
      <w:widowControl/>
      <w:shd w:val="clear" w:color="000000" w:fill="FFFFFF"/>
      <w:spacing w:before="280" w:after="280"/>
    </w:pPr>
    <w:rPr>
      <w:rFonts w:ascii="宋体" w:hAnsi="Calibri"/>
      <w:kern w:val="0"/>
      <w:sz w:val="20"/>
      <w:szCs w:val="20"/>
    </w:rPr>
  </w:style>
  <w:style w:type="paragraph" w:customStyle="1" w:styleId="416">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7">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8">
    <w:name w:val="xl114"/>
    <w:basedOn w:val="1"/>
    <w:next w:val="270"/>
    <w:qFormat/>
    <w:uiPriority w:val="0"/>
    <w:pPr>
      <w:widowControl/>
      <w:shd w:val="clear" w:color="000000" w:fill="FFFFFF"/>
      <w:spacing w:before="280" w:after="280"/>
      <w:jc w:val="center"/>
    </w:pPr>
    <w:rPr>
      <w:rFonts w:ascii="宋体" w:hAnsi="Calibri"/>
      <w:b/>
      <w:kern w:val="0"/>
      <w:sz w:val="20"/>
      <w:szCs w:val="20"/>
    </w:rPr>
  </w:style>
  <w:style w:type="paragraph" w:customStyle="1" w:styleId="419">
    <w:name w:val="xl107"/>
    <w:basedOn w:val="1"/>
    <w:next w:val="420"/>
    <w:qFormat/>
    <w:uiPriority w:val="0"/>
    <w:pPr>
      <w:widowControl/>
      <w:shd w:val="clear" w:color="000000" w:fill="FFFFFF"/>
      <w:spacing w:before="280" w:after="280"/>
    </w:pPr>
    <w:rPr>
      <w:rFonts w:ascii="宋体" w:hAnsi="Calibri"/>
      <w:kern w:val="0"/>
      <w:sz w:val="20"/>
      <w:szCs w:val="20"/>
    </w:rPr>
  </w:style>
  <w:style w:type="paragraph" w:customStyle="1" w:styleId="420">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1">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2">
    <w:name w:val="xl90"/>
    <w:basedOn w:val="1"/>
    <w:next w:val="224"/>
    <w:qFormat/>
    <w:uiPriority w:val="0"/>
    <w:pPr>
      <w:widowControl/>
      <w:shd w:val="clear" w:color="000000" w:fill="FFFFFF"/>
      <w:spacing w:before="280" w:after="280"/>
    </w:pPr>
    <w:rPr>
      <w:rFonts w:ascii="宋体" w:hAnsi="Calibri"/>
      <w:kern w:val="0"/>
      <w:sz w:val="18"/>
      <w:szCs w:val="20"/>
    </w:rPr>
  </w:style>
  <w:style w:type="paragraph" w:customStyle="1" w:styleId="423">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4">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5">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6">
    <w:name w:val="xl117"/>
    <w:basedOn w:val="1"/>
    <w:next w:val="323"/>
    <w:qFormat/>
    <w:uiPriority w:val="0"/>
    <w:pPr>
      <w:widowControl/>
      <w:shd w:val="clear" w:color="000000" w:fill="FFFFFF"/>
      <w:spacing w:before="280" w:after="280"/>
      <w:jc w:val="center"/>
    </w:pPr>
    <w:rPr>
      <w:rFonts w:ascii="Arial Narrow" w:hAnsi="Calibri"/>
      <w:kern w:val="0"/>
      <w:sz w:val="24"/>
      <w:szCs w:val="20"/>
    </w:rPr>
  </w:style>
  <w:style w:type="paragraph" w:customStyle="1" w:styleId="427">
    <w:name w:val="p15"/>
    <w:basedOn w:val="1"/>
    <w:next w:val="248"/>
    <w:qFormat/>
    <w:uiPriority w:val="0"/>
    <w:pPr>
      <w:widowControl/>
      <w:ind w:firstLine="420"/>
    </w:pPr>
    <w:rPr>
      <w:rFonts w:hAnsi="Calibri"/>
      <w:kern w:val="0"/>
      <w:szCs w:val="20"/>
    </w:rPr>
  </w:style>
  <w:style w:type="paragraph" w:customStyle="1" w:styleId="428">
    <w:name w:val="xl87"/>
    <w:basedOn w:val="1"/>
    <w:next w:val="429"/>
    <w:qFormat/>
    <w:uiPriority w:val="0"/>
    <w:pPr>
      <w:widowControl/>
      <w:shd w:val="clear" w:color="000000" w:fill="FFFFFF"/>
      <w:spacing w:before="280" w:after="280"/>
    </w:pPr>
    <w:rPr>
      <w:rFonts w:ascii="Arial" w:hAnsi="Calibri"/>
      <w:kern w:val="0"/>
      <w:sz w:val="18"/>
      <w:szCs w:val="20"/>
    </w:rPr>
  </w:style>
  <w:style w:type="paragraph" w:customStyle="1" w:styleId="429">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30">
    <w:name w:val="列出段落7"/>
    <w:basedOn w:val="1"/>
    <w:next w:val="412"/>
    <w:qFormat/>
    <w:uiPriority w:val="0"/>
    <w:pPr>
      <w:ind w:firstLine="420"/>
    </w:pPr>
    <w:rPr>
      <w:rFonts w:hAnsi="Calibri"/>
      <w:kern w:val="0"/>
      <w:szCs w:val="20"/>
    </w:rPr>
  </w:style>
  <w:style w:type="paragraph" w:customStyle="1" w:styleId="431">
    <w:name w:val="xl78"/>
    <w:basedOn w:val="1"/>
    <w:next w:val="402"/>
    <w:qFormat/>
    <w:uiPriority w:val="0"/>
    <w:pPr>
      <w:widowControl/>
      <w:shd w:val="clear" w:color="000000" w:fill="FFFFFF"/>
      <w:spacing w:before="280" w:after="280"/>
    </w:pPr>
    <w:rPr>
      <w:rFonts w:ascii="宋体" w:hAnsi="Calibri"/>
      <w:b/>
      <w:kern w:val="0"/>
      <w:sz w:val="20"/>
      <w:szCs w:val="20"/>
    </w:rPr>
  </w:style>
  <w:style w:type="paragraph" w:customStyle="1" w:styleId="432">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3">
    <w:name w:val="xl89"/>
    <w:basedOn w:val="1"/>
    <w:next w:val="367"/>
    <w:qFormat/>
    <w:uiPriority w:val="0"/>
    <w:pPr>
      <w:widowControl/>
      <w:shd w:val="clear" w:color="000000" w:fill="FFFFFF"/>
      <w:spacing w:before="280" w:after="280"/>
    </w:pPr>
    <w:rPr>
      <w:rFonts w:ascii="宋体" w:hAnsi="Calibri"/>
      <w:kern w:val="0"/>
      <w:sz w:val="20"/>
      <w:szCs w:val="20"/>
    </w:rPr>
  </w:style>
  <w:style w:type="paragraph" w:customStyle="1" w:styleId="434">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5">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6">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7">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8">
    <w:name w:val="toc 16"/>
    <w:next w:val="1"/>
    <w:qFormat/>
    <w:uiPriority w:val="0"/>
    <w:pPr>
      <w:wordWrap w:val="0"/>
      <w:jc w:val="both"/>
    </w:pPr>
    <w:rPr>
      <w:rFonts w:ascii="Calibri" w:hAnsi="Calibri" w:eastAsia="宋体" w:cs="Times New Roman"/>
      <w:sz w:val="21"/>
      <w:lang w:val="en-US" w:eastAsia="zh-CN" w:bidi="ar-SA"/>
    </w:rPr>
  </w:style>
  <w:style w:type="paragraph" w:styleId="439">
    <w:name w:val="Quote"/>
    <w:next w:val="1"/>
    <w:link w:val="440"/>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40">
    <w:name w:val="引用 字符"/>
    <w:basedOn w:val="47"/>
    <w:link w:val="439"/>
    <w:qFormat/>
    <w:uiPriority w:val="0"/>
    <w:rPr>
      <w:rFonts w:ascii="Calibri" w:hAnsi="Calibri"/>
      <w:i/>
      <w:sz w:val="21"/>
    </w:rPr>
  </w:style>
  <w:style w:type="paragraph" w:customStyle="1" w:styleId="441">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2">
    <w:name w:val="xl119"/>
    <w:basedOn w:val="1"/>
    <w:next w:val="417"/>
    <w:qFormat/>
    <w:uiPriority w:val="0"/>
    <w:pPr>
      <w:widowControl/>
      <w:shd w:val="clear" w:color="000000" w:fill="FFFFFF"/>
      <w:spacing w:before="280" w:after="280"/>
      <w:jc w:val="center"/>
    </w:pPr>
    <w:rPr>
      <w:rFonts w:ascii="宋体" w:hAnsi="Calibri"/>
      <w:b/>
      <w:kern w:val="0"/>
      <w:sz w:val="20"/>
      <w:szCs w:val="20"/>
    </w:rPr>
  </w:style>
  <w:style w:type="paragraph" w:customStyle="1" w:styleId="443">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4">
    <w:name w:val="xl109"/>
    <w:basedOn w:val="1"/>
    <w:next w:val="390"/>
    <w:qFormat/>
    <w:uiPriority w:val="0"/>
    <w:pPr>
      <w:widowControl/>
      <w:shd w:val="clear" w:color="000000" w:fill="FFFFFF"/>
      <w:spacing w:before="280" w:after="280"/>
    </w:pPr>
    <w:rPr>
      <w:rFonts w:ascii="宋体" w:hAnsi="Calibri"/>
      <w:kern w:val="0"/>
      <w:sz w:val="20"/>
      <w:szCs w:val="20"/>
    </w:rPr>
  </w:style>
  <w:style w:type="paragraph" w:customStyle="1" w:styleId="445">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6">
    <w:name w:val="xl76"/>
    <w:basedOn w:val="1"/>
    <w:next w:val="398"/>
    <w:qFormat/>
    <w:uiPriority w:val="0"/>
    <w:pPr>
      <w:widowControl/>
      <w:shd w:val="clear" w:color="000000" w:fill="FFFFFF"/>
      <w:spacing w:before="280" w:after="280"/>
      <w:jc w:val="center"/>
    </w:pPr>
    <w:rPr>
      <w:rFonts w:ascii="宋体" w:hAnsi="Calibri"/>
      <w:b/>
      <w:kern w:val="0"/>
      <w:sz w:val="20"/>
      <w:szCs w:val="20"/>
    </w:rPr>
  </w:style>
  <w:style w:type="paragraph" w:customStyle="1" w:styleId="447">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8">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9">
    <w:name w:val="xl70"/>
    <w:basedOn w:val="1"/>
    <w:next w:val="375"/>
    <w:qFormat/>
    <w:uiPriority w:val="0"/>
    <w:pPr>
      <w:widowControl/>
      <w:shd w:val="clear" w:color="000000" w:fill="FFFFFF"/>
      <w:spacing w:before="280" w:after="280"/>
    </w:pPr>
    <w:rPr>
      <w:rFonts w:ascii="宋体" w:hAnsi="Calibri"/>
      <w:kern w:val="0"/>
      <w:sz w:val="20"/>
      <w:szCs w:val="20"/>
    </w:rPr>
  </w:style>
  <w:style w:type="paragraph" w:customStyle="1" w:styleId="450">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1">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2">
    <w:name w:val="xl98"/>
    <w:basedOn w:val="1"/>
    <w:next w:val="393"/>
    <w:qFormat/>
    <w:uiPriority w:val="0"/>
    <w:pPr>
      <w:widowControl/>
      <w:shd w:val="clear" w:color="000000" w:fill="FFFFFF"/>
      <w:spacing w:before="280" w:after="280"/>
      <w:jc w:val="center"/>
    </w:pPr>
    <w:rPr>
      <w:rFonts w:ascii="宋体" w:hAnsi="Calibri"/>
      <w:kern w:val="0"/>
      <w:sz w:val="20"/>
      <w:szCs w:val="20"/>
    </w:rPr>
  </w:style>
  <w:style w:type="paragraph" w:customStyle="1" w:styleId="453">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4">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5">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6">
    <w:name w:val="xl101"/>
    <w:basedOn w:val="1"/>
    <w:next w:val="424"/>
    <w:qFormat/>
    <w:uiPriority w:val="0"/>
    <w:pPr>
      <w:widowControl/>
      <w:spacing w:before="280" w:after="280"/>
    </w:pPr>
    <w:rPr>
      <w:rFonts w:ascii="宋体" w:hAnsi="Calibri"/>
      <w:kern w:val="0"/>
      <w:sz w:val="20"/>
      <w:szCs w:val="20"/>
    </w:rPr>
  </w:style>
  <w:style w:type="paragraph" w:customStyle="1" w:styleId="457">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8">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9">
    <w:name w:val="Intense Quote"/>
    <w:next w:val="1"/>
    <w:link w:val="460"/>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60">
    <w:name w:val="明显引用 字符"/>
    <w:basedOn w:val="47"/>
    <w:link w:val="459"/>
    <w:qFormat/>
    <w:uiPriority w:val="0"/>
    <w:rPr>
      <w:rFonts w:ascii="Calibri" w:hAnsi="Calibri"/>
      <w:i/>
      <w:sz w:val="21"/>
    </w:rPr>
  </w:style>
  <w:style w:type="paragraph" w:customStyle="1" w:styleId="461">
    <w:name w:val="Char Char Char Char Char Char Char"/>
    <w:basedOn w:val="1"/>
    <w:next w:val="445"/>
    <w:qFormat/>
    <w:uiPriority w:val="0"/>
    <w:pPr>
      <w:widowControl/>
      <w:spacing w:after="160" w:line="240" w:lineRule="exact"/>
    </w:pPr>
    <w:rPr>
      <w:rFonts w:hAnsi="Calibri"/>
      <w:kern w:val="0"/>
      <w:szCs w:val="20"/>
    </w:rPr>
  </w:style>
  <w:style w:type="paragraph" w:customStyle="1" w:styleId="462">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3">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4">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5">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6">
    <w:name w:val="xl64"/>
    <w:basedOn w:val="1"/>
    <w:next w:val="441"/>
    <w:qFormat/>
    <w:uiPriority w:val="0"/>
    <w:pPr>
      <w:widowControl/>
      <w:shd w:val="clear" w:color="000000" w:fill="FFFFFF"/>
      <w:spacing w:before="280" w:after="280"/>
    </w:pPr>
    <w:rPr>
      <w:rFonts w:ascii="宋体" w:hAnsi="Calibri"/>
      <w:kern w:val="0"/>
      <w:sz w:val="20"/>
      <w:szCs w:val="20"/>
    </w:rPr>
  </w:style>
  <w:style w:type="paragraph" w:customStyle="1" w:styleId="467">
    <w:name w:val="xl82"/>
    <w:basedOn w:val="1"/>
    <w:next w:val="286"/>
    <w:qFormat/>
    <w:uiPriority w:val="0"/>
    <w:pPr>
      <w:widowControl/>
      <w:shd w:val="clear" w:color="000000" w:fill="FFFFFF"/>
      <w:spacing w:before="280" w:after="280"/>
    </w:pPr>
    <w:rPr>
      <w:rFonts w:ascii="宋体" w:hAnsi="Calibri"/>
      <w:kern w:val="0"/>
      <w:sz w:val="20"/>
      <w:szCs w:val="20"/>
    </w:rPr>
  </w:style>
  <w:style w:type="paragraph" w:customStyle="1" w:styleId="468">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9">
    <w:name w:val="xl77"/>
    <w:basedOn w:val="1"/>
    <w:next w:val="434"/>
    <w:qFormat/>
    <w:uiPriority w:val="0"/>
    <w:pPr>
      <w:widowControl/>
      <w:shd w:val="clear" w:color="000000" w:fill="FFFFFF"/>
      <w:spacing w:before="280" w:after="280"/>
      <w:jc w:val="center"/>
    </w:pPr>
    <w:rPr>
      <w:rFonts w:ascii="宋体" w:hAnsi="Calibri"/>
      <w:kern w:val="0"/>
      <w:sz w:val="20"/>
      <w:szCs w:val="20"/>
    </w:rPr>
  </w:style>
  <w:style w:type="character" w:customStyle="1" w:styleId="470">
    <w:name w:val="正文缩进 Char1"/>
    <w:qFormat/>
    <w:uiPriority w:val="0"/>
    <w:rPr>
      <w:rFonts w:eastAsia="宋体"/>
      <w:kern w:val="2"/>
      <w:sz w:val="21"/>
      <w:lang w:val="en-US" w:eastAsia="zh-CN" w:bidi="ar-SA"/>
    </w:rPr>
  </w:style>
  <w:style w:type="table" w:customStyle="1" w:styleId="471">
    <w:name w:val="网格型1"/>
    <w:basedOn w:val="44"/>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2">
    <w:name w:val="表格内容"/>
    <w:basedOn w:val="1"/>
    <w:qFormat/>
    <w:uiPriority w:val="0"/>
    <w:pPr>
      <w:widowControl/>
      <w:spacing w:line="240" w:lineRule="auto"/>
      <w:ind w:firstLine="0" w:firstLineChars="0"/>
      <w:jc w:val="center"/>
      <w:textAlignment w:val="center"/>
    </w:pPr>
    <w:rPr>
      <w:rFonts w:ascii="宋体" w:hAnsi="宋体"/>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749</Words>
  <Characters>790</Characters>
  <Lines>31</Lines>
  <Paragraphs>53</Paragraphs>
  <TotalTime>51</TotalTime>
  <ScaleCrop>false</ScaleCrop>
  <LinksUpToDate>false</LinksUpToDate>
  <CharactersWithSpaces>801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2021-06-10T17:31:00Z</dcterms:created>
  <dc:creator>thsware</dc:creator>
  <cp:lastModifiedBy>yt</cp:lastModifiedBy>
  <cp:lastPrinted>2025-08-07T09:15:00Z</cp:lastPrinted>
  <dcterms:modified xsi:type="dcterms:W3CDTF">2025-08-08T10:41:27Z</dcterms:modified>
  <dc:title>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77458BBB93194487AD8AD817878A825C_13</vt:lpwstr>
  </property>
  <property fmtid="{D5CDD505-2E9C-101B-9397-08002B2CF9AE}" pid="3" name="KSOProductBuildVer">
    <vt:lpwstr>2052-11.8.2.10422</vt:lpwstr>
  </property>
  <property fmtid="{D5CDD505-2E9C-101B-9397-08002B2CF9AE}" pid="4" name="KSOTemplateDocerSaveRecord">
    <vt:lpwstr>eyJoZGlkIjoiMzg1NGFjZTk3ZTBmZjY1OTg0ZTg5MDM3NGQzMDczNzkiLCJ1c2VySWQiOiIxOTc2NjU5NjcifQ==</vt:lpwstr>
  </property>
</Properties>
</file>