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评审</w:t>
      </w:r>
      <w:r>
        <w:rPr>
          <w:rFonts w:hint="eastAsia" w:ascii="方正小标宋简体" w:hAnsi="方正小标宋简体" w:eastAsia="方正小标宋简体" w:cs="方正小标宋简体"/>
          <w:b w:val="0"/>
          <w:bCs/>
          <w:sz w:val="44"/>
          <w:szCs w:val="44"/>
          <w:lang w:eastAsia="zh-CN"/>
        </w:rPr>
        <w:t>评分规则</w:t>
      </w:r>
    </w:p>
    <w:p>
      <w:pPr>
        <w:spacing w:line="560" w:lineRule="exact"/>
        <w:ind w:firstLine="640" w:firstLineChars="200"/>
        <w:rPr>
          <w:rFonts w:hint="eastAsia" w:ascii="仿宋_GB2312" w:hAnsi="仿宋_GB2312" w:eastAsia="仿宋_GB2312" w:cs="仿宋_GB2312"/>
          <w:i w:val="0"/>
          <w:caps w:val="0"/>
          <w:color w:val="000000"/>
          <w:spacing w:val="0"/>
          <w:sz w:val="32"/>
          <w:szCs w:val="32"/>
          <w:shd w:val="clear" w:fill="FFFFFF"/>
        </w:rPr>
      </w:pPr>
    </w:p>
    <w:p>
      <w:pPr>
        <w:spacing w:line="560" w:lineRule="exact"/>
        <w:ind w:firstLine="640" w:firstLineChars="200"/>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rPr>
        <w:t>本项目采取综合评分法，由招标人</w:t>
      </w:r>
      <w:r>
        <w:rPr>
          <w:rFonts w:hint="eastAsia" w:ascii="仿宋_GB2312" w:hAnsi="仿宋_GB2312" w:eastAsia="仿宋_GB2312" w:cs="仿宋_GB2312"/>
          <w:i w:val="0"/>
          <w:caps w:val="0"/>
          <w:color w:val="000000"/>
          <w:spacing w:val="0"/>
          <w:sz w:val="32"/>
          <w:szCs w:val="32"/>
          <w:shd w:val="clear" w:fill="FFFFFF"/>
          <w:lang w:eastAsia="zh-CN"/>
        </w:rPr>
        <w:t>组建的评审</w:t>
      </w:r>
      <w:r>
        <w:rPr>
          <w:rFonts w:hint="eastAsia" w:ascii="仿宋_GB2312" w:hAnsi="仿宋_GB2312" w:eastAsia="仿宋_GB2312" w:cs="仿宋_GB2312"/>
          <w:i w:val="0"/>
          <w:caps w:val="0"/>
          <w:color w:val="000000"/>
          <w:spacing w:val="0"/>
          <w:sz w:val="32"/>
          <w:szCs w:val="32"/>
          <w:shd w:val="clear" w:fill="FFFFFF"/>
        </w:rPr>
        <w:t>小组对所有投标人资格</w:t>
      </w:r>
      <w:r>
        <w:rPr>
          <w:rFonts w:hint="eastAsia" w:ascii="仿宋_GB2312" w:hAnsi="仿宋_GB2312" w:eastAsia="仿宋_GB2312" w:cs="仿宋_GB2312"/>
          <w:i w:val="0"/>
          <w:caps w:val="0"/>
          <w:color w:val="000000"/>
          <w:spacing w:val="0"/>
          <w:sz w:val="32"/>
          <w:szCs w:val="32"/>
          <w:shd w:val="clear" w:fill="FFFFFF"/>
          <w:lang w:eastAsia="zh-CN"/>
        </w:rPr>
        <w:t>进行有效</w:t>
      </w:r>
      <w:r>
        <w:rPr>
          <w:rFonts w:hint="eastAsia" w:ascii="仿宋_GB2312" w:hAnsi="仿宋_GB2312" w:eastAsia="仿宋_GB2312" w:cs="仿宋_GB2312"/>
          <w:i w:val="0"/>
          <w:caps w:val="0"/>
          <w:color w:val="000000"/>
          <w:spacing w:val="0"/>
          <w:sz w:val="32"/>
          <w:szCs w:val="32"/>
          <w:shd w:val="clear" w:fill="FFFFFF"/>
        </w:rPr>
        <w:t>性审查，并对通过资格审查的投标人进行详细评审。</w:t>
      </w:r>
      <w:r>
        <w:rPr>
          <w:rFonts w:hint="eastAsia" w:ascii="仿宋_GB2312" w:hAnsi="仿宋_GB2312" w:eastAsia="仿宋_GB2312" w:cs="仿宋_GB2312"/>
          <w:i w:val="0"/>
          <w:caps w:val="0"/>
          <w:color w:val="000000"/>
          <w:spacing w:val="0"/>
          <w:sz w:val="32"/>
          <w:szCs w:val="32"/>
          <w:shd w:val="clear" w:fill="FFFFFF"/>
          <w:lang w:eastAsia="zh-CN"/>
        </w:rPr>
        <w:t>评审</w:t>
      </w:r>
      <w:r>
        <w:rPr>
          <w:rFonts w:hint="eastAsia" w:ascii="仿宋_GB2312" w:hAnsi="仿宋_GB2312" w:eastAsia="仿宋_GB2312" w:cs="仿宋_GB2312"/>
          <w:i w:val="0"/>
          <w:caps w:val="0"/>
          <w:color w:val="000000"/>
          <w:spacing w:val="0"/>
          <w:sz w:val="32"/>
          <w:szCs w:val="32"/>
          <w:shd w:val="clear" w:fill="FFFFFF"/>
        </w:rPr>
        <w:t>小组对满足招标文件实质性要求的投标文件，</w:t>
      </w:r>
      <w:r>
        <w:rPr>
          <w:rFonts w:hint="eastAsia" w:ascii="仿宋_GB2312" w:hAnsi="仿宋_GB2312" w:eastAsia="仿宋_GB2312" w:cs="仿宋_GB2312"/>
          <w:i w:val="0"/>
          <w:caps w:val="0"/>
          <w:color w:val="000000"/>
          <w:spacing w:val="0"/>
          <w:sz w:val="32"/>
          <w:szCs w:val="32"/>
          <w:shd w:val="clear" w:fill="FFFFFF"/>
          <w:lang w:eastAsia="zh-CN"/>
        </w:rPr>
        <w:t>从价格、设备技术响应、商务响应、资质经验等</w:t>
      </w:r>
      <w:r>
        <w:rPr>
          <w:rFonts w:hint="eastAsia" w:ascii="仿宋_GB2312" w:hAnsi="仿宋_GB2312" w:eastAsia="仿宋_GB2312" w:cs="仿宋_GB2312"/>
          <w:i w:val="0"/>
          <w:caps w:val="0"/>
          <w:color w:val="000000"/>
          <w:spacing w:val="0"/>
          <w:sz w:val="32"/>
          <w:szCs w:val="32"/>
          <w:shd w:val="clear" w:fill="FFFFFF"/>
        </w:rPr>
        <w:t>方面进行评审，采取百分制，按照得分高低产生中标候选人</w:t>
      </w:r>
      <w:r>
        <w:rPr>
          <w:rFonts w:hint="eastAsia" w:ascii="仿宋_GB2312" w:hAnsi="仿宋_GB2312" w:eastAsia="仿宋_GB2312" w:cs="仿宋_GB2312"/>
          <w:i w:val="0"/>
          <w:caps w:val="0"/>
          <w:color w:val="000000"/>
          <w:spacing w:val="0"/>
          <w:sz w:val="32"/>
          <w:szCs w:val="32"/>
          <w:shd w:val="clear" w:fill="FFFFFF"/>
          <w:lang w:eastAsia="zh-CN"/>
        </w:rPr>
        <w:t>。</w:t>
      </w:r>
    </w:p>
    <w:p>
      <w:pPr>
        <w:spacing w:line="560" w:lineRule="exact"/>
        <w:ind w:firstLine="640" w:firstLineChars="200"/>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rPr>
        <w:t>综合评分法中的价格分统一采用低价优先法计算,即满足采购文件要求且投标价格最低的投标报价为评标基准价,其价格分为满分。其他投标人的价格分统一按照下列公式计算：投标报价得分=(评标基准价/投标报价)×权重</w:t>
      </w:r>
      <w:r>
        <w:rPr>
          <w:rFonts w:hint="eastAsia" w:ascii="仿宋_GB2312" w:hAnsi="仿宋_GB2312" w:eastAsia="仿宋_GB2312" w:cs="仿宋_GB2312"/>
          <w:i w:val="0"/>
          <w:caps w:val="0"/>
          <w:color w:val="000000"/>
          <w:spacing w:val="0"/>
          <w:sz w:val="32"/>
          <w:szCs w:val="32"/>
          <w:shd w:val="clear" w:fill="FFFFFF"/>
          <w:lang w:eastAsia="zh-CN"/>
        </w:rPr>
        <w:t>。</w:t>
      </w:r>
    </w:p>
    <w:tbl>
      <w:tblPr>
        <w:tblStyle w:val="6"/>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02"/>
        <w:gridCol w:w="1098"/>
        <w:gridCol w:w="1141"/>
        <w:gridCol w:w="988"/>
        <w:gridCol w:w="3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序号</w:t>
            </w:r>
          </w:p>
        </w:tc>
        <w:tc>
          <w:tcPr>
            <w:tcW w:w="2362" w:type="pct"/>
            <w:gridSpan w:val="4"/>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评分项</w:t>
            </w:r>
          </w:p>
        </w:tc>
        <w:tc>
          <w:tcPr>
            <w:tcW w:w="2217"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权重</w:t>
            </w:r>
            <w:r>
              <w:rPr>
                <w:rFonts w:hint="eastAsia" w:ascii="仿宋_GB2312" w:hAnsi="仿宋_GB2312" w:eastAsia="仿宋_GB2312" w:cs="仿宋_GB2312"/>
                <w:bCs/>
                <w:color w:val="000000" w:themeColor="text1"/>
                <w:sz w:val="32"/>
                <w:szCs w:val="3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p>
        </w:tc>
        <w:tc>
          <w:tcPr>
            <w:tcW w:w="2362" w:type="pct"/>
            <w:gridSpan w:val="4"/>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价格</w:t>
            </w:r>
          </w:p>
        </w:tc>
        <w:tc>
          <w:tcPr>
            <w:tcW w:w="2217"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4579" w:type="pct"/>
            <w:gridSpan w:val="5"/>
            <w:vAlign w:val="center"/>
          </w:tcPr>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投标报价价格分=（评标基准价/投标报价）×30</w:t>
            </w:r>
          </w:p>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评标基准价为满足招标文件要求且投标价格最低的投标报价。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p>
        </w:tc>
        <w:tc>
          <w:tcPr>
            <w:tcW w:w="2362" w:type="pct"/>
            <w:gridSpan w:val="4"/>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技术</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w:t>
            </w:r>
          </w:p>
        </w:tc>
        <w:tc>
          <w:tcPr>
            <w:tcW w:w="2217" w:type="pct"/>
            <w:vAlign w:val="center"/>
          </w:tcPr>
          <w:p>
            <w:pPr>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restar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422"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序号</w:t>
            </w:r>
          </w:p>
        </w:tc>
        <w:tc>
          <w:tcPr>
            <w:tcW w:w="66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评分因素</w:t>
            </w:r>
          </w:p>
        </w:tc>
        <w:tc>
          <w:tcPr>
            <w:tcW w:w="686"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权重</w:t>
            </w:r>
          </w:p>
        </w:tc>
        <w:tc>
          <w:tcPr>
            <w:tcW w:w="594"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评分方式</w:t>
            </w:r>
          </w:p>
        </w:tc>
        <w:tc>
          <w:tcPr>
            <w:tcW w:w="2217"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vAlign w:val="center"/>
          </w:tcPr>
          <w:p>
            <w:pPr>
              <w:pageBreakBefore w:val="0"/>
              <w:kinsoku/>
              <w:wordWrap/>
              <w:overflowPunct/>
              <w:topLinePunct w:val="0"/>
              <w:autoSpaceDE/>
              <w:autoSpaceDN/>
              <w:bidi w:val="0"/>
              <w:spacing w:line="560" w:lineRule="exact"/>
              <w:jc w:val="center"/>
              <w:textAlignment w:val="auto"/>
              <w:outlineLvl w:val="2"/>
              <w:rPr>
                <w:rFonts w:hint="eastAsia" w:ascii="仿宋_GB2312" w:hAnsi="仿宋_GB2312" w:eastAsia="仿宋_GB2312" w:cs="仿宋_GB2312"/>
                <w:color w:val="000000" w:themeColor="text1"/>
                <w:sz w:val="32"/>
                <w:szCs w:val="32"/>
                <w14:textFill>
                  <w14:solidFill>
                    <w14:schemeClr w14:val="tx1"/>
                  </w14:solidFill>
                </w14:textFill>
              </w:rPr>
            </w:pPr>
          </w:p>
        </w:tc>
        <w:tc>
          <w:tcPr>
            <w:tcW w:w="422"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p>
        </w:tc>
        <w:tc>
          <w:tcPr>
            <w:tcW w:w="66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技术规格偏离情况</w:t>
            </w:r>
          </w:p>
        </w:tc>
        <w:tc>
          <w:tcPr>
            <w:tcW w:w="686" w:type="pct"/>
            <w:vAlign w:val="center"/>
          </w:tcPr>
          <w:p>
            <w:pPr>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w:t>
            </w:r>
          </w:p>
        </w:tc>
        <w:tc>
          <w:tcPr>
            <w:tcW w:w="594"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评委评分</w:t>
            </w:r>
          </w:p>
        </w:tc>
        <w:tc>
          <w:tcPr>
            <w:tcW w:w="221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 xml:space="preserve">评分内容：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评审组根据技术需求参数响应情况进行打分，各项技术参数指标及要求全部满足的得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w:t>
            </w:r>
            <w:r>
              <w:rPr>
                <w:rFonts w:hint="eastAsia" w:ascii="仿宋_GB2312" w:hAnsi="仿宋_GB2312" w:eastAsia="仿宋_GB2312" w:cs="仿宋_GB2312"/>
                <w:color w:val="000000" w:themeColor="text1"/>
                <w:sz w:val="32"/>
                <w:szCs w:val="32"/>
                <w14:textFill>
                  <w14:solidFill>
                    <w14:schemeClr w14:val="tx1"/>
                  </w14:solidFill>
                </w14:textFill>
              </w:rPr>
              <w:t>分，指标</w:t>
            </w:r>
            <w:r>
              <w:rPr>
                <w:rFonts w:hint="eastAsia" w:ascii="仿宋_GB2312" w:hAnsi="仿宋_GB2312" w:eastAsia="仿宋_GB2312" w:cs="仿宋_GB2312"/>
                <w:color w:val="000000" w:themeColor="text1"/>
                <w:sz w:val="32"/>
                <w:szCs w:val="32"/>
                <w:lang w:eastAsia="zh-CN"/>
                <w14:textFill>
                  <w14:solidFill>
                    <w14:schemeClr w14:val="tx1"/>
                  </w14:solidFill>
                </w14:textFill>
              </w:rPr>
              <w:t>中带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项目的</w:t>
            </w:r>
            <w:r>
              <w:rPr>
                <w:rFonts w:hint="eastAsia" w:ascii="仿宋_GB2312" w:hAnsi="仿宋_GB2312" w:eastAsia="仿宋_GB2312" w:cs="仿宋_GB2312"/>
                <w:color w:val="000000" w:themeColor="text1"/>
                <w:sz w:val="32"/>
                <w:szCs w:val="32"/>
                <w14:textFill>
                  <w14:solidFill>
                    <w14:schemeClr w14:val="tx1"/>
                  </w14:solidFill>
                </w14:textFill>
              </w:rPr>
              <w:t>每负偏离一项扣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分，</w:t>
            </w:r>
            <w:r>
              <w:rPr>
                <w:rFonts w:hint="eastAsia" w:ascii="仿宋_GB2312" w:hAnsi="仿宋_GB2312" w:eastAsia="仿宋_GB2312" w:cs="仿宋_GB2312"/>
                <w:color w:val="000000" w:themeColor="text1"/>
                <w:sz w:val="32"/>
                <w:szCs w:val="32"/>
                <w:lang w:eastAsia="zh-CN"/>
                <w14:textFill>
                  <w14:solidFill>
                    <w14:schemeClr w14:val="tx1"/>
                  </w14:solidFill>
                </w14:textFill>
              </w:rPr>
              <w:t>不带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项目的</w:t>
            </w:r>
            <w:r>
              <w:rPr>
                <w:rFonts w:hint="eastAsia" w:ascii="仿宋_GB2312" w:hAnsi="仿宋_GB2312" w:eastAsia="仿宋_GB2312" w:cs="仿宋_GB2312"/>
                <w:color w:val="000000" w:themeColor="text1"/>
                <w:sz w:val="32"/>
                <w:szCs w:val="32"/>
                <w14:textFill>
                  <w14:solidFill>
                    <w14:schemeClr w14:val="tx1"/>
                  </w14:solidFill>
                </w14:textFill>
              </w:rPr>
              <w:t>每负偏离一项扣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分，扣完为止。</w:t>
            </w:r>
          </w:p>
          <w:p>
            <w:pPr>
              <w:pStyle w:val="3"/>
              <w:keepNext w:val="0"/>
              <w:keepLines w:val="0"/>
              <w:pageBreakBefore w:val="0"/>
              <w:widowControl w:val="0"/>
              <w:kinsoku/>
              <w:wordWrap/>
              <w:overflowPunct/>
              <w:topLinePunct w:val="0"/>
              <w:bidi w:val="0"/>
              <w:adjustRightInd/>
              <w:snapToGrid/>
              <w:spacing w:line="360" w:lineRule="exact"/>
              <w:ind w:left="0" w:leftChars="0" w:firstLine="0" w:firstLineChars="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（二）评分依据：</w:t>
            </w:r>
          </w:p>
          <w:p>
            <w:pPr>
              <w:pStyle w:val="3"/>
              <w:keepNext w:val="0"/>
              <w:keepLines w:val="0"/>
              <w:pageBreakBefore w:val="0"/>
              <w:widowControl w:val="0"/>
              <w:kinsoku/>
              <w:wordWrap/>
              <w:overflowPunct/>
              <w:topLinePunct w:val="0"/>
              <w:bidi w:val="0"/>
              <w:adjustRightInd/>
              <w:snapToGrid/>
              <w:spacing w:line="360" w:lineRule="exact"/>
              <w:ind w:left="0" w:leftChars="0" w:firstLine="0" w:firstLineChars="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1）评定是否偏离以投标人响应及提供的检测报告等相关证明材料是否符合招标技术标准为准，没有要求提供检测报告等相关证明材料的以投标人响应为准。</w:t>
            </w:r>
          </w:p>
          <w:p>
            <w:pPr>
              <w:pStyle w:val="8"/>
              <w:keepNext w:val="0"/>
              <w:keepLines w:val="0"/>
              <w:pageBreakBefore w:val="0"/>
              <w:widowControl w:val="0"/>
              <w:kinsoku/>
              <w:wordWrap/>
              <w:overflowPunct/>
              <w:topLinePunct w:val="0"/>
              <w:bidi w:val="0"/>
              <w:adjustRightInd/>
              <w:snapToGrid/>
              <w:spacing w:line="3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2）证明材料非投标人所有，需提供合法使用该文件的相关证明，否则不予认可。</w:t>
            </w:r>
          </w:p>
          <w:p>
            <w:pPr>
              <w:keepNext w:val="0"/>
              <w:keepLines w:val="0"/>
              <w:pageBreakBefore w:val="0"/>
              <w:widowControl w:val="0"/>
              <w:kinsoku/>
              <w:wordWrap/>
              <w:overflowPunct/>
              <w:topLinePunct w:val="0"/>
              <w:bidi w:val="0"/>
              <w:adjustRightInd/>
              <w:snapToGrid/>
              <w:spacing w:line="360" w:lineRule="exact"/>
              <w:textAlignment w:val="auto"/>
              <w:rPr>
                <w:rFonts w:hint="eastAsia"/>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提示：投标人的“技术要求偏离情况”必须与客观实际保持一致。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pPr>
              <w:pageBreakBefore w:val="0"/>
              <w:kinsoku/>
              <w:wordWrap/>
              <w:overflowPunct/>
              <w:topLinePunct w:val="0"/>
              <w:autoSpaceDE/>
              <w:autoSpaceDN/>
              <w:bidi w:val="0"/>
              <w:spacing w:line="560" w:lineRule="exact"/>
              <w:jc w:val="center"/>
              <w:textAlignment w:val="auto"/>
              <w:outlineLvl w:val="2"/>
              <w:rPr>
                <w:rFonts w:hint="eastAsia" w:ascii="仿宋_GB2312" w:hAnsi="仿宋_GB2312" w:eastAsia="仿宋_GB2312" w:cs="仿宋_GB2312"/>
                <w:color w:val="000000" w:themeColor="text1"/>
                <w:sz w:val="32"/>
                <w:szCs w:val="32"/>
                <w14:textFill>
                  <w14:solidFill>
                    <w14:schemeClr w14:val="tx1"/>
                  </w14:solidFill>
                </w14:textFill>
              </w:rPr>
            </w:pPr>
          </w:p>
        </w:tc>
        <w:tc>
          <w:tcPr>
            <w:tcW w:w="422" w:type="pct"/>
            <w:vAlign w:val="center"/>
          </w:tcPr>
          <w:p>
            <w:pPr>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tc>
        <w:tc>
          <w:tcPr>
            <w:tcW w:w="66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布料</w:t>
            </w:r>
            <w:r>
              <w:rPr>
                <w:rFonts w:hint="eastAsia" w:ascii="仿宋_GB2312" w:hAnsi="仿宋_GB2312" w:eastAsia="仿宋_GB2312" w:cs="仿宋_GB2312"/>
                <w:color w:val="000000" w:themeColor="text1"/>
                <w:sz w:val="32"/>
                <w:szCs w:val="32"/>
                <w14:textFill>
                  <w14:solidFill>
                    <w14:schemeClr w14:val="tx1"/>
                  </w14:solidFill>
                </w14:textFill>
              </w:rPr>
              <w:t>样品</w:t>
            </w:r>
          </w:p>
        </w:tc>
        <w:tc>
          <w:tcPr>
            <w:tcW w:w="686" w:type="pct"/>
            <w:vAlign w:val="center"/>
          </w:tcPr>
          <w:p>
            <w:pPr>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p>
        </w:tc>
        <w:tc>
          <w:tcPr>
            <w:tcW w:w="594"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评委评分</w:t>
            </w:r>
          </w:p>
        </w:tc>
        <w:tc>
          <w:tcPr>
            <w:tcW w:w="2217"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（一）评分内容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评审组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根据投标人提供的样品进行打分。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(二)评分依据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1.提供布料样品得2分，未提供不得分；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2.在此基础上，专家根据各样品质量进一步评审：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1）优：样品生产工艺很好，材料质感很好，样品整体效果很好，得4分；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2）良：样品生产工艺好，材料质感好，样品整体效果好，得3分；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3）中：样品生产工艺较好，材料质感较好，样品整体效果较好，得2分；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4）基本满足：样品生产工艺一般，材料质感一般，样品整体效果一般，得1分；</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b/>
                <w:bCs/>
                <w:color w:val="auto"/>
                <w:szCs w:val="21"/>
                <w:highlight w:val="none"/>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5）差：样品生产工艺粗劣，材料质感差，样品整体效果差，得0分。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tc>
        <w:tc>
          <w:tcPr>
            <w:tcW w:w="2362" w:type="pct"/>
            <w:gridSpan w:val="4"/>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商务</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w:t>
            </w:r>
          </w:p>
        </w:tc>
        <w:tc>
          <w:tcPr>
            <w:tcW w:w="2217"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422"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序号</w:t>
            </w:r>
          </w:p>
        </w:tc>
        <w:tc>
          <w:tcPr>
            <w:tcW w:w="66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评分因素</w:t>
            </w:r>
          </w:p>
        </w:tc>
        <w:tc>
          <w:tcPr>
            <w:tcW w:w="686"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权重</w:t>
            </w:r>
          </w:p>
        </w:tc>
        <w:tc>
          <w:tcPr>
            <w:tcW w:w="594"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评分方式</w:t>
            </w:r>
          </w:p>
        </w:tc>
        <w:tc>
          <w:tcPr>
            <w:tcW w:w="2217"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422"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p>
        </w:tc>
        <w:tc>
          <w:tcPr>
            <w:tcW w:w="66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商务偏离情况</w:t>
            </w:r>
          </w:p>
        </w:tc>
        <w:tc>
          <w:tcPr>
            <w:tcW w:w="686" w:type="pct"/>
            <w:vAlign w:val="center"/>
          </w:tcPr>
          <w:p>
            <w:pPr>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p>
        </w:tc>
        <w:tc>
          <w:tcPr>
            <w:tcW w:w="594"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评委评分</w:t>
            </w:r>
          </w:p>
        </w:tc>
        <w:tc>
          <w:tcPr>
            <w:tcW w:w="221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评审</w:t>
            </w:r>
            <w:r>
              <w:rPr>
                <w:rFonts w:hint="eastAsia" w:ascii="仿宋_GB2312" w:hAnsi="仿宋_GB2312" w:eastAsia="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商务需求</w:t>
            </w:r>
            <w:r>
              <w:rPr>
                <w:rFonts w:hint="eastAsia" w:ascii="仿宋_GB2312" w:hAnsi="仿宋_GB2312" w:eastAsia="仿宋_GB2312" w:cs="仿宋_GB2312"/>
                <w:color w:val="000000" w:themeColor="text1"/>
                <w:sz w:val="32"/>
                <w:szCs w:val="32"/>
                <w14:textFill>
                  <w14:solidFill>
                    <w14:schemeClr w14:val="tx1"/>
                  </w14:solidFill>
                </w14:textFill>
              </w:rPr>
              <w:t>响应情况进行打分，全部满足要求的得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分，每负偏离一项扣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p>
        </w:tc>
        <w:tc>
          <w:tcPr>
            <w:tcW w:w="2362" w:type="pct"/>
            <w:gridSpan w:val="4"/>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综合实力</w:t>
            </w:r>
          </w:p>
        </w:tc>
        <w:tc>
          <w:tcPr>
            <w:tcW w:w="2217" w:type="pct"/>
            <w:vAlign w:val="center"/>
          </w:tcPr>
          <w:p>
            <w:pPr>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restart"/>
            <w:vAlign w:val="center"/>
          </w:tcPr>
          <w:p>
            <w:pPr>
              <w:pageBreakBefore w:val="0"/>
              <w:kinsoku/>
              <w:wordWrap/>
              <w:overflowPunct/>
              <w:topLinePunct w:val="0"/>
              <w:autoSpaceDE/>
              <w:autoSpaceDN/>
              <w:bidi w:val="0"/>
              <w:spacing w:line="560" w:lineRule="exact"/>
              <w:jc w:val="center"/>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p>
        </w:tc>
        <w:tc>
          <w:tcPr>
            <w:tcW w:w="422"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序号</w:t>
            </w:r>
          </w:p>
        </w:tc>
        <w:tc>
          <w:tcPr>
            <w:tcW w:w="66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评分因素</w:t>
            </w:r>
          </w:p>
        </w:tc>
        <w:tc>
          <w:tcPr>
            <w:tcW w:w="686"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权重</w:t>
            </w:r>
          </w:p>
        </w:tc>
        <w:tc>
          <w:tcPr>
            <w:tcW w:w="594"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评分方式</w:t>
            </w:r>
          </w:p>
        </w:tc>
        <w:tc>
          <w:tcPr>
            <w:tcW w:w="2217"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20" w:type="pct"/>
            <w:vMerge w:val="continue"/>
            <w:vAlign w:val="center"/>
          </w:tcPr>
          <w:p>
            <w:pPr>
              <w:pageBreakBefore w:val="0"/>
              <w:kinsoku/>
              <w:wordWrap/>
              <w:overflowPunct/>
              <w:topLinePunct w:val="0"/>
              <w:autoSpaceDE/>
              <w:autoSpaceDN/>
              <w:bidi w:val="0"/>
              <w:spacing w:line="560" w:lineRule="exact"/>
              <w:jc w:val="center"/>
              <w:textAlignment w:val="auto"/>
              <w:outlineLvl w:val="2"/>
              <w:rPr>
                <w:rFonts w:hint="eastAsia" w:ascii="仿宋_GB2312" w:hAnsi="仿宋_GB2312" w:eastAsia="仿宋_GB2312" w:cs="仿宋_GB2312"/>
                <w:color w:val="000000" w:themeColor="text1"/>
                <w:sz w:val="32"/>
                <w:szCs w:val="32"/>
                <w14:textFill>
                  <w14:solidFill>
                    <w14:schemeClr w14:val="tx1"/>
                  </w14:solidFill>
                </w14:textFill>
              </w:rPr>
            </w:pPr>
          </w:p>
        </w:tc>
        <w:tc>
          <w:tcPr>
            <w:tcW w:w="422"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p>
        </w:tc>
        <w:tc>
          <w:tcPr>
            <w:tcW w:w="66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售后服务</w:t>
            </w:r>
          </w:p>
        </w:tc>
        <w:tc>
          <w:tcPr>
            <w:tcW w:w="686" w:type="pct"/>
            <w:vAlign w:val="center"/>
          </w:tcPr>
          <w:p>
            <w:pPr>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p>
        </w:tc>
        <w:tc>
          <w:tcPr>
            <w:tcW w:w="594"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评委评分</w:t>
            </w:r>
          </w:p>
        </w:tc>
        <w:tc>
          <w:tcPr>
            <w:tcW w:w="2217" w:type="pc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（一）评分内容：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根据投标人提供的售后服务方案进行评审。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售后服务方案；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售后服务保障措施。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考察以上两点内容：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1)满足以上两点得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2)满足以上任意一点得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3)未满足不得分。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在此基础上，专家根据各供应商的具体响应内容按照量化的评审因素指标进一步评审。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1）售后服务方案很全面具体，售后服务保障措施针对性很强、公司建立了很好的售后服务管理体系，得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2）售后服务方案全面具体，售后服务保障措施针对性强、公司建立了完善的售后服务管理体系，得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3）售后服务方案较全面具体，售后服务保障措施针对性较强、公司建立了较为完善的售后服务管理体系，得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4）售后服务方案基本能满足招标要求，售后服务保障措施基本能实施、公司有建立售后服务管理体系但不具体，得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5）售后服务方案不能满足招标要求，售后服务保障措施不能实施、公司没有建立售后服务管理体系，得0分。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20" w:type="pct"/>
            <w:vMerge w:val="continue"/>
            <w:vAlign w:val="center"/>
          </w:tcPr>
          <w:p>
            <w:pPr>
              <w:pageBreakBefore w:val="0"/>
              <w:kinsoku/>
              <w:wordWrap/>
              <w:overflowPunct/>
              <w:topLinePunct w:val="0"/>
              <w:autoSpaceDE/>
              <w:autoSpaceDN/>
              <w:bidi w:val="0"/>
              <w:spacing w:line="560" w:lineRule="exact"/>
              <w:jc w:val="center"/>
              <w:textAlignment w:val="auto"/>
              <w:outlineLvl w:val="2"/>
              <w:rPr>
                <w:rFonts w:hint="eastAsia" w:ascii="仿宋_GB2312" w:hAnsi="仿宋_GB2312" w:eastAsia="仿宋_GB2312" w:cs="仿宋_GB2312"/>
                <w:color w:val="000000" w:themeColor="text1"/>
                <w:sz w:val="32"/>
                <w:szCs w:val="32"/>
                <w14:textFill>
                  <w14:solidFill>
                    <w14:schemeClr w14:val="tx1"/>
                  </w14:solidFill>
                </w14:textFill>
              </w:rPr>
            </w:pPr>
          </w:p>
        </w:tc>
        <w:tc>
          <w:tcPr>
            <w:tcW w:w="422"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tc>
        <w:tc>
          <w:tcPr>
            <w:tcW w:w="660"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过往</w:t>
            </w:r>
            <w:r>
              <w:rPr>
                <w:rFonts w:hint="eastAsia" w:ascii="仿宋_GB2312" w:hAnsi="仿宋_GB2312" w:eastAsia="仿宋_GB2312" w:cs="仿宋_GB2312"/>
                <w:color w:val="000000" w:themeColor="text1"/>
                <w:sz w:val="32"/>
                <w:szCs w:val="32"/>
                <w14:textFill>
                  <w14:solidFill>
                    <w14:schemeClr w14:val="tx1"/>
                  </w14:solidFill>
                </w14:textFill>
              </w:rPr>
              <w:t>业绩</w:t>
            </w:r>
          </w:p>
        </w:tc>
        <w:tc>
          <w:tcPr>
            <w:tcW w:w="686"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p>
        </w:tc>
        <w:tc>
          <w:tcPr>
            <w:tcW w:w="594" w:type="pct"/>
            <w:vAlign w:val="center"/>
          </w:tcPr>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评委评分</w:t>
            </w:r>
          </w:p>
        </w:tc>
        <w:tc>
          <w:tcPr>
            <w:tcW w:w="2217" w:type="pct"/>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评审</w:t>
            </w:r>
            <w:r>
              <w:rPr>
                <w:rFonts w:hint="eastAsia" w:ascii="仿宋_GB2312" w:hAnsi="仿宋_GB2312" w:eastAsia="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近三年类似项目过往业绩等</w:t>
            </w:r>
            <w:r>
              <w:rPr>
                <w:rFonts w:hint="eastAsia" w:ascii="仿宋_GB2312" w:hAnsi="仿宋_GB2312" w:eastAsia="仿宋_GB2312" w:cs="仿宋_GB2312"/>
                <w:color w:val="000000" w:themeColor="text1"/>
                <w:sz w:val="32"/>
                <w:szCs w:val="32"/>
                <w14:textFill>
                  <w14:solidFill>
                    <w14:schemeClr w14:val="tx1"/>
                  </w14:solidFill>
                </w14:textFill>
              </w:rPr>
              <w:t>响应情况进行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打分，每一个类似业绩得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2分，二个及以上项目得4分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投标人须提供合同关键页或中标通知书扫描件。</w:t>
            </w:r>
            <w:bookmarkStart w:id="0" w:name="_GoBack"/>
            <w:bookmarkEnd w:id="0"/>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22CB8"/>
    <w:rsid w:val="01FE3350"/>
    <w:rsid w:val="05A2224D"/>
    <w:rsid w:val="0C2B4087"/>
    <w:rsid w:val="1427091D"/>
    <w:rsid w:val="1B7C0EA4"/>
    <w:rsid w:val="1BA767EB"/>
    <w:rsid w:val="1BF91AF2"/>
    <w:rsid w:val="1DDC7709"/>
    <w:rsid w:val="1E445E34"/>
    <w:rsid w:val="1EA416D1"/>
    <w:rsid w:val="22422E41"/>
    <w:rsid w:val="23114793"/>
    <w:rsid w:val="233F2E17"/>
    <w:rsid w:val="23700030"/>
    <w:rsid w:val="23E3256D"/>
    <w:rsid w:val="258A19A4"/>
    <w:rsid w:val="26590D78"/>
    <w:rsid w:val="277549C7"/>
    <w:rsid w:val="28395A0A"/>
    <w:rsid w:val="2CC97D88"/>
    <w:rsid w:val="324E3917"/>
    <w:rsid w:val="3474329C"/>
    <w:rsid w:val="37134E69"/>
    <w:rsid w:val="38697999"/>
    <w:rsid w:val="3ED42521"/>
    <w:rsid w:val="47515D8E"/>
    <w:rsid w:val="49C2488D"/>
    <w:rsid w:val="4AA52814"/>
    <w:rsid w:val="4DBA7991"/>
    <w:rsid w:val="4FF80240"/>
    <w:rsid w:val="501B3C78"/>
    <w:rsid w:val="536C30EB"/>
    <w:rsid w:val="568A5245"/>
    <w:rsid w:val="58920E5F"/>
    <w:rsid w:val="59AB60A8"/>
    <w:rsid w:val="5A1B2000"/>
    <w:rsid w:val="5AC94301"/>
    <w:rsid w:val="5B6231FB"/>
    <w:rsid w:val="5BAB1071"/>
    <w:rsid w:val="6270558C"/>
    <w:rsid w:val="666E2599"/>
    <w:rsid w:val="66751F24"/>
    <w:rsid w:val="67A42616"/>
    <w:rsid w:val="69A2465A"/>
    <w:rsid w:val="6F9C01A8"/>
    <w:rsid w:val="70CE181E"/>
    <w:rsid w:val="73100AD4"/>
    <w:rsid w:val="74C958A7"/>
    <w:rsid w:val="752E55CB"/>
    <w:rsid w:val="7BF839F0"/>
    <w:rsid w:val="7E73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Normal Indent"/>
    <w:basedOn w:val="1"/>
    <w:qFormat/>
    <w:uiPriority w:val="0"/>
    <w:pPr>
      <w:ind w:firstLine="420"/>
    </w:pPr>
    <w:rPr>
      <w:szCs w:val="20"/>
    </w:rPr>
  </w:style>
  <w:style w:type="paragraph" w:styleId="4">
    <w:name w:val="Body Text"/>
    <w:basedOn w:val="1"/>
    <w:next w:val="5"/>
    <w:qFormat/>
    <w:uiPriority w:val="0"/>
    <w:pPr>
      <w:spacing w:line="360" w:lineRule="auto"/>
    </w:pPr>
    <w:rPr>
      <w:b/>
      <w:bCs/>
      <w:sz w:val="24"/>
    </w:rPr>
  </w:style>
  <w:style w:type="paragraph" w:styleId="5">
    <w:name w:val="Body Text 2"/>
    <w:basedOn w:val="1"/>
    <w:qFormat/>
    <w:uiPriority w:val="0"/>
    <w:pPr>
      <w:spacing w:line="360" w:lineRule="auto"/>
    </w:pPr>
    <w:rPr>
      <w:sz w:val="24"/>
    </w:rPr>
  </w:style>
  <w:style w:type="paragraph" w:customStyle="1" w:styleId="8">
    <w:name w:val="Table Paragraph"/>
    <w:basedOn w:val="1"/>
    <w:qFormat/>
    <w:uiPriority w:val="0"/>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2025-09-24T14:56:00Z</dcterms:created>
  <dc:creator>YT</dc:creator>
  <cp:lastModifiedBy>盐田区文化馆收发文</cp:lastModifiedBy>
  <cp:lastPrinted>2025-09-25T01:48:00Z</cp:lastPrinted>
  <dcterms:modified xsi:type="dcterms:W3CDTF">2025-10-23T08:45:33Z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0ECEB538362B4340B8A824D5A4390524</vt:lpwstr>
  </property>
</Properties>
</file>