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CC76E">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0"/>
        <w:rPr>
          <w:rFonts w:hint="eastAsia" w:ascii="方正小标宋简体" w:hAnsi="方正小标宋简体" w:eastAsia="方正小标宋简体" w:cs="方正小标宋简体"/>
          <w:b w:val="0"/>
          <w:bCs w:val="0"/>
          <w:snapToGrid w:val="0"/>
          <w:color w:val="000000"/>
          <w:kern w:val="0"/>
          <w:sz w:val="44"/>
          <w:szCs w:val="44"/>
          <w:lang w:val="en-US" w:eastAsia="zh-CN"/>
        </w:rPr>
      </w:pPr>
      <w:bookmarkStart w:id="0" w:name="_Toc9954"/>
      <w:r>
        <w:rPr>
          <w:rFonts w:hint="eastAsia" w:ascii="方正小标宋简体" w:hAnsi="方正小标宋简体" w:eastAsia="方正小标宋简体" w:cs="方正小标宋简体"/>
          <w:b w:val="0"/>
          <w:bCs w:val="0"/>
          <w:snapToGrid w:val="0"/>
          <w:color w:val="000000"/>
          <w:kern w:val="0"/>
          <w:sz w:val="44"/>
          <w:szCs w:val="44"/>
          <w:lang w:val="en-US" w:eastAsia="zh-CN"/>
        </w:rPr>
        <w:t>2024年度重点项目支出</w:t>
      </w:r>
      <w:bookmarkEnd w:id="0"/>
      <w:r>
        <w:rPr>
          <w:rFonts w:hint="eastAsia" w:ascii="方正小标宋简体" w:hAnsi="方正小标宋简体" w:eastAsia="方正小标宋简体" w:cs="方正小标宋简体"/>
          <w:b w:val="0"/>
          <w:bCs w:val="0"/>
          <w:snapToGrid w:val="0"/>
          <w:color w:val="000000"/>
          <w:kern w:val="0"/>
          <w:sz w:val="44"/>
          <w:szCs w:val="44"/>
          <w:lang w:val="en-US" w:eastAsia="zh-CN"/>
        </w:rPr>
        <w:t>绩效评价报告</w:t>
      </w:r>
    </w:p>
    <w:p w14:paraId="64D9852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napToGrid w:val="0"/>
          <w:color w:val="000000"/>
          <w:kern w:val="0"/>
          <w:sz w:val="44"/>
          <w:szCs w:val="44"/>
          <w:lang w:val="en-US" w:eastAsia="zh-CN"/>
        </w:rPr>
      </w:pPr>
    </w:p>
    <w:p w14:paraId="50643458">
      <w:pPr>
        <w:adjustRightInd w:val="0"/>
        <w:snapToGrid w:val="0"/>
        <w:spacing w:line="360" w:lineRule="auto"/>
      </w:pPr>
    </w:p>
    <w:p w14:paraId="4399229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全面评估本部门2024年度信息化项目建设成效，</w:t>
      </w:r>
      <w:r>
        <w:rPr>
          <w:rFonts w:hint="eastAsia" w:ascii="仿宋_GB2312" w:hAnsi="仿宋_GB2312" w:eastAsia="仿宋_GB2312" w:cs="仿宋_GB2312"/>
          <w:sz w:val="32"/>
          <w:szCs w:val="32"/>
        </w:rPr>
        <w:t>落实预算管理和绩效管理主体责任，提高财政资源配置效率和使用效益，</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信息化类重点项目支出情况开展绩效评价。该项目为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指挥调度系统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如下：</w:t>
      </w:r>
    </w:p>
    <w:p w14:paraId="2AFA1230">
      <w:pPr>
        <w:pStyle w:val="2"/>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textAlignment w:val="auto"/>
        <w:rPr>
          <w:sz w:val="32"/>
          <w:szCs w:val="32"/>
        </w:rPr>
      </w:pPr>
      <w:bookmarkStart w:id="1" w:name="_Toc32393"/>
      <w:r>
        <w:rPr>
          <w:rFonts w:hint="eastAsia" w:ascii="黑体" w:hAnsi="黑体" w:eastAsia="黑体" w:cs="黑体"/>
          <w:spacing w:val="7"/>
          <w:sz w:val="32"/>
          <w:szCs w:val="32"/>
          <w:lang w:val="en-US" w:eastAsia="zh-CN"/>
        </w:rPr>
        <w:t>一、</w:t>
      </w:r>
      <w:r>
        <w:rPr>
          <w:rFonts w:hint="eastAsia"/>
          <w:sz w:val="32"/>
          <w:szCs w:val="32"/>
        </w:rPr>
        <w:t>项目</w:t>
      </w:r>
      <w:r>
        <w:rPr>
          <w:rFonts w:hint="eastAsia"/>
          <w:sz w:val="32"/>
          <w:szCs w:val="32"/>
          <w:lang w:val="en-US" w:eastAsia="zh-CN"/>
        </w:rPr>
        <w:t>基本</w:t>
      </w:r>
      <w:r>
        <w:rPr>
          <w:rFonts w:hint="eastAsia"/>
          <w:sz w:val="32"/>
          <w:szCs w:val="32"/>
        </w:rPr>
        <w:t>情况</w:t>
      </w:r>
      <w:bookmarkEnd w:id="1"/>
    </w:p>
    <w:p w14:paraId="70586E2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1"/>
        <w:rPr>
          <w:rFonts w:hint="eastAsia" w:ascii="Times New Roman" w:hAnsi="Times New Roman" w:eastAsia="楷体_GB2312" w:cs="Times New Roman"/>
          <w:b w:val="0"/>
          <w:bCs/>
          <w:kern w:val="2"/>
          <w:sz w:val="32"/>
          <w:szCs w:val="21"/>
          <w:lang w:val="en-US" w:eastAsia="zh-CN" w:bidi="ar-SA"/>
        </w:rPr>
      </w:pPr>
      <w:bookmarkStart w:id="2" w:name="_Toc7101"/>
      <w:r>
        <w:rPr>
          <w:rFonts w:hint="eastAsia" w:ascii="Times New Roman" w:hAnsi="Times New Roman" w:eastAsia="楷体_GB2312" w:cs="Times New Roman"/>
          <w:b w:val="0"/>
          <w:bCs/>
          <w:kern w:val="2"/>
          <w:sz w:val="32"/>
          <w:szCs w:val="21"/>
          <w:lang w:val="en-US" w:eastAsia="zh-CN" w:bidi="ar-SA"/>
        </w:rPr>
        <w:t>（一）项目</w:t>
      </w:r>
      <w:bookmarkEnd w:id="2"/>
      <w:r>
        <w:rPr>
          <w:rFonts w:hint="eastAsia" w:ascii="Times New Roman" w:hAnsi="Times New Roman" w:eastAsia="楷体_GB2312" w:cs="Times New Roman"/>
          <w:b w:val="0"/>
          <w:bCs/>
          <w:kern w:val="2"/>
          <w:sz w:val="32"/>
          <w:szCs w:val="21"/>
          <w:lang w:val="en-US" w:eastAsia="zh-CN" w:bidi="ar-SA"/>
        </w:rPr>
        <w:t>概况</w:t>
      </w:r>
    </w:p>
    <w:p w14:paraId="5757D14A">
      <w:pPr>
        <w:keepNext w:val="0"/>
        <w:keepLines w:val="0"/>
        <w:pageBreakBefore w:val="0"/>
        <w:widowControl w:val="0"/>
        <w:kinsoku w:val="0"/>
        <w:wordWrap/>
        <w:overflowPunct/>
        <w:topLinePunct/>
        <w:autoSpaceDE/>
        <w:autoSpaceDN/>
        <w:bidi w:val="0"/>
        <w:adjustRightInd w:val="0"/>
        <w:snapToGrid w:val="0"/>
        <w:spacing w:line="560" w:lineRule="exact"/>
        <w:ind w:left="0" w:right="0" w:firstLine="664"/>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深圳市消防发展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粤港澳大湾区（广东）消防救援规划（2021-2035年）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盐田区十四五规划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关于推动新时代消防救援工作高质量发展的意见》（中共广东省委办公厅广东省人民政府办公厅印发）文件的要求，</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全面贯彻落实《广东省消防工作若干规定》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广东省政府第282号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和《广东省政务服务数据管理局关于印发广东省数字政府基层应用建设试点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工作方案的通知》等文件精神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结合深圳市消防救援支队和盐田区消防救援大队实际情况，将盐田区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个消防</w:t>
      </w:r>
      <w:r>
        <w:rPr>
          <w:rFonts w:hint="eastAsia" w:ascii="仿宋_GB2312" w:hAnsi="仿宋_GB2312" w:eastAsia="仿宋_GB2312" w:cs="仿宋_GB2312"/>
          <w:sz w:val="32"/>
          <w:szCs w:val="32"/>
          <w:lang w:eastAsia="zh-Hans"/>
        </w:rPr>
        <w:t>救援</w:t>
      </w:r>
      <w:r>
        <w:rPr>
          <w:rFonts w:hint="eastAsia" w:ascii="仿宋_GB2312" w:hAnsi="仿宋_GB2312" w:eastAsia="仿宋_GB2312" w:cs="仿宋_GB2312"/>
          <w:sz w:val="32"/>
          <w:szCs w:val="32"/>
        </w:rPr>
        <w:t>站</w:t>
      </w:r>
      <w:r>
        <w:rPr>
          <w:rFonts w:hint="eastAsia" w:ascii="仿宋_GB2312" w:hAnsi="仿宋_GB2312" w:eastAsia="仿宋_GB2312" w:cs="仿宋_GB2312"/>
          <w:sz w:val="32"/>
          <w:szCs w:val="32"/>
          <w:lang w:eastAsia="zh-Hans"/>
        </w:rPr>
        <w:t>和</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Hans"/>
        </w:rPr>
        <w:t>小型消防站的三级警情联动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实现</w:t>
      </w:r>
      <w:r>
        <w:rPr>
          <w:rFonts w:hint="eastAsia" w:ascii="仿宋_GB2312" w:hAnsi="仿宋_GB2312" w:eastAsia="仿宋_GB2312" w:cs="仿宋_GB2312"/>
          <w:sz w:val="32"/>
          <w:szCs w:val="32"/>
        </w:rPr>
        <w:t>盐田区灭火救援联勤联动体系，</w:t>
      </w:r>
      <w:r>
        <w:rPr>
          <w:rFonts w:hint="eastAsia" w:ascii="仿宋_GB2312" w:hAnsi="仿宋_GB2312" w:eastAsia="仿宋_GB2312" w:cs="仿宋_GB2312"/>
          <w:sz w:val="32"/>
          <w:szCs w:val="32"/>
          <w:lang w:eastAsia="zh-Hans"/>
        </w:rPr>
        <w:t>提升支队</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eastAsia="zh-Hans"/>
        </w:rPr>
        <w:t>中队、</w:t>
      </w:r>
      <w:r>
        <w:rPr>
          <w:rFonts w:hint="eastAsia" w:ascii="仿宋_GB2312" w:hAnsi="仿宋_GB2312" w:eastAsia="仿宋_GB2312" w:cs="仿宋_GB2312"/>
          <w:sz w:val="32"/>
          <w:szCs w:val="32"/>
          <w:lang w:val="en-US" w:eastAsia="zh-CN"/>
        </w:rPr>
        <w:t>小型站</w:t>
      </w:r>
      <w:r>
        <w:rPr>
          <w:rFonts w:hint="eastAsia" w:ascii="仿宋_GB2312" w:hAnsi="仿宋_GB2312" w:eastAsia="仿宋_GB2312" w:cs="仿宋_GB2312"/>
          <w:sz w:val="32"/>
          <w:szCs w:val="32"/>
        </w:rPr>
        <w:t>实时指挥联动和救援应急指挥</w:t>
      </w:r>
      <w:r>
        <w:rPr>
          <w:rFonts w:hint="eastAsia" w:ascii="仿宋_GB2312" w:hAnsi="仿宋_GB2312" w:eastAsia="仿宋_GB2312" w:cs="仿宋_GB2312"/>
          <w:sz w:val="32"/>
          <w:szCs w:val="32"/>
          <w:lang w:eastAsia="zh-Hans"/>
        </w:rPr>
        <w:t>能力</w:t>
      </w:r>
      <w:r>
        <w:rPr>
          <w:rFonts w:hint="eastAsia" w:ascii="仿宋_GB2312" w:hAnsi="仿宋_GB2312" w:eastAsia="仿宋_GB2312" w:cs="仿宋_GB2312"/>
          <w:sz w:val="32"/>
          <w:szCs w:val="32"/>
        </w:rPr>
        <w:t>，提高火灾救援快速处置能力</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highlight w:val="none"/>
          <w:lang w:val="en-US" w:eastAsia="zh-CN"/>
        </w:rPr>
        <w:t>总概算252万元，由区财政予以保障。截至2024年12月31日共下达预算119.41万元，实际支付119.36万元，预算执行率99.96%。</w:t>
      </w:r>
    </w:p>
    <w:p w14:paraId="23AE8FA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1"/>
        <w:rPr>
          <w:rFonts w:hint="default" w:ascii="Times New Roman" w:hAnsi="Times New Roman" w:eastAsia="楷体_GB2312" w:cs="Times New Roman"/>
          <w:b w:val="0"/>
          <w:bCs/>
          <w:kern w:val="2"/>
          <w:sz w:val="32"/>
          <w:szCs w:val="21"/>
          <w:lang w:val="en-US" w:eastAsia="zh-CN" w:bidi="ar-SA"/>
        </w:rPr>
      </w:pPr>
      <w:r>
        <w:rPr>
          <w:rFonts w:hint="eastAsia" w:ascii="Times New Roman" w:hAnsi="Times New Roman" w:eastAsia="楷体_GB2312" w:cs="Times New Roman"/>
          <w:b w:val="0"/>
          <w:bCs/>
          <w:kern w:val="2"/>
          <w:sz w:val="32"/>
          <w:szCs w:val="21"/>
          <w:lang w:val="en-US" w:eastAsia="zh-CN" w:bidi="ar-SA"/>
        </w:rPr>
        <w:t>（二）项目建设详情</w:t>
      </w:r>
    </w:p>
    <w:p w14:paraId="215EC7CB">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napToGrid/>
          <w:kern w:val="2"/>
          <w:sz w:val="32"/>
          <w:szCs w:val="20"/>
          <w:lang w:val="en-US" w:eastAsia="zh-CN" w:bidi="ar-SA"/>
        </w:rPr>
        <w:t>本项目主要内容</w:t>
      </w:r>
      <w:r>
        <w:rPr>
          <w:rFonts w:hint="eastAsia" w:ascii="仿宋_GB2312" w:hAnsi="仿宋_GB2312" w:eastAsia="仿宋_GB2312" w:cs="仿宋_GB2312"/>
          <w:spacing w:val="8"/>
          <w:sz w:val="32"/>
          <w:szCs w:val="32"/>
          <w:lang w:eastAsia="zh-Hans"/>
        </w:rPr>
        <w:t>包括应用系统建设和指挥中心建设两大部分。其中应用系统包括</w:t>
      </w:r>
      <w:r>
        <w:rPr>
          <w:rFonts w:hint="eastAsia" w:ascii="仿宋_GB2312" w:hAnsi="仿宋_GB2312" w:eastAsia="仿宋_GB2312" w:cs="仿宋_GB2312"/>
          <w:spacing w:val="8"/>
          <w:sz w:val="32"/>
          <w:szCs w:val="32"/>
        </w:rPr>
        <w:t>警情调度管理子系统</w:t>
      </w:r>
      <w:r>
        <w:rPr>
          <w:rFonts w:hint="eastAsia" w:ascii="仿宋_GB2312" w:hAnsi="仿宋_GB2312" w:eastAsia="仿宋_GB2312" w:cs="仿宋_GB2312"/>
          <w:spacing w:val="8"/>
          <w:sz w:val="32"/>
          <w:szCs w:val="32"/>
          <w:lang w:eastAsia="zh-Hans"/>
        </w:rPr>
        <w:t>和</w:t>
      </w:r>
      <w:r>
        <w:rPr>
          <w:rFonts w:hint="eastAsia" w:ascii="仿宋_GB2312" w:hAnsi="仿宋_GB2312" w:eastAsia="仿宋_GB2312" w:cs="仿宋_GB2312"/>
          <w:spacing w:val="8"/>
          <w:sz w:val="32"/>
          <w:szCs w:val="32"/>
        </w:rPr>
        <w:t>可视化指挥子系统；指挥中心</w:t>
      </w:r>
      <w:r>
        <w:rPr>
          <w:rFonts w:hint="eastAsia" w:ascii="仿宋_GB2312" w:hAnsi="仿宋_GB2312" w:eastAsia="仿宋_GB2312" w:cs="仿宋_GB2312"/>
          <w:spacing w:val="8"/>
          <w:sz w:val="32"/>
          <w:szCs w:val="32"/>
          <w:lang w:eastAsia="zh-Hans"/>
        </w:rPr>
        <w:t>建设包括配套工程、配套硬件和专线租赁服务三部分</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eastAsia="zh-Hans"/>
        </w:rPr>
        <w:t>旨在为盐田消防救援大队完善现有的</w:t>
      </w:r>
      <w:r>
        <w:rPr>
          <w:rFonts w:hint="eastAsia" w:ascii="仿宋_GB2312" w:hAnsi="仿宋_GB2312" w:eastAsia="仿宋_GB2312" w:cs="仿宋_GB2312"/>
          <w:sz w:val="32"/>
          <w:szCs w:val="32"/>
          <w:lang w:eastAsia="zh-Hans"/>
        </w:rPr>
        <w:t>警情调度和救援指挥救援流程。通过应用系统和指挥中心的建设，连接大队及下辖的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Hans"/>
        </w:rPr>
        <w:t>个中队以及</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Hans"/>
        </w:rPr>
        <w:t>个</w:t>
      </w:r>
      <w:r>
        <w:rPr>
          <w:rFonts w:hint="eastAsia" w:ascii="仿宋_GB2312" w:hAnsi="仿宋_GB2312" w:eastAsia="仿宋_GB2312" w:cs="仿宋_GB2312"/>
          <w:sz w:val="32"/>
          <w:szCs w:val="32"/>
          <w:lang w:val="en-US" w:eastAsia="zh-CN"/>
        </w:rPr>
        <w:t>小型消防站</w:t>
      </w:r>
      <w:r>
        <w:rPr>
          <w:rFonts w:hint="eastAsia" w:ascii="仿宋_GB2312" w:hAnsi="仿宋_GB2312" w:eastAsia="仿宋_GB2312" w:cs="仿宋_GB2312"/>
          <w:sz w:val="32"/>
          <w:szCs w:val="32"/>
          <w:lang w:eastAsia="zh-Hans"/>
        </w:rPr>
        <w:t>的三级警情响应，消防力量的统一调派，搭建覆盖处警调派、现场指挥、事后战评全流程的多元指挥调度系统，建设高效协同的立体指挥调度体系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Hans"/>
        </w:rPr>
        <w:t>建设构建盐田区现代化智能消防管理体系，实现对人员、车辆、装备、水源等作战信息的全方位管理，充分利用救援信息与管理数据，形成一套平战结合、相辅相成的智能消防业务系统</w:t>
      </w:r>
      <w:r>
        <w:rPr>
          <w:rFonts w:hint="eastAsia" w:ascii="仿宋_GB2312" w:hAnsi="仿宋_GB2312" w:eastAsia="仿宋_GB2312" w:cs="仿宋_GB2312"/>
          <w:sz w:val="32"/>
          <w:szCs w:val="32"/>
          <w:lang w:val="en-US" w:eastAsia="zh-CN"/>
        </w:rPr>
        <w:t>。</w:t>
      </w:r>
    </w:p>
    <w:p w14:paraId="7EA4DEBC">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Times New Roman" w:eastAsia="仿宋_GB2312" w:cs="Times New Roman"/>
          <w:snapToGrid/>
          <w:kern w:val="2"/>
          <w:sz w:val="32"/>
          <w:szCs w:val="20"/>
          <w:lang w:val="en-US" w:eastAsia="zh-CN" w:bidi="ar-SA"/>
        </w:rPr>
      </w:pPr>
      <w:r>
        <w:rPr>
          <w:rFonts w:hint="eastAsia" w:ascii="仿宋_GB2312" w:hAnsi="仿宋_GB2312" w:eastAsia="仿宋_GB2312" w:cs="仿宋_GB2312"/>
          <w:sz w:val="32"/>
          <w:szCs w:val="32"/>
          <w:highlight w:val="none"/>
          <w:lang w:val="en-US" w:eastAsia="zh-CN"/>
        </w:rPr>
        <w:t>2024年度本项目主要开展以下工作：在2024年初，指挥中心项目硬件配套设施已完备，2024年8月16日，指挥中心项目按要求开展初验，并聘请第三方测评公司对系统进行功能及安全测试，初验后试运行了三个月后对系统进行了终验，2024年12月23日指挥调度系统完成终验并通过验收</w:t>
      </w:r>
      <w:r>
        <w:rPr>
          <w:rFonts w:hint="eastAsia" w:ascii="仿宋_GB2312" w:hAnsi="仿宋_GB2312" w:eastAsia="仿宋_GB2312" w:cs="仿宋_GB2312"/>
          <w:sz w:val="32"/>
          <w:szCs w:val="32"/>
          <w:lang w:val="en-US" w:eastAsia="zh-CN"/>
        </w:rPr>
        <w:t>。</w:t>
      </w:r>
    </w:p>
    <w:p w14:paraId="56C67167">
      <w:pPr>
        <w:pStyle w:val="2"/>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right="0" w:firstLine="640"/>
        <w:textAlignment w:val="auto"/>
        <w:rPr>
          <w:rFonts w:hint="eastAsia" w:ascii="黑体" w:hAnsi="黑体" w:eastAsia="黑体" w:cs="黑体"/>
          <w:spacing w:val="7"/>
          <w:sz w:val="32"/>
          <w:szCs w:val="32"/>
          <w:lang w:val="en-US" w:eastAsia="zh-CN"/>
        </w:rPr>
      </w:pPr>
      <w:r>
        <w:rPr>
          <w:rFonts w:hint="eastAsia" w:ascii="黑体" w:hAnsi="黑体" w:cs="黑体"/>
          <w:spacing w:val="7"/>
          <w:sz w:val="32"/>
          <w:szCs w:val="32"/>
          <w:lang w:val="en-US" w:eastAsia="zh-CN"/>
        </w:rPr>
        <w:t>二、</w:t>
      </w:r>
      <w:r>
        <w:rPr>
          <w:rFonts w:hint="eastAsia" w:ascii="黑体" w:hAnsi="黑体" w:eastAsia="黑体" w:cs="黑体"/>
          <w:spacing w:val="7"/>
          <w:sz w:val="32"/>
          <w:szCs w:val="32"/>
          <w:lang w:val="en-US" w:eastAsia="zh-CN"/>
        </w:rPr>
        <w:t>年度绩效目标</w:t>
      </w:r>
    </w:p>
    <w:p w14:paraId="7570F1D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1"/>
        <w:rPr>
          <w:rFonts w:hint="eastAsia" w:ascii="Times New Roman" w:hAnsi="Times New Roman" w:eastAsia="楷体_GB2312" w:cs="Times New Roman"/>
          <w:b w:val="0"/>
          <w:bCs/>
          <w:kern w:val="2"/>
          <w:sz w:val="32"/>
          <w:szCs w:val="21"/>
          <w:lang w:val="en-US" w:eastAsia="zh-Hans" w:bidi="ar-SA"/>
        </w:rPr>
      </w:pPr>
      <w:r>
        <w:rPr>
          <w:rFonts w:hint="eastAsia" w:ascii="Times New Roman" w:hAnsi="Times New Roman" w:eastAsia="楷体_GB2312" w:cs="Times New Roman"/>
          <w:b w:val="0"/>
          <w:bCs/>
          <w:kern w:val="2"/>
          <w:sz w:val="32"/>
          <w:szCs w:val="21"/>
          <w:lang w:val="en-US" w:eastAsia="zh-CN" w:bidi="ar-SA"/>
        </w:rPr>
        <w:t>（一）总体</w:t>
      </w:r>
      <w:r>
        <w:rPr>
          <w:rFonts w:hint="eastAsia" w:ascii="Times New Roman" w:hAnsi="Times New Roman" w:eastAsia="楷体_GB2312" w:cs="Times New Roman"/>
          <w:b w:val="0"/>
          <w:bCs/>
          <w:kern w:val="2"/>
          <w:sz w:val="32"/>
          <w:szCs w:val="21"/>
          <w:lang w:val="en-US" w:eastAsia="zh-Hans" w:bidi="ar-SA"/>
        </w:rPr>
        <w:t>目标</w:t>
      </w:r>
    </w:p>
    <w:p w14:paraId="7B197F70">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按照建设任务要求，完成1处指挥调度系统工程，健全消防救援大队指挥中心调度指挥模式，全面提升重大灾害事故应对处置能力。</w:t>
      </w:r>
    </w:p>
    <w:p w14:paraId="028D4B7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1"/>
        <w:rPr>
          <w:rFonts w:hint="eastAsia" w:ascii="Times New Roman" w:hAnsi="Times New Roman" w:eastAsia="楷体_GB2312" w:cs="Times New Roman"/>
          <w:b w:val="0"/>
          <w:bCs/>
          <w:kern w:val="2"/>
          <w:sz w:val="32"/>
          <w:szCs w:val="21"/>
          <w:lang w:val="en-US" w:eastAsia="zh-Hans" w:bidi="ar-SA"/>
        </w:rPr>
      </w:pPr>
      <w:r>
        <w:rPr>
          <w:rFonts w:hint="eastAsia" w:ascii="Times New Roman" w:hAnsi="Times New Roman" w:eastAsia="楷体_GB2312" w:cs="Times New Roman"/>
          <w:b w:val="0"/>
          <w:bCs/>
          <w:kern w:val="2"/>
          <w:sz w:val="32"/>
          <w:szCs w:val="21"/>
          <w:lang w:val="en-US" w:eastAsia="zh-CN" w:bidi="ar-SA"/>
        </w:rPr>
        <w:t>（二）</w:t>
      </w:r>
      <w:r>
        <w:rPr>
          <w:rFonts w:hint="eastAsia" w:ascii="Times New Roman" w:hAnsi="Times New Roman" w:eastAsia="楷体_GB2312" w:cs="Times New Roman"/>
          <w:b w:val="0"/>
          <w:bCs/>
          <w:kern w:val="2"/>
          <w:sz w:val="32"/>
          <w:szCs w:val="21"/>
          <w:lang w:val="en-US" w:eastAsia="zh-Hans" w:bidi="ar-SA"/>
        </w:rPr>
        <w:t>阶段性目标</w:t>
      </w:r>
    </w:p>
    <w:p w14:paraId="664276EB">
      <w:pPr>
        <w:keepNext w:val="0"/>
        <w:keepLines w:val="0"/>
        <w:pageBreakBefore w:val="0"/>
        <w:widowControl w:val="0"/>
        <w:kinsoku w:val="0"/>
        <w:wordWrap/>
        <w:overflowPunct/>
        <w:topLinePunct/>
        <w:autoSpaceDE/>
        <w:autoSpaceDN/>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sz w:val="32"/>
          <w:szCs w:val="32"/>
          <w:lang w:val="en-US" w:eastAsia="zh-Hans"/>
        </w:rPr>
      </w:pPr>
      <w:r>
        <w:rPr>
          <w:rFonts w:hint="eastAsia" w:ascii="仿宋_GB2312" w:hAnsi="仿宋_GB2312" w:eastAsia="仿宋_GB2312" w:cs="仿宋_GB2312"/>
          <w:sz w:val="32"/>
          <w:szCs w:val="32"/>
          <w:lang w:val="en-US" w:eastAsia="zh-Hans"/>
        </w:rPr>
        <w:t>根据绩效目标编报要求，</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eastAsia="zh-Hans"/>
        </w:rPr>
        <w:t>总体目标分解为具体的产出、效益指标，并设置对应的目标值，具体分解情况如下</w:t>
      </w:r>
      <w:r>
        <w:rPr>
          <w:rFonts w:hint="default" w:ascii="仿宋_GB2312" w:hAnsi="仿宋_GB2312" w:eastAsia="仿宋_GB2312" w:cs="仿宋_GB2312"/>
          <w:sz w:val="32"/>
          <w:szCs w:val="32"/>
          <w:lang w:val="en-US" w:eastAsia="zh-Hans"/>
        </w:rPr>
        <w:t>：</w:t>
      </w:r>
    </w:p>
    <w:p w14:paraId="450CEF22">
      <w:pPr>
        <w:keepNext w:val="0"/>
        <w:keepLines w:val="0"/>
        <w:pageBreakBefore w:val="0"/>
        <w:widowControl w:val="0"/>
        <w:wordWrap/>
        <w:overflowPunct/>
        <w:bidi w:val="0"/>
        <w:spacing w:line="560" w:lineRule="exact"/>
        <w:ind w:left="0" w:right="0" w:firstLine="560" w:firstLineChars="200"/>
        <w:jc w:val="center"/>
        <w:textAlignment w:val="baseline"/>
        <w:rPr>
          <w:rFonts w:hint="default" w:ascii="黑体" w:hAnsi="黑体" w:eastAsia="黑体" w:cs="黑体"/>
          <w:kern w:val="2"/>
          <w:sz w:val="28"/>
          <w:szCs w:val="20"/>
          <w:lang w:val="en-US" w:eastAsia="zh-CN" w:bidi="ar-SA"/>
        </w:rPr>
      </w:pPr>
      <w:r>
        <w:rPr>
          <w:rFonts w:hint="eastAsia" w:ascii="黑体" w:hAnsi="黑体" w:eastAsia="黑体" w:cs="黑体"/>
          <w:kern w:val="2"/>
          <w:sz w:val="28"/>
          <w:szCs w:val="20"/>
          <w:lang w:val="en-US" w:eastAsia="zh-CN" w:bidi="ar-SA"/>
        </w:rPr>
        <w:t>表1-1 指挥调度系统绩效目标表</w:t>
      </w:r>
    </w:p>
    <w:tbl>
      <w:tblPr>
        <w:tblStyle w:val="17"/>
        <w:tblW w:w="8613" w:type="dxa"/>
        <w:tblInd w:w="0" w:type="dxa"/>
        <w:tblLayout w:type="fixed"/>
        <w:tblCellMar>
          <w:top w:w="0" w:type="dxa"/>
          <w:left w:w="108" w:type="dxa"/>
          <w:bottom w:w="0" w:type="dxa"/>
          <w:right w:w="108" w:type="dxa"/>
        </w:tblCellMar>
      </w:tblPr>
      <w:tblGrid>
        <w:gridCol w:w="1526"/>
        <w:gridCol w:w="1559"/>
        <w:gridCol w:w="3686"/>
        <w:gridCol w:w="1842"/>
      </w:tblGrid>
      <w:tr w14:paraId="64D6493B">
        <w:tblPrEx>
          <w:tblCellMar>
            <w:top w:w="0" w:type="dxa"/>
            <w:left w:w="108" w:type="dxa"/>
            <w:bottom w:w="0" w:type="dxa"/>
            <w:right w:w="108" w:type="dxa"/>
          </w:tblCellMar>
        </w:tblPrEx>
        <w:trPr>
          <w:trHeight w:val="460" w:hRule="atLeast"/>
          <w:tblHead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32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bCs/>
                <w:sz w:val="24"/>
                <w:szCs w:val="24"/>
              </w:rPr>
            </w:pPr>
            <w:bookmarkStart w:id="3" w:name="_Toc7199"/>
            <w:r>
              <w:rPr>
                <w:rFonts w:hint="eastAsia" w:ascii="仿宋_GB2312" w:hAnsi="仿宋_GB2312" w:eastAsia="仿宋_GB2312" w:cs="仿宋_GB2312"/>
                <w:b/>
                <w:bCs/>
                <w:sz w:val="24"/>
                <w:szCs w:val="24"/>
              </w:rPr>
              <w:t>一级指标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6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二级指标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564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三级指标</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E4F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年度指标值</w:t>
            </w:r>
          </w:p>
        </w:tc>
      </w:tr>
      <w:tr w14:paraId="0CBC1C3A">
        <w:tblPrEx>
          <w:tblCellMar>
            <w:top w:w="0" w:type="dxa"/>
            <w:left w:w="108" w:type="dxa"/>
            <w:bottom w:w="0" w:type="dxa"/>
            <w:right w:w="108" w:type="dxa"/>
          </w:tblCellMar>
        </w:tblPrEx>
        <w:trPr>
          <w:trHeight w:val="480" w:hRule="atLeast"/>
        </w:trPr>
        <w:tc>
          <w:tcPr>
            <w:tcW w:w="1526" w:type="dxa"/>
            <w:vMerge w:val="restart"/>
            <w:tcBorders>
              <w:top w:val="single" w:color="000000" w:sz="4" w:space="0"/>
              <w:left w:val="single" w:color="000000" w:sz="4" w:space="0"/>
              <w:right w:val="single" w:color="000000" w:sz="4" w:space="0"/>
            </w:tcBorders>
            <w:shd w:val="clear" w:color="auto" w:fill="auto"/>
            <w:vAlign w:val="center"/>
          </w:tcPr>
          <w:p w14:paraId="12FC783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产出指标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411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数量指标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51A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指挥调度系统工程项目数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1D6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1处</w:t>
            </w:r>
          </w:p>
        </w:tc>
      </w:tr>
      <w:tr w14:paraId="088EAC0D">
        <w:tblPrEx>
          <w:tblCellMar>
            <w:top w:w="0" w:type="dxa"/>
            <w:left w:w="108" w:type="dxa"/>
            <w:bottom w:w="0" w:type="dxa"/>
            <w:right w:w="108" w:type="dxa"/>
          </w:tblCellMar>
        </w:tblPrEx>
        <w:trPr>
          <w:trHeight w:val="490" w:hRule="atLeast"/>
        </w:trPr>
        <w:tc>
          <w:tcPr>
            <w:tcW w:w="1526" w:type="dxa"/>
            <w:vMerge w:val="continue"/>
            <w:tcBorders>
              <w:left w:val="single" w:color="000000" w:sz="4" w:space="0"/>
              <w:right w:val="single" w:color="000000" w:sz="4" w:space="0"/>
            </w:tcBorders>
            <w:shd w:val="clear" w:color="auto" w:fill="auto"/>
            <w:vAlign w:val="center"/>
          </w:tcPr>
          <w:p w14:paraId="4095CCE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96F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质量指标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1F7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建设验收合格率</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251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100%</w:t>
            </w:r>
          </w:p>
        </w:tc>
      </w:tr>
      <w:tr w14:paraId="615FFBF7">
        <w:tblPrEx>
          <w:tblCellMar>
            <w:top w:w="0" w:type="dxa"/>
            <w:left w:w="108" w:type="dxa"/>
            <w:bottom w:w="0" w:type="dxa"/>
            <w:right w:w="108" w:type="dxa"/>
          </w:tblCellMar>
        </w:tblPrEx>
        <w:trPr>
          <w:trHeight w:val="480" w:hRule="atLeast"/>
        </w:trPr>
        <w:tc>
          <w:tcPr>
            <w:tcW w:w="1526" w:type="dxa"/>
            <w:vMerge w:val="continue"/>
            <w:tcBorders>
              <w:left w:val="single" w:color="000000" w:sz="4" w:space="0"/>
              <w:right w:val="single" w:color="000000" w:sz="4" w:space="0"/>
            </w:tcBorders>
            <w:shd w:val="clear" w:color="auto" w:fill="auto"/>
            <w:vAlign w:val="center"/>
          </w:tcPr>
          <w:p w14:paraId="5046C6D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AF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时效指标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3D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建设项目完成时间</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20F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2024年12月31日前完成</w:t>
            </w:r>
          </w:p>
        </w:tc>
      </w:tr>
      <w:tr w14:paraId="653C2BF6">
        <w:tblPrEx>
          <w:tblCellMar>
            <w:top w:w="0" w:type="dxa"/>
            <w:left w:w="108" w:type="dxa"/>
            <w:bottom w:w="0" w:type="dxa"/>
            <w:right w:w="108" w:type="dxa"/>
          </w:tblCellMar>
        </w:tblPrEx>
        <w:trPr>
          <w:trHeight w:val="480" w:hRule="atLeast"/>
        </w:trPr>
        <w:tc>
          <w:tcPr>
            <w:tcW w:w="1526" w:type="dxa"/>
            <w:vMerge w:val="continue"/>
            <w:tcBorders>
              <w:left w:val="single" w:color="000000" w:sz="4" w:space="0"/>
              <w:bottom w:val="single" w:color="000000" w:sz="4" w:space="0"/>
              <w:right w:val="single" w:color="000000" w:sz="4" w:space="0"/>
            </w:tcBorders>
            <w:shd w:val="clear" w:color="auto" w:fill="auto"/>
            <w:vAlign w:val="center"/>
          </w:tcPr>
          <w:p w14:paraId="58B4AE4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838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成本指标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3D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支出进度达标率</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93F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≥95%</w:t>
            </w:r>
          </w:p>
        </w:tc>
      </w:tr>
      <w:tr w14:paraId="79349605">
        <w:tblPrEx>
          <w:tblCellMar>
            <w:top w:w="0" w:type="dxa"/>
            <w:left w:w="108" w:type="dxa"/>
            <w:bottom w:w="0" w:type="dxa"/>
            <w:right w:w="108" w:type="dxa"/>
          </w:tblCellMar>
        </w:tblPrEx>
        <w:trPr>
          <w:trHeight w:val="720" w:hRule="atLeast"/>
        </w:trPr>
        <w:tc>
          <w:tcPr>
            <w:tcW w:w="1526" w:type="dxa"/>
            <w:tcBorders>
              <w:top w:val="single" w:color="000000" w:sz="4" w:space="0"/>
              <w:left w:val="single" w:color="000000" w:sz="4" w:space="0"/>
              <w:right w:val="single" w:color="000000" w:sz="4" w:space="0"/>
            </w:tcBorders>
            <w:shd w:val="clear" w:color="auto" w:fill="auto"/>
            <w:vAlign w:val="center"/>
          </w:tcPr>
          <w:p w14:paraId="6460DF4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7B5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47F8">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提升指挥中心指挥调度和决策分析能力及提高火灾救援快速处置能力</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2766">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显著</w:t>
            </w:r>
          </w:p>
        </w:tc>
      </w:tr>
      <w:tr w14:paraId="3D742672">
        <w:tblPrEx>
          <w:tblCellMar>
            <w:top w:w="0" w:type="dxa"/>
            <w:left w:w="108" w:type="dxa"/>
            <w:bottom w:w="0" w:type="dxa"/>
            <w:right w:w="108" w:type="dxa"/>
          </w:tblCellMar>
        </w:tblPrEx>
        <w:trPr>
          <w:trHeight w:val="72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FAD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687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服务对象满意度指标</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98C9">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盐田区辖区人民满意度</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A6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≥95%</w:t>
            </w:r>
          </w:p>
        </w:tc>
      </w:tr>
    </w:tbl>
    <w:p w14:paraId="1C41D463">
      <w:pPr>
        <w:bidi w:val="0"/>
        <w:rPr>
          <w:rFonts w:hint="eastAsia"/>
          <w:lang w:val="en-US" w:eastAsia="zh-CN"/>
        </w:rPr>
      </w:pPr>
    </w:p>
    <w:p w14:paraId="4CF5DEC0">
      <w:pPr>
        <w:keepNext w:val="0"/>
        <w:keepLines w:val="0"/>
        <w:pageBreakBefore w:val="0"/>
        <w:widowControl w:val="0"/>
        <w:numPr>
          <w:numId w:val="0"/>
        </w:numPr>
        <w:kinsoku w:val="0"/>
        <w:wordWrap/>
        <w:overflowPunct/>
        <w:topLinePunct/>
        <w:autoSpaceDE/>
        <w:autoSpaceDN/>
        <w:bidi w:val="0"/>
        <w:adjustRightInd w:val="0"/>
        <w:snapToGrid w:val="0"/>
        <w:spacing w:line="560" w:lineRule="exact"/>
        <w:ind w:firstLine="668" w:firstLineChars="200"/>
        <w:textAlignment w:val="baseline"/>
        <w:outlineLvl w:val="0"/>
        <w:rPr>
          <w:rFonts w:hint="eastAsia" w:ascii="黑体" w:hAnsi="黑体" w:eastAsia="黑体" w:cs="黑体"/>
          <w:spacing w:val="7"/>
          <w:sz w:val="32"/>
          <w:szCs w:val="32"/>
          <w:lang w:val="en-US" w:eastAsia="zh-CN"/>
        </w:rPr>
      </w:pPr>
      <w:bookmarkStart w:id="4" w:name="_Toc5078"/>
      <w:r>
        <w:rPr>
          <w:rFonts w:hint="eastAsia" w:ascii="黑体" w:hAnsi="黑体" w:eastAsia="黑体" w:cs="黑体"/>
          <w:spacing w:val="7"/>
          <w:sz w:val="32"/>
          <w:szCs w:val="32"/>
          <w:lang w:val="en-US" w:eastAsia="zh-CN"/>
        </w:rPr>
        <w:t>三、绩效评价工作开展情况</w:t>
      </w:r>
    </w:p>
    <w:p w14:paraId="381DA64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outlineLvl w:val="1"/>
        <w:rPr>
          <w:rFonts w:hint="eastAsia" w:ascii="Times New Roman" w:hAnsi="Times New Roman" w:eastAsia="楷体_GB2312" w:cs="Times New Roman"/>
          <w:b w:val="0"/>
          <w:bCs/>
          <w:kern w:val="2"/>
          <w:sz w:val="32"/>
          <w:szCs w:val="21"/>
          <w:lang w:val="en-US" w:eastAsia="zh-CN" w:bidi="ar-SA"/>
        </w:rPr>
      </w:pPr>
      <w:r>
        <w:rPr>
          <w:rFonts w:hint="eastAsia" w:ascii="Times New Roman" w:hAnsi="Times New Roman" w:eastAsia="楷体_GB2312" w:cs="Times New Roman"/>
          <w:b w:val="0"/>
          <w:bCs/>
          <w:kern w:val="2"/>
          <w:sz w:val="32"/>
          <w:szCs w:val="21"/>
          <w:lang w:val="en-US" w:eastAsia="zh-CN" w:bidi="ar-SA"/>
        </w:rPr>
        <w:t>（一）</w:t>
      </w:r>
      <w:r>
        <w:rPr>
          <w:rFonts w:hint="default" w:ascii="Times New Roman" w:hAnsi="Times New Roman" w:eastAsia="楷体_GB2312" w:cs="Times New Roman"/>
          <w:b w:val="0"/>
          <w:bCs/>
          <w:kern w:val="2"/>
          <w:sz w:val="32"/>
          <w:szCs w:val="21"/>
          <w:lang w:val="en-US" w:eastAsia="zh-CN" w:bidi="ar-SA"/>
        </w:rPr>
        <w:t>绩效评价的目的</w:t>
      </w:r>
      <w:r>
        <w:rPr>
          <w:rFonts w:hint="eastAsia" w:ascii="Times New Roman" w:hAnsi="Times New Roman" w:eastAsia="楷体_GB2312" w:cs="Times New Roman"/>
          <w:b w:val="0"/>
          <w:bCs/>
          <w:kern w:val="2"/>
          <w:sz w:val="32"/>
          <w:szCs w:val="21"/>
          <w:lang w:val="en-US" w:eastAsia="zh-CN" w:bidi="ar-SA"/>
        </w:rPr>
        <w:t>、对象和范围</w:t>
      </w:r>
    </w:p>
    <w:p w14:paraId="297A76F6">
      <w:pPr>
        <w:keepNext w:val="0"/>
        <w:keepLines w:val="0"/>
        <w:pageBreakBefore w:val="0"/>
        <w:widowControl w:val="0"/>
        <w:numPr>
          <w:ilvl w:val="0"/>
          <w:numId w:val="0"/>
        </w:numPr>
        <w:kinsoku w:val="0"/>
        <w:wordWrap/>
        <w:overflowPunct/>
        <w:topLinePunct/>
        <w:autoSpaceDE/>
        <w:autoSpaceDN/>
        <w:bidi w:val="0"/>
        <w:adjustRightInd w:val="0"/>
        <w:snapToGrid w:val="0"/>
        <w:spacing w:line="560" w:lineRule="exact"/>
        <w:ind w:firstLine="640" w:firstLineChars="200"/>
        <w:jc w:val="both"/>
        <w:textAlignment w:val="baseline"/>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评价主要是对指挥调度系统的专项资金到位、使用、管理以及取得的绩效进行全方位、综合性的评价，客观反映专项资金的使用效益，指出资金使用和项目管理上存在的不足，并提高财政资金使用的有效性和导向性，作为以后年度立项和安排专项资金的重要依据。</w:t>
      </w:r>
    </w:p>
    <w:p w14:paraId="3322778D">
      <w:pPr>
        <w:keepNext w:val="0"/>
        <w:keepLines w:val="0"/>
        <w:pageBreakBefore w:val="0"/>
        <w:widowControl w:val="0"/>
        <w:numPr>
          <w:numId w:val="0"/>
        </w:numPr>
        <w:kinsoku w:val="0"/>
        <w:wordWrap/>
        <w:overflowPunct/>
        <w:topLinePunct/>
        <w:autoSpaceDE/>
        <w:autoSpaceDN/>
        <w:bidi w:val="0"/>
        <w:adjustRightInd w:val="0"/>
        <w:snapToGrid w:val="0"/>
        <w:spacing w:line="560" w:lineRule="exact"/>
        <w:ind w:firstLine="640" w:firstLineChars="200"/>
        <w:jc w:val="both"/>
        <w:textAlignment w:val="baseline"/>
        <w:outlineLvl w:val="0"/>
        <w:rPr>
          <w:rFonts w:hint="eastAsia" w:ascii="Times New Roman" w:hAnsi="Times New Roman" w:eastAsia="楷体_GB2312" w:cs="Times New Roman"/>
          <w:b w:val="0"/>
          <w:bCs/>
          <w:snapToGrid/>
          <w:color w:val="000000"/>
          <w:kern w:val="2"/>
          <w:sz w:val="32"/>
          <w:szCs w:val="21"/>
          <w:lang w:val="en-US" w:eastAsia="zh-CN" w:bidi="ar-SA"/>
        </w:rPr>
      </w:pPr>
      <w:r>
        <w:rPr>
          <w:rFonts w:hint="eastAsia" w:ascii="Times New Roman" w:hAnsi="Times New Roman" w:eastAsia="楷体_GB2312" w:cs="Times New Roman"/>
          <w:b w:val="0"/>
          <w:bCs/>
          <w:snapToGrid/>
          <w:color w:val="000000"/>
          <w:kern w:val="2"/>
          <w:sz w:val="32"/>
          <w:szCs w:val="21"/>
          <w:lang w:val="en-US" w:eastAsia="zh-CN" w:bidi="ar-SA"/>
        </w:rPr>
        <w:t>（二）</w:t>
      </w:r>
      <w:r>
        <w:rPr>
          <w:rFonts w:hint="default" w:ascii="Times New Roman" w:hAnsi="Times New Roman" w:eastAsia="楷体_GB2312" w:cs="Times New Roman"/>
          <w:b w:val="0"/>
          <w:bCs/>
          <w:snapToGrid/>
          <w:color w:val="000000"/>
          <w:kern w:val="2"/>
          <w:sz w:val="32"/>
          <w:szCs w:val="21"/>
          <w:lang w:val="en-US" w:eastAsia="zh-CN" w:bidi="ar-SA"/>
        </w:rPr>
        <w:t>绩效评价原则</w:t>
      </w:r>
      <w:r>
        <w:rPr>
          <w:rFonts w:hint="eastAsia" w:ascii="Times New Roman" w:hAnsi="Times New Roman" w:eastAsia="楷体_GB2312" w:cs="Times New Roman"/>
          <w:b w:val="0"/>
          <w:bCs/>
          <w:snapToGrid/>
          <w:color w:val="000000"/>
          <w:kern w:val="2"/>
          <w:sz w:val="32"/>
          <w:szCs w:val="21"/>
          <w:lang w:val="en-US" w:eastAsia="zh-CN" w:bidi="ar-SA"/>
        </w:rPr>
        <w:t>、评价指标体系（附表说明）、评价方法、评价标准等</w:t>
      </w:r>
      <w:bookmarkStart w:id="18" w:name="_GoBack"/>
      <w:bookmarkEnd w:id="18"/>
    </w:p>
    <w:p w14:paraId="74C63E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本次绩效评价指标的确定遵循相关性原则、重要性原则、可比性原则、系统性原则及经济性原则，</w:t>
      </w:r>
      <w:r>
        <w:rPr>
          <w:rFonts w:hint="default" w:ascii="仿宋_GB2312" w:hAnsi="仿宋_GB2312" w:eastAsia="仿宋_GB2312" w:cs="仿宋_GB2312"/>
          <w:sz w:val="32"/>
          <w:szCs w:val="32"/>
          <w:lang w:val="en-US" w:eastAsia="zh-CN"/>
        </w:rPr>
        <w:t>采用定性和定量分析相结合、书面评价和实地评价相结合的方法，严格按照财政支出绩效评价的“科学规范、公开公正、分类管理、绩效相关”的原则，根据具体评价指标的不同，灵活运用成本效益分析法、比较法、因素分析法、最低成本法、公众评判法、标杆管理法等绩效评价具体方法，对项目经济性、项目效率性、项目有效性、项目公平性和项目可持续性等方面作出综合性评价意见。</w:t>
      </w:r>
    </w:p>
    <w:p w14:paraId="6B639D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楷体_GB2312" w:cs="Times New Roman"/>
          <w:b w:val="0"/>
          <w:bCs/>
          <w:kern w:val="2"/>
          <w:sz w:val="32"/>
          <w:szCs w:val="21"/>
          <w:lang w:val="en-US" w:eastAsia="zh-CN" w:bidi="ar-SA"/>
        </w:rPr>
        <w:t>（三）</w:t>
      </w:r>
      <w:r>
        <w:rPr>
          <w:rFonts w:hint="default" w:ascii="Times New Roman" w:hAnsi="Times New Roman" w:eastAsia="楷体_GB2312" w:cs="Times New Roman"/>
          <w:b w:val="0"/>
          <w:bCs/>
          <w:kern w:val="2"/>
          <w:sz w:val="32"/>
          <w:szCs w:val="21"/>
          <w:lang w:val="en-US" w:eastAsia="zh-CN" w:bidi="ar-SA"/>
        </w:rPr>
        <w:t>绩效评价</w:t>
      </w:r>
      <w:r>
        <w:rPr>
          <w:rFonts w:hint="eastAsia" w:ascii="Times New Roman" w:hAnsi="Times New Roman" w:eastAsia="楷体_GB2312" w:cs="Times New Roman"/>
          <w:b w:val="0"/>
          <w:bCs/>
          <w:kern w:val="2"/>
          <w:sz w:val="32"/>
          <w:szCs w:val="21"/>
          <w:lang w:val="en-US" w:eastAsia="zh-CN" w:bidi="ar-SA"/>
        </w:rPr>
        <w:t>结果与分析</w:t>
      </w:r>
    </w:p>
    <w:p w14:paraId="4CD983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根据财政支出绩效评价指标体系，盐田区消防救援大队指挥调度系统项目绩效综合评分为96.47</w:t>
      </w:r>
      <w:r>
        <w:rPr>
          <w:rFonts w:hint="default"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val="en-US" w:eastAsia="zh-CN"/>
        </w:rPr>
        <w:t>，评价等级为“优”</w:t>
      </w:r>
      <w:r>
        <w:rPr>
          <w:rFonts w:hint="default" w:ascii="仿宋_GB2312" w:hAnsi="仿宋_GB2312" w:eastAsia="仿宋_GB2312" w:cs="仿宋_GB2312"/>
          <w:sz w:val="32"/>
          <w:szCs w:val="32"/>
          <w:lang w:val="en-US" w:eastAsia="zh-CN"/>
        </w:rPr>
        <w:t>。</w:t>
      </w:r>
    </w:p>
    <w:bookmarkEnd w:id="3"/>
    <w:bookmarkEnd w:id="4"/>
    <w:p w14:paraId="2A2CC8A3">
      <w:pPr>
        <w:keepNext w:val="0"/>
        <w:keepLines w:val="0"/>
        <w:pageBreakBefore w:val="0"/>
        <w:widowControl w:val="0"/>
        <w:numPr>
          <w:ilvl w:val="0"/>
          <w:numId w:val="0"/>
        </w:numPr>
        <w:kinsoku w:val="0"/>
        <w:wordWrap/>
        <w:overflowPunct/>
        <w:topLinePunct/>
        <w:autoSpaceDE/>
        <w:autoSpaceDN/>
        <w:bidi w:val="0"/>
        <w:adjustRightInd w:val="0"/>
        <w:snapToGrid w:val="0"/>
        <w:spacing w:line="560" w:lineRule="exact"/>
        <w:ind w:left="0" w:leftChars="0" w:right="0" w:rightChars="0" w:firstLine="668" w:firstLineChars="200"/>
        <w:textAlignment w:val="baseline"/>
        <w:outlineLvl w:val="9"/>
        <w:rPr>
          <w:rFonts w:hint="eastAsia" w:ascii="黑体" w:hAnsi="黑体" w:eastAsia="黑体" w:cs="黑体"/>
          <w:spacing w:val="7"/>
          <w:sz w:val="32"/>
          <w:szCs w:val="32"/>
          <w:lang w:val="en-US" w:eastAsia="zh-CN"/>
        </w:rPr>
      </w:pPr>
      <w:bookmarkStart w:id="5" w:name="_Toc30816"/>
      <w:r>
        <w:rPr>
          <w:rFonts w:hint="eastAsia" w:ascii="黑体" w:hAnsi="黑体" w:eastAsia="黑体" w:cs="黑体"/>
          <w:spacing w:val="7"/>
          <w:sz w:val="32"/>
          <w:szCs w:val="32"/>
          <w:lang w:val="en-US" w:eastAsia="zh-CN"/>
        </w:rPr>
        <w:t>四、主要经验及做法</w:t>
      </w:r>
    </w:p>
    <w:p w14:paraId="70AAC7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经验与做法:一是资金支出实行先审批再使用制度；二是规范报销凭证审核按有关财务规章制度审核各类原始凭证，要求报销凭证真实、合规、完整，审批手续齐全，严格按照相关程序执行；三是合理设置岗位，明确相关职责权限；四是项目工作实施专人负责制；五是严格遵守“专款专用”原则，按照区相关文件，确保专项资金项目有效实施。</w:t>
      </w:r>
    </w:p>
    <w:bookmarkEnd w:id="5"/>
    <w:p w14:paraId="0A1F6578">
      <w:pPr>
        <w:keepNext w:val="0"/>
        <w:keepLines w:val="0"/>
        <w:pageBreakBefore w:val="0"/>
        <w:widowControl w:val="0"/>
        <w:kinsoku w:val="0"/>
        <w:wordWrap/>
        <w:overflowPunct/>
        <w:topLinePunct/>
        <w:autoSpaceDE/>
        <w:autoSpaceDN/>
        <w:bidi w:val="0"/>
        <w:adjustRightInd w:val="0"/>
        <w:snapToGrid w:val="0"/>
        <w:spacing w:line="560" w:lineRule="exact"/>
        <w:ind w:left="0" w:firstLine="668" w:firstLineChars="200"/>
        <w:textAlignment w:val="baseline"/>
        <w:outlineLvl w:val="0"/>
        <w:rPr>
          <w:rFonts w:hint="default" w:ascii="黑体" w:hAnsi="黑体" w:eastAsia="黑体" w:cs="黑体"/>
          <w:spacing w:val="7"/>
          <w:sz w:val="32"/>
          <w:szCs w:val="32"/>
          <w:lang w:val="en-US" w:eastAsia="zh-CN"/>
        </w:rPr>
      </w:pPr>
      <w:bookmarkStart w:id="6" w:name="_Toc24229"/>
      <w:bookmarkStart w:id="7" w:name="_Toc5752"/>
      <w:r>
        <w:rPr>
          <w:rFonts w:hint="eastAsia" w:ascii="黑体" w:hAnsi="黑体" w:eastAsia="黑体" w:cs="黑体"/>
          <w:spacing w:val="7"/>
          <w:sz w:val="32"/>
          <w:szCs w:val="32"/>
          <w:lang w:val="en-US" w:eastAsia="zh-CN"/>
        </w:rPr>
        <w:t>五、</w:t>
      </w:r>
      <w:bookmarkEnd w:id="6"/>
      <w:bookmarkStart w:id="8" w:name="_Toc1864"/>
      <w:r>
        <w:rPr>
          <w:rFonts w:hint="eastAsia" w:ascii="黑体" w:hAnsi="黑体" w:eastAsia="黑体" w:cs="黑体"/>
          <w:spacing w:val="7"/>
          <w:sz w:val="32"/>
          <w:szCs w:val="32"/>
          <w:lang w:val="en-US" w:eastAsia="zh-CN"/>
        </w:rPr>
        <w:t>存在的问题和</w:t>
      </w:r>
      <w:bookmarkEnd w:id="7"/>
      <w:r>
        <w:rPr>
          <w:rFonts w:hint="eastAsia" w:ascii="黑体" w:hAnsi="黑体" w:eastAsia="黑体" w:cs="黑体"/>
          <w:spacing w:val="7"/>
          <w:sz w:val="32"/>
          <w:szCs w:val="32"/>
          <w:lang w:val="en-US" w:eastAsia="zh-CN"/>
        </w:rPr>
        <w:t>原因分析</w:t>
      </w:r>
    </w:p>
    <w:bookmarkEnd w:id="8"/>
    <w:p w14:paraId="3C07391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default" w:ascii="仿宋_GB2312" w:hAnsi="仿宋_GB2312" w:eastAsia="仿宋_GB2312" w:cs="仿宋_GB2312"/>
          <w:b w:val="0"/>
          <w:bCs w:val="0"/>
          <w:sz w:val="32"/>
          <w:szCs w:val="32"/>
          <w:lang w:val="en-US" w:eastAsia="zh-CN"/>
        </w:rPr>
      </w:pPr>
      <w:bookmarkStart w:id="9" w:name="_Toc24104"/>
      <w:bookmarkStart w:id="10" w:name="_Toc14588"/>
      <w:bookmarkStart w:id="11" w:name="_Toc31363"/>
      <w:r>
        <w:rPr>
          <w:rFonts w:hint="eastAsia" w:ascii="仿宋_GB2312" w:hAnsi="仿宋_GB2312" w:eastAsia="仿宋_GB2312" w:cs="仿宋_GB2312"/>
          <w:b w:val="0"/>
          <w:bCs w:val="0"/>
          <w:snapToGrid/>
          <w:kern w:val="2"/>
          <w:sz w:val="32"/>
          <w:szCs w:val="32"/>
          <w:lang w:val="en-US" w:eastAsia="zh-CN"/>
        </w:rPr>
        <w:t>一是指标设置水平有待提升</w:t>
      </w:r>
      <w:bookmarkEnd w:id="9"/>
      <w:bookmarkEnd w:id="10"/>
      <w:r>
        <w:rPr>
          <w:rFonts w:hint="eastAsia" w:ascii="仿宋_GB2312" w:hAnsi="仿宋_GB2312" w:eastAsia="仿宋_GB2312" w:cs="仿宋_GB2312"/>
          <w:b w:val="0"/>
          <w:bCs w:val="0"/>
          <w:snapToGrid/>
          <w:kern w:val="2"/>
          <w:sz w:val="32"/>
          <w:szCs w:val="32"/>
          <w:lang w:val="en-US" w:eastAsia="zh-CN"/>
        </w:rPr>
        <w:t>，</w:t>
      </w:r>
      <w:r>
        <w:rPr>
          <w:rFonts w:hint="eastAsia" w:ascii="仿宋_GB2312" w:hAnsi="仿宋_GB2312" w:eastAsia="仿宋_GB2312" w:cs="仿宋_GB2312"/>
          <w:b w:val="0"/>
          <w:bCs w:val="0"/>
          <w:sz w:val="32"/>
          <w:szCs w:val="32"/>
          <w:lang w:val="en-US" w:eastAsia="zh-CN"/>
        </w:rPr>
        <w:t>存在指标内容表述不规范，效益指标设置未量化，不够全面、深入反映项目效益；</w:t>
      </w:r>
      <w:r>
        <w:rPr>
          <w:rFonts w:hint="eastAsia" w:ascii="仿宋_GB2312" w:hAnsi="仿宋_GB2312" w:eastAsia="仿宋_GB2312" w:cs="仿宋_GB2312"/>
          <w:b w:val="0"/>
          <w:bCs w:val="0"/>
          <w:snapToGrid/>
          <w:kern w:val="2"/>
          <w:sz w:val="32"/>
          <w:szCs w:val="32"/>
          <w:lang w:val="en-US" w:eastAsia="zh-CN"/>
        </w:rPr>
        <w:t>二是预算执行率有待加强，</w:t>
      </w:r>
      <w:r>
        <w:rPr>
          <w:rFonts w:hint="eastAsia" w:ascii="仿宋_GB2312" w:hAnsi="仿宋_GB2312" w:eastAsia="仿宋_GB2312" w:cs="仿宋_GB2312"/>
          <w:b w:val="0"/>
          <w:bCs w:val="0"/>
          <w:sz w:val="32"/>
          <w:szCs w:val="32"/>
          <w:lang w:val="en-US" w:eastAsia="zh-CN"/>
        </w:rPr>
        <w:t>项目根据预算下达情况及时进行了项目经费支出，但是项目预算不够精准，预算执行率未能达到100%，预算执行率为99.32%；三是</w:t>
      </w:r>
      <w:r>
        <w:rPr>
          <w:rFonts w:hint="eastAsia" w:ascii="仿宋_GB2312" w:hAnsi="仿宋_GB2312" w:eastAsia="仿宋_GB2312" w:cs="仿宋_GB2312"/>
          <w:b w:val="0"/>
          <w:bCs w:val="0"/>
          <w:snapToGrid/>
          <w:kern w:val="2"/>
          <w:sz w:val="32"/>
          <w:szCs w:val="32"/>
          <w:lang w:val="en-US" w:eastAsia="zh-CN"/>
        </w:rPr>
        <w:t>项目各指标佐证材料有待进一步完善，</w:t>
      </w:r>
      <w:r>
        <w:rPr>
          <w:rFonts w:hint="eastAsia" w:ascii="仿宋_GB2312" w:hAnsi="仿宋_GB2312" w:eastAsia="仿宋_GB2312" w:cs="仿宋_GB2312"/>
          <w:b w:val="0"/>
          <w:bCs w:val="0"/>
          <w:sz w:val="32"/>
          <w:szCs w:val="32"/>
          <w:lang w:val="en-US" w:eastAsia="zh-CN"/>
        </w:rPr>
        <w:t>项目在绩效目标设置时，对效益指标未能量化，导致效益指标相应佐证材料不够确切，不能直观体现社会效益情况。</w:t>
      </w:r>
    </w:p>
    <w:bookmarkEnd w:id="11"/>
    <w:p w14:paraId="2472BC1A">
      <w:pPr>
        <w:keepNext w:val="0"/>
        <w:keepLines w:val="0"/>
        <w:pageBreakBefore w:val="0"/>
        <w:widowControl w:val="0"/>
        <w:kinsoku w:val="0"/>
        <w:wordWrap/>
        <w:overflowPunct/>
        <w:topLinePunct/>
        <w:autoSpaceDE/>
        <w:autoSpaceDN/>
        <w:bidi w:val="0"/>
        <w:adjustRightInd w:val="0"/>
        <w:snapToGrid w:val="0"/>
        <w:spacing w:line="560" w:lineRule="exact"/>
        <w:ind w:left="0" w:firstLine="668" w:firstLineChars="200"/>
        <w:textAlignment w:val="baseline"/>
        <w:outlineLvl w:val="0"/>
        <w:rPr>
          <w:rFonts w:hint="eastAsia" w:ascii="黑体" w:hAnsi="黑体" w:eastAsia="黑体" w:cs="黑体"/>
          <w:spacing w:val="7"/>
          <w:sz w:val="32"/>
          <w:szCs w:val="32"/>
          <w:lang w:val="en-US" w:eastAsia="zh-CN"/>
        </w:rPr>
      </w:pPr>
      <w:bookmarkStart w:id="12" w:name="_Toc13631"/>
      <w:bookmarkStart w:id="13" w:name="_Toc2847"/>
      <w:r>
        <w:rPr>
          <w:rFonts w:hint="eastAsia" w:ascii="黑体" w:hAnsi="黑体" w:eastAsia="黑体" w:cs="黑体"/>
          <w:spacing w:val="7"/>
          <w:sz w:val="32"/>
          <w:szCs w:val="32"/>
          <w:lang w:val="en-US" w:eastAsia="zh-CN"/>
        </w:rPr>
        <w:t>六、相关建议</w:t>
      </w:r>
      <w:bookmarkEnd w:id="12"/>
      <w:bookmarkEnd w:id="13"/>
    </w:p>
    <w:p w14:paraId="5749C7BE">
      <w:pPr>
        <w:pStyle w:val="3"/>
        <w:keepNext w:val="0"/>
        <w:keepLines w:val="0"/>
        <w:pageBreakBefore w:val="0"/>
        <w:kinsoku/>
        <w:wordWrap/>
        <w:overflowPunct/>
        <w:topLinePunct w:val="0"/>
        <w:autoSpaceDE/>
        <w:autoSpaceDN/>
        <w:bidi w:val="0"/>
        <w:adjustRightInd w:val="0"/>
        <w:snapToGrid w:val="0"/>
        <w:spacing w:beforeLines="0" w:afterLines="0" w:line="560" w:lineRule="exact"/>
        <w:ind w:firstLine="643"/>
        <w:rPr>
          <w:rFonts w:hint="eastAsia" w:ascii="仿宋_GB2312" w:hAnsi="仿宋_GB2312" w:eastAsia="仿宋_GB2312" w:cs="仿宋_GB2312"/>
          <w:b w:val="0"/>
          <w:bCs w:val="0"/>
          <w:sz w:val="32"/>
          <w:szCs w:val="32"/>
          <w:lang w:val="en-US" w:eastAsia="zh-CN"/>
        </w:rPr>
      </w:pPr>
      <w:bookmarkStart w:id="14" w:name="_Toc12112"/>
      <w:bookmarkStart w:id="15" w:name="_Toc4551"/>
      <w:bookmarkStart w:id="16" w:name="_Toc10507"/>
      <w:r>
        <w:rPr>
          <w:rFonts w:hint="eastAsia" w:ascii="仿宋_GB2312" w:hAnsi="仿宋_GB2312" w:eastAsia="仿宋_GB2312" w:cs="仿宋_GB2312"/>
          <w:b w:val="0"/>
          <w:bCs w:val="0"/>
          <w:snapToGrid/>
          <w:kern w:val="2"/>
          <w:sz w:val="32"/>
          <w:szCs w:val="32"/>
          <w:lang w:val="en-US" w:eastAsia="zh-CN"/>
        </w:rPr>
        <w:t>（一）</w:t>
      </w:r>
      <w:bookmarkEnd w:id="14"/>
      <w:r>
        <w:rPr>
          <w:rFonts w:hint="eastAsia" w:ascii="仿宋_GB2312" w:hAnsi="仿宋_GB2312" w:eastAsia="仿宋_GB2312" w:cs="仿宋_GB2312"/>
          <w:b w:val="0"/>
          <w:bCs w:val="0"/>
          <w:snapToGrid/>
          <w:kern w:val="2"/>
          <w:sz w:val="32"/>
          <w:szCs w:val="32"/>
          <w:lang w:val="en-US" w:eastAsia="zh-CN"/>
        </w:rPr>
        <w:t>强化绩效管理意识，提高绩效指标设置水平</w:t>
      </w:r>
      <w:bookmarkEnd w:id="15"/>
      <w:bookmarkEnd w:id="16"/>
      <w:r>
        <w:rPr>
          <w:rFonts w:hint="eastAsia" w:ascii="仿宋_GB2312" w:hAnsi="仿宋_GB2312" w:eastAsia="仿宋_GB2312" w:cs="仿宋_GB2312"/>
          <w:b w:val="0"/>
          <w:bCs w:val="0"/>
          <w:snapToGrid/>
          <w:kern w:val="2"/>
          <w:sz w:val="32"/>
          <w:szCs w:val="32"/>
          <w:lang w:val="en-US" w:eastAsia="zh-CN"/>
        </w:rPr>
        <w:t>。</w:t>
      </w:r>
      <w:r>
        <w:rPr>
          <w:rFonts w:hint="eastAsia" w:ascii="仿宋_GB2312" w:hAnsi="仿宋_GB2312" w:eastAsia="仿宋_GB2312" w:cs="仿宋_GB2312"/>
          <w:b w:val="0"/>
          <w:bCs w:val="0"/>
          <w:sz w:val="32"/>
          <w:szCs w:val="32"/>
          <w:lang w:val="en-US" w:eastAsia="zh-CN"/>
        </w:rPr>
        <w:t>绩效目标申报相关人员要加强绩效指标的培训学习，明确指标设置标准和定义界限，紧扣项目设立的目的和资金使用方向设置明确合理的绩效目标与指标，提高表述的规范性，保证指标设置正确，不重复、无错漏；在项目实施过程中，以目标为跟踪标的，监管项目的实施进度，发现偏差时及时整改，年初所设置的目标已不再适用的，要及时调整，保障项目有效实施；绩效评价工作中要基于预期绩效目标，分析目标的完成情况，梳理绩效目标设置中存在的问题，改进下一年度的绩效管理工作。</w:t>
      </w:r>
    </w:p>
    <w:p w14:paraId="4B12E52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napToGrid/>
          <w:color w:val="000000"/>
          <w:kern w:val="2"/>
          <w:sz w:val="32"/>
          <w:szCs w:val="32"/>
          <w:lang w:val="en-US" w:eastAsia="zh-CN" w:bidi="ar-SA"/>
        </w:rPr>
        <w:t>（二）提高预算执行率，加强预算支出。</w:t>
      </w:r>
      <w:r>
        <w:rPr>
          <w:rFonts w:hint="eastAsia" w:ascii="仿宋_GB2312" w:hAnsi="仿宋_GB2312" w:eastAsia="仿宋_GB2312" w:cs="仿宋_GB2312"/>
          <w:b w:val="0"/>
          <w:bCs w:val="0"/>
          <w:sz w:val="32"/>
          <w:szCs w:val="32"/>
          <w:lang w:val="en-US" w:eastAsia="zh-CN"/>
        </w:rPr>
        <w:t>一是强化预算编制科学性，采用滚动预算方法，结合项目进度动态调整资金计划；二是建立预算执行预警机制，对执行率低于90%的科目及时预警并分析原因；三是优化资金支付流程，简化审批环节，确保资金及时拨付到位；四是实行预算执行考核机制，将执行情况纳入绩效考核。通过以上措施，确保项目资金精准投放、高效使用，实现预算执行率和资金支出率双达标，确保项目预算执行率100%支出。</w:t>
      </w:r>
    </w:p>
    <w:p w14:paraId="2F5AE6B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b w:val="0"/>
          <w:bCs w:val="0"/>
          <w:snapToGrid/>
          <w:color w:val="000000"/>
          <w:kern w:val="2"/>
          <w:sz w:val="32"/>
          <w:szCs w:val="32"/>
          <w:lang w:val="en-US" w:eastAsia="zh-CN" w:bidi="ar-SA"/>
        </w:rPr>
        <w:t>（三）</w:t>
      </w:r>
      <w:bookmarkStart w:id="17" w:name="_Toc7602"/>
      <w:r>
        <w:rPr>
          <w:rFonts w:hint="eastAsia" w:ascii="仿宋_GB2312" w:hAnsi="仿宋_GB2312" w:eastAsia="仿宋_GB2312" w:cs="仿宋_GB2312"/>
          <w:b w:val="0"/>
          <w:bCs w:val="0"/>
          <w:snapToGrid/>
          <w:kern w:val="2"/>
          <w:sz w:val="32"/>
          <w:szCs w:val="32"/>
          <w:lang w:val="en-US" w:eastAsia="zh-CN"/>
        </w:rPr>
        <w:t>强化项目工作精细度，提高佐证材料质量</w:t>
      </w:r>
      <w:bookmarkEnd w:id="17"/>
      <w:r>
        <w:rPr>
          <w:rFonts w:hint="eastAsia" w:ascii="仿宋_GB2312" w:hAnsi="仿宋_GB2312" w:eastAsia="仿宋_GB2312" w:cs="仿宋_GB2312"/>
          <w:b w:val="0"/>
          <w:bCs w:val="0"/>
          <w:snapToGrid/>
          <w:kern w:val="2"/>
          <w:sz w:val="32"/>
          <w:szCs w:val="32"/>
          <w:lang w:val="en-US" w:eastAsia="zh-CN"/>
        </w:rPr>
        <w:t>。</w:t>
      </w:r>
      <w:r>
        <w:rPr>
          <w:rFonts w:hint="eastAsia" w:ascii="仿宋_GB2312" w:hAnsi="仿宋_GB2312" w:eastAsia="仿宋_GB2312" w:cs="仿宋_GB2312"/>
          <w:b w:val="0"/>
          <w:bCs w:val="0"/>
          <w:sz w:val="32"/>
          <w:szCs w:val="32"/>
          <w:lang w:val="en-US" w:eastAsia="zh-CN"/>
        </w:rPr>
        <w:t>一是建立标准化工作流程，制定详细的材料清单和模板，确保各项材料格式统一、内容完整；二是实施三级审核机制，由项目组自审、部门复审、专家组终审，层层把关材料质量；三是加强过程管理，通过定期检查、随机抽查等方式，及时发现并整改材料问题；四是开展专题培训，提升项目人员材料编制能力。通过全流程、多层次的精细化管理，确保佐证材料真实、准确、规范，充分体现项目成效。</w:t>
      </w:r>
    </w:p>
    <w:p w14:paraId="11F117AF">
      <w:pPr>
        <w:rPr>
          <w:rFonts w:hint="default" w:eastAsia="宋体"/>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9CAD9-FE8F-4A88-BC65-80211273B0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2C9DE8FA-15E5-4619-9B5C-D2C372BA77F8}"/>
  </w:font>
  <w:font w:name="仿宋_GB2312">
    <w:panose1 w:val="02010609030101010101"/>
    <w:charset w:val="86"/>
    <w:family w:val="auto"/>
    <w:pitch w:val="default"/>
    <w:sig w:usb0="00000001" w:usb1="080E0000" w:usb2="00000000" w:usb3="00000000" w:csb0="00040000" w:csb1="00000000"/>
    <w:embedRegular r:id="rId3" w:fontKey="{6816C7A4-BB03-410B-AB14-C49D7A42929F}"/>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3D0436CE-8665-4B76-88B8-ED2647FE0923}"/>
  </w:font>
  <w:font w:name="Times New Roman Regular">
    <w:altName w:val="Times New Roman"/>
    <w:panose1 w:val="020206030504050203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6501">
    <w:pPr>
      <w:pStyle w:val="11"/>
    </w:pPr>
  </w:p>
  <w:p w14:paraId="2BE950D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7E793">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F7E793">
                    <w:pPr>
                      <w:pStyle w:val="1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YmU1Mjc2Y2RjOTUzZWU3MWIxNGUzNDI2NmZmMmIifQ=="/>
  </w:docVars>
  <w:rsids>
    <w:rsidRoot w:val="4B947E01"/>
    <w:rsid w:val="01D37272"/>
    <w:rsid w:val="031F7D25"/>
    <w:rsid w:val="0D45454A"/>
    <w:rsid w:val="0DDA57BF"/>
    <w:rsid w:val="100635EB"/>
    <w:rsid w:val="104129A0"/>
    <w:rsid w:val="10993435"/>
    <w:rsid w:val="1127311E"/>
    <w:rsid w:val="13590A39"/>
    <w:rsid w:val="13CF0B0B"/>
    <w:rsid w:val="15A537D1"/>
    <w:rsid w:val="16357016"/>
    <w:rsid w:val="16565924"/>
    <w:rsid w:val="170D3186"/>
    <w:rsid w:val="1C0F0A4F"/>
    <w:rsid w:val="1C2071AA"/>
    <w:rsid w:val="1DE63A32"/>
    <w:rsid w:val="1F8668B2"/>
    <w:rsid w:val="1FE97F1C"/>
    <w:rsid w:val="20210D51"/>
    <w:rsid w:val="20882AE4"/>
    <w:rsid w:val="224D22D1"/>
    <w:rsid w:val="23346A5E"/>
    <w:rsid w:val="24C56A73"/>
    <w:rsid w:val="26453263"/>
    <w:rsid w:val="2760375E"/>
    <w:rsid w:val="27E7383F"/>
    <w:rsid w:val="2ABB0980"/>
    <w:rsid w:val="2B121824"/>
    <w:rsid w:val="2B5B1830"/>
    <w:rsid w:val="2BE33A35"/>
    <w:rsid w:val="2C7C7141"/>
    <w:rsid w:val="2EE63891"/>
    <w:rsid w:val="36A7133C"/>
    <w:rsid w:val="36EA2A76"/>
    <w:rsid w:val="37F7266B"/>
    <w:rsid w:val="3CDF28E0"/>
    <w:rsid w:val="3D8538CF"/>
    <w:rsid w:val="447D6FE7"/>
    <w:rsid w:val="44E22DF5"/>
    <w:rsid w:val="46C723F1"/>
    <w:rsid w:val="49211841"/>
    <w:rsid w:val="4AE42F23"/>
    <w:rsid w:val="4B947E01"/>
    <w:rsid w:val="4BB8799C"/>
    <w:rsid w:val="4BC10550"/>
    <w:rsid w:val="4C013F63"/>
    <w:rsid w:val="4C6E1321"/>
    <w:rsid w:val="4CC71C17"/>
    <w:rsid w:val="4D612DEA"/>
    <w:rsid w:val="4E6B7524"/>
    <w:rsid w:val="50E40166"/>
    <w:rsid w:val="51922411"/>
    <w:rsid w:val="52BA766C"/>
    <w:rsid w:val="53D45925"/>
    <w:rsid w:val="54380DC9"/>
    <w:rsid w:val="54962A1D"/>
    <w:rsid w:val="5668279A"/>
    <w:rsid w:val="57832294"/>
    <w:rsid w:val="5A006DE3"/>
    <w:rsid w:val="5BD25946"/>
    <w:rsid w:val="5C2D118F"/>
    <w:rsid w:val="5E136238"/>
    <w:rsid w:val="621A6DD3"/>
    <w:rsid w:val="624F1172"/>
    <w:rsid w:val="629767E0"/>
    <w:rsid w:val="63254EDB"/>
    <w:rsid w:val="64393839"/>
    <w:rsid w:val="64A62BA0"/>
    <w:rsid w:val="65C430D9"/>
    <w:rsid w:val="6AEF70EE"/>
    <w:rsid w:val="6C78592B"/>
    <w:rsid w:val="6CD94E77"/>
    <w:rsid w:val="6D9B07F5"/>
    <w:rsid w:val="756A3081"/>
    <w:rsid w:val="766A10B5"/>
    <w:rsid w:val="78122B38"/>
    <w:rsid w:val="79586707"/>
    <w:rsid w:val="7A8B0A3A"/>
    <w:rsid w:val="7B2F7C21"/>
    <w:rsid w:val="7C6473E5"/>
    <w:rsid w:val="7E576F8D"/>
    <w:rsid w:val="7F13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600" w:lineRule="exact"/>
      <w:outlineLvl w:val="0"/>
    </w:pPr>
    <w:rPr>
      <w:rFonts w:ascii="Times New Roman" w:hAnsi="Times New Roman" w:eastAsia="黑体"/>
      <w:kern w:val="44"/>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Times New Roman" w:hAnsi="Times New Roman" w:eastAsia="楷体_GB2312"/>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rFonts w:ascii="Times New Roman" w:hAnsi="Times New Roman" w:eastAsia="仿宋_GB231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spacing w:line="360" w:lineRule="auto"/>
      <w:ind w:firstLine="420"/>
    </w:pPr>
    <w:rPr>
      <w:rFonts w:ascii="宋体"/>
    </w:rPr>
  </w:style>
  <w:style w:type="paragraph" w:styleId="6">
    <w:name w:val="annotation text"/>
    <w:basedOn w:val="1"/>
    <w:qFormat/>
    <w:uiPriority w:val="0"/>
    <w:pPr>
      <w:jc w:val="left"/>
    </w:pPr>
  </w:style>
  <w:style w:type="paragraph" w:styleId="7">
    <w:name w:val="Body Text"/>
    <w:basedOn w:val="1"/>
    <w:next w:val="8"/>
    <w:qFormat/>
    <w:uiPriority w:val="1"/>
    <w:pPr>
      <w:ind w:left="142"/>
    </w:pPr>
    <w:rPr>
      <w:rFonts w:ascii="Arial" w:hAnsi="Arial" w:eastAsia="Arial"/>
      <w:sz w:val="28"/>
      <w:szCs w:val="28"/>
    </w:rPr>
  </w:style>
  <w:style w:type="paragraph" w:styleId="8">
    <w:name w:val="Title"/>
    <w:basedOn w:val="1"/>
    <w:next w:val="1"/>
    <w:qFormat/>
    <w:uiPriority w:val="0"/>
    <w:pPr>
      <w:spacing w:before="240" w:after="60"/>
      <w:jc w:val="center"/>
      <w:outlineLvl w:val="0"/>
    </w:pPr>
    <w:rPr>
      <w:rFonts w:ascii="Arial" w:hAnsi="Arial" w:eastAsia="隶书" w:cs="Arial"/>
      <w:b/>
      <w:bCs/>
      <w:sz w:val="32"/>
      <w:szCs w:val="32"/>
    </w:rPr>
  </w:style>
  <w:style w:type="paragraph" w:styleId="9">
    <w:name w:val="toc 3"/>
    <w:basedOn w:val="1"/>
    <w:next w:val="1"/>
    <w:qFormat/>
    <w:uiPriority w:val="0"/>
    <w:pPr>
      <w:ind w:left="840" w:leftChars="400"/>
    </w:pPr>
  </w:style>
  <w:style w:type="paragraph" w:styleId="10">
    <w:name w:val="Plain Text"/>
    <w:basedOn w:val="1"/>
    <w:qFormat/>
    <w:uiPriority w:val="0"/>
    <w:pPr>
      <w:spacing w:line="360" w:lineRule="auto"/>
      <w:ind w:firstLine="640" w:firstLineChars="200"/>
    </w:pPr>
    <w:rPr>
      <w:rFonts w:ascii="Times New Roman" w:hAnsi="Times New Roman" w:eastAsia="仿宋_GB2312" w:cs="Times New Roman"/>
      <w:sz w:val="32"/>
      <w:szCs w:val="21"/>
    </w:rPr>
  </w:style>
  <w:style w:type="paragraph" w:styleId="11">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12">
    <w:name w:val="header"/>
    <w:basedOn w:val="1"/>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7"/>
    <w:unhideWhenUsed/>
    <w:qFormat/>
    <w:uiPriority w:val="99"/>
    <w:pPr>
      <w:ind w:firstLine="420" w:firstLineChars="100"/>
    </w:pPr>
  </w:style>
  <w:style w:type="character" w:styleId="19">
    <w:name w:val="page number"/>
    <w:basedOn w:val="18"/>
    <w:qFormat/>
    <w:uiPriority w:val="99"/>
  </w:style>
  <w:style w:type="paragraph" w:customStyle="1" w:styleId="20">
    <w:name w:val="_Style 1"/>
    <w:basedOn w:val="1"/>
    <w:qFormat/>
    <w:uiPriority w:val="99"/>
    <w:pPr>
      <w:ind w:firstLine="420" w:firstLineChars="200"/>
    </w:pPr>
    <w:rPr>
      <w:szCs w:val="24"/>
    </w:rPr>
  </w:style>
  <w:style w:type="paragraph" w:customStyle="1" w:styleId="21">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paragraph" w:customStyle="1" w:styleId="22">
    <w:name w:val="表名"/>
    <w:basedOn w:val="1"/>
    <w:qFormat/>
    <w:uiPriority w:val="0"/>
    <w:pPr>
      <w:ind w:firstLine="0" w:firstLineChars="0"/>
      <w:jc w:val="center"/>
    </w:pPr>
    <w:rPr>
      <w:rFonts w:hint="default" w:ascii="Times New Roman" w:hAnsi="Times New Roman"/>
      <w:b/>
      <w:sz w:val="24"/>
    </w:rPr>
  </w:style>
  <w:style w:type="paragraph" w:customStyle="1" w:styleId="23">
    <w:name w:val="WPSOffice手动目录 1"/>
    <w:qFormat/>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6989</Words>
  <Characters>7304</Characters>
  <Lines>0</Lines>
  <Paragraphs>0</Paragraphs>
  <TotalTime>55</TotalTime>
  <ScaleCrop>false</ScaleCrop>
  <LinksUpToDate>false</LinksUpToDate>
  <CharactersWithSpaces>7372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2024-04-22T10:23:00Z</dcterms:created>
  <dc:creator>蔡旭</dc:creator>
  <cp:lastModifiedBy>此账号已停用</cp:lastModifiedBy>
  <cp:lastPrinted>2024-08-19T07:14:00Z</cp:lastPrinted>
  <dcterms:modified xsi:type="dcterms:W3CDTF">2025-11-17T07:39:53Z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5E995398427A4DC2A36B6AFB34921A13_13</vt:lpwstr>
  </property>
  <property fmtid="{D5CDD505-2E9C-101B-9397-08002B2CF9AE}" pid="4" name="KSOTemplateDocerSaveRecord">
    <vt:lpwstr>eyJoZGlkIjoiZWNmYmU1Mjc2Y2RjOTUzZWU3MWIxNGUzNDI2NmZmMmIiLCJ1c2VySWQiOiI0Mjk1NDY3ODUifQ==</vt:lpwstr>
  </property>
</Properties>
</file>