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outlineLvl w:val="0"/>
        <w:rPr>
          <w:rFonts w:hint="eastAsia" w:ascii="方正小标宋简体" w:hAnsi="方正小标宋简体" w:eastAsia="方正小标宋简体" w:cs="方正小标宋简体"/>
          <w:b w:val="0"/>
          <w:bCs/>
          <w:color w:val="auto"/>
          <w:sz w:val="44"/>
          <w:szCs w:val="44"/>
        </w:rPr>
      </w:pPr>
      <w:bookmarkStart w:id="0" w:name="heading_0"/>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outlineLvl w:val="0"/>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盐田区游泳馆</w:t>
      </w:r>
      <w:r>
        <w:rPr>
          <w:rFonts w:hint="eastAsia" w:ascii="方正小标宋简体" w:hAnsi="方正小标宋简体" w:eastAsia="方正小标宋简体" w:cs="方正小标宋简体"/>
          <w:b w:val="0"/>
          <w:bCs/>
          <w:color w:val="auto"/>
          <w:sz w:val="44"/>
          <w:szCs w:val="44"/>
          <w:lang w:val="en"/>
        </w:rPr>
        <w:t>修缮项目</w:t>
      </w:r>
      <w:r>
        <w:rPr>
          <w:rFonts w:hint="eastAsia" w:ascii="方正小标宋简体" w:hAnsi="方正小标宋简体" w:eastAsia="方正小标宋简体" w:cs="方正小标宋简体"/>
          <w:b w:val="0"/>
          <w:bCs/>
          <w:color w:val="auto"/>
          <w:sz w:val="44"/>
          <w:szCs w:val="44"/>
        </w:rPr>
        <w:t>需求书</w:t>
      </w:r>
      <w:bookmarkEnd w:id="0"/>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color w:val="auto"/>
        </w:rPr>
      </w:pPr>
    </w:p>
    <w:p>
      <w:pPr>
        <w:bidi w:val="0"/>
        <w:jc w:val="both"/>
        <w:rPr>
          <w:rFonts w:hint="eastAsia"/>
          <w:color w:val="auto"/>
          <w:sz w:val="32"/>
          <w:szCs w:val="32"/>
          <w:lang w:eastAsia="zh-CN"/>
        </w:rPr>
      </w:pPr>
      <w:r>
        <w:rPr>
          <w:rFonts w:hint="eastAsia"/>
          <w:color w:val="auto"/>
          <w:sz w:val="32"/>
          <w:szCs w:val="32"/>
        </w:rPr>
        <w:t>盐田区游泳馆建成于2015年，距今已使用10年，作为盐田区唯一的标准恒温游泳馆，承载着群众体育锻炼、青少年运动队专业训练等职能。目前，盐田区游泳馆存在池面天花坠物、一楼大堂天花渗水破损、淋浴间更衣室地砖不防滑等安全隐患，亟待解决。为消除安全隐患，维持场馆正常运营，优化市民锻炼体验，拟开展盐田区游泳馆修缮项目</w:t>
      </w:r>
      <w:r>
        <w:rPr>
          <w:rFonts w:hint="eastAsia"/>
          <w:color w:val="auto"/>
          <w:sz w:val="32"/>
          <w:szCs w:val="32"/>
          <w:lang w:eastAsia="zh-CN"/>
        </w:rPr>
        <w:t>。现</w:t>
      </w:r>
      <w:r>
        <w:rPr>
          <w:rFonts w:hint="eastAsia"/>
          <w:color w:val="auto"/>
          <w:sz w:val="32"/>
          <w:szCs w:val="32"/>
          <w:lang w:val="en-US" w:eastAsia="zh-CN"/>
        </w:rPr>
        <w:t>就</w:t>
      </w:r>
      <w:r>
        <w:rPr>
          <w:rFonts w:hint="eastAsia"/>
          <w:color w:val="auto"/>
          <w:sz w:val="32"/>
          <w:szCs w:val="32"/>
        </w:rPr>
        <w:t>盐田区游泳馆修缮项目</w:t>
      </w:r>
      <w:r>
        <w:rPr>
          <w:rFonts w:hint="eastAsia"/>
          <w:color w:val="auto"/>
          <w:sz w:val="32"/>
          <w:szCs w:val="32"/>
          <w:lang w:val="en-US" w:eastAsia="zh-CN"/>
        </w:rPr>
        <w:t>进行公开征集，有关情况如下</w:t>
      </w:r>
      <w:r>
        <w:rPr>
          <w:rFonts w:hint="eastAsia"/>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一、项目基本情况</w:t>
      </w:r>
    </w:p>
    <w:p>
      <w:pPr>
        <w:bidi w:val="0"/>
        <w:jc w:val="both"/>
        <w:rPr>
          <w:rFonts w:hint="eastAsia"/>
          <w:color w:val="auto"/>
          <w:sz w:val="32"/>
          <w:szCs w:val="32"/>
          <w:lang w:val="en" w:eastAsia="zh-CN"/>
        </w:rPr>
      </w:pPr>
      <w:r>
        <w:rPr>
          <w:rFonts w:hint="eastAsia"/>
          <w:color w:val="auto"/>
          <w:sz w:val="32"/>
          <w:szCs w:val="32"/>
          <w:lang w:val="en-US" w:eastAsia="zh-CN"/>
        </w:rPr>
        <w:t>（一）项目名称：</w:t>
      </w:r>
      <w:r>
        <w:rPr>
          <w:rFonts w:hint="eastAsia"/>
          <w:color w:val="auto"/>
          <w:sz w:val="32"/>
          <w:szCs w:val="32"/>
        </w:rPr>
        <w:t>盐田区游泳馆修缮</w:t>
      </w:r>
      <w:r>
        <w:rPr>
          <w:rFonts w:hint="eastAsia"/>
          <w:color w:val="auto"/>
          <w:sz w:val="32"/>
          <w:szCs w:val="32"/>
          <w:lang w:eastAsia="zh-CN"/>
        </w:rPr>
        <w:t>项目</w:t>
      </w:r>
    </w:p>
    <w:p>
      <w:pPr>
        <w:bidi w:val="0"/>
        <w:jc w:val="both"/>
        <w:rPr>
          <w:rFonts w:hint="eastAsia"/>
          <w:color w:val="auto"/>
          <w:sz w:val="32"/>
          <w:szCs w:val="32"/>
          <w:lang w:val="en-US" w:eastAsia="zh-CN"/>
        </w:rPr>
      </w:pPr>
      <w:r>
        <w:rPr>
          <w:rFonts w:hint="eastAsia"/>
          <w:color w:val="auto"/>
          <w:sz w:val="32"/>
          <w:szCs w:val="32"/>
          <w:lang w:val="en-US" w:eastAsia="zh-CN"/>
        </w:rPr>
        <w:t>（二）招标单位：深圳市盐田区文化广电旅游体育局</w:t>
      </w:r>
    </w:p>
    <w:p>
      <w:pPr>
        <w:bidi w:val="0"/>
        <w:jc w:val="both"/>
        <w:rPr>
          <w:rFonts w:hint="eastAsia"/>
          <w:color w:val="auto"/>
          <w:sz w:val="32"/>
          <w:szCs w:val="32"/>
          <w:lang w:val="en-US" w:eastAsia="zh-CN"/>
        </w:rPr>
      </w:pPr>
      <w:r>
        <w:rPr>
          <w:rFonts w:hint="eastAsia"/>
          <w:color w:val="auto"/>
          <w:sz w:val="32"/>
          <w:szCs w:val="32"/>
          <w:lang w:val="en-US" w:eastAsia="zh-CN"/>
        </w:rPr>
        <w:t>（三）招标方式：公开征集</w:t>
      </w:r>
    </w:p>
    <w:p>
      <w:pPr>
        <w:bidi w:val="0"/>
        <w:jc w:val="both"/>
        <w:rPr>
          <w:rFonts w:hint="default"/>
          <w:color w:val="auto"/>
          <w:sz w:val="32"/>
          <w:szCs w:val="32"/>
          <w:lang w:val="en-US" w:eastAsia="zh-CN"/>
        </w:rPr>
      </w:pPr>
      <w:r>
        <w:rPr>
          <w:rFonts w:hint="eastAsia"/>
          <w:color w:val="auto"/>
          <w:sz w:val="32"/>
          <w:szCs w:val="32"/>
          <w:lang w:val="en-US" w:eastAsia="zh-CN"/>
        </w:rPr>
        <w:t>（四）项目预算：458884.25元（含）以内</w:t>
      </w:r>
    </w:p>
    <w:p>
      <w:pPr>
        <w:bidi w:val="0"/>
        <w:jc w:val="both"/>
        <w:rPr>
          <w:rFonts w:hint="eastAsia"/>
          <w:color w:val="auto"/>
          <w:sz w:val="32"/>
          <w:szCs w:val="32"/>
          <w:lang w:val="en-US" w:eastAsia="zh-CN"/>
        </w:rPr>
      </w:pPr>
      <w:r>
        <w:rPr>
          <w:rFonts w:hint="eastAsia"/>
          <w:color w:val="auto"/>
          <w:sz w:val="32"/>
          <w:szCs w:val="32"/>
          <w:lang w:val="en-US" w:eastAsia="zh-CN"/>
        </w:rPr>
        <w:t>（五）评标方法：综合评分法</w:t>
      </w:r>
    </w:p>
    <w:p>
      <w:pPr>
        <w:bidi w:val="0"/>
        <w:jc w:val="both"/>
        <w:rPr>
          <w:rFonts w:hint="default"/>
          <w:color w:val="auto"/>
          <w:sz w:val="32"/>
          <w:szCs w:val="32"/>
          <w:lang w:val="en-US" w:eastAsia="zh-CN"/>
        </w:rPr>
      </w:pPr>
      <w:r>
        <w:rPr>
          <w:rFonts w:hint="eastAsia"/>
          <w:color w:val="auto"/>
          <w:sz w:val="32"/>
          <w:szCs w:val="32"/>
          <w:lang w:val="en-US" w:eastAsia="zh-CN"/>
        </w:rPr>
        <w:t>（六）项目期限：合同签订后60天</w:t>
      </w:r>
    </w:p>
    <w:p>
      <w:pPr>
        <w:bidi w:val="0"/>
        <w:jc w:val="both"/>
        <w:rPr>
          <w:rFonts w:hint="eastAsia"/>
          <w:color w:val="auto"/>
          <w:sz w:val="32"/>
          <w:szCs w:val="32"/>
          <w:lang w:val="en-US" w:eastAsia="zh-CN"/>
        </w:rPr>
      </w:pPr>
      <w:r>
        <w:rPr>
          <w:rFonts w:hint="eastAsia"/>
          <w:color w:val="auto"/>
          <w:sz w:val="32"/>
          <w:szCs w:val="32"/>
          <w:lang w:val="en-US" w:eastAsia="zh-CN"/>
        </w:rPr>
        <w:t>（七）工程地址：深圳市盐田区海涛路27号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eastAsia="zh-CN"/>
        </w:rPr>
      </w:pPr>
      <w:bookmarkStart w:id="1" w:name="heading_2"/>
      <w:r>
        <w:rPr>
          <w:rFonts w:hint="eastAsia" w:ascii="黑体" w:hAnsi="黑体" w:eastAsia="黑体" w:cs="黑体"/>
          <w:color w:val="auto"/>
          <w:sz w:val="32"/>
          <w:szCs w:val="32"/>
          <w:lang w:eastAsia="zh-CN"/>
        </w:rPr>
        <w:t>二、</w:t>
      </w:r>
      <w:bookmarkEnd w:id="1"/>
      <w:r>
        <w:rPr>
          <w:rFonts w:hint="eastAsia" w:ascii="黑体" w:hAnsi="黑体" w:eastAsia="黑体" w:cs="黑体"/>
          <w:color w:val="auto"/>
          <w:sz w:val="32"/>
          <w:szCs w:val="32"/>
          <w:lang w:eastAsia="zh-CN"/>
        </w:rPr>
        <w:t>供应商资格要求</w:t>
      </w:r>
    </w:p>
    <w:p>
      <w:pPr>
        <w:bidi w:val="0"/>
        <w:jc w:val="both"/>
        <w:rPr>
          <w:rFonts w:hint="eastAsia"/>
          <w:color w:val="auto"/>
          <w:sz w:val="32"/>
          <w:szCs w:val="32"/>
          <w:lang w:val="en-US" w:eastAsia="zh-CN"/>
        </w:rPr>
      </w:pPr>
      <w:r>
        <w:rPr>
          <w:rFonts w:hint="eastAsia"/>
          <w:color w:val="auto"/>
          <w:sz w:val="32"/>
          <w:szCs w:val="32"/>
          <w:lang w:val="en-US" w:eastAsia="zh-CN"/>
        </w:rPr>
        <w:t>（一）符合《中华人民共和国政府采购法》第二十二条规定的资质要求（由供应商作出承诺声明）；</w:t>
      </w:r>
    </w:p>
    <w:p>
      <w:pPr>
        <w:bidi w:val="0"/>
        <w:jc w:val="both"/>
        <w:rPr>
          <w:rFonts w:hint="eastAsia"/>
          <w:color w:val="auto"/>
          <w:sz w:val="32"/>
          <w:szCs w:val="32"/>
          <w:lang w:val="en-US" w:eastAsia="zh-CN"/>
        </w:rPr>
      </w:pPr>
      <w:r>
        <w:rPr>
          <w:rFonts w:hint="eastAsia"/>
          <w:color w:val="auto"/>
          <w:sz w:val="32"/>
          <w:szCs w:val="32"/>
          <w:lang w:val="en-US" w:eastAsia="zh-CN"/>
        </w:rPr>
        <w:t>（二）具有独立法人资格或具有独立承担民事责任的能力（提供营业执照或事业单位法人证书等法人证明扫描件，原件备查。分支机构参与投标的，须同时提供总公司授权文件且授权书载明其民事责任由总公司承担）；</w:t>
      </w:r>
    </w:p>
    <w:p>
      <w:pPr>
        <w:bidi w:val="0"/>
        <w:jc w:val="both"/>
        <w:rPr>
          <w:rFonts w:hint="eastAsia"/>
          <w:color w:val="auto"/>
          <w:sz w:val="32"/>
          <w:szCs w:val="32"/>
          <w:lang w:val="en-US" w:eastAsia="zh-CN"/>
        </w:rPr>
      </w:pPr>
      <w:r>
        <w:rPr>
          <w:rFonts w:hint="eastAsia"/>
          <w:color w:val="auto"/>
          <w:sz w:val="32"/>
          <w:szCs w:val="32"/>
          <w:lang w:val="en-US" w:eastAsia="zh-CN"/>
        </w:rPr>
        <w:t>（三）参与本项目政府采购活动时不存在被有关部门禁止参与政府采购活动且在有效期内的情况（由供应商作出承诺声明）；</w:t>
      </w:r>
    </w:p>
    <w:p>
      <w:pPr>
        <w:bidi w:val="0"/>
        <w:jc w:val="both"/>
        <w:rPr>
          <w:rFonts w:hint="eastAsia"/>
          <w:color w:val="auto"/>
          <w:sz w:val="32"/>
          <w:szCs w:val="32"/>
          <w:lang w:val="en-US" w:eastAsia="zh-CN"/>
        </w:rPr>
      </w:pPr>
      <w:r>
        <w:rPr>
          <w:rFonts w:hint="eastAsia"/>
          <w:color w:val="auto"/>
          <w:sz w:val="32"/>
          <w:szCs w:val="32"/>
          <w:lang w:val="en-US" w:eastAsia="zh-CN"/>
        </w:rPr>
        <w:t>（四）未被列入失信被执行人、重大税收违法案件当事人名单、政府采购严重违法失信行为记录名单（由供应商作出承诺声明）；</w:t>
      </w:r>
    </w:p>
    <w:p>
      <w:pPr>
        <w:bidi w:val="0"/>
        <w:jc w:val="both"/>
        <w:rPr>
          <w:rFonts w:hint="eastAsia"/>
          <w:color w:val="auto"/>
          <w:sz w:val="32"/>
          <w:szCs w:val="32"/>
          <w:lang w:val="en-US" w:eastAsia="zh-CN"/>
        </w:rPr>
      </w:pPr>
      <w:r>
        <w:rPr>
          <w:rFonts w:hint="eastAsia"/>
          <w:color w:val="auto"/>
          <w:sz w:val="32"/>
          <w:szCs w:val="32"/>
          <w:lang w:val="en-US" w:eastAsia="zh-CN"/>
        </w:rPr>
        <w:t>（五）不存在《深圳市财政局政府采购供应商信用信息管理办法》（深财规【2023】3号）列明的严重违法失信行为（由供应商作出承诺声明）；</w:t>
      </w:r>
    </w:p>
    <w:p>
      <w:pPr>
        <w:bidi w:val="0"/>
        <w:jc w:val="both"/>
        <w:rPr>
          <w:rFonts w:hint="eastAsia"/>
          <w:color w:val="auto"/>
          <w:sz w:val="32"/>
          <w:szCs w:val="32"/>
          <w:lang w:val="en-US" w:eastAsia="zh-CN"/>
        </w:rPr>
      </w:pPr>
      <w:r>
        <w:rPr>
          <w:rFonts w:hint="eastAsia"/>
          <w:color w:val="auto"/>
          <w:sz w:val="32"/>
          <w:szCs w:val="32"/>
          <w:lang w:val="en-US" w:eastAsia="zh-CN"/>
        </w:rPr>
        <w:t>（六）法定代表人、主要经营负责人、投标授权代表人、项目负责人、主要技术人员为同一人、属同一单位或者在同一单位缴纳社会保险以及存在直接控股、管理关系的不同供应商，不得参加同一合同项下的政府采购活动；为采购项目提供整体设计、规范编制或者项目管理、监理、检测等服务的供应商，不得再参加该采购项目的其他采购活动（由供应商作出承诺声明，并提供《供应商基本情况表》）；</w:t>
      </w:r>
    </w:p>
    <w:p>
      <w:pPr>
        <w:bidi w:val="0"/>
        <w:jc w:val="both"/>
        <w:rPr>
          <w:rFonts w:hint="eastAsia"/>
          <w:color w:val="auto"/>
          <w:sz w:val="32"/>
          <w:szCs w:val="32"/>
          <w:lang w:val="en-US" w:eastAsia="zh-CN"/>
        </w:rPr>
      </w:pPr>
      <w:r>
        <w:rPr>
          <w:rFonts w:hint="eastAsia"/>
          <w:color w:val="auto"/>
          <w:sz w:val="32"/>
          <w:szCs w:val="32"/>
          <w:lang w:val="en-US" w:eastAsia="zh-CN"/>
        </w:rPr>
        <w:t>（七）本项目不接受任何形式的联合体投标，不允许分包或转包；</w:t>
      </w:r>
    </w:p>
    <w:p>
      <w:pPr>
        <w:bidi w:val="0"/>
        <w:jc w:val="both"/>
        <w:rPr>
          <w:rFonts w:hint="eastAsia"/>
          <w:color w:val="auto"/>
          <w:sz w:val="32"/>
          <w:szCs w:val="32"/>
          <w:lang w:val="en-US" w:eastAsia="zh-CN"/>
        </w:rPr>
      </w:pPr>
      <w:r>
        <w:rPr>
          <w:rFonts w:hint="eastAsia"/>
          <w:color w:val="auto"/>
          <w:sz w:val="32"/>
          <w:szCs w:val="32"/>
          <w:lang w:val="en-US" w:eastAsia="zh-CN"/>
        </w:rPr>
        <w:t>（八）投标人须同时具备建筑工程施工总承包二级及以上资质且具备防水防腐保温工程专业承包二级及以上资质；</w:t>
      </w:r>
    </w:p>
    <w:p>
      <w:pPr>
        <w:bidi w:val="0"/>
        <w:jc w:val="both"/>
        <w:rPr>
          <w:rFonts w:hint="eastAsia"/>
          <w:color w:val="auto"/>
          <w:sz w:val="32"/>
          <w:szCs w:val="32"/>
          <w:lang w:val="en-US" w:eastAsia="zh-CN"/>
        </w:rPr>
      </w:pPr>
      <w:r>
        <w:rPr>
          <w:rFonts w:hint="eastAsia"/>
          <w:color w:val="auto"/>
          <w:sz w:val="32"/>
          <w:szCs w:val="32"/>
          <w:lang w:val="en-US" w:eastAsia="zh-CN"/>
        </w:rPr>
        <w:t>（九）具备有效期内的《安全生产许可证》；</w:t>
      </w:r>
    </w:p>
    <w:p>
      <w:pPr>
        <w:bidi w:val="0"/>
        <w:jc w:val="both"/>
        <w:rPr>
          <w:rFonts w:hint="eastAsia"/>
          <w:color w:val="auto"/>
          <w:sz w:val="32"/>
          <w:szCs w:val="32"/>
        </w:rPr>
      </w:pPr>
      <w:r>
        <w:rPr>
          <w:rFonts w:hint="eastAsia"/>
          <w:color w:val="auto"/>
          <w:sz w:val="32"/>
          <w:szCs w:val="32"/>
          <w:lang w:val="en-US" w:eastAsia="zh-CN"/>
        </w:rPr>
        <w:t>（十）投标人的项目负责人须同时具备有效的二级及以上注册建造师证（建筑工程专业）及项目负责人安全生产考核合格证。</w:t>
      </w:r>
    </w:p>
    <w:p>
      <w:pPr>
        <w:pStyle w:val="3"/>
        <w:keepNext/>
        <w:keepLines/>
        <w:pageBreakBefore w:val="0"/>
        <w:widowControl/>
        <w:kinsoku/>
        <w:wordWrap/>
        <w:overflowPunct/>
        <w:topLinePunct w:val="0"/>
        <w:autoSpaceDE/>
        <w:autoSpaceDN/>
        <w:bidi w:val="0"/>
        <w:adjustRightInd/>
        <w:snapToGrid/>
        <w:spacing w:before="0" w:after="0" w:line="560" w:lineRule="exact"/>
        <w:ind w:left="0" w:leftChars="0" w:right="0" w:firstLine="640" w:firstLineChars="200"/>
        <w:textAlignment w:val="auto"/>
        <w:rPr>
          <w:rFonts w:hint="eastAsia" w:ascii="黑体" w:hAnsi="黑体" w:eastAsia="黑体" w:cs="黑体"/>
          <w:b w:val="0"/>
          <w:bCs/>
          <w:color w:val="auto"/>
          <w:sz w:val="32"/>
          <w:szCs w:val="32"/>
          <w:lang w:val="zh-CN"/>
        </w:rPr>
      </w:pPr>
      <w:r>
        <w:rPr>
          <w:rFonts w:hint="eastAsia" w:ascii="黑体" w:hAnsi="黑体" w:eastAsia="黑体" w:cs="黑体"/>
          <w:b w:val="0"/>
          <w:bCs/>
          <w:color w:val="auto"/>
          <w:sz w:val="32"/>
          <w:szCs w:val="32"/>
        </w:rPr>
        <w:t>三、</w:t>
      </w:r>
      <w:r>
        <w:rPr>
          <w:rFonts w:hint="eastAsia" w:ascii="黑体" w:hAnsi="黑体" w:eastAsia="黑体" w:cs="黑体"/>
          <w:b w:val="0"/>
          <w:bCs/>
          <w:color w:val="auto"/>
          <w:sz w:val="32"/>
          <w:szCs w:val="32"/>
          <w:lang w:val="zh-CN"/>
        </w:rPr>
        <w:t>商务要求</w:t>
      </w:r>
    </w:p>
    <w:tbl>
      <w:tblPr>
        <w:tblStyle w:val="1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115"/>
        <w:gridCol w:w="7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 w:type="pct"/>
            <w:vAlign w:val="center"/>
          </w:tcPr>
          <w:p>
            <w:pPr>
              <w:pStyle w:val="20"/>
              <w:pageBreakBefore w:val="0"/>
              <w:kinsoku/>
              <w:overflowPunct/>
              <w:topLinePunct w:val="0"/>
              <w:bidi w:val="0"/>
              <w:spacing w:line="240" w:lineRule="auto"/>
              <w:ind w:left="0" w:leftChars="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608" w:type="pct"/>
            <w:vAlign w:val="center"/>
          </w:tcPr>
          <w:p>
            <w:pPr>
              <w:pStyle w:val="20"/>
              <w:pageBreakBefore w:val="0"/>
              <w:kinsoku/>
              <w:overflowPunct/>
              <w:topLinePunct w:val="0"/>
              <w:bidi w:val="0"/>
              <w:spacing w:line="240" w:lineRule="auto"/>
              <w:ind w:left="0" w:leftChars="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目录</w:t>
            </w:r>
          </w:p>
        </w:tc>
        <w:tc>
          <w:tcPr>
            <w:tcW w:w="3951" w:type="pct"/>
            <w:vAlign w:val="center"/>
          </w:tcPr>
          <w:p>
            <w:pPr>
              <w:pStyle w:val="20"/>
              <w:pageBreakBefore w:val="0"/>
              <w:kinsoku/>
              <w:overflowPunct/>
              <w:topLinePunct w:val="0"/>
              <w:bidi w:val="0"/>
              <w:spacing w:line="240" w:lineRule="auto"/>
              <w:ind w:left="0" w:leftChars="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 w:type="pct"/>
            <w:vAlign w:val="center"/>
          </w:tcPr>
          <w:p>
            <w:pPr>
              <w:pStyle w:val="9"/>
              <w:pageBreakBefore w:val="0"/>
              <w:kinsoku/>
              <w:overflowPunct/>
              <w:topLinePunct w:val="0"/>
              <w:bidi w:val="0"/>
              <w:spacing w:line="240" w:lineRule="auto"/>
              <w:ind w:left="0" w:leftChars="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608" w:type="pct"/>
            <w:vAlign w:val="center"/>
          </w:tcPr>
          <w:p>
            <w:pPr>
              <w:pStyle w:val="9"/>
              <w:pageBreakBefore w:val="0"/>
              <w:kinsoku/>
              <w:overflowPunct/>
              <w:topLinePunct w:val="0"/>
              <w:bidi w:val="0"/>
              <w:spacing w:line="240" w:lineRule="auto"/>
              <w:ind w:left="0" w:leftChars="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报价</w:t>
            </w:r>
          </w:p>
        </w:tc>
        <w:tc>
          <w:tcPr>
            <w:tcW w:w="3951" w:type="pct"/>
            <w:vAlign w:val="center"/>
          </w:tcPr>
          <w:p>
            <w:pPr>
              <w:pStyle w:val="12"/>
              <w:pageBreakBefore w:val="0"/>
              <w:numPr>
                <w:ilvl w:val="0"/>
                <w:numId w:val="0"/>
              </w:numPr>
              <w:kinsoku/>
              <w:overflowPunct/>
              <w:topLinePunct w:val="0"/>
              <w:bidi w:val="0"/>
              <w:spacing w:line="240" w:lineRule="auto"/>
              <w:ind w:leftChars="0" w:right="0" w:right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本项目不可竞争费共31859.07元（其中：安全文明措施费：10056.02元，暂列金额：21788.61元）</w:t>
            </w:r>
          </w:p>
          <w:p>
            <w:pPr>
              <w:pStyle w:val="12"/>
              <w:pageBreakBefore w:val="0"/>
              <w:numPr>
                <w:ilvl w:val="0"/>
                <w:numId w:val="0"/>
              </w:numPr>
              <w:kinsoku/>
              <w:overflowPunct/>
              <w:topLinePunct w:val="0"/>
              <w:bidi w:val="0"/>
              <w:spacing w:line="240" w:lineRule="auto"/>
              <w:ind w:leftChars="0" w:right="0" w:right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投标人应根据本企业的成本自行决定报价，但不得以低于其企业成本的报价投标：</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投标人报价明显低于成本或其他通过符合性审查投标人的报价，有可能影响服务质量或者不能诚信履约的，评审委员会应当要求其对成本构成进行介绍，并要求投标人用书面的形式进行报价合理性说明（在保证质量的前提下，能够大幅节省经费的手段或原因）；</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未做出报价合理性说明的，评审委员会认定为该报价低于成本价，并按投标无效处理。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 w:type="pct"/>
            <w:vAlign w:val="center"/>
          </w:tcPr>
          <w:p>
            <w:pPr>
              <w:pStyle w:val="9"/>
              <w:pageBreakBefore w:val="0"/>
              <w:kinsoku/>
              <w:overflowPunct/>
              <w:topLinePunct w:val="0"/>
              <w:bidi w:val="0"/>
              <w:spacing w:line="240" w:lineRule="auto"/>
              <w:ind w:left="0" w:leftChars="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608" w:type="pct"/>
            <w:vAlign w:val="center"/>
          </w:tcPr>
          <w:p>
            <w:pPr>
              <w:pStyle w:val="9"/>
              <w:pageBreakBefore w:val="0"/>
              <w:kinsoku/>
              <w:overflowPunct/>
              <w:topLinePunct w:val="0"/>
              <w:bidi w:val="0"/>
              <w:spacing w:line="240" w:lineRule="auto"/>
              <w:ind w:left="0" w:leftChars="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工期</w:t>
            </w:r>
          </w:p>
        </w:tc>
        <w:tc>
          <w:tcPr>
            <w:tcW w:w="3951" w:type="pct"/>
            <w:vAlign w:val="center"/>
          </w:tcPr>
          <w:p>
            <w:pPr>
              <w:pStyle w:val="12"/>
              <w:pageBreakBefore w:val="0"/>
              <w:kinsoku/>
              <w:overflowPunct/>
              <w:topLinePunct w:val="0"/>
              <w:bidi w:val="0"/>
              <w:spacing w:line="240" w:lineRule="auto"/>
              <w:ind w:left="0" w:leftChars="0" w:right="0"/>
              <w:jc w:val="both"/>
              <w:rPr>
                <w:rFonts w:hint="eastAsia" w:ascii="仿宋_GB2312" w:hAnsi="仿宋_GB2312" w:eastAsia="仿宋_GB2312" w:cs="仿宋_GB2312"/>
                <w:color w:val="auto"/>
                <w:sz w:val="24"/>
                <w:szCs w:val="24"/>
              </w:rPr>
            </w:pPr>
            <w:r>
              <w:rPr>
                <w:rFonts w:hint="eastAsia" w:eastAsia="仿宋_GB2312" w:cs="仿宋_GB2312"/>
                <w:color w:val="auto"/>
                <w:sz w:val="24"/>
                <w:szCs w:val="24"/>
                <w:lang w:eastAsia="zh-CN"/>
              </w:rPr>
              <w:t>工期</w:t>
            </w:r>
            <w:r>
              <w:rPr>
                <w:rFonts w:hint="eastAsia" w:ascii="仿宋_GB2312" w:hAnsi="仿宋_GB2312" w:eastAsia="仿宋_GB2312" w:cs="仿宋_GB2312"/>
                <w:color w:val="auto"/>
                <w:sz w:val="24"/>
                <w:szCs w:val="24"/>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 w:type="pct"/>
            <w:vAlign w:val="center"/>
          </w:tcPr>
          <w:p>
            <w:pPr>
              <w:pStyle w:val="9"/>
              <w:pageBreakBefore w:val="0"/>
              <w:kinsoku/>
              <w:overflowPunct/>
              <w:topLinePunct w:val="0"/>
              <w:bidi w:val="0"/>
              <w:spacing w:line="240" w:lineRule="auto"/>
              <w:ind w:left="0" w:leftChars="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608" w:type="pct"/>
            <w:vAlign w:val="center"/>
          </w:tcPr>
          <w:p>
            <w:pPr>
              <w:pStyle w:val="9"/>
              <w:pageBreakBefore w:val="0"/>
              <w:kinsoku/>
              <w:overflowPunct/>
              <w:topLinePunct w:val="0"/>
              <w:bidi w:val="0"/>
              <w:spacing w:line="240" w:lineRule="auto"/>
              <w:ind w:left="0" w:leftChars="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售后</w:t>
            </w:r>
          </w:p>
        </w:tc>
        <w:tc>
          <w:tcPr>
            <w:tcW w:w="3951" w:type="pct"/>
            <w:vAlign w:val="center"/>
          </w:tcPr>
          <w:p>
            <w:pPr>
              <w:pStyle w:val="12"/>
              <w:pageBreakBefore w:val="0"/>
              <w:kinsoku/>
              <w:overflowPunct/>
              <w:topLinePunct w:val="0"/>
              <w:bidi w:val="0"/>
              <w:spacing w:line="240" w:lineRule="auto"/>
              <w:ind w:left="0" w:leftChars="0" w:right="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包括但不限于以下内容：</w:t>
            </w:r>
          </w:p>
          <w:p>
            <w:pPr>
              <w:pStyle w:val="12"/>
              <w:pageBreakBefore w:val="0"/>
              <w:kinsoku/>
              <w:overflowPunct/>
              <w:topLinePunct w:val="0"/>
              <w:bidi w:val="0"/>
              <w:spacing w:line="240" w:lineRule="auto"/>
              <w:ind w:left="0" w:leftChars="0" w:right="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保修、售后服务要求、发生问题处理意见：项目自竣工验收证书签字之日起保修</w:t>
            </w:r>
            <w:r>
              <w:rPr>
                <w:rFonts w:hint="eastAsia"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val="en-US" w:eastAsia="zh-CN"/>
              </w:rPr>
              <w:t>年</w:t>
            </w:r>
            <w:r>
              <w:rPr>
                <w:rFonts w:hint="eastAsia" w:eastAsia="仿宋_GB2312" w:cs="仿宋_GB2312"/>
                <w:color w:val="auto"/>
                <w:sz w:val="24"/>
                <w:szCs w:val="24"/>
                <w:lang w:val="en-US" w:eastAsia="zh-CN"/>
              </w:rPr>
              <w:t>（防水工程部分质保期为5年）</w:t>
            </w:r>
            <w:r>
              <w:rPr>
                <w:rFonts w:hint="eastAsia" w:ascii="仿宋_GB2312" w:hAnsi="仿宋_GB2312" w:eastAsia="仿宋_GB2312" w:cs="仿宋_GB2312"/>
                <w:color w:val="auto"/>
                <w:sz w:val="24"/>
                <w:szCs w:val="24"/>
              </w:rPr>
              <w:t>。在质保期内，供应商应建立定期回访制度，至少每6个月对项目进行一次回访，检查工程质量情况，及时发现并解决潜在问题；</w:t>
            </w:r>
          </w:p>
          <w:p>
            <w:pPr>
              <w:pStyle w:val="12"/>
              <w:pageBreakBefore w:val="0"/>
              <w:kinsoku/>
              <w:overflowPunct/>
              <w:topLinePunct w:val="0"/>
              <w:bidi w:val="0"/>
              <w:spacing w:line="240" w:lineRule="auto"/>
              <w:ind w:left="0" w:leftChars="0" w:right="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对于甲方在质保期内反馈的问题，供应商应在接到通知后的1小时内做出响应，2小时内到达现场（特殊情况除外，但应明确说明最长响应时间），及时处理问题；</w:t>
            </w:r>
          </w:p>
          <w:p>
            <w:pPr>
              <w:pStyle w:val="12"/>
              <w:pageBreakBefore w:val="0"/>
              <w:kinsoku/>
              <w:overflowPunct/>
              <w:topLinePunct w:val="0"/>
              <w:bidi w:val="0"/>
              <w:spacing w:line="240" w:lineRule="auto"/>
              <w:ind w:left="0" w:leftChars="0" w:right="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在质保期外，供应商应继续为甲方提供技术咨询服务，甲方如有维修或改造需求，供应商应在合理价格范围内优先为甲方提供服务。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 w:type="pct"/>
            <w:vAlign w:val="center"/>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608" w:type="pct"/>
            <w:vAlign w:val="center"/>
          </w:tcPr>
          <w:p>
            <w:pPr>
              <w:pageBreakBefore w:val="0"/>
              <w:kinsoku/>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付款方式</w:t>
            </w:r>
          </w:p>
        </w:tc>
        <w:tc>
          <w:tcPr>
            <w:tcW w:w="3951" w:type="pct"/>
            <w:vAlign w:val="center"/>
          </w:tcPr>
          <w:p>
            <w:pPr>
              <w:pStyle w:val="12"/>
              <w:pageBreakBefore w:val="0"/>
              <w:numPr>
                <w:ilvl w:val="0"/>
                <w:numId w:val="1"/>
              </w:numPr>
              <w:kinsoku/>
              <w:overflowPunct/>
              <w:topLinePunct w:val="0"/>
              <w:bidi w:val="0"/>
              <w:spacing w:line="240" w:lineRule="auto"/>
              <w:ind w:left="0" w:leftChars="0" w:right="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预付款：本工程的工程预付款比例为签约合同价的</w:t>
            </w:r>
            <w:r>
              <w:rPr>
                <w:rFonts w:hint="eastAsia" w:eastAsia="仿宋_GB2312" w:cs="仿宋_GB2312"/>
                <w:color w:val="auto"/>
                <w:sz w:val="24"/>
                <w:szCs w:val="24"/>
                <w:highlight w:val="red"/>
                <w:lang w:val="en-US" w:eastAsia="zh-CN"/>
              </w:rPr>
              <w:t>30</w:t>
            </w:r>
            <w:r>
              <w:rPr>
                <w:rFonts w:hint="eastAsia" w:ascii="仿宋_GB2312" w:hAnsi="仿宋_GB2312" w:eastAsia="仿宋_GB2312" w:cs="仿宋_GB2312"/>
                <w:color w:val="auto"/>
                <w:sz w:val="24"/>
                <w:szCs w:val="24"/>
                <w:highlight w:val="red"/>
              </w:rPr>
              <w:t>%</w:t>
            </w:r>
            <w:r>
              <w:rPr>
                <w:rFonts w:hint="eastAsia" w:ascii="仿宋_GB2312" w:hAnsi="仿宋_GB2312" w:eastAsia="仿宋_GB2312" w:cs="仿宋_GB2312"/>
                <w:color w:val="auto"/>
                <w:sz w:val="24"/>
                <w:szCs w:val="24"/>
              </w:rPr>
              <w:t>。</w:t>
            </w:r>
          </w:p>
          <w:p>
            <w:pPr>
              <w:pStyle w:val="12"/>
              <w:pageBreakBefore w:val="0"/>
              <w:numPr>
                <w:ilvl w:val="0"/>
                <w:numId w:val="1"/>
              </w:numPr>
              <w:kinsoku/>
              <w:overflowPunct/>
              <w:topLinePunct w:val="0"/>
              <w:bidi w:val="0"/>
              <w:spacing w:line="240" w:lineRule="auto"/>
              <w:ind w:left="0" w:leftChars="0" w:right="0"/>
              <w:jc w:val="both"/>
              <w:rPr>
                <w:rFonts w:hint="eastAsia" w:ascii="仿宋_GB2312" w:hAnsi="仿宋_GB2312" w:eastAsia="仿宋_GB2312" w:cs="仿宋_GB2312"/>
                <w:color w:val="auto"/>
                <w:sz w:val="24"/>
                <w:szCs w:val="24"/>
              </w:rPr>
            </w:pPr>
            <w:r>
              <w:rPr>
                <w:rFonts w:hint="eastAsia" w:eastAsia="仿宋_GB2312" w:cs="仿宋_GB2312"/>
                <w:color w:val="auto"/>
                <w:sz w:val="24"/>
                <w:szCs w:val="24"/>
                <w:lang w:eastAsia="zh-CN"/>
              </w:rPr>
              <w:t>进度款：</w:t>
            </w:r>
            <w:r>
              <w:rPr>
                <w:rFonts w:hint="eastAsia" w:ascii="仿宋_GB2312" w:hAnsi="仿宋_GB2312" w:eastAsia="仿宋_GB2312" w:cs="仿宋_GB2312"/>
                <w:color w:val="auto"/>
                <w:sz w:val="24"/>
                <w:szCs w:val="24"/>
              </w:rPr>
              <w:t>进度款支付至合同价的</w:t>
            </w:r>
            <w:r>
              <w:rPr>
                <w:rFonts w:hint="eastAsia" w:ascii="仿宋_GB2312" w:hAnsi="仿宋_GB2312" w:eastAsia="仿宋_GB2312" w:cs="仿宋_GB2312"/>
                <w:color w:val="auto"/>
                <w:sz w:val="24"/>
                <w:szCs w:val="24"/>
                <w:lang w:val="en-US" w:eastAsia="zh-CN"/>
              </w:rPr>
              <w:t>80</w:t>
            </w:r>
            <w:r>
              <w:rPr>
                <w:rFonts w:hint="eastAsia" w:ascii="仿宋_GB2312" w:hAnsi="仿宋_GB2312" w:eastAsia="仿宋_GB2312" w:cs="仿宋_GB2312"/>
                <w:color w:val="auto"/>
                <w:sz w:val="24"/>
                <w:szCs w:val="24"/>
              </w:rPr>
              <w:t>%时不再支付</w:t>
            </w:r>
            <w:r>
              <w:rPr>
                <w:rFonts w:hint="eastAsia" w:eastAsia="仿宋_GB2312" w:cs="仿宋_GB2312"/>
                <w:color w:val="auto"/>
                <w:sz w:val="24"/>
                <w:szCs w:val="24"/>
                <w:lang w:eastAsia="zh-CN"/>
              </w:rPr>
              <w:t>。</w:t>
            </w:r>
          </w:p>
          <w:p>
            <w:pPr>
              <w:pStyle w:val="12"/>
              <w:pageBreakBefore w:val="0"/>
              <w:kinsoku/>
              <w:overflowPunct/>
              <w:topLinePunct w:val="0"/>
              <w:bidi w:val="0"/>
              <w:spacing w:line="240" w:lineRule="auto"/>
              <w:ind w:left="0" w:leftChars="0" w:right="0"/>
              <w:jc w:val="both"/>
              <w:rPr>
                <w:rFonts w:hint="eastAsia" w:ascii="仿宋_GB2312" w:hAnsi="仿宋_GB2312" w:eastAsia="仿宋_GB2312" w:cs="仿宋_GB2312"/>
                <w:color w:val="auto"/>
                <w:sz w:val="24"/>
                <w:szCs w:val="24"/>
              </w:rPr>
            </w:pPr>
            <w:r>
              <w:rPr>
                <w:rFonts w:hint="eastAsia"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工程竣工验收</w:t>
            </w:r>
            <w:r>
              <w:rPr>
                <w:rFonts w:hint="eastAsia" w:ascii="仿宋_GB2312" w:hAnsi="仿宋_GB2312" w:eastAsia="仿宋_GB2312" w:cs="仿宋_GB2312"/>
                <w:color w:val="auto"/>
                <w:sz w:val="24"/>
                <w:szCs w:val="24"/>
                <w:lang w:eastAsia="zh-CN"/>
              </w:rPr>
              <w:t>并</w:t>
            </w:r>
            <w:r>
              <w:rPr>
                <w:rFonts w:hint="eastAsia" w:ascii="仿宋_GB2312" w:hAnsi="仿宋_GB2312" w:eastAsia="仿宋_GB2312" w:cs="仿宋_GB2312"/>
                <w:color w:val="auto"/>
                <w:sz w:val="24"/>
                <w:szCs w:val="24"/>
              </w:rPr>
              <w:t>经结算完成后支付至结算价的97%，剩余3%作为保修金在保修期满后，扣除相关费用后支付。</w:t>
            </w:r>
          </w:p>
          <w:p>
            <w:pPr>
              <w:pStyle w:val="12"/>
              <w:pageBreakBefore w:val="0"/>
              <w:kinsoku/>
              <w:overflowPunct/>
              <w:topLinePunct w:val="0"/>
              <w:bidi w:val="0"/>
              <w:spacing w:line="240" w:lineRule="auto"/>
              <w:ind w:left="0" w:leftChars="0" w:right="0"/>
              <w:jc w:val="both"/>
              <w:rPr>
                <w:rFonts w:hint="eastAsia" w:ascii="仿宋_GB2312" w:hAnsi="仿宋_GB2312" w:eastAsia="仿宋_GB2312" w:cs="仿宋_GB2312"/>
                <w:color w:val="auto"/>
                <w:sz w:val="24"/>
                <w:szCs w:val="24"/>
              </w:rPr>
            </w:pPr>
            <w:r>
              <w:rPr>
                <w:rFonts w:hint="eastAsia" w:eastAsia="仿宋_GB2312" w:cs="仿宋_GB2312"/>
                <w:color w:val="auto"/>
                <w:sz w:val="24"/>
                <w:szCs w:val="24"/>
                <w:lang w:val="en-US" w:eastAsia="zh-CN"/>
              </w:rPr>
              <w:t>4</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工程保修期为</w:t>
            </w:r>
            <w:r>
              <w:rPr>
                <w:rFonts w:hint="eastAsia"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年</w:t>
            </w:r>
            <w:r>
              <w:rPr>
                <w:rFonts w:hint="eastAsia" w:eastAsia="仿宋_GB2312" w:cs="仿宋_GB2312"/>
                <w:color w:val="auto"/>
                <w:sz w:val="24"/>
                <w:szCs w:val="24"/>
                <w:lang w:eastAsia="zh-CN"/>
              </w:rPr>
              <w:t>（防水工程部分质保期为</w:t>
            </w:r>
            <w:r>
              <w:rPr>
                <w:rFonts w:hint="eastAsia" w:eastAsia="仿宋_GB2312" w:cs="仿宋_GB2312"/>
                <w:color w:val="auto"/>
                <w:sz w:val="24"/>
                <w:szCs w:val="24"/>
                <w:lang w:val="en-US" w:eastAsia="zh-CN"/>
              </w:rPr>
              <w:t>5年</w:t>
            </w:r>
            <w:r>
              <w:rPr>
                <w:rFonts w:hint="eastAsia" w:eastAsia="仿宋_GB2312" w:cs="仿宋_GB2312"/>
                <w:color w:val="auto"/>
                <w:sz w:val="24"/>
                <w:szCs w:val="24"/>
                <w:lang w:eastAsia="zh-CN"/>
              </w:rPr>
              <w:t>）</w:t>
            </w:r>
            <w:r>
              <w:rPr>
                <w:rFonts w:hint="eastAsia" w:ascii="仿宋_GB2312" w:hAnsi="仿宋_GB2312" w:eastAsia="仿宋_GB2312" w:cs="仿宋_GB2312"/>
                <w:color w:val="auto"/>
                <w:sz w:val="24"/>
                <w:szCs w:val="24"/>
              </w:rPr>
              <w:t>，保修期从工程竣工验收合格之日算起。</w:t>
            </w:r>
          </w:p>
          <w:p>
            <w:pPr>
              <w:pStyle w:val="12"/>
              <w:pageBreakBefore w:val="0"/>
              <w:kinsoku/>
              <w:overflowPunct/>
              <w:topLinePunct w:val="0"/>
              <w:bidi w:val="0"/>
              <w:spacing w:line="240" w:lineRule="auto"/>
              <w:ind w:left="0" w:leftChars="0" w:right="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中标人应当自行保证收款信息的真实性、准确性和合法有效性，如有违反导致中标人无法收到采购人支付款项的，采购人不承担任何责任，由中标人自行承担。</w:t>
            </w:r>
          </w:p>
        </w:tc>
      </w:tr>
    </w:tbl>
    <w:p>
      <w:pPr>
        <w:pStyle w:val="3"/>
        <w:keepNext/>
        <w:keepLines/>
        <w:pageBreakBefore w:val="0"/>
        <w:widowControl/>
        <w:kinsoku/>
        <w:wordWrap/>
        <w:overflowPunct/>
        <w:topLinePunct w:val="0"/>
        <w:autoSpaceDE/>
        <w:autoSpaceDN/>
        <w:bidi w:val="0"/>
        <w:adjustRightInd/>
        <w:snapToGrid/>
        <w:spacing w:before="0" w:after="0" w:line="560" w:lineRule="exact"/>
        <w:ind w:left="0" w:leftChars="0" w:right="0" w:firstLine="640" w:firstLineChars="200"/>
        <w:textAlignment w:val="auto"/>
        <w:rPr>
          <w:rFonts w:hint="eastAsia" w:ascii="仿宋_GB2312" w:hAnsi="仿宋_GB2312" w:eastAsia="仿宋_GB2312" w:cs="仿宋_GB2312"/>
          <w:color w:val="auto"/>
          <w:sz w:val="32"/>
          <w:szCs w:val="32"/>
        </w:rPr>
      </w:pPr>
      <w:bookmarkStart w:id="2" w:name="heading_3"/>
      <w:r>
        <w:rPr>
          <w:rFonts w:hint="eastAsia" w:ascii="黑体" w:hAnsi="黑体" w:eastAsia="黑体" w:cs="黑体"/>
          <w:b w:val="0"/>
          <w:bCs/>
          <w:color w:val="auto"/>
          <w:sz w:val="32"/>
          <w:szCs w:val="32"/>
        </w:rPr>
        <w:t>四、技术要求</w:t>
      </w:r>
      <w:bookmarkEnd w:id="2"/>
    </w:p>
    <w:p>
      <w:pPr>
        <w:pStyle w:val="7"/>
        <w:pageBreakBefore w:val="0"/>
        <w:kinsoku/>
        <w:overflowPunct/>
        <w:topLinePunct w:val="0"/>
        <w:bidi w:val="0"/>
        <w:spacing w:line="560" w:lineRule="exact"/>
        <w:ind w:left="0" w:leftChars="0" w:right="0" w:firstLine="598" w:firstLineChars="187"/>
        <w:jc w:val="both"/>
        <w:rPr>
          <w:rFonts w:hint="eastAsia" w:ascii="仿宋_GB2312" w:hAnsi="仿宋_GB2312" w:eastAsia="仿宋_GB2312" w:cs="仿宋_GB2312"/>
          <w:color w:val="auto"/>
          <w:sz w:val="32"/>
          <w:szCs w:val="32"/>
        </w:rPr>
      </w:pPr>
      <w:bookmarkStart w:id="3" w:name="heading_19"/>
      <w:r>
        <w:rPr>
          <w:rFonts w:hint="eastAsia" w:ascii="楷体_GB2312" w:hAnsi="楷体_GB2312" w:eastAsia="楷体_GB2312" w:cs="楷体_GB2312"/>
          <w:color w:val="auto"/>
          <w:sz w:val="32"/>
          <w:szCs w:val="32"/>
        </w:rPr>
        <w:t>（一）服务内容</w:t>
      </w:r>
    </w:p>
    <w:p>
      <w:pPr>
        <w:bidi w:val="0"/>
        <w:jc w:val="both"/>
        <w:rPr>
          <w:rFonts w:hint="eastAsia"/>
          <w:color w:val="auto"/>
          <w:sz w:val="32"/>
          <w:szCs w:val="32"/>
        </w:rPr>
      </w:pPr>
      <w:r>
        <w:rPr>
          <w:rFonts w:hint="eastAsia"/>
          <w:color w:val="auto"/>
          <w:sz w:val="32"/>
          <w:szCs w:val="32"/>
        </w:rPr>
        <w:t>盐田区游泳馆</w:t>
      </w:r>
      <w:r>
        <w:rPr>
          <w:rFonts w:hint="eastAsia"/>
          <w:color w:val="auto"/>
          <w:sz w:val="32"/>
          <w:szCs w:val="32"/>
          <w:lang w:val="en"/>
        </w:rPr>
        <w:t>修缮项目</w:t>
      </w:r>
      <w:r>
        <w:rPr>
          <w:rFonts w:hint="eastAsia"/>
          <w:color w:val="auto"/>
          <w:sz w:val="32"/>
          <w:szCs w:val="32"/>
        </w:rPr>
        <w:t>设计图纸包含的全部工程内容、《招标控制价》包含的全部内容</w:t>
      </w:r>
      <w:r>
        <w:rPr>
          <w:rFonts w:hint="eastAsia"/>
          <w:color w:val="auto"/>
          <w:sz w:val="32"/>
          <w:szCs w:val="32"/>
          <w:lang w:eastAsia="zh-CN"/>
        </w:rPr>
        <w:t>，</w:t>
      </w:r>
      <w:r>
        <w:rPr>
          <w:rFonts w:hint="eastAsia"/>
          <w:color w:val="auto"/>
          <w:sz w:val="32"/>
          <w:szCs w:val="32"/>
        </w:rPr>
        <w:t>采购人在实施工程中根据本工程实际情况有权增减部分内容，中标人不能拒绝执行。具体详见施工图纸及工程量清单。</w:t>
      </w:r>
    </w:p>
    <w:p>
      <w:pPr>
        <w:pStyle w:val="7"/>
        <w:pageBreakBefore w:val="0"/>
        <w:kinsoku/>
        <w:overflowPunct/>
        <w:topLinePunct w:val="0"/>
        <w:bidi w:val="0"/>
        <w:spacing w:line="560" w:lineRule="exact"/>
        <w:ind w:left="0" w:leftChars="0" w:right="0" w:firstLine="598" w:firstLineChars="187"/>
        <w:jc w:val="both"/>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（二）服务要求</w:t>
      </w:r>
    </w:p>
    <w:p>
      <w:pPr>
        <w:bidi w:val="0"/>
        <w:jc w:val="both"/>
        <w:rPr>
          <w:rFonts w:hint="eastAsia"/>
          <w:color w:val="auto"/>
          <w:sz w:val="32"/>
          <w:szCs w:val="32"/>
        </w:rPr>
      </w:pPr>
      <w:r>
        <w:rPr>
          <w:rFonts w:hint="eastAsia"/>
          <w:color w:val="auto"/>
          <w:sz w:val="32"/>
          <w:szCs w:val="32"/>
        </w:rPr>
        <w:t>1.工程量及工程内容</w:t>
      </w:r>
    </w:p>
    <w:p>
      <w:pPr>
        <w:bidi w:val="0"/>
        <w:jc w:val="both"/>
        <w:rPr>
          <w:rFonts w:hint="eastAsia"/>
          <w:color w:val="auto"/>
          <w:sz w:val="32"/>
          <w:szCs w:val="32"/>
        </w:rPr>
      </w:pPr>
      <w:r>
        <w:rPr>
          <w:rFonts w:hint="eastAsia"/>
          <w:color w:val="auto"/>
          <w:sz w:val="32"/>
          <w:szCs w:val="32"/>
        </w:rPr>
        <w:t>施工内容包括但不限于：盐田区游泳馆</w:t>
      </w:r>
      <w:r>
        <w:rPr>
          <w:rFonts w:hint="eastAsia"/>
          <w:color w:val="auto"/>
          <w:sz w:val="32"/>
          <w:szCs w:val="32"/>
          <w:lang w:val="en"/>
        </w:rPr>
        <w:t>修缮项目</w:t>
      </w:r>
      <w:r>
        <w:rPr>
          <w:rFonts w:hint="eastAsia"/>
          <w:color w:val="auto"/>
          <w:sz w:val="32"/>
          <w:szCs w:val="32"/>
        </w:rPr>
        <w:t>工程设计图纸包含的全部工程内容、《招标控制价》包含的全部内容。采购人保留调整发包范围的权利，中标人不得提出异议。</w:t>
      </w:r>
    </w:p>
    <w:p>
      <w:pPr>
        <w:bidi w:val="0"/>
        <w:jc w:val="both"/>
        <w:rPr>
          <w:rFonts w:hint="eastAsia"/>
          <w:color w:val="auto"/>
          <w:sz w:val="32"/>
          <w:szCs w:val="32"/>
        </w:rPr>
      </w:pPr>
      <w:r>
        <w:rPr>
          <w:rFonts w:hint="eastAsia"/>
          <w:color w:val="auto"/>
          <w:sz w:val="32"/>
          <w:szCs w:val="32"/>
        </w:rPr>
        <w:t>2.安全文明施工</w:t>
      </w:r>
    </w:p>
    <w:p>
      <w:pPr>
        <w:bidi w:val="0"/>
        <w:jc w:val="both"/>
        <w:rPr>
          <w:rFonts w:hint="eastAsia"/>
          <w:color w:val="auto"/>
          <w:sz w:val="32"/>
          <w:szCs w:val="32"/>
        </w:rPr>
      </w:pPr>
      <w:r>
        <w:rPr>
          <w:rFonts w:hint="eastAsia"/>
          <w:color w:val="auto"/>
          <w:sz w:val="32"/>
          <w:szCs w:val="32"/>
        </w:rPr>
        <w:t>施工单位必须严格按照《深圳市建设工程现场文明施工管理办法》及现行有关规定做好文明及安全施工。</w:t>
      </w:r>
    </w:p>
    <w:p>
      <w:pPr>
        <w:bidi w:val="0"/>
        <w:jc w:val="both"/>
        <w:rPr>
          <w:rFonts w:hint="eastAsia"/>
          <w:color w:val="auto"/>
          <w:sz w:val="32"/>
          <w:szCs w:val="32"/>
        </w:rPr>
      </w:pPr>
      <w:r>
        <w:rPr>
          <w:rFonts w:hint="eastAsia"/>
          <w:color w:val="auto"/>
          <w:sz w:val="32"/>
          <w:szCs w:val="32"/>
        </w:rPr>
        <w:t>3.工期</w:t>
      </w:r>
    </w:p>
    <w:p>
      <w:pPr>
        <w:bidi w:val="0"/>
        <w:jc w:val="both"/>
        <w:rPr>
          <w:rFonts w:hint="eastAsia"/>
          <w:color w:val="auto"/>
          <w:sz w:val="32"/>
          <w:szCs w:val="32"/>
        </w:rPr>
      </w:pPr>
      <w:r>
        <w:rPr>
          <w:rFonts w:hint="eastAsia"/>
          <w:color w:val="auto"/>
          <w:sz w:val="32"/>
          <w:szCs w:val="32"/>
        </w:rPr>
        <w:t>承包人在60天内完成本工程全部施工内容，并完成竣工验收（终验）。</w:t>
      </w:r>
    </w:p>
    <w:p>
      <w:pPr>
        <w:bidi w:val="0"/>
        <w:jc w:val="both"/>
        <w:rPr>
          <w:rFonts w:hint="eastAsia"/>
          <w:color w:val="auto"/>
          <w:sz w:val="32"/>
          <w:szCs w:val="32"/>
        </w:rPr>
      </w:pPr>
      <w:r>
        <w:rPr>
          <w:rFonts w:hint="eastAsia"/>
          <w:color w:val="auto"/>
          <w:sz w:val="32"/>
          <w:szCs w:val="32"/>
        </w:rPr>
        <w:t>4.工程的工程量变更的补充说明</w:t>
      </w:r>
    </w:p>
    <w:p>
      <w:pPr>
        <w:bidi w:val="0"/>
        <w:jc w:val="both"/>
        <w:rPr>
          <w:rFonts w:hint="eastAsia"/>
          <w:color w:val="auto"/>
          <w:sz w:val="32"/>
          <w:szCs w:val="32"/>
        </w:rPr>
      </w:pPr>
      <w:r>
        <w:rPr>
          <w:rFonts w:hint="eastAsia"/>
          <w:color w:val="auto"/>
          <w:sz w:val="32"/>
          <w:szCs w:val="32"/>
        </w:rPr>
        <w:t>本招标工程在实际施工中施工内容可能有增减，设计变更程序严格</w:t>
      </w:r>
      <w:r>
        <w:rPr>
          <w:rFonts w:hint="eastAsia"/>
          <w:color w:val="auto"/>
          <w:sz w:val="32"/>
          <w:szCs w:val="32"/>
          <w:lang w:eastAsia="zh-CN"/>
        </w:rPr>
        <w:t>，</w:t>
      </w:r>
      <w:r>
        <w:rPr>
          <w:rFonts w:hint="eastAsia"/>
          <w:color w:val="auto"/>
          <w:sz w:val="32"/>
          <w:szCs w:val="32"/>
        </w:rPr>
        <w:t>按发包人有关设计变更审批规定执行。承包人必须无条件接受发包人提出的设计变更，并按设计变更调整施工范围及内容的要求，结算时按实际施工的工程量进行结算。变更工程价款的报批程序按照采购人或其上级部门设计变更审批管理规定执行。</w:t>
      </w:r>
    </w:p>
    <w:p>
      <w:pPr>
        <w:bidi w:val="0"/>
        <w:jc w:val="both"/>
        <w:rPr>
          <w:rFonts w:hint="eastAsia"/>
          <w:color w:val="auto"/>
          <w:sz w:val="32"/>
          <w:szCs w:val="32"/>
        </w:rPr>
      </w:pPr>
      <w:r>
        <w:rPr>
          <w:rFonts w:hint="eastAsia"/>
          <w:color w:val="auto"/>
          <w:sz w:val="32"/>
          <w:szCs w:val="32"/>
        </w:rPr>
        <w:t>5.中标人采购材料设备</w:t>
      </w:r>
    </w:p>
    <w:p>
      <w:pPr>
        <w:bidi w:val="0"/>
        <w:jc w:val="both"/>
        <w:rPr>
          <w:rFonts w:hint="eastAsia"/>
          <w:color w:val="auto"/>
          <w:sz w:val="32"/>
          <w:szCs w:val="32"/>
        </w:rPr>
      </w:pPr>
      <w:r>
        <w:rPr>
          <w:rFonts w:hint="eastAsia"/>
          <w:color w:val="auto"/>
          <w:sz w:val="32"/>
          <w:szCs w:val="32"/>
        </w:rPr>
        <w:t>（1）承包人采购前需提供详细的采购清单（内容包括厂家名称、品牌、规格、型号等）及样品，并报监理单位及发包人确认，承包人应在材料设备到货前24小时通知发包人，并参照上述采购清单及样品进行联合验收。</w:t>
      </w:r>
    </w:p>
    <w:p>
      <w:pPr>
        <w:bidi w:val="0"/>
        <w:jc w:val="both"/>
        <w:rPr>
          <w:rFonts w:hint="eastAsia"/>
          <w:color w:val="auto"/>
          <w:sz w:val="32"/>
          <w:szCs w:val="32"/>
        </w:rPr>
      </w:pPr>
      <w:r>
        <w:rPr>
          <w:rFonts w:hint="eastAsia"/>
          <w:color w:val="auto"/>
          <w:sz w:val="32"/>
          <w:szCs w:val="32"/>
        </w:rPr>
        <w:t>（2）工程量清单或本</w:t>
      </w:r>
      <w:r>
        <w:rPr>
          <w:rFonts w:hint="eastAsia"/>
          <w:color w:val="auto"/>
          <w:sz w:val="32"/>
          <w:szCs w:val="32"/>
          <w:lang w:eastAsia="zh-CN"/>
        </w:rPr>
        <w:t>需求书</w:t>
      </w:r>
      <w:r>
        <w:rPr>
          <w:rFonts w:hint="eastAsia"/>
          <w:color w:val="auto"/>
          <w:sz w:val="32"/>
          <w:szCs w:val="32"/>
        </w:rPr>
        <w:t>中若注明材料、设备参考厂家或品牌的，在施工过程中承包人应采用参考厂家或品牌中的产品。若承包人确需采用其他厂家或品牌的产品，所采用产品的档次、价格均不得低于参考厂家或品牌，且须报发包人及监理工程师批准方可采用。本工程主要材料、设备参考品牌见招标控制价（预算）造价书。</w:t>
      </w:r>
    </w:p>
    <w:p>
      <w:pPr>
        <w:bidi w:val="0"/>
        <w:jc w:val="both"/>
        <w:rPr>
          <w:rFonts w:hint="eastAsia"/>
          <w:color w:val="auto"/>
          <w:sz w:val="32"/>
          <w:szCs w:val="32"/>
        </w:rPr>
      </w:pPr>
      <w:r>
        <w:rPr>
          <w:rFonts w:hint="eastAsia"/>
          <w:color w:val="auto"/>
          <w:sz w:val="32"/>
          <w:szCs w:val="32"/>
        </w:rPr>
        <w:t>（3）招标控制价（预算）造价书或本</w:t>
      </w:r>
      <w:r>
        <w:rPr>
          <w:rFonts w:hint="eastAsia"/>
          <w:color w:val="auto"/>
          <w:sz w:val="32"/>
          <w:szCs w:val="32"/>
          <w:lang w:eastAsia="zh-CN"/>
        </w:rPr>
        <w:t>需求书</w:t>
      </w:r>
      <w:r>
        <w:rPr>
          <w:rFonts w:hint="eastAsia"/>
          <w:color w:val="auto"/>
          <w:sz w:val="32"/>
          <w:szCs w:val="32"/>
        </w:rPr>
        <w:t>中注明材料、设备参考厂家或品牌的，在施工过程中，承包人应采用参考厂家或品牌产品必须为优等品。</w:t>
      </w:r>
    </w:p>
    <w:p>
      <w:pPr>
        <w:bidi w:val="0"/>
        <w:jc w:val="both"/>
        <w:rPr>
          <w:rFonts w:hint="eastAsia"/>
          <w:color w:val="auto"/>
          <w:sz w:val="32"/>
          <w:szCs w:val="32"/>
        </w:rPr>
      </w:pPr>
      <w:r>
        <w:rPr>
          <w:rFonts w:hint="eastAsia"/>
          <w:color w:val="auto"/>
          <w:sz w:val="32"/>
          <w:szCs w:val="32"/>
        </w:rPr>
        <w:t>（4）承包人采购的材料设备在使用前，承包人应按监理工程师的要求进行检验或试验，不合格的不得使用，检验或试验费用由承包人承担。监理工程师对材料的来源及送检质量的认可并不意味着承包人对本批材料应承担的质量责任的解除，也不应妨碍监理工程师在任何时候</w:t>
      </w:r>
      <w:r>
        <w:rPr>
          <w:rFonts w:hint="eastAsia"/>
          <w:color w:val="auto"/>
          <w:sz w:val="32"/>
          <w:szCs w:val="32"/>
          <w:lang w:eastAsia="zh-CN"/>
        </w:rPr>
        <w:t>就</w:t>
      </w:r>
      <w:r>
        <w:rPr>
          <w:rFonts w:hint="eastAsia"/>
          <w:color w:val="auto"/>
          <w:sz w:val="32"/>
          <w:szCs w:val="32"/>
        </w:rPr>
        <w:t>这类材料发出变更指令。</w:t>
      </w:r>
    </w:p>
    <w:p>
      <w:pPr>
        <w:bidi w:val="0"/>
        <w:jc w:val="both"/>
        <w:rPr>
          <w:rFonts w:hint="eastAsia"/>
          <w:color w:val="auto"/>
          <w:sz w:val="32"/>
          <w:szCs w:val="32"/>
        </w:rPr>
      </w:pPr>
      <w:r>
        <w:rPr>
          <w:rFonts w:hint="eastAsia"/>
          <w:color w:val="auto"/>
          <w:sz w:val="32"/>
          <w:szCs w:val="32"/>
        </w:rPr>
        <w:t>（5）监理工程师发现承包人采购并使用不符合设计或标准要求的材料设备时，应要求由承包人负责修复、拆除或重新采购，并承担发生的费用，由此延误的工期不予顺延。</w:t>
      </w:r>
    </w:p>
    <w:p>
      <w:pPr>
        <w:bidi w:val="0"/>
        <w:jc w:val="both"/>
        <w:rPr>
          <w:rFonts w:hint="eastAsia"/>
          <w:color w:val="auto"/>
        </w:rPr>
      </w:pPr>
      <w:r>
        <w:rPr>
          <w:rFonts w:hint="eastAsia"/>
          <w:color w:val="auto"/>
          <w:sz w:val="32"/>
          <w:szCs w:val="32"/>
        </w:rPr>
        <w:t>（6）本工程中应按照《深圳市建筑废弃物减排与利用条例》（深圳市第四届人民代表大会常务委员会公告第一〇四号）的要求，在人行道板、路基垫层、管井、管沟、永久土坡护面、砖胎膜、基础垫层、砌筑型围墙、广场、室外绿化停车场等工程部位全面使用绿色再生建材产品。</w:t>
      </w:r>
    </w:p>
    <w:bookmarkEnd w:id="3"/>
    <w:p>
      <w:pPr>
        <w:pStyle w:val="4"/>
        <w:keepNext/>
        <w:keepLines/>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auto"/>
          <w:sz w:val="32"/>
          <w:szCs w:val="32"/>
        </w:rPr>
      </w:pPr>
      <w:bookmarkStart w:id="4" w:name="heading_27"/>
      <w:r>
        <w:rPr>
          <w:rFonts w:hint="eastAsia" w:ascii="黑体" w:hAnsi="黑体" w:eastAsia="黑体" w:cs="黑体"/>
          <w:b w:val="0"/>
          <w:bCs/>
          <w:color w:val="auto"/>
          <w:sz w:val="32"/>
          <w:szCs w:val="32"/>
          <w:lang w:val="en"/>
        </w:rPr>
        <w:t>五、</w:t>
      </w:r>
      <w:r>
        <w:rPr>
          <w:rFonts w:hint="eastAsia" w:ascii="黑体" w:hAnsi="黑体" w:eastAsia="黑体" w:cs="黑体"/>
          <w:b w:val="0"/>
          <w:bCs/>
          <w:color w:val="auto"/>
          <w:sz w:val="32"/>
          <w:szCs w:val="32"/>
        </w:rPr>
        <w:t>评标方法与规则</w:t>
      </w:r>
      <w:bookmarkEnd w:id="4"/>
    </w:p>
    <w:tbl>
      <w:tblPr>
        <w:tblStyle w:val="16"/>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1721"/>
        <w:gridCol w:w="852"/>
        <w:gridCol w:w="51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vAlign w:val="center"/>
          </w:tcPr>
          <w:p>
            <w:pPr>
              <w:pStyle w:val="20"/>
              <w:pageBreakBefore w:val="0"/>
              <w:kinsoku/>
              <w:overflowPunct/>
              <w:topLinePunct w:val="0"/>
              <w:bidi w:val="0"/>
              <w:spacing w:line="240" w:lineRule="auto"/>
              <w:ind w:left="0" w:leftChars="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3253" w:type="dxa"/>
            <w:gridSpan w:val="3"/>
            <w:tcBorders>
              <w:top w:val="single" w:color="000000" w:sz="8" w:space="0"/>
              <w:left w:val="single" w:color="000000" w:sz="8" w:space="0"/>
              <w:bottom w:val="single" w:color="000000" w:sz="8" w:space="0"/>
              <w:right w:val="single" w:color="000000" w:sz="8" w:space="0"/>
            </w:tcBorders>
            <w:vAlign w:val="center"/>
          </w:tcPr>
          <w:p>
            <w:pPr>
              <w:pStyle w:val="20"/>
              <w:pageBreakBefore w:val="0"/>
              <w:kinsoku/>
              <w:overflowPunct/>
              <w:topLinePunct w:val="0"/>
              <w:bidi w:val="0"/>
              <w:spacing w:line="240" w:lineRule="auto"/>
              <w:ind w:left="0" w:leftChars="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评分项</w:t>
            </w:r>
          </w:p>
        </w:tc>
        <w:tc>
          <w:tcPr>
            <w:tcW w:w="5139" w:type="dxa"/>
            <w:tcBorders>
              <w:top w:val="single" w:color="000000" w:sz="8" w:space="0"/>
              <w:left w:val="single" w:color="000000" w:sz="8" w:space="0"/>
              <w:bottom w:val="single" w:color="000000" w:sz="8" w:space="0"/>
              <w:right w:val="single" w:color="000000" w:sz="8" w:space="0"/>
            </w:tcBorders>
            <w:vAlign w:val="center"/>
          </w:tcPr>
          <w:p>
            <w:pPr>
              <w:pStyle w:val="20"/>
              <w:pageBreakBefore w:val="0"/>
              <w:kinsoku/>
              <w:overflowPunct/>
              <w:topLinePunct w:val="0"/>
              <w:bidi w:val="0"/>
              <w:spacing w:line="240" w:lineRule="auto"/>
              <w:ind w:left="0" w:leftChars="0" w:right="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70" w:hRule="atLeast"/>
          <w:jc w:val="center"/>
        </w:trPr>
        <w:tc>
          <w:tcPr>
            <w:tcW w:w="680" w:type="dxa"/>
            <w:vMerge w:val="restart"/>
            <w:tcBorders>
              <w:top w:val="single" w:color="000000" w:sz="8" w:space="0"/>
              <w:left w:val="single" w:color="000000" w:sz="8" w:space="0"/>
              <w:bottom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1</w:t>
            </w:r>
          </w:p>
        </w:tc>
        <w:tc>
          <w:tcPr>
            <w:tcW w:w="3253" w:type="dxa"/>
            <w:gridSpan w:val="3"/>
            <w:tcBorders>
              <w:top w:val="single" w:color="000000" w:sz="8" w:space="0"/>
              <w:left w:val="single" w:color="000000" w:sz="8" w:space="0"/>
              <w:bottom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价格</w:t>
            </w:r>
          </w:p>
        </w:tc>
        <w:tc>
          <w:tcPr>
            <w:tcW w:w="513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70" w:hRule="atLeast"/>
          <w:jc w:val="center"/>
        </w:trPr>
        <w:tc>
          <w:tcPr>
            <w:tcW w:w="680" w:type="dxa"/>
            <w:vMerge w:val="continue"/>
            <w:tcBorders>
              <w:left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b/>
                <w:bCs/>
                <w:color w:val="auto"/>
                <w:sz w:val="24"/>
                <w:szCs w:val="24"/>
              </w:rPr>
            </w:pPr>
          </w:p>
        </w:tc>
        <w:tc>
          <w:tcPr>
            <w:tcW w:w="3253" w:type="dxa"/>
            <w:gridSpan w:val="3"/>
            <w:tcBorders>
              <w:top w:val="single" w:color="000000" w:sz="8" w:space="0"/>
              <w:left w:val="single" w:color="000000" w:sz="8" w:space="0"/>
              <w:bottom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评分因素</w:t>
            </w:r>
          </w:p>
        </w:tc>
        <w:tc>
          <w:tcPr>
            <w:tcW w:w="513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70" w:hRule="atLeast"/>
          <w:jc w:val="center"/>
        </w:trPr>
        <w:tc>
          <w:tcPr>
            <w:tcW w:w="680" w:type="dxa"/>
            <w:vMerge w:val="continue"/>
            <w:tcBorders>
              <w:left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b/>
                <w:bCs/>
                <w:color w:val="auto"/>
                <w:sz w:val="24"/>
                <w:szCs w:val="24"/>
              </w:rPr>
            </w:pPr>
          </w:p>
        </w:tc>
        <w:tc>
          <w:tcPr>
            <w:tcW w:w="3253" w:type="dxa"/>
            <w:gridSpan w:val="3"/>
            <w:tcBorders>
              <w:top w:val="single" w:color="000000" w:sz="8" w:space="0"/>
              <w:left w:val="single" w:color="000000" w:sz="8" w:space="0"/>
              <w:bottom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低价优先法</w:t>
            </w:r>
          </w:p>
        </w:tc>
        <w:tc>
          <w:tcPr>
            <w:tcW w:w="5139" w:type="dxa"/>
            <w:tcBorders>
              <w:top w:val="single" w:color="000000" w:sz="8" w:space="0"/>
              <w:left w:val="single" w:color="000000" w:sz="8" w:space="0"/>
              <w:bottom w:val="single" w:color="000000" w:sz="8" w:space="0"/>
              <w:right w:val="single" w:color="000000" w:sz="8" w:space="0"/>
            </w:tcBorders>
            <w:vAlign w:val="center"/>
          </w:tcPr>
          <w:p>
            <w:pPr>
              <w:pageBreakBefore w:val="0"/>
              <w:widowControl/>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满足</w:t>
            </w:r>
            <w:r>
              <w:rPr>
                <w:rFonts w:hint="eastAsia" w:cs="仿宋_GB2312"/>
                <w:color w:val="auto"/>
                <w:sz w:val="24"/>
                <w:szCs w:val="24"/>
                <w:lang w:eastAsia="zh-CN"/>
              </w:rPr>
              <w:t>需求书</w:t>
            </w:r>
            <w:r>
              <w:rPr>
                <w:rFonts w:hint="eastAsia" w:ascii="仿宋_GB2312" w:hAnsi="仿宋_GB2312" w:eastAsia="仿宋_GB2312" w:cs="仿宋_GB2312"/>
                <w:color w:val="auto"/>
                <w:sz w:val="24"/>
                <w:szCs w:val="24"/>
              </w:rPr>
              <w:t xml:space="preserve">要求且投标价格最低的投标报价为评标基准价，其价格分为满分。其他投标人的价格分统一按照下列公式计算： </w:t>
            </w:r>
          </w:p>
          <w:p>
            <w:pPr>
              <w:pageBreakBefore w:val="0"/>
              <w:widowControl/>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投标报价得分=(评标基准价／投标报价)×100 </w:t>
            </w:r>
          </w:p>
          <w:p>
            <w:pPr>
              <w:pageBreakBefore w:val="0"/>
              <w:widowControl/>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评标总得分＝F1×A1＋F2×A2＋……＋Fn×An </w:t>
            </w:r>
          </w:p>
          <w:p>
            <w:pPr>
              <w:pageBreakBefore w:val="0"/>
              <w:widowControl/>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F1、F2……Fn分别为各项评审因素的得分； </w:t>
            </w:r>
          </w:p>
          <w:p>
            <w:pPr>
              <w:pageBreakBefore w:val="0"/>
              <w:widowControl/>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A1、A2、……An 分别为各项评审因素所占的权重(A1＋A2＋……＋An＝1)。 </w:t>
            </w:r>
          </w:p>
          <w:p>
            <w:pPr>
              <w:pageBreakBefore w:val="0"/>
              <w:widowControl/>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评标过程中，不得去掉报价中的最高报价和最低报价。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p>
        </w:tc>
        <w:tc>
          <w:tcPr>
            <w:tcW w:w="8392" w:type="dxa"/>
            <w:gridSpan w:val="4"/>
            <w:tcBorders>
              <w:top w:val="single" w:color="000000" w:sz="8" w:space="0"/>
              <w:left w:val="single" w:color="000000" w:sz="8" w:space="0"/>
              <w:bottom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2</w:t>
            </w:r>
          </w:p>
        </w:tc>
        <w:tc>
          <w:tcPr>
            <w:tcW w:w="3253" w:type="dxa"/>
            <w:gridSpan w:val="3"/>
            <w:tcBorders>
              <w:top w:val="single" w:color="000000" w:sz="8" w:space="0"/>
              <w:left w:val="single" w:color="000000" w:sz="8" w:space="0"/>
              <w:bottom w:val="single" w:color="000000" w:sz="8" w:space="0"/>
              <w:right w:val="single" w:color="000000" w:sz="8" w:space="0"/>
            </w:tcBorders>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技术部分</w:t>
            </w:r>
          </w:p>
        </w:tc>
        <w:tc>
          <w:tcPr>
            <w:tcW w:w="5139" w:type="dxa"/>
            <w:tcBorders>
              <w:top w:val="single" w:color="000000" w:sz="8" w:space="0"/>
              <w:left w:val="single" w:color="000000" w:sz="8" w:space="0"/>
              <w:bottom w:val="single" w:color="000000" w:sz="8" w:space="0"/>
              <w:right w:val="single" w:color="000000" w:sz="8" w:space="0"/>
            </w:tcBorders>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67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p>
        </w:tc>
        <w:tc>
          <w:tcPr>
            <w:tcW w:w="8392" w:type="dxa"/>
            <w:gridSpan w:val="4"/>
            <w:tcBorders>
              <w:top w:val="single" w:color="000000" w:sz="8" w:space="0"/>
              <w:left w:val="single" w:color="000000" w:sz="8" w:space="0"/>
              <w:bottom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1721" w:type="dxa"/>
            <w:tcBorders>
              <w:top w:val="outset" w:color="000000" w:sz="6" w:space="0"/>
              <w:left w:val="outset" w:color="000000" w:sz="6" w:space="0"/>
              <w:bottom w:val="outset" w:color="000000" w:sz="6" w:space="0"/>
              <w:right w:val="outset" w:color="000000" w:sz="6" w:space="0"/>
            </w:tcBorders>
            <w:shd w:val="clear" w:color="auto" w:fill="E6EFFA"/>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评分因素</w:t>
            </w:r>
          </w:p>
        </w:tc>
        <w:tc>
          <w:tcPr>
            <w:tcW w:w="852" w:type="dxa"/>
            <w:tcBorders>
              <w:top w:val="outset" w:color="000000" w:sz="6" w:space="0"/>
              <w:left w:val="outset" w:color="000000" w:sz="6" w:space="0"/>
              <w:bottom w:val="outset" w:color="000000" w:sz="6" w:space="0"/>
              <w:right w:val="outset" w:color="000000" w:sz="6" w:space="0"/>
            </w:tcBorders>
            <w:shd w:val="clear" w:color="auto" w:fill="E6EFFA"/>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权重(%)</w:t>
            </w:r>
          </w:p>
        </w:tc>
        <w:tc>
          <w:tcPr>
            <w:tcW w:w="5139" w:type="dxa"/>
            <w:tcBorders>
              <w:top w:val="outset" w:color="000000" w:sz="6" w:space="0"/>
              <w:left w:val="outset" w:color="000000" w:sz="6" w:space="0"/>
              <w:bottom w:val="outset" w:color="000000" w:sz="6" w:space="0"/>
              <w:right w:val="outset" w:color="000000" w:sz="6" w:space="0"/>
            </w:tcBorders>
            <w:shd w:val="clear" w:color="auto" w:fill="E6EFFA"/>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1721" w:type="dxa"/>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项目总体概述及理解</w:t>
            </w:r>
          </w:p>
        </w:tc>
        <w:tc>
          <w:tcPr>
            <w:tcW w:w="852" w:type="dxa"/>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5139" w:type="dxa"/>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（一）评分内容：</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投标人撰写的项目总体概述及理解需包括：</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1.对项目实施内容的认识及理解；</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2.施工现场管理保障措施。</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（二）评分依据：</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投标文件满足评审内容情况，满足两点得40分，满足任意一点得20分，未满足不得分。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在此基础上，专家根据内容的合理性进行评分: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（1）优评分标准:项目总体概述及理解符合实际、完整、规范、思路清晰，内容合理性强，评价为优得60分；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（2）良评分标准:项目总体概述及理解较符合实际、较完整规范、思路较清晰，内容合理性较强，评价为良得40分；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（3）中评分标准:项目总体概述及理解较普通、完整性规范性一般，思路不够清晰，内容合理性一般，评价为中得10分；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（4）差评分标准:不完整、不规范，思路不清晰，内容合理性较差或未提供。</w:t>
            </w:r>
          </w:p>
          <w:p>
            <w:pPr>
              <w:pageBreakBefore w:val="0"/>
              <w:kinsoku/>
              <w:overflowPunct/>
              <w:topLinePunct w:val="0"/>
              <w:bidi w:val="0"/>
              <w:spacing w:line="240" w:lineRule="auto"/>
              <w:ind w:left="0" w:leftChars="0" w:right="0" w:firstLine="0" w:firstLine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评价为差不得分。如评审为差，评审专家须书面说明理由，并记录在档。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172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2"/>
                <w:sz w:val="24"/>
                <w:szCs w:val="24"/>
              </w:rPr>
              <w:t>实施方案</w:t>
            </w:r>
          </w:p>
        </w:tc>
        <w:tc>
          <w:tcPr>
            <w:tcW w:w="852" w:type="dxa"/>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w:t>
            </w:r>
          </w:p>
        </w:tc>
        <w:tc>
          <w:tcPr>
            <w:tcW w:w="5139" w:type="dxa"/>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（一）评分内容：</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投标人撰写的实施方案需包括：</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1.结合现场提出完整、合理的施工组织计划；</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2.施工技术、工艺与工程特点相结合；</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3.特殊季节施工，在投标文件中详细说明雨季、台风和夏季高温季节的施工保证措施情况。</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（二）评分依据：</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提供以上3点内容得60分，满足任意2点内容得40分，满足任意一点内容得20分，未满足不得分。 </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在此基础上，专家根据内容的合理性进行评分: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（1）优评分标准:方案符合实际、完整、规范、思路清晰，内容合理性强，评价为优得40分；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（2）良评分标准:方案较符合实际、较完整规范、思路较清晰，内容合理性较强，评价为良得20分；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（3）中评分标准:方案较普通、完整性规范性一般，思路不够清晰，内容合理性一般，评价为中得5分；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（4）差评分标准方案:不完整、不规范，思路不清晰，内容合理性较差或未提供。</w:t>
            </w:r>
          </w:p>
          <w:p>
            <w:pPr>
              <w:pageBreakBefore w:val="0"/>
              <w:kinsoku/>
              <w:overflowPunct/>
              <w:topLinePunct w:val="0"/>
              <w:bidi w:val="0"/>
              <w:spacing w:line="240" w:lineRule="auto"/>
              <w:ind w:left="0" w:leftChars="0" w:right="0" w:firstLine="0" w:firstLine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评价为差不得分。如评审为差，评审专家须书面说明理由，并记录在档。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1721" w:type="dxa"/>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项目重点难点分析、应对措施及相关的合理化建议</w:t>
            </w:r>
          </w:p>
        </w:tc>
        <w:tc>
          <w:tcPr>
            <w:tcW w:w="852" w:type="dxa"/>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w:t>
            </w:r>
          </w:p>
        </w:tc>
        <w:tc>
          <w:tcPr>
            <w:tcW w:w="5139" w:type="dxa"/>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（一）评分内容：</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根据采购文件的要求，投标人对项目的重点和难点进行分析及提供相关的合理化建议，内容应包括：</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1.关键施工技术的工艺要求；</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2.项目施工重点、难点分析和保障措施；</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3.相关的合理化建议。</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（二）评分依据：</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提供以上3点内容得60分，满足任意2点内容得40分，满足任意一点内容得20分，未满足不得分。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在此基础上，专家根据内容的合理性进行评分：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bookmarkStart w:id="5" w:name="OLE_LINK2"/>
            <w:r>
              <w:rPr>
                <w:rFonts w:hint="eastAsia" w:ascii="仿宋_GB2312" w:hAnsi="仿宋_GB2312" w:eastAsia="仿宋_GB2312" w:cs="仿宋_GB2312"/>
                <w:color w:val="auto"/>
                <w:sz w:val="24"/>
                <w:szCs w:val="24"/>
              </w:rPr>
              <w:t>（1）优评分标准:方案符合实际、完整、规范、思路清晰，内容合理性强，评价为优的</w:t>
            </w:r>
            <w:r>
              <w:rPr>
                <w:rFonts w:hint="eastAsia" w:cs="仿宋_GB2312"/>
                <w:color w:val="auto"/>
                <w:sz w:val="24"/>
                <w:szCs w:val="24"/>
                <w:lang w:eastAsia="zh-CN"/>
              </w:rPr>
              <w:t>得</w:t>
            </w:r>
            <w:r>
              <w:rPr>
                <w:rFonts w:hint="eastAsia" w:ascii="仿宋_GB2312" w:hAnsi="仿宋_GB2312" w:eastAsia="仿宋_GB2312" w:cs="仿宋_GB2312"/>
                <w:color w:val="auto"/>
                <w:sz w:val="24"/>
                <w:szCs w:val="24"/>
              </w:rPr>
              <w:t>40分；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（2）良评分标准:方案较普通、完整规范、思路较清晰，评价为良的</w:t>
            </w:r>
            <w:r>
              <w:rPr>
                <w:rFonts w:hint="eastAsia" w:cs="仿宋_GB2312"/>
                <w:color w:val="auto"/>
                <w:sz w:val="24"/>
                <w:szCs w:val="24"/>
                <w:lang w:eastAsia="zh-CN"/>
              </w:rPr>
              <w:t>得</w:t>
            </w:r>
            <w:r>
              <w:rPr>
                <w:rFonts w:hint="eastAsia" w:ascii="仿宋_GB2312" w:hAnsi="仿宋_GB2312" w:eastAsia="仿宋_GB2312" w:cs="仿宋_GB2312"/>
                <w:color w:val="auto"/>
                <w:sz w:val="24"/>
                <w:szCs w:val="24"/>
              </w:rPr>
              <w:t>20分；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（3）中评分标准:方案较普通、完整性规范性一般，思路不够清晰，内容合理性一般，评价为中的</w:t>
            </w:r>
            <w:r>
              <w:rPr>
                <w:rFonts w:hint="eastAsia" w:cs="仿宋_GB2312"/>
                <w:color w:val="auto"/>
                <w:sz w:val="24"/>
                <w:szCs w:val="24"/>
                <w:lang w:eastAsia="zh-CN"/>
              </w:rPr>
              <w:t>得</w:t>
            </w:r>
            <w:r>
              <w:rPr>
                <w:rFonts w:hint="eastAsia" w:ascii="仿宋_GB2312" w:hAnsi="仿宋_GB2312" w:eastAsia="仿宋_GB2312" w:cs="仿宋_GB2312"/>
                <w:color w:val="auto"/>
                <w:sz w:val="24"/>
                <w:szCs w:val="24"/>
              </w:rPr>
              <w:t>5分；</w:t>
            </w:r>
          </w:p>
          <w:p>
            <w:pPr>
              <w:pageBreakBefore w:val="0"/>
              <w:kinsoku/>
              <w:overflowPunct/>
              <w:topLinePunct w:val="0"/>
              <w:bidi w:val="0"/>
              <w:spacing w:line="240" w:lineRule="auto"/>
              <w:ind w:left="0" w:leftChars="0" w:right="0" w:firstLine="0" w:firstLine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（4）差评分标准方案:不完整、不规范，思路不清晰，内容合理性较差或未提供</w:t>
            </w:r>
            <w:bookmarkEnd w:id="5"/>
            <w:r>
              <w:rPr>
                <w:rFonts w:hint="eastAsia" w:ascii="仿宋_GB2312" w:hAnsi="仿宋_GB2312" w:eastAsia="仿宋_GB2312" w:cs="仿宋_GB2312"/>
                <w:color w:val="auto"/>
                <w:sz w:val="24"/>
                <w:szCs w:val="24"/>
              </w:rPr>
              <w:t>，评价为差</w:t>
            </w:r>
            <w:r>
              <w:rPr>
                <w:rFonts w:hint="eastAsia" w:cs="仿宋_GB2312"/>
                <w:color w:val="auto"/>
                <w:sz w:val="24"/>
                <w:szCs w:val="24"/>
                <w:lang w:eastAsia="zh-CN"/>
              </w:rPr>
              <w:t>不得分</w:t>
            </w:r>
            <w:r>
              <w:rPr>
                <w:rFonts w:hint="eastAsia" w:ascii="仿宋_GB2312" w:hAnsi="仿宋_GB2312" w:eastAsia="仿宋_GB2312" w:cs="仿宋_GB2312"/>
                <w:color w:val="auto"/>
                <w:sz w:val="24"/>
                <w:szCs w:val="24"/>
              </w:rPr>
              <w:t>。如评审为差，评审专家须书面说明理由，并记录在档。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1721" w:type="dxa"/>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应急服务及响应时间方案</w:t>
            </w:r>
          </w:p>
        </w:tc>
        <w:tc>
          <w:tcPr>
            <w:tcW w:w="852" w:type="dxa"/>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5139" w:type="dxa"/>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（一）评分内容：</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考察投标人针对本项目的应急服务及响应时间方案，方案内容包括以下内容:</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1.应急服务方案；</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2.应急响应时间：2小时（含）内能够到场提供现场服务的。</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（二）评分依据：</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提供以上2点内容得40分，满足任意一点内容得20分，未满足不得分。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在此基础上，专家根据内容的合理性进行评分：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（1）优评分标准:方案符合实际、完整、规范、思路清晰，内容合理性强，评价为优的</w:t>
            </w:r>
            <w:r>
              <w:rPr>
                <w:rFonts w:hint="eastAsia" w:cs="仿宋_GB2312"/>
                <w:color w:val="auto"/>
                <w:sz w:val="24"/>
                <w:szCs w:val="24"/>
                <w:lang w:eastAsia="zh-CN"/>
              </w:rPr>
              <w:t>得</w:t>
            </w:r>
            <w:r>
              <w:rPr>
                <w:rFonts w:hint="eastAsia" w:ascii="仿宋_GB2312" w:hAnsi="仿宋_GB2312" w:eastAsia="仿宋_GB2312" w:cs="仿宋_GB2312"/>
                <w:color w:val="auto"/>
                <w:sz w:val="24"/>
                <w:szCs w:val="24"/>
              </w:rPr>
              <w:t>60分；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（2）良评分标准:方案较普通、完整规范、思路较清晰，评价为良的</w:t>
            </w:r>
            <w:r>
              <w:rPr>
                <w:rFonts w:hint="eastAsia" w:cs="仿宋_GB2312"/>
                <w:color w:val="auto"/>
                <w:sz w:val="24"/>
                <w:szCs w:val="24"/>
                <w:lang w:eastAsia="zh-CN"/>
              </w:rPr>
              <w:t>得</w:t>
            </w:r>
            <w:r>
              <w:rPr>
                <w:rFonts w:hint="eastAsia" w:ascii="仿宋_GB2312" w:hAnsi="仿宋_GB2312" w:eastAsia="仿宋_GB2312" w:cs="仿宋_GB2312"/>
                <w:color w:val="auto"/>
                <w:sz w:val="24"/>
                <w:szCs w:val="24"/>
              </w:rPr>
              <w:t>40分；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（3）中评分标准:方案较普通、完整性规范性一般，思路不够清晰，内容合理性一般，评价为中的</w:t>
            </w:r>
            <w:r>
              <w:rPr>
                <w:rFonts w:hint="eastAsia" w:cs="仿宋_GB2312"/>
                <w:color w:val="auto"/>
                <w:sz w:val="24"/>
                <w:szCs w:val="24"/>
                <w:lang w:eastAsia="zh-CN"/>
              </w:rPr>
              <w:t>得</w:t>
            </w:r>
            <w:r>
              <w:rPr>
                <w:rFonts w:hint="eastAsia" w:ascii="仿宋_GB2312" w:hAnsi="仿宋_GB2312" w:eastAsia="仿宋_GB2312" w:cs="仿宋_GB2312"/>
                <w:color w:val="auto"/>
                <w:sz w:val="24"/>
                <w:szCs w:val="24"/>
              </w:rPr>
              <w:t>5分；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（4）差评分标准方案:不完整、不规范，思路不清晰，内容合理性较差或未提供，评价为差</w:t>
            </w:r>
            <w:r>
              <w:rPr>
                <w:rFonts w:hint="eastAsia" w:cs="仿宋_GB2312"/>
                <w:color w:val="auto"/>
                <w:sz w:val="24"/>
                <w:szCs w:val="24"/>
                <w:lang w:eastAsia="zh-CN"/>
              </w:rPr>
              <w:t>不得分</w:t>
            </w:r>
            <w:r>
              <w:rPr>
                <w:rFonts w:hint="eastAsia" w:ascii="仿宋_GB2312" w:hAnsi="仿宋_GB2312" w:eastAsia="仿宋_GB2312" w:cs="仿宋_GB2312"/>
                <w:color w:val="auto"/>
                <w:sz w:val="24"/>
                <w:szCs w:val="24"/>
              </w:rPr>
              <w:t>。如评审为差，评审专家须书面说明理由，并记录在档。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705" w:hRule="atLeast"/>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p>
        </w:tc>
        <w:tc>
          <w:tcPr>
            <w:tcW w:w="680" w:type="dxa"/>
            <w:tcBorders>
              <w:top w:val="single" w:color="000000" w:sz="8" w:space="0"/>
              <w:left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1721" w:type="dxa"/>
            <w:tcBorders>
              <w:top w:val="single" w:color="000000" w:sz="8" w:space="0"/>
              <w:left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施工质量（安全、环保、工期、售后服务）保障措施及相关的违约承诺评价</w:t>
            </w:r>
          </w:p>
        </w:tc>
        <w:tc>
          <w:tcPr>
            <w:tcW w:w="852" w:type="dxa"/>
            <w:tcBorders>
              <w:top w:val="single" w:color="000000" w:sz="8" w:space="0"/>
              <w:left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5139" w:type="dxa"/>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（一）评分内容：</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根据采购文件的要求，提供项目的施工质量保障措施及相关的违约承诺方案，内容应包括：</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1.施工质量、承诺；</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2.安全保证措施；</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3.环保目标；</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4.售后服务承诺；</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5.工期优化。</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（二）评分依据：</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具备以上5项内容得50分，缺项不得分。在此基础上，评审专家根据投标文件中针对本项目的施工质量保障措施进一步评审：</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1.评审为优：施工质量保障措施及相关的违约承诺整体合理性强、可操作性强，</w:t>
            </w:r>
            <w:r>
              <w:rPr>
                <w:rFonts w:hint="eastAsia" w:cs="仿宋_GB2312"/>
                <w:color w:val="auto"/>
                <w:sz w:val="24"/>
                <w:szCs w:val="24"/>
                <w:lang w:eastAsia="zh-CN"/>
              </w:rPr>
              <w:t>得</w:t>
            </w:r>
            <w:r>
              <w:rPr>
                <w:rFonts w:hint="eastAsia" w:ascii="仿宋_GB2312" w:hAnsi="仿宋_GB2312" w:eastAsia="仿宋_GB2312" w:cs="仿宋_GB2312"/>
                <w:color w:val="auto"/>
                <w:sz w:val="24"/>
                <w:szCs w:val="24"/>
              </w:rPr>
              <w:t>50分；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2.评审为良：施工质量保障措施及相关的违约承诺整体合理性较强、可操作性较强，</w:t>
            </w:r>
            <w:r>
              <w:rPr>
                <w:rFonts w:hint="eastAsia" w:cs="仿宋_GB2312"/>
                <w:color w:val="auto"/>
                <w:sz w:val="24"/>
                <w:szCs w:val="24"/>
                <w:lang w:eastAsia="zh-CN"/>
              </w:rPr>
              <w:t>得</w:t>
            </w:r>
            <w:r>
              <w:rPr>
                <w:rFonts w:hint="eastAsia" w:ascii="仿宋_GB2312" w:hAnsi="仿宋_GB2312" w:eastAsia="仿宋_GB2312" w:cs="仿宋_GB2312"/>
                <w:color w:val="auto"/>
                <w:sz w:val="24"/>
                <w:szCs w:val="24"/>
              </w:rPr>
              <w:t>30分；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3.评审为中：施工质量保障措施及相关的违约承诺整体合理性一般、可操作性一般，</w:t>
            </w:r>
            <w:r>
              <w:rPr>
                <w:rFonts w:hint="eastAsia" w:cs="仿宋_GB2312"/>
                <w:color w:val="auto"/>
                <w:sz w:val="24"/>
                <w:szCs w:val="24"/>
                <w:lang w:eastAsia="zh-CN"/>
              </w:rPr>
              <w:t>得</w:t>
            </w:r>
            <w:r>
              <w:rPr>
                <w:rFonts w:hint="eastAsia" w:ascii="仿宋_GB2312" w:hAnsi="仿宋_GB2312" w:eastAsia="仿宋_GB2312" w:cs="仿宋_GB2312"/>
                <w:color w:val="auto"/>
                <w:sz w:val="24"/>
                <w:szCs w:val="24"/>
              </w:rPr>
              <w:t>5分；</w:t>
            </w:r>
          </w:p>
          <w:p>
            <w:pPr>
              <w:pageBreakBefore w:val="0"/>
              <w:kinsoku/>
              <w:wordWrap w:val="0"/>
              <w:overflowPunct/>
              <w:topLinePunct w:val="0"/>
              <w:bidi w:val="0"/>
              <w:spacing w:line="240" w:lineRule="auto"/>
              <w:ind w:left="0" w:leftChars="0" w:right="0" w:firstLine="0" w:firstLine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4.评审为差：施工质量保障措施及相关的违约承诺整体合理性差、可操作性差，得0分。如评审为差，评审专家须书面说明理由，并记录在档。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p>
        </w:tc>
        <w:tc>
          <w:tcPr>
            <w:tcW w:w="1721" w:type="dxa"/>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拟安排的项目负责人情况（仅限一人）</w:t>
            </w:r>
          </w:p>
          <w:p>
            <w:pPr>
              <w:pageBreakBefore w:val="0"/>
              <w:kinsoku/>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kern w:val="2"/>
                <w:sz w:val="24"/>
                <w:szCs w:val="24"/>
              </w:rPr>
            </w:pPr>
          </w:p>
        </w:tc>
        <w:tc>
          <w:tcPr>
            <w:tcW w:w="852" w:type="dxa"/>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5139" w:type="dxa"/>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（一）评分内容：</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投标人拟安排的项目负责人（仅限一人）需为自有员工，否则不得分，在此基础上：</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1.具备工程管理类专业专科及以上学历的，得50分；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2.自2023年1月1日至今（以竣工验收时间为准）作为项目负责人（或项目经理）完成的同类项目业绩（修缮或装修改造），每提供1项政府部门或事业单位业绩的得10分，最高得50分。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本项最高得100分。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（二）评分依据：</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bCs/>
                <w:color w:val="auto"/>
                <w:sz w:val="24"/>
                <w:szCs w:val="24"/>
              </w:rPr>
              <w:t>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涉及学历的，学历证明须提供学历证书扫描件以及学信网查询记录。对于较早颁发的学历证书，学信网无法查询的，要求提供学历证书扫描件和其他佐证材料（如毕业院校、人社部门等颁发机构或监管机构等单位出具的证明）作为得分的依据。海外留学（含港澳台）人员学历无法通过学信网站查询的，应当提供教育部留学服务中心出具的国外学历认证证书以及教育部留学服务中心官网查询截图。若证明文件为其它语言，必须附中文译文，以中文译文为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涉及考察人员工作经验的，要求提供项目合同关键页及竣工验收证明作为得分依据（需体现项目负责人（或项目经理）姓名、职务），通过合同关键信息无法判断是否得分的，还须同时提供合同甲方出具的证明文件。</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4.以上资料均要求提供扫描件，原件备查，评分中出现无证明资料或证书过期或专家无法凭所提供资料判断是否得分的情况，一律作不得分处理。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p>
        </w:tc>
        <w:tc>
          <w:tcPr>
            <w:tcW w:w="1721" w:type="dxa"/>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拟安排的项目团队成员</w:t>
            </w:r>
          </w:p>
          <w:p>
            <w:pPr>
              <w:pageBreakBefore w:val="0"/>
              <w:kinsoku/>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（主要技术人员）情况（项目负责人除外）</w:t>
            </w:r>
          </w:p>
        </w:tc>
        <w:tc>
          <w:tcPr>
            <w:tcW w:w="852" w:type="dxa"/>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16</w:t>
            </w:r>
          </w:p>
        </w:tc>
        <w:tc>
          <w:tcPr>
            <w:tcW w:w="5139" w:type="dxa"/>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（一）评分内容：</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投标人拟安排的项目团队成员（项目负责人除外）需为自有员工，否则不得分，在此基础上：</w:t>
            </w:r>
          </w:p>
          <w:p>
            <w:pPr>
              <w:pageBreakBefore w:val="0"/>
              <w:numPr>
                <w:ilvl w:val="0"/>
                <w:numId w:val="2"/>
              </w:numPr>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技术负责人：</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（1）同时具有建筑相关专业中级及以上职称证书和“工程管理类”专业本科及以上学历的，得30分，缺项不得分；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自2023年1月1日至今（以竣工验收时间为准）作为技术负责人（或项目负责人）完成的同类项目业绩（修缮或装修改造），每提供1项政府部门或事业单位业绩的得10分，最高得40分。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2.给排水工程师：同时具有给排水专业中级及以上职称和“土木工程类”专业本科及以上学历的，得10分，缺项不得分；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3.六大员：具有施工员、资料员、材料员、劳务员、质量员、机械员全部配齐的得10分；缺少任意人员不得分；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4.注册造价工程师：具有工程类专业本科及以上学历的，得10分。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本项最高得100分，同一人获得多项证书的不可重复计分，只计1次得分。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（二）评分依据：</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bCs/>
                <w:color w:val="auto"/>
                <w:sz w:val="24"/>
                <w:szCs w:val="24"/>
              </w:rPr>
              <w:t>要求提供通过投标人为以上人员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2.提供以上人员相应的任职资格/岗位证明资料作为得分依据，各岗位之间不得互相兼任。其中职称类证书需提供职称证扫描件及全国人力资源和社会保障政务服务平台(https://www.12333.gov.cn/）网查截图。</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学历证明须提供学历证书扫描件以及学信网查询记录。对于较早颁发的学历证书，学信网无法查询的，要求提供学历证书扫描件和其他佐证材料（如毕业院校、人社部门等颁发机构或监管机构等单位出具的证明）作为得分的依据。海外留学（含港澳台）人员学历无法通过学信网站查询的，应当提供教育部留学服务中心出具的国外学历认证证书以及教育部留学服务中心官网查询截图。若证明文件为其它语言，必须附中文译文，以中文译文为准。</w:t>
            </w:r>
          </w:p>
          <w:p>
            <w:pPr>
              <w:pStyle w:val="21"/>
              <w:pageBreakBefore w:val="0"/>
              <w:kinsoku/>
              <w:overflowPunct/>
              <w:topLinePunct w:val="0"/>
              <w:bidi w:val="0"/>
              <w:spacing w:line="240" w:lineRule="auto"/>
              <w:ind w:left="0" w:leftChars="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涉及考察人员工作经验的，要求提供项目合同关键页及竣工验收证明作为得分依据（需体现项目负责人（或项目经理）姓名、职务），通过合同关键信息无法判断是否得分的，还须同时提供合同甲方出具的证明文件。</w:t>
            </w:r>
          </w:p>
          <w:p>
            <w:pPr>
              <w:pageBreakBefore w:val="0"/>
              <w:kinsoku/>
              <w:overflowPunct/>
              <w:topLinePunct w:val="0"/>
              <w:bidi w:val="0"/>
              <w:spacing w:line="240" w:lineRule="auto"/>
              <w:ind w:left="0" w:leftChars="0" w:right="0" w:firstLine="0" w:firstLineChars="0"/>
              <w:jc w:val="both"/>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sz w:val="24"/>
                <w:szCs w:val="24"/>
              </w:rPr>
              <w:t>5.以上资料均要求提供扫描件，原件备查，评分中出现无证明资料或证书过期或专家无法凭所提供资料判断是否得分的情况，一律作不得分处理。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3</w:t>
            </w:r>
          </w:p>
        </w:tc>
        <w:tc>
          <w:tcPr>
            <w:tcW w:w="3253" w:type="dxa"/>
            <w:gridSpan w:val="3"/>
            <w:tcBorders>
              <w:top w:val="single" w:color="000000" w:sz="8" w:space="0"/>
              <w:left w:val="single" w:color="000000" w:sz="8" w:space="0"/>
              <w:bottom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综合实力</w:t>
            </w:r>
          </w:p>
        </w:tc>
        <w:tc>
          <w:tcPr>
            <w:tcW w:w="513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18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p>
        </w:tc>
        <w:tc>
          <w:tcPr>
            <w:tcW w:w="8392" w:type="dxa"/>
            <w:gridSpan w:val="4"/>
            <w:tcBorders>
              <w:top w:val="single" w:color="000000" w:sz="8" w:space="0"/>
              <w:left w:val="single" w:color="000000" w:sz="8" w:space="0"/>
              <w:bottom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1721" w:type="dxa"/>
            <w:tcBorders>
              <w:top w:val="outset" w:color="000000" w:sz="6" w:space="0"/>
              <w:left w:val="outset" w:color="000000" w:sz="6" w:space="0"/>
              <w:bottom w:val="outset" w:color="000000" w:sz="6" w:space="0"/>
              <w:right w:val="outset" w:color="000000" w:sz="6" w:space="0"/>
            </w:tcBorders>
            <w:shd w:val="clear" w:color="auto" w:fill="E6EFFA"/>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评分因素</w:t>
            </w:r>
          </w:p>
        </w:tc>
        <w:tc>
          <w:tcPr>
            <w:tcW w:w="852" w:type="dxa"/>
            <w:tcBorders>
              <w:top w:val="outset" w:color="000000" w:sz="6" w:space="0"/>
              <w:left w:val="outset" w:color="000000" w:sz="6" w:space="0"/>
              <w:bottom w:val="outset" w:color="000000" w:sz="6" w:space="0"/>
              <w:right w:val="outset" w:color="000000" w:sz="6" w:space="0"/>
            </w:tcBorders>
            <w:shd w:val="clear" w:color="auto" w:fill="E6EFFA"/>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权重(%)</w:t>
            </w:r>
          </w:p>
        </w:tc>
        <w:tc>
          <w:tcPr>
            <w:tcW w:w="5139" w:type="dxa"/>
            <w:tcBorders>
              <w:top w:val="outset" w:color="000000" w:sz="6" w:space="0"/>
              <w:left w:val="outset" w:color="000000" w:sz="6" w:space="0"/>
              <w:bottom w:val="outset" w:color="000000" w:sz="6" w:space="0"/>
              <w:right w:val="outset" w:color="000000" w:sz="6" w:space="0"/>
            </w:tcBorders>
            <w:shd w:val="clear" w:color="auto" w:fill="E6EFFA"/>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1721" w:type="dxa"/>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投标人通过相关认证情况</w:t>
            </w:r>
          </w:p>
        </w:tc>
        <w:tc>
          <w:tcPr>
            <w:tcW w:w="852" w:type="dxa"/>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5139" w:type="dxa"/>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（一）评分内容：</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投标人通过认证情况（有效期内的），且认证范围含有建筑装修装饰工程施工内容： </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1.质量管理体系认证证书；</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2.职业健康安全管理体系认证证书；</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3.环境管理体系认证证书；</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以上全部满足得100分，</w:t>
            </w:r>
            <w:r>
              <w:rPr>
                <w:rFonts w:hint="eastAsia" w:ascii="仿宋_GB2312" w:hAnsi="仿宋_GB2312" w:eastAsia="仿宋_GB2312" w:cs="仿宋_GB2312"/>
                <w:b/>
                <w:bCs/>
                <w:color w:val="auto"/>
                <w:sz w:val="24"/>
                <w:szCs w:val="24"/>
              </w:rPr>
              <w:t>缺任何1项不得分。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（二）评分依据：</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提供有效并通过年审合格的认证证书扫描件和全国认证认可信息公共服务平台(认e云)的认证信息查询截图（查询网站：http://cx.cnca.cn/）作为得分依据。若因该平台升级等原因导致无法查询的，则需同时提供通过认证机构官网等可靠途径查询所提交</w:t>
            </w:r>
            <w:bookmarkStart w:id="6" w:name="OLE_LINK4"/>
            <w:r>
              <w:rPr>
                <w:rFonts w:hint="eastAsia" w:ascii="仿宋_GB2312" w:hAnsi="仿宋_GB2312" w:eastAsia="仿宋_GB2312" w:cs="仿宋_GB2312"/>
                <w:color w:val="auto"/>
                <w:sz w:val="24"/>
                <w:szCs w:val="24"/>
              </w:rPr>
              <w:t>认证</w:t>
            </w:r>
            <w:bookmarkEnd w:id="6"/>
            <w:r>
              <w:rPr>
                <w:rFonts w:hint="eastAsia" w:ascii="仿宋_GB2312" w:hAnsi="仿宋_GB2312" w:eastAsia="仿宋_GB2312" w:cs="仿宋_GB2312"/>
                <w:color w:val="auto"/>
                <w:sz w:val="24"/>
                <w:szCs w:val="24"/>
              </w:rPr>
              <w:t>证书的真实性的证明材料或者认证机构盖章的证明材料，证明该报告真实有效。</w:t>
            </w:r>
          </w:p>
          <w:p>
            <w:pPr>
              <w:pageBreakBefore w:val="0"/>
              <w:kinsoku/>
              <w:overflowPunct/>
              <w:topLinePunct w:val="0"/>
              <w:bidi w:val="0"/>
              <w:spacing w:line="240" w:lineRule="auto"/>
              <w:ind w:left="0" w:leftChars="0" w:right="0" w:firstLine="0" w:firstLine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1721" w:type="dxa"/>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投标人同类业绩情况</w:t>
            </w:r>
          </w:p>
        </w:tc>
        <w:tc>
          <w:tcPr>
            <w:tcW w:w="852" w:type="dxa"/>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5139" w:type="dxa"/>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（一）评分内容：</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投标人自2022年1月1日（以合同签订日期为准）至本项目截标之日止所签订的同类业绩项目合同（修缮或装修改造）。每提供一份政府部门或事业单位业绩业绩得20分，最高得100分。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（二）评分依据：</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要求提供合同关键信息（包括但不限于合同标的、签订时间、双方签章页）作为得分依据，通过合同关键信息无法判断是否得分的，还须同时提供能证明得分的其它证明资料，如项目报告或合同甲方出具的证明文件等。</w:t>
            </w:r>
          </w:p>
          <w:p>
            <w:pPr>
              <w:pageBreakBefore w:val="0"/>
              <w:kinsoku/>
              <w:wordWrap w:val="0"/>
              <w:overflowPunct/>
              <w:topLinePunct w:val="0"/>
              <w:bidi w:val="0"/>
              <w:spacing w:line="240" w:lineRule="auto"/>
              <w:ind w:left="0" w:leftChars="0" w:right="0" w:firstLine="0" w:firstLine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2.以上资料均要求提供扫描件，原件备查。备注：评分中出现无证明资料或证书过期或专家无法凭所提供资料判断是否得分的情况，一律作不得分处理。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1721" w:type="dxa"/>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履约评价</w:t>
            </w:r>
          </w:p>
        </w:tc>
        <w:tc>
          <w:tcPr>
            <w:tcW w:w="852" w:type="dxa"/>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5139" w:type="dxa"/>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（一）评分内容：</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投标人提供符合上述【投标人同类业绩情况】项目甲方出具的履约评价证明文件。</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1、每提供1个上述业绩的履约评价证明且评价结果为优/优秀的，得20分，最高得100分；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2、每提供1个上述业绩的履约评价结果为良/良好的得5分，最高得25分；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3、评价结果为差或是没有评论的不计分；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本项最高得100分。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（二）评分依据：</w:t>
            </w:r>
          </w:p>
          <w:p>
            <w:pPr>
              <w:pageBreakBefore w:val="0"/>
              <w:kinsoku/>
              <w:wordWrap w:val="0"/>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提供加盖合同甲方公章（或甲方业务章）项目履约评价或验收合格证明文件清晰扫描件。</w:t>
            </w:r>
          </w:p>
          <w:p>
            <w:pPr>
              <w:pageBreakBefore w:val="0"/>
              <w:kinsoku/>
              <w:wordWrap w:val="0"/>
              <w:overflowPunct/>
              <w:topLinePunct w:val="0"/>
              <w:bidi w:val="0"/>
              <w:spacing w:line="240" w:lineRule="auto"/>
              <w:ind w:left="0" w:leftChars="0" w:right="0" w:firstLine="0" w:firstLine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备注：以上资料均要求提供扫描件，评分中出现无证明资料或证书过期或专家无法凭所提供资料判断是否得分的情况，一律作不得分处理。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172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本地化服务能力</w:t>
            </w:r>
          </w:p>
          <w:p>
            <w:pPr>
              <w:pageBreakBefore w:val="0"/>
              <w:widowControl/>
              <w:kinsoku/>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p>
        </w:tc>
        <w:tc>
          <w:tcPr>
            <w:tcW w:w="852" w:type="dxa"/>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5139" w:type="dxa"/>
            <w:tcBorders>
              <w:top w:val="single" w:color="000000" w:sz="8" w:space="0"/>
              <w:left w:val="single" w:color="000000" w:sz="8" w:space="0"/>
              <w:bottom w:val="single" w:color="000000" w:sz="8" w:space="0"/>
              <w:right w:val="single" w:color="000000" w:sz="8" w:space="0"/>
            </w:tcBorders>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（一）评分内容：</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1.投标人在本地设立分公司或售后机构、服务网点、项目部、办公室、办事处等情形，得</w:t>
            </w:r>
            <w:r>
              <w:rPr>
                <w:rFonts w:hint="eastAsia" w:ascii="仿宋_GB2312" w:hAnsi="仿宋_GB2312" w:eastAsia="仿宋_GB2312" w:cs="仿宋_GB2312"/>
                <w:color w:val="auto"/>
                <w:kern w:val="2"/>
                <w:sz w:val="24"/>
                <w:szCs w:val="24"/>
              </w:rPr>
              <w:t>100分</w:t>
            </w:r>
            <w:r>
              <w:rPr>
                <w:rFonts w:hint="eastAsia" w:ascii="仿宋_GB2312" w:hAnsi="仿宋_GB2312" w:eastAsia="仿宋_GB2312" w:cs="仿宋_GB2312"/>
                <w:color w:val="auto"/>
                <w:sz w:val="24"/>
                <w:szCs w:val="24"/>
              </w:rPr>
              <w:t>；</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2.投标人承诺中标后提供本地化服务，得</w:t>
            </w:r>
            <w:r>
              <w:rPr>
                <w:rFonts w:hint="eastAsia" w:ascii="仿宋_GB2312" w:hAnsi="仿宋_GB2312" w:eastAsia="仿宋_GB2312" w:cs="仿宋_GB2312"/>
                <w:color w:val="auto"/>
                <w:kern w:val="2"/>
                <w:sz w:val="24"/>
                <w:szCs w:val="24"/>
              </w:rPr>
              <w:t>100分</w:t>
            </w:r>
            <w:r>
              <w:rPr>
                <w:rFonts w:hint="eastAsia" w:ascii="仿宋_GB2312" w:hAnsi="仿宋_GB2312" w:eastAsia="仿宋_GB2312" w:cs="仿宋_GB2312"/>
                <w:color w:val="auto"/>
                <w:sz w:val="24"/>
                <w:szCs w:val="24"/>
              </w:rPr>
              <w:t>。</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本项最高可得100分。</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（二）评分依据：</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1.第一项投标人需提供合作单位或者自身机构的营业执照，或者投标人在本地设立的项目部、办公室、办事处等证明文件；</w:t>
            </w:r>
          </w:p>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2.第二项投标人需提供承诺函（格式自拟）。</w:t>
            </w:r>
          </w:p>
          <w:p>
            <w:pPr>
              <w:pageBreakBefore w:val="0"/>
              <w:widowControl/>
              <w:kinsoku/>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备注：以上资料均要求提供扫描件，评分中出现无证明资料或证书过期或专家无法凭所提供资料判断是否得分的情况，一律作不得分处理。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4</w:t>
            </w:r>
          </w:p>
        </w:tc>
        <w:tc>
          <w:tcPr>
            <w:tcW w:w="3253" w:type="dxa"/>
            <w:gridSpan w:val="3"/>
            <w:tcBorders>
              <w:top w:val="single" w:color="000000" w:sz="8" w:space="0"/>
              <w:left w:val="single" w:color="000000" w:sz="8" w:space="0"/>
              <w:bottom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诚信情况</w:t>
            </w:r>
          </w:p>
        </w:tc>
        <w:tc>
          <w:tcPr>
            <w:tcW w:w="513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p>
        </w:tc>
        <w:tc>
          <w:tcPr>
            <w:tcW w:w="8392" w:type="dxa"/>
            <w:gridSpan w:val="4"/>
            <w:tcBorders>
              <w:top w:val="single" w:color="000000" w:sz="8" w:space="0"/>
              <w:left w:val="single" w:color="000000" w:sz="8" w:space="0"/>
              <w:bottom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rPr>
                <w:rFonts w:hint="eastAsia" w:ascii="仿宋_GB2312" w:hAnsi="仿宋_GB2312" w:eastAsia="仿宋_GB2312"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1721" w:type="dxa"/>
            <w:tcBorders>
              <w:top w:val="outset" w:color="000000" w:sz="6" w:space="0"/>
              <w:left w:val="outset" w:color="000000" w:sz="6" w:space="0"/>
              <w:bottom w:val="outset" w:color="000000" w:sz="6" w:space="0"/>
              <w:right w:val="outset" w:color="000000" w:sz="6" w:space="0"/>
            </w:tcBorders>
            <w:shd w:val="clear" w:color="auto" w:fill="E6EFFA"/>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评分因素</w:t>
            </w:r>
          </w:p>
        </w:tc>
        <w:tc>
          <w:tcPr>
            <w:tcW w:w="852" w:type="dxa"/>
            <w:tcBorders>
              <w:top w:val="outset" w:color="000000" w:sz="6" w:space="0"/>
              <w:left w:val="outset" w:color="000000" w:sz="6" w:space="0"/>
              <w:bottom w:val="outset" w:color="000000" w:sz="6" w:space="0"/>
              <w:right w:val="outset" w:color="000000" w:sz="6" w:space="0"/>
            </w:tcBorders>
            <w:shd w:val="clear" w:color="auto" w:fill="E6EFFA"/>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权重(%)</w:t>
            </w:r>
          </w:p>
        </w:tc>
        <w:tc>
          <w:tcPr>
            <w:tcW w:w="5139" w:type="dxa"/>
            <w:tcBorders>
              <w:top w:val="outset" w:color="000000" w:sz="6" w:space="0"/>
              <w:left w:val="outset" w:color="000000" w:sz="6" w:space="0"/>
              <w:bottom w:val="outset" w:color="000000" w:sz="6" w:space="0"/>
              <w:right w:val="outset" w:color="000000" w:sz="6" w:space="0"/>
            </w:tcBorders>
            <w:shd w:val="clear" w:color="auto" w:fill="E6EFFA"/>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pageBreakBefore w:val="0"/>
              <w:kinsoku/>
              <w:overflowPunct/>
              <w:topLinePunct w:val="0"/>
              <w:bidi w:val="0"/>
              <w:spacing w:line="240" w:lineRule="auto"/>
              <w:ind w:left="0" w:leftChars="0" w:right="0" w:firstLine="0" w:firstLineChars="0"/>
              <w:rPr>
                <w:rFonts w:hint="eastAsia" w:ascii="仿宋_GB2312" w:hAnsi="仿宋_GB2312" w:eastAsia="仿宋_GB2312" w:cs="仿宋_GB2312"/>
                <w:b/>
                <w:bCs/>
                <w:color w:val="auto"/>
                <w:sz w:val="24"/>
                <w:szCs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172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诚信情况</w:t>
            </w:r>
          </w:p>
        </w:tc>
        <w:tc>
          <w:tcPr>
            <w:tcW w:w="852" w:type="dxa"/>
            <w:tcBorders>
              <w:top w:val="single" w:color="000000" w:sz="8" w:space="0"/>
              <w:left w:val="single" w:color="000000" w:sz="8" w:space="0"/>
              <w:bottom w:val="single" w:color="000000" w:sz="8" w:space="0"/>
              <w:right w:val="single" w:color="000000" w:sz="8" w:space="0"/>
            </w:tcBorders>
            <w:vAlign w:val="center"/>
          </w:tcPr>
          <w:p>
            <w:pPr>
              <w:pageBreakBefore w:val="0"/>
              <w:widowControl/>
              <w:kinsoku/>
              <w:wordWrap w:val="0"/>
              <w:overflowPunct/>
              <w:topLinePunct w:val="0"/>
              <w:bidi w:val="0"/>
              <w:spacing w:line="240" w:lineRule="auto"/>
              <w:ind w:left="0" w:leftChars="0" w:righ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5139" w:type="dxa"/>
            <w:tcBorders>
              <w:top w:val="single" w:color="000000" w:sz="8" w:space="0"/>
              <w:left w:val="single" w:color="000000" w:sz="8" w:space="0"/>
              <w:bottom w:val="single" w:color="000000" w:sz="8" w:space="0"/>
              <w:right w:val="single" w:color="000000" w:sz="8" w:space="0"/>
            </w:tcBorders>
            <w:vAlign w:val="center"/>
          </w:tcPr>
          <w:p>
            <w:pPr>
              <w:pStyle w:val="2"/>
              <w:pageBreakBefore w:val="0"/>
              <w:kinsoku/>
              <w:wordWrap w:val="0"/>
              <w:overflowPunct/>
              <w:topLinePunct w:val="0"/>
              <w:bidi w:val="0"/>
              <w:spacing w:after="0"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1、投标人存在《深圳市财政局政府采购供应商信用信息管理办法》（深财规〔2023〕3号）列明的一般行政处罚信息、一般违法失信记录信息的，本项不得分，不存在上述情形的本项得满分。</w:t>
            </w:r>
          </w:p>
          <w:p>
            <w:pPr>
              <w:pStyle w:val="2"/>
              <w:pageBreakBefore w:val="0"/>
              <w:kinsoku/>
              <w:wordWrap w:val="0"/>
              <w:overflowPunct/>
              <w:topLinePunct w:val="0"/>
              <w:bidi w:val="0"/>
              <w:spacing w:after="0" w:line="240" w:lineRule="auto"/>
              <w:ind w:left="0" w:leftChars="0" w:right="0"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2、投标人通过“信用中国”（www.creditchina.gov.cn，下载信用信息报告）、“中国政府采购网”（www.ccgp.gov.cn）以及“深圳市政府采购监管网”（http://zfcg.sz.gov.cn）</w:t>
            </w:r>
            <w:bookmarkStart w:id="7" w:name="OLE_LINK6"/>
            <w:r>
              <w:rPr>
                <w:rFonts w:hint="eastAsia" w:ascii="仿宋_GB2312" w:hAnsi="仿宋_GB2312" w:eastAsia="仿宋_GB2312" w:cs="仿宋_GB2312"/>
                <w:color w:val="auto"/>
                <w:sz w:val="24"/>
                <w:szCs w:val="24"/>
              </w:rPr>
              <w:t>、</w:t>
            </w:r>
            <w:r>
              <w:rPr>
                <w:rFonts w:hint="eastAsia" w:ascii="仿宋_GB2312" w:hAnsi="仿宋_GB2312" w:eastAsia="仿宋_GB2312" w:cs="仿宋_GB2312"/>
                <w:b w:val="0"/>
                <w:bCs w:val="0"/>
                <w:color w:val="auto"/>
                <w:sz w:val="24"/>
                <w:szCs w:val="24"/>
              </w:rPr>
              <w:t>“深圳政府采购智慧平台信用库”</w:t>
            </w:r>
            <w:bookmarkEnd w:id="7"/>
            <w:r>
              <w:rPr>
                <w:rFonts w:hint="eastAsia" w:ascii="仿宋_GB2312" w:hAnsi="仿宋_GB2312" w:eastAsia="仿宋_GB2312" w:cs="仿宋_GB2312"/>
                <w:color w:val="auto"/>
                <w:sz w:val="24"/>
                <w:szCs w:val="24"/>
              </w:rPr>
              <w:t>查询供应商信用信息并提供查询截图。</w:t>
            </w:r>
          </w:p>
        </w:tc>
      </w:tr>
    </w:tbl>
    <w:p>
      <w:pPr>
        <w:pStyle w:val="3"/>
        <w:keepNext/>
        <w:keepLines/>
        <w:pageBreakBefore w:val="0"/>
        <w:widowControl/>
        <w:kinsoku/>
        <w:wordWrap/>
        <w:overflowPunct/>
        <w:topLinePunct w:val="0"/>
        <w:autoSpaceDE/>
        <w:autoSpaceDN/>
        <w:bidi w:val="0"/>
        <w:adjustRightInd/>
        <w:snapToGrid/>
        <w:spacing w:before="0" w:after="0" w:line="560" w:lineRule="exact"/>
        <w:ind w:left="0" w:leftChars="0" w:right="0" w:firstLine="640" w:firstLineChars="200"/>
        <w:textAlignment w:val="auto"/>
        <w:rPr>
          <w:rFonts w:hint="eastAsia" w:ascii="黑体" w:hAnsi="黑体" w:eastAsia="黑体" w:cs="黑体"/>
          <w:b w:val="0"/>
          <w:bCs/>
          <w:color w:val="auto"/>
          <w:sz w:val="32"/>
          <w:szCs w:val="32"/>
        </w:rPr>
      </w:pPr>
      <w:bookmarkStart w:id="8" w:name="heading_28"/>
      <w:r>
        <w:rPr>
          <w:rFonts w:hint="eastAsia" w:ascii="黑体" w:hAnsi="黑体" w:eastAsia="黑体" w:cs="黑体"/>
          <w:b w:val="0"/>
          <w:bCs/>
          <w:color w:val="auto"/>
          <w:sz w:val="32"/>
          <w:szCs w:val="32"/>
        </w:rPr>
        <w:t>六、附则</w:t>
      </w:r>
      <w:bookmarkEnd w:id="8"/>
    </w:p>
    <w:p>
      <w:pPr>
        <w:bidi w:val="0"/>
        <w:jc w:val="both"/>
        <w:rPr>
          <w:rFonts w:hint="eastAsia"/>
          <w:color w:val="auto"/>
          <w:sz w:val="32"/>
          <w:szCs w:val="32"/>
        </w:rPr>
      </w:pPr>
      <w:r>
        <w:rPr>
          <w:rFonts w:hint="eastAsia"/>
          <w:color w:val="auto"/>
          <w:sz w:val="32"/>
          <w:szCs w:val="32"/>
        </w:rPr>
        <w:t>1</w:t>
      </w:r>
      <w:r>
        <w:rPr>
          <w:rFonts w:hint="eastAsia"/>
          <w:color w:val="auto"/>
          <w:sz w:val="32"/>
          <w:szCs w:val="32"/>
          <w:lang w:val="en-US" w:eastAsia="zh-CN"/>
        </w:rPr>
        <w:t>.</w:t>
      </w:r>
      <w:r>
        <w:rPr>
          <w:rFonts w:hint="eastAsia"/>
          <w:color w:val="auto"/>
          <w:sz w:val="32"/>
          <w:szCs w:val="32"/>
        </w:rPr>
        <w:t>中标人需为施工人员购买工伤保险。</w:t>
      </w:r>
    </w:p>
    <w:p>
      <w:pPr>
        <w:bidi w:val="0"/>
        <w:jc w:val="both"/>
        <w:rPr>
          <w:rFonts w:hint="eastAsia"/>
          <w:color w:val="auto"/>
          <w:sz w:val="32"/>
          <w:szCs w:val="32"/>
        </w:rPr>
      </w:pPr>
      <w:r>
        <w:rPr>
          <w:rFonts w:hint="eastAsia"/>
          <w:color w:val="auto"/>
          <w:sz w:val="32"/>
          <w:szCs w:val="32"/>
        </w:rPr>
        <w:t>2</w:t>
      </w:r>
      <w:r>
        <w:rPr>
          <w:rFonts w:hint="eastAsia"/>
          <w:color w:val="auto"/>
          <w:sz w:val="32"/>
          <w:szCs w:val="32"/>
          <w:lang w:val="en-US" w:eastAsia="zh-CN"/>
        </w:rPr>
        <w:t>.</w:t>
      </w:r>
      <w:r>
        <w:rPr>
          <w:rFonts w:hint="eastAsia"/>
          <w:color w:val="auto"/>
          <w:sz w:val="32"/>
          <w:szCs w:val="32"/>
        </w:rPr>
        <w:t>本需求书未尽事宜，按《建设工程施工合同（示范文本）》（GF-2017-0201）执行。</w:t>
      </w:r>
    </w:p>
    <w:p>
      <w:pPr>
        <w:bidi w:val="0"/>
        <w:jc w:val="both"/>
        <w:rPr>
          <w:rFonts w:hint="eastAsia"/>
          <w:color w:val="auto"/>
          <w:sz w:val="32"/>
          <w:szCs w:val="32"/>
        </w:rPr>
      </w:pPr>
      <w:r>
        <w:rPr>
          <w:rFonts w:hint="eastAsia"/>
          <w:color w:val="auto"/>
          <w:sz w:val="32"/>
          <w:szCs w:val="32"/>
        </w:rPr>
        <w:t>3</w:t>
      </w:r>
      <w:r>
        <w:rPr>
          <w:rFonts w:hint="eastAsia"/>
          <w:color w:val="auto"/>
          <w:sz w:val="32"/>
          <w:szCs w:val="32"/>
          <w:lang w:val="en-US" w:eastAsia="zh-CN"/>
        </w:rPr>
        <w:t>.</w:t>
      </w:r>
      <w:r>
        <w:rPr>
          <w:rFonts w:hint="eastAsia"/>
          <w:color w:val="auto"/>
          <w:sz w:val="32"/>
          <w:szCs w:val="32"/>
        </w:rPr>
        <w:t>本需求书需与施工图纸、工程量清单配套使用，具有同等法律效力。</w:t>
      </w:r>
    </w:p>
    <w:p>
      <w:pPr>
        <w:bidi w:val="0"/>
        <w:jc w:val="both"/>
        <w:rPr>
          <w:rFonts w:hint="eastAsia"/>
          <w:color w:val="auto"/>
          <w:sz w:val="32"/>
          <w:szCs w:val="32"/>
        </w:rPr>
      </w:pPr>
      <w:r>
        <w:rPr>
          <w:rFonts w:hint="eastAsia"/>
          <w:color w:val="auto"/>
          <w:sz w:val="32"/>
          <w:szCs w:val="32"/>
        </w:rPr>
        <w:t>4</w:t>
      </w:r>
      <w:r>
        <w:rPr>
          <w:rFonts w:hint="eastAsia"/>
          <w:color w:val="auto"/>
          <w:sz w:val="32"/>
          <w:szCs w:val="32"/>
          <w:lang w:val="en-US" w:eastAsia="zh-CN"/>
        </w:rPr>
        <w:t>.</w:t>
      </w:r>
      <w:r>
        <w:rPr>
          <w:rFonts w:hint="eastAsia"/>
          <w:color w:val="auto"/>
          <w:sz w:val="32"/>
          <w:szCs w:val="32"/>
        </w:rPr>
        <w:t>需求书中描述有歧义或前后不一致的，评审小组有权统一评判，且评判标准适用于所有投标人。</w:t>
      </w:r>
    </w:p>
    <w:p>
      <w:pPr>
        <w:bidi w:val="0"/>
        <w:jc w:val="both"/>
        <w:rPr>
          <w:rFonts w:hint="eastAsia"/>
          <w:color w:val="auto"/>
          <w:sz w:val="32"/>
          <w:szCs w:val="32"/>
        </w:rPr>
      </w:pPr>
      <w:r>
        <w:rPr>
          <w:rFonts w:hint="eastAsia"/>
          <w:color w:val="auto"/>
          <w:sz w:val="32"/>
          <w:szCs w:val="32"/>
          <w:lang w:val="en-US" w:eastAsia="zh-CN"/>
        </w:rPr>
        <w:t>5.</w:t>
      </w:r>
      <w:r>
        <w:rPr>
          <w:rFonts w:hint="eastAsia"/>
          <w:color w:val="auto"/>
          <w:sz w:val="32"/>
          <w:szCs w:val="32"/>
        </w:rPr>
        <w:t>本需求书由盐田区文化广电旅游体育局负责解释，招标方具有最终解释权。</w:t>
      </w:r>
    </w:p>
    <w:p>
      <w:pPr>
        <w:pageBreakBefore w:val="0"/>
        <w:kinsoku/>
        <w:overflowPunct/>
        <w:topLinePunct w:val="0"/>
        <w:bidi w:val="0"/>
        <w:spacing w:line="560" w:lineRule="exact"/>
        <w:ind w:left="0" w:leftChars="0" w:right="0" w:firstLine="400"/>
        <w:rPr>
          <w:rFonts w:hint="eastAsia" w:ascii="仿宋_GB2312" w:hAnsi="仿宋_GB2312" w:eastAsia="仿宋_GB2312" w:cs="仿宋_GB2312"/>
          <w:color w:val="auto"/>
          <w:sz w:val="32"/>
          <w:szCs w:val="32"/>
        </w:rPr>
      </w:pPr>
    </w:p>
    <w:p>
      <w:pPr>
        <w:pageBreakBefore w:val="0"/>
        <w:kinsoku/>
        <w:overflowPunct/>
        <w:topLinePunct w:val="0"/>
        <w:bidi w:val="0"/>
        <w:spacing w:line="560" w:lineRule="exact"/>
        <w:ind w:left="0" w:leftChars="0" w:right="0" w:firstLine="56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outlineLvl w:val="0"/>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pPr>
        <w:pStyle w:val="14"/>
        <w:keepNext w:val="0"/>
        <w:keepLines w:val="0"/>
        <w:pageBreakBefore w:val="0"/>
        <w:widowControl w:val="0"/>
        <w:kinsoku/>
        <w:wordWrap/>
        <w:overflowPunct/>
        <w:topLinePunct w:val="0"/>
        <w:autoSpaceDE/>
        <w:autoSpaceDN/>
        <w:bidi w:val="0"/>
        <w:adjustRightInd/>
        <w:snapToGrid w:val="0"/>
        <w:spacing w:before="0" w:after="0" w:line="560" w:lineRule="exact"/>
        <w:ind w:firstLine="0" w:firstLineChars="0"/>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供应商基本情况表</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color w:val="auto"/>
          <w:lang w:val="en-US" w:eastAsia="zh-CN"/>
        </w:rPr>
      </w:pPr>
    </w:p>
    <w:p>
      <w:pPr>
        <w:pageBreakBefore w:val="0"/>
        <w:kinsoku/>
        <w:overflowPunct/>
        <w:topLinePunct w:val="0"/>
        <w:bidi w:val="0"/>
        <w:spacing w:line="560" w:lineRule="exact"/>
        <w:ind w:left="0" w:leftChars="0" w:firstLine="0" w:firstLineChar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填表单位：（加盖单位公章）</w:t>
      </w:r>
      <w:r>
        <w:rPr>
          <w:rFonts w:hint="eastAsia" w:ascii="仿宋_GB2312" w:hAnsi="仿宋_GB2312" w:eastAsia="仿宋_GB2312" w:cs="仿宋_GB2312"/>
          <w:color w:val="auto"/>
          <w:sz w:val="24"/>
          <w:szCs w:val="24"/>
          <w:lang w:val="en-US" w:eastAsia="zh-CN"/>
        </w:rPr>
        <w:tab/>
      </w:r>
      <w:r>
        <w:rPr>
          <w:rFonts w:hint="eastAsia" w:ascii="仿宋_GB2312" w:hAnsi="仿宋_GB2312" w:eastAsia="仿宋_GB2312" w:cs="仿宋_GB2312"/>
          <w:color w:val="auto"/>
          <w:sz w:val="24"/>
          <w:szCs w:val="24"/>
          <w:lang w:val="en-US" w:eastAsia="zh-CN"/>
        </w:rPr>
        <w:tab/>
      </w:r>
      <w:r>
        <w:rPr>
          <w:rFonts w:hint="eastAsia" w:cs="仿宋_GB2312"/>
          <w:color w:val="auto"/>
          <w:sz w:val="24"/>
          <w:szCs w:val="24"/>
          <w:lang w:val="en-US" w:eastAsia="zh-CN"/>
        </w:rPr>
        <w:t xml:space="preserve">             </w:t>
      </w:r>
      <w:r>
        <w:rPr>
          <w:rFonts w:hint="eastAsia" w:ascii="仿宋_GB2312" w:hAnsi="仿宋_GB2312" w:eastAsia="仿宋_GB2312" w:cs="仿宋_GB2312"/>
          <w:color w:val="auto"/>
          <w:sz w:val="24"/>
          <w:szCs w:val="24"/>
          <w:lang w:val="en-US" w:eastAsia="zh-CN"/>
        </w:rPr>
        <w:t xml:space="preserve">   填表日期：    年   月   日</w:t>
      </w:r>
    </w:p>
    <w:tbl>
      <w:tblPr>
        <w:tblStyle w:val="17"/>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753"/>
        <w:gridCol w:w="1529"/>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gridSpan w:val="2"/>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采购人</w:t>
            </w:r>
          </w:p>
        </w:tc>
        <w:tc>
          <w:tcPr>
            <w:tcW w:w="2476" w:type="dxa"/>
            <w:gridSpan w:val="2"/>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p>
        </w:tc>
        <w:tc>
          <w:tcPr>
            <w:tcW w:w="1991" w:type="dxa"/>
            <w:gridSpan w:val="2"/>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项目名称</w:t>
            </w:r>
          </w:p>
        </w:tc>
        <w:tc>
          <w:tcPr>
            <w:tcW w:w="2985" w:type="dxa"/>
            <w:gridSpan w:val="2"/>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投标（响应）供应商</w:t>
            </w:r>
          </w:p>
        </w:tc>
        <w:tc>
          <w:tcPr>
            <w:tcW w:w="2476" w:type="dxa"/>
            <w:gridSpan w:val="2"/>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p>
        </w:tc>
        <w:tc>
          <w:tcPr>
            <w:tcW w:w="199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供应商统一社会信用代码</w:t>
            </w:r>
          </w:p>
        </w:tc>
        <w:tc>
          <w:tcPr>
            <w:tcW w:w="2985" w:type="dxa"/>
            <w:gridSpan w:val="2"/>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序号</w:t>
            </w:r>
          </w:p>
        </w:tc>
        <w:tc>
          <w:tcPr>
            <w:tcW w:w="2282"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职务</w:t>
            </w:r>
          </w:p>
        </w:tc>
        <w:tc>
          <w:tcPr>
            <w:tcW w:w="94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姓名</w:t>
            </w:r>
          </w:p>
        </w:tc>
        <w:tc>
          <w:tcPr>
            <w:tcW w:w="1991"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身份证号码</w:t>
            </w:r>
          </w:p>
        </w:tc>
        <w:tc>
          <w:tcPr>
            <w:tcW w:w="150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劳动合同</w:t>
            </w:r>
          </w:p>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关系单位</w:t>
            </w:r>
          </w:p>
        </w:tc>
        <w:tc>
          <w:tcPr>
            <w:tcW w:w="148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缴纳社会</w:t>
            </w:r>
          </w:p>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法定代表人</w:t>
            </w:r>
            <w:r>
              <w:rPr>
                <w:rFonts w:hint="eastAsia" w:ascii="仿宋_GB2312" w:hAnsi="仿宋_GB2312" w:eastAsia="仿宋_GB2312" w:cs="仿宋_GB2312"/>
                <w:color w:val="auto"/>
                <w:sz w:val="24"/>
                <w:szCs w:val="24"/>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bidi="ar"/>
              </w:rPr>
              <w:t>3</w:t>
            </w:r>
          </w:p>
        </w:tc>
        <w:tc>
          <w:tcPr>
            <w:tcW w:w="2282"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highlight w:val="none"/>
              </w:rPr>
              <w:t>项目负责人</w:t>
            </w:r>
          </w:p>
        </w:tc>
        <w:tc>
          <w:tcPr>
            <w:tcW w:w="947"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p>
        </w:tc>
        <w:tc>
          <w:tcPr>
            <w:tcW w:w="1991"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p>
        </w:tc>
        <w:tc>
          <w:tcPr>
            <w:tcW w:w="150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bidi="ar"/>
              </w:rPr>
              <w:t>4</w:t>
            </w:r>
          </w:p>
        </w:tc>
        <w:tc>
          <w:tcPr>
            <w:tcW w:w="2282" w:type="dxa"/>
            <w:gridSpan w:val="2"/>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highlight w:val="none"/>
              </w:rPr>
              <w:t>主要技术人员</w:t>
            </w:r>
          </w:p>
        </w:tc>
        <w:tc>
          <w:tcPr>
            <w:tcW w:w="947" w:type="dxa"/>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p>
        </w:tc>
        <w:tc>
          <w:tcPr>
            <w:tcW w:w="1991" w:type="dxa"/>
            <w:gridSpan w:val="2"/>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bidi="ar"/>
              </w:rPr>
              <w:t>5</w:t>
            </w:r>
          </w:p>
        </w:tc>
        <w:tc>
          <w:tcPr>
            <w:tcW w:w="2282"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val="0"/>
              <w:spacing w:line="288" w:lineRule="auto"/>
              <w:ind w:left="0" w:lef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highlight w:val="none"/>
              </w:rPr>
              <w:t>投标文件</w:t>
            </w:r>
            <w:r>
              <w:rPr>
                <w:rFonts w:hint="eastAsia" w:ascii="仿宋_GB2312" w:hAnsi="仿宋_GB2312" w:eastAsia="仿宋_GB2312" w:cs="仿宋_GB2312"/>
                <w:color w:val="auto"/>
                <w:sz w:val="24"/>
                <w:szCs w:val="24"/>
                <w:highlight w:val="none"/>
                <w:lang w:eastAsia="zh-CN"/>
              </w:rPr>
              <w:t>编制人员</w:t>
            </w:r>
          </w:p>
        </w:tc>
        <w:tc>
          <w:tcPr>
            <w:tcW w:w="947" w:type="dxa"/>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p>
        </w:tc>
        <w:tc>
          <w:tcPr>
            <w:tcW w:w="1991" w:type="dxa"/>
            <w:gridSpan w:val="2"/>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bidi="ar"/>
              </w:rPr>
              <w:t>序号</w:t>
            </w:r>
          </w:p>
        </w:tc>
        <w:tc>
          <w:tcPr>
            <w:tcW w:w="2282"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bidi="ar"/>
              </w:rPr>
              <w:t>1</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vertAlign w:val="baseline"/>
                <w:lang w:val="en-US" w:eastAsia="zh-CN" w:bidi="ar"/>
              </w:rPr>
            </w:pPr>
            <w:r>
              <w:rPr>
                <w:rFonts w:hint="eastAsia" w:ascii="仿宋_GB2312" w:hAnsi="仿宋_GB2312" w:eastAsia="仿宋_GB2312" w:cs="仿宋_GB2312"/>
                <w:color w:val="auto"/>
                <w:sz w:val="24"/>
                <w:szCs w:val="24"/>
                <w:vertAlign w:val="baseline"/>
                <w:lang w:val="en-US" w:eastAsia="zh-CN" w:bidi="ar"/>
              </w:rPr>
              <w:t>2</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88" w:lineRule="auto"/>
              <w:ind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说明：同一关联关系类型有多个主体的，应分行填写。</w:t>
            </w:r>
          </w:p>
        </w:tc>
      </w:tr>
    </w:tbl>
    <w:p>
      <w:pPr>
        <w:pageBreakBefore w:val="0"/>
        <w:kinsoku/>
        <w:overflowPunct/>
        <w:topLinePunct w:val="0"/>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outlineLvl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pStyle w:val="14"/>
        <w:keepNext w:val="0"/>
        <w:keepLines w:val="0"/>
        <w:pageBreakBefore w:val="0"/>
        <w:widowControl w:val="0"/>
        <w:kinsoku/>
        <w:wordWrap/>
        <w:overflowPunct/>
        <w:topLinePunct w:val="0"/>
        <w:autoSpaceDE/>
        <w:autoSpaceDN/>
        <w:bidi w:val="0"/>
        <w:adjustRightInd/>
        <w:snapToGrid w:val="0"/>
        <w:spacing w:before="0" w:after="0" w:line="560" w:lineRule="exact"/>
        <w:ind w:firstLine="0" w:firstLineChars="0"/>
        <w:textAlignment w:val="auto"/>
        <w:rPr>
          <w:rFonts w:hint="eastAsia" w:ascii="方正小标宋简体" w:hAnsi="方正小标宋简体" w:eastAsia="方正小标宋简体" w:cs="方正小标宋简体"/>
          <w:b w:val="0"/>
          <w:bCs w:val="0"/>
          <w:color w:val="auto"/>
          <w:kern w:val="2"/>
          <w:sz w:val="44"/>
          <w:szCs w:val="44"/>
        </w:rPr>
      </w:pPr>
      <w:r>
        <w:rPr>
          <w:rFonts w:hint="eastAsia" w:ascii="方正小标宋简体" w:hAnsi="方正小标宋简体" w:eastAsia="方正小标宋简体" w:cs="方正小标宋简体"/>
          <w:b w:val="0"/>
          <w:bCs w:val="0"/>
          <w:color w:val="auto"/>
          <w:kern w:val="2"/>
          <w:sz w:val="44"/>
          <w:szCs w:val="44"/>
        </w:rPr>
        <w:t>法定代表人资格证明书</w:t>
      </w:r>
    </w:p>
    <w:p>
      <w:pPr>
        <w:pageBreakBefore w:val="0"/>
        <w:kinsoku/>
        <w:overflowPunct/>
        <w:topLinePunct w:val="0"/>
        <w:bidi w:val="0"/>
        <w:spacing w:line="560" w:lineRule="exact"/>
        <w:ind w:firstLine="472" w:firstLineChars="147"/>
        <w:rPr>
          <w:rFonts w:hint="eastAsia" w:ascii="仿宋_GB2312" w:hAnsi="仿宋_GB2312" w:eastAsia="仿宋_GB2312" w:cs="仿宋_GB2312"/>
          <w:b/>
          <w:color w:val="auto"/>
          <w:kern w:val="0"/>
          <w:sz w:val="32"/>
          <w:szCs w:val="32"/>
        </w:rPr>
      </w:pPr>
    </w:p>
    <w:p>
      <w:pPr>
        <w:pageBreakBefore w:val="0"/>
        <w:kinsoku/>
        <w:overflowPunct/>
        <w:topLinePunct w:val="0"/>
        <w:bidi w:val="0"/>
        <w:spacing w:line="560" w:lineRule="exact"/>
        <w:ind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lang w:bidi="ar"/>
        </w:rPr>
        <w:t xml:space="preserve">            </w:t>
      </w:r>
      <w:r>
        <w:rPr>
          <w:rFonts w:hint="eastAsia" w:ascii="仿宋_GB2312" w:hAnsi="仿宋_GB2312" w:eastAsia="仿宋_GB2312" w:cs="仿宋_GB2312"/>
          <w:color w:val="auto"/>
          <w:sz w:val="28"/>
          <w:szCs w:val="28"/>
          <w:lang w:bidi="ar"/>
        </w:rPr>
        <w:t>（姓名），现任我单位</w:t>
      </w:r>
      <w:r>
        <w:rPr>
          <w:rFonts w:hint="eastAsia" w:ascii="仿宋_GB2312" w:hAnsi="仿宋_GB2312" w:eastAsia="仿宋_GB2312" w:cs="仿宋_GB2312"/>
          <w:color w:val="auto"/>
          <w:sz w:val="28"/>
          <w:szCs w:val="28"/>
          <w:u w:val="single"/>
          <w:lang w:bidi="ar"/>
        </w:rPr>
        <w:t xml:space="preserve">             </w:t>
      </w:r>
      <w:r>
        <w:rPr>
          <w:rFonts w:hint="eastAsia" w:ascii="仿宋_GB2312" w:hAnsi="仿宋_GB2312" w:eastAsia="仿宋_GB2312" w:cs="仿宋_GB2312"/>
          <w:color w:val="auto"/>
          <w:sz w:val="28"/>
          <w:szCs w:val="28"/>
          <w:lang w:bidi="ar"/>
        </w:rPr>
        <w:t>职务，为法定代表人，身份证件号为：</w:t>
      </w:r>
      <w:r>
        <w:rPr>
          <w:rFonts w:hint="eastAsia" w:ascii="仿宋_GB2312" w:hAnsi="仿宋_GB2312" w:eastAsia="仿宋_GB2312" w:cs="仿宋_GB2312"/>
          <w:color w:val="auto"/>
          <w:sz w:val="28"/>
          <w:szCs w:val="28"/>
          <w:u w:val="single"/>
          <w:lang w:bidi="ar"/>
        </w:rPr>
        <w:t xml:space="preserve">                                     </w:t>
      </w:r>
      <w:r>
        <w:rPr>
          <w:rFonts w:hint="eastAsia" w:ascii="仿宋_GB2312" w:hAnsi="仿宋_GB2312" w:eastAsia="仿宋_GB2312" w:cs="仿宋_GB2312"/>
          <w:color w:val="auto"/>
          <w:sz w:val="28"/>
          <w:szCs w:val="28"/>
          <w:lang w:bidi="ar"/>
        </w:rPr>
        <w:t>，联系电话：</w:t>
      </w:r>
      <w:r>
        <w:rPr>
          <w:rFonts w:hint="eastAsia" w:ascii="仿宋_GB2312" w:hAnsi="仿宋_GB2312" w:eastAsia="仿宋_GB2312" w:cs="仿宋_GB2312"/>
          <w:color w:val="auto"/>
          <w:sz w:val="28"/>
          <w:szCs w:val="28"/>
          <w:u w:val="single"/>
          <w:lang w:bidi="ar"/>
        </w:rPr>
        <w:t xml:space="preserve">                </w:t>
      </w:r>
      <w:r>
        <w:rPr>
          <w:rFonts w:hint="eastAsia" w:ascii="仿宋_GB2312" w:hAnsi="仿宋_GB2312" w:eastAsia="仿宋_GB2312" w:cs="仿宋_GB2312"/>
          <w:color w:val="auto"/>
          <w:sz w:val="28"/>
          <w:szCs w:val="28"/>
          <w:lang w:bidi="ar"/>
        </w:rPr>
        <w:t>。</w:t>
      </w:r>
    </w:p>
    <w:p>
      <w:pPr>
        <w:pageBreakBefore w:val="0"/>
        <w:kinsoku/>
        <w:overflowPunct/>
        <w:topLinePunct w:val="0"/>
        <w:bidi w:val="0"/>
        <w:spacing w:line="560" w:lineRule="exact"/>
        <w:ind w:firstLine="560" w:firstLineChars="20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特此证明。</w:t>
      </w:r>
    </w:p>
    <w:p>
      <w:pPr>
        <w:pStyle w:val="2"/>
        <w:rPr>
          <w:rFonts w:hint="eastAsia"/>
          <w:color w:val="auto"/>
          <w:sz w:val="28"/>
          <w:szCs w:val="28"/>
        </w:rPr>
      </w:pPr>
    </w:p>
    <w:p>
      <w:pPr>
        <w:pageBreakBefore w:val="0"/>
        <w:kinsoku/>
        <w:overflowPunct/>
        <w:topLinePunct w:val="0"/>
        <w:bidi w:val="0"/>
        <w:spacing w:line="560" w:lineRule="exact"/>
        <w:ind w:firstLine="560" w:firstLineChars="20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1</w:t>
      </w:r>
      <w:r>
        <w:rPr>
          <w:rFonts w:hint="eastAsia" w:ascii="仿宋_GB2312" w:hAnsi="仿宋_GB2312" w:eastAsia="仿宋_GB2312" w:cs="仿宋_GB2312"/>
          <w:color w:val="auto"/>
          <w:sz w:val="28"/>
          <w:szCs w:val="28"/>
          <w:lang w:val="en-US" w:eastAsia="zh-CN" w:bidi="ar"/>
        </w:rPr>
        <w:t>.</w:t>
      </w:r>
      <w:r>
        <w:rPr>
          <w:rFonts w:hint="eastAsia" w:ascii="仿宋_GB2312" w:hAnsi="仿宋_GB2312" w:eastAsia="仿宋_GB2312" w:cs="仿宋_GB2312"/>
          <w:color w:val="auto"/>
          <w:sz w:val="28"/>
          <w:szCs w:val="28"/>
          <w:lang w:bidi="ar"/>
        </w:rPr>
        <w:t>法定代表人为投标人（企业事业单位、国家机关、社会团体）的主要行政负责人。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bidi="ar"/>
        </w:rPr>
        <w:t>2.</w:t>
      </w:r>
      <w:r>
        <w:rPr>
          <w:rFonts w:hint="eastAsia" w:ascii="仿宋_GB2312" w:hAnsi="仿宋_GB2312" w:eastAsia="仿宋_GB2312" w:cs="仿宋_GB2312"/>
          <w:color w:val="auto"/>
          <w:sz w:val="28"/>
          <w:szCs w:val="28"/>
          <w:lang w:bidi="ar"/>
        </w:rPr>
        <w:t>本证明书要供法定代表人相关身份证明文件：身份证扫描件（正反两面）；港澳台居民可提供来往通行证扫描件；非中国国籍管辖范围人员，可提供公安部门认可的身份证明材料扫描件。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bidi="ar"/>
        </w:rPr>
        <w:t>3.</w:t>
      </w:r>
      <w:r>
        <w:rPr>
          <w:rFonts w:hint="eastAsia" w:ascii="仿宋_GB2312" w:hAnsi="仿宋_GB2312" w:eastAsia="仿宋_GB2312" w:cs="仿宋_GB2312"/>
          <w:color w:val="auto"/>
          <w:sz w:val="28"/>
          <w:szCs w:val="28"/>
          <w:lang w:bidi="ar"/>
        </w:rPr>
        <w:t>本项目投标授权代表为法定代表人（负责人）的，无需</w:t>
      </w:r>
      <w:r>
        <w:rPr>
          <w:rFonts w:hint="eastAsia" w:ascii="仿宋_GB2312" w:hAnsi="仿宋_GB2312" w:eastAsia="仿宋_GB2312" w:cs="仿宋_GB2312"/>
          <w:color w:val="auto"/>
          <w:sz w:val="28"/>
          <w:szCs w:val="28"/>
          <w:lang w:eastAsia="zh-CN" w:bidi="ar"/>
        </w:rPr>
        <w:t>提供</w:t>
      </w:r>
      <w:r>
        <w:rPr>
          <w:rFonts w:hint="eastAsia" w:ascii="仿宋_GB2312" w:hAnsi="仿宋_GB2312" w:eastAsia="仿宋_GB2312" w:cs="仿宋_GB2312"/>
          <w:color w:val="auto"/>
          <w:sz w:val="28"/>
          <w:szCs w:val="28"/>
          <w:lang w:bidi="ar"/>
        </w:rPr>
        <w:t>《投标文件签署授权委托书》。</w:t>
      </w:r>
    </w:p>
    <w:p>
      <w:pPr>
        <w:pageBreakBefore w:val="0"/>
        <w:numPr>
          <w:ilvl w:val="0"/>
          <w:numId w:val="0"/>
        </w:numPr>
        <w:kinsoku/>
        <w:overflowPunct/>
        <w:topLinePunct w:val="0"/>
        <w:bidi w:val="0"/>
        <w:spacing w:line="560" w:lineRule="exact"/>
        <w:ind w:leftChars="200"/>
        <w:jc w:val="both"/>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bidi="ar"/>
        </w:rPr>
        <w:t>4.</w:t>
      </w:r>
      <w:r>
        <w:rPr>
          <w:rFonts w:hint="eastAsia" w:ascii="仿宋_GB2312" w:hAnsi="仿宋_GB2312" w:eastAsia="仿宋_GB2312" w:cs="仿宋_GB2312"/>
          <w:color w:val="auto"/>
          <w:sz w:val="28"/>
          <w:szCs w:val="28"/>
          <w:lang w:bidi="ar"/>
        </w:rPr>
        <w:t>内容必须填写真实、清楚，涂改无效，不得转让、买卖。</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9"/>
        <w:gridCol w:w="4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trPr>
        <w:tc>
          <w:tcPr>
            <w:tcW w:w="48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证件扫描件正面</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8"/>
                <w:szCs w:val="28"/>
              </w:rPr>
            </w:pPr>
          </w:p>
        </w:tc>
        <w:tc>
          <w:tcPr>
            <w:tcW w:w="48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证件扫描件反面</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8"/>
                <w:szCs w:val="28"/>
              </w:rPr>
            </w:pPr>
          </w:p>
        </w:tc>
      </w:tr>
    </w:tbl>
    <w:p>
      <w:pPr>
        <w:pageBreakBefore w:val="0"/>
        <w:kinsoku/>
        <w:overflowPunct/>
        <w:topLinePunct w:val="0"/>
        <w:bidi w:val="0"/>
        <w:spacing w:line="560" w:lineRule="exact"/>
        <w:ind w:firstLine="642"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b/>
          <w:color w:val="auto"/>
          <w:sz w:val="32"/>
          <w:szCs w:val="32"/>
          <w:lang w:bidi="ar"/>
        </w:rPr>
        <w:t xml:space="preserve"> </w:t>
      </w:r>
      <w:r>
        <w:rPr>
          <w:rFonts w:hint="eastAsia" w:ascii="仿宋_GB2312" w:hAnsi="仿宋_GB2312" w:eastAsia="仿宋_GB2312" w:cs="仿宋_GB2312"/>
          <w:b/>
          <w:color w:val="auto"/>
          <w:sz w:val="24"/>
          <w:szCs w:val="24"/>
          <w:lang w:bidi="ar"/>
        </w:rPr>
        <w:t>温馨提示：为避免出现《深圳经济特区政府采购条例实施细则》第七十五条第二项所列情形，请附法定代表人近一个月社保缴纳证明，并加盖公章</w:t>
      </w:r>
      <w:r>
        <w:rPr>
          <w:rFonts w:hint="eastAsia" w:ascii="仿宋_GB2312" w:hAnsi="仿宋_GB2312" w:eastAsia="仿宋_GB2312" w:cs="仿宋_GB2312"/>
          <w:b/>
          <w:color w:val="auto"/>
          <w:sz w:val="24"/>
          <w:szCs w:val="24"/>
          <w:lang w:eastAsia="zh-CN" w:bidi="ar"/>
        </w:rPr>
        <w:t>。</w:t>
      </w:r>
    </w:p>
    <w:p>
      <w:pPr>
        <w:pageBreakBefore w:val="0"/>
        <w:kinsoku/>
        <w:overflowPunct/>
        <w:topLinePunct w:val="0"/>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outlineLvl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3</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政府采购违法行为风险知悉确认书</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480"/>
        <w:jc w:val="center"/>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288" w:lineRule="auto"/>
        <w:ind w:left="0" w:leftChars="0" w:right="0" w:firstLine="48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本公司在投标前已充分知悉以下情形为参与政府采购活动时的重大风险事项，并承诺已对下述风险提示事项重点排查，做到严谨、诚信、依法依规参与政府采购活动。</w:t>
      </w:r>
    </w:p>
    <w:p>
      <w:pPr>
        <w:keepNext w:val="0"/>
        <w:keepLines w:val="0"/>
        <w:pageBreakBefore w:val="0"/>
        <w:widowControl w:val="0"/>
        <w:kinsoku/>
        <w:wordWrap/>
        <w:overflowPunct/>
        <w:topLinePunct w:val="0"/>
        <w:autoSpaceDE/>
        <w:autoSpaceDN/>
        <w:bidi w:val="0"/>
        <w:adjustRightInd/>
        <w:snapToGrid/>
        <w:spacing w:line="288" w:lineRule="auto"/>
        <w:ind w:left="0" w:leftChars="0" w:right="0" w:firstLine="48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一、本公司已充分知悉“隐瞒真实情况，提供虚假资料”的法定情形，相关情形包括但不限于</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288" w:lineRule="auto"/>
        <w:ind w:left="0" w:leftChars="0" w:right="0" w:firstLine="48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（一）通过转让或者租借等方式从其他单位获取资格或者资质证书投标的。</w:t>
      </w:r>
    </w:p>
    <w:p>
      <w:pPr>
        <w:keepNext w:val="0"/>
        <w:keepLines w:val="0"/>
        <w:pageBreakBefore w:val="0"/>
        <w:widowControl w:val="0"/>
        <w:kinsoku/>
        <w:wordWrap/>
        <w:overflowPunct/>
        <w:topLinePunct w:val="0"/>
        <w:autoSpaceDE/>
        <w:autoSpaceDN/>
        <w:bidi w:val="0"/>
        <w:adjustRightInd/>
        <w:snapToGrid/>
        <w:spacing w:line="288" w:lineRule="auto"/>
        <w:ind w:left="0" w:leftChars="0" w:right="0" w:firstLine="48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（二）由其他单位或者其他单位负责人在投标供应商编制的投标文件上加盖印章或者签字的。</w:t>
      </w:r>
    </w:p>
    <w:p>
      <w:pPr>
        <w:keepNext w:val="0"/>
        <w:keepLines w:val="0"/>
        <w:pageBreakBefore w:val="0"/>
        <w:widowControl w:val="0"/>
        <w:kinsoku/>
        <w:wordWrap/>
        <w:overflowPunct/>
        <w:topLinePunct w:val="0"/>
        <w:autoSpaceDE/>
        <w:autoSpaceDN/>
        <w:bidi w:val="0"/>
        <w:adjustRightInd/>
        <w:snapToGrid/>
        <w:spacing w:line="288" w:lineRule="auto"/>
        <w:ind w:left="0" w:leftChars="0" w:right="0" w:firstLine="48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（三）项目负责人或者主要技术人员不是本单位人员的。</w:t>
      </w:r>
    </w:p>
    <w:p>
      <w:pPr>
        <w:keepNext w:val="0"/>
        <w:keepLines w:val="0"/>
        <w:pageBreakBefore w:val="0"/>
        <w:widowControl w:val="0"/>
        <w:kinsoku/>
        <w:wordWrap/>
        <w:overflowPunct/>
        <w:topLinePunct w:val="0"/>
        <w:autoSpaceDE/>
        <w:autoSpaceDN/>
        <w:bidi w:val="0"/>
        <w:adjustRightInd/>
        <w:snapToGrid/>
        <w:spacing w:line="288" w:lineRule="auto"/>
        <w:ind w:left="0" w:leftChars="0" w:right="0" w:firstLine="48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（四）投标保证金不是从投标供应商基本账户转出的。</w:t>
      </w:r>
    </w:p>
    <w:p>
      <w:pPr>
        <w:keepNext w:val="0"/>
        <w:keepLines w:val="0"/>
        <w:pageBreakBefore w:val="0"/>
        <w:widowControl w:val="0"/>
        <w:kinsoku/>
        <w:wordWrap/>
        <w:overflowPunct/>
        <w:topLinePunct w:val="0"/>
        <w:autoSpaceDE/>
        <w:autoSpaceDN/>
        <w:bidi w:val="0"/>
        <w:adjustRightInd/>
        <w:snapToGrid/>
        <w:spacing w:line="288" w:lineRule="auto"/>
        <w:ind w:left="0" w:leftChars="0" w:right="0" w:firstLine="48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（五）其他隐瞒真实情况、提供虚假资料的行为。</w:t>
      </w:r>
    </w:p>
    <w:p>
      <w:pPr>
        <w:keepNext w:val="0"/>
        <w:keepLines w:val="0"/>
        <w:pageBreakBefore w:val="0"/>
        <w:widowControl w:val="0"/>
        <w:kinsoku/>
        <w:wordWrap/>
        <w:overflowPunct/>
        <w:topLinePunct w:val="0"/>
        <w:autoSpaceDE/>
        <w:autoSpaceDN/>
        <w:bidi w:val="0"/>
        <w:adjustRightInd/>
        <w:snapToGrid/>
        <w:spacing w:line="288" w:lineRule="auto"/>
        <w:ind w:left="0" w:leftChars="0" w:right="0" w:firstLine="48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二、本公司已充分知悉“与其他采购参加人串通投标”的法定情形，相关情形包括但不限于：</w:t>
      </w:r>
    </w:p>
    <w:p>
      <w:pPr>
        <w:keepNext w:val="0"/>
        <w:keepLines w:val="0"/>
        <w:pageBreakBefore w:val="0"/>
        <w:widowControl w:val="0"/>
        <w:kinsoku/>
        <w:wordWrap/>
        <w:overflowPunct/>
        <w:topLinePunct w:val="0"/>
        <w:autoSpaceDE/>
        <w:autoSpaceDN/>
        <w:bidi w:val="0"/>
        <w:adjustRightInd/>
        <w:snapToGrid/>
        <w:spacing w:line="288" w:lineRule="auto"/>
        <w:ind w:left="0" w:leftChars="0" w:right="0" w:firstLine="48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（一）投标供应商之间相互约定给予未中标的供应商利益补偿。 </w:t>
      </w:r>
    </w:p>
    <w:p>
      <w:pPr>
        <w:keepNext w:val="0"/>
        <w:keepLines w:val="0"/>
        <w:pageBreakBefore w:val="0"/>
        <w:widowControl w:val="0"/>
        <w:kinsoku/>
        <w:wordWrap/>
        <w:overflowPunct/>
        <w:topLinePunct w:val="0"/>
        <w:autoSpaceDE/>
        <w:autoSpaceDN/>
        <w:bidi w:val="0"/>
        <w:adjustRightInd/>
        <w:snapToGrid/>
        <w:spacing w:line="288" w:lineRule="auto"/>
        <w:ind w:left="0" w:leftChars="0" w:right="0" w:firstLine="48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（二）不同投标供应商的法定代表人、主要经营负责人、项目投标授权代表人、项目负责人、主要技术人员为同一人、属同一单位或者在同一单位缴纳社会保险。</w:t>
      </w:r>
    </w:p>
    <w:p>
      <w:pPr>
        <w:keepNext w:val="0"/>
        <w:keepLines w:val="0"/>
        <w:pageBreakBefore w:val="0"/>
        <w:widowControl w:val="0"/>
        <w:kinsoku/>
        <w:wordWrap/>
        <w:overflowPunct/>
        <w:topLinePunct w:val="0"/>
        <w:autoSpaceDE/>
        <w:autoSpaceDN/>
        <w:bidi w:val="0"/>
        <w:adjustRightInd/>
        <w:snapToGrid/>
        <w:spacing w:line="288" w:lineRule="auto"/>
        <w:ind w:left="0" w:leftChars="0" w:right="0" w:firstLine="48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（三）不同投标供应商的投标文件由同一单位或者同一人编制，或者由同一人分阶段参与编制的。</w:t>
      </w:r>
    </w:p>
    <w:p>
      <w:pPr>
        <w:keepNext w:val="0"/>
        <w:keepLines w:val="0"/>
        <w:pageBreakBefore w:val="0"/>
        <w:widowControl w:val="0"/>
        <w:kinsoku/>
        <w:wordWrap/>
        <w:overflowPunct/>
        <w:topLinePunct w:val="0"/>
        <w:autoSpaceDE/>
        <w:autoSpaceDN/>
        <w:bidi w:val="0"/>
        <w:adjustRightInd/>
        <w:snapToGrid/>
        <w:spacing w:line="288" w:lineRule="auto"/>
        <w:ind w:left="0" w:leftChars="0" w:right="0" w:firstLine="48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（四）不同投标供应商的投标文件或部分投标文件相互混装。</w:t>
      </w:r>
    </w:p>
    <w:p>
      <w:pPr>
        <w:keepNext w:val="0"/>
        <w:keepLines w:val="0"/>
        <w:pageBreakBefore w:val="0"/>
        <w:widowControl w:val="0"/>
        <w:kinsoku/>
        <w:wordWrap/>
        <w:overflowPunct/>
        <w:topLinePunct w:val="0"/>
        <w:autoSpaceDE/>
        <w:autoSpaceDN/>
        <w:bidi w:val="0"/>
        <w:adjustRightInd/>
        <w:snapToGrid/>
        <w:spacing w:line="288" w:lineRule="auto"/>
        <w:ind w:left="0" w:leftChars="0" w:right="0" w:firstLine="48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（五）不同投标供应商的投标文件内容存在非正常一致。</w:t>
      </w:r>
    </w:p>
    <w:p>
      <w:pPr>
        <w:keepNext w:val="0"/>
        <w:keepLines w:val="0"/>
        <w:pageBreakBefore w:val="0"/>
        <w:widowControl w:val="0"/>
        <w:kinsoku/>
        <w:wordWrap/>
        <w:overflowPunct/>
        <w:topLinePunct w:val="0"/>
        <w:autoSpaceDE/>
        <w:autoSpaceDN/>
        <w:bidi w:val="0"/>
        <w:adjustRightInd/>
        <w:snapToGrid/>
        <w:spacing w:line="288" w:lineRule="auto"/>
        <w:ind w:left="0" w:leftChars="0" w:right="0" w:firstLine="48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（六）由同一单位工作人员为两家以上（含两家）供应商进行同一项投标活动的。</w:t>
      </w:r>
    </w:p>
    <w:p>
      <w:pPr>
        <w:keepNext w:val="0"/>
        <w:keepLines w:val="0"/>
        <w:pageBreakBefore w:val="0"/>
        <w:widowControl w:val="0"/>
        <w:kinsoku/>
        <w:wordWrap/>
        <w:overflowPunct/>
        <w:topLinePunct w:val="0"/>
        <w:autoSpaceDE/>
        <w:autoSpaceDN/>
        <w:bidi w:val="0"/>
        <w:adjustRightInd/>
        <w:snapToGrid/>
        <w:spacing w:line="288" w:lineRule="auto"/>
        <w:ind w:left="0" w:leftChars="0" w:right="0" w:firstLine="48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（七）不同投标人的投标报价呈规律性差异。</w:t>
      </w:r>
    </w:p>
    <w:p>
      <w:pPr>
        <w:keepNext w:val="0"/>
        <w:keepLines w:val="0"/>
        <w:pageBreakBefore w:val="0"/>
        <w:widowControl w:val="0"/>
        <w:kinsoku/>
        <w:wordWrap/>
        <w:overflowPunct/>
        <w:topLinePunct w:val="0"/>
        <w:autoSpaceDE/>
        <w:autoSpaceDN/>
        <w:bidi w:val="0"/>
        <w:adjustRightInd/>
        <w:snapToGrid/>
        <w:spacing w:line="288" w:lineRule="auto"/>
        <w:ind w:left="0" w:leftChars="0" w:right="0" w:firstLine="48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（八）不同投标人的投标保证金从同一单位或者个人的账户转出。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line="288" w:lineRule="auto"/>
        <w:ind w:left="0" w:leftChars="0" w:right="0" w:firstLine="48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（九）主管部门依照法律、法规认定的其他情形。</w:t>
      </w:r>
    </w:p>
    <w:p>
      <w:pPr>
        <w:keepNext w:val="0"/>
        <w:keepLines w:val="0"/>
        <w:pageBreakBefore w:val="0"/>
        <w:widowControl w:val="0"/>
        <w:kinsoku/>
        <w:wordWrap/>
        <w:overflowPunct/>
        <w:topLinePunct w:val="0"/>
        <w:autoSpaceDE/>
        <w:autoSpaceDN/>
        <w:bidi w:val="0"/>
        <w:adjustRightInd/>
        <w:snapToGrid/>
        <w:spacing w:line="288" w:lineRule="auto"/>
        <w:ind w:left="0" w:leftChars="0" w:right="0" w:firstLine="48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三、本公司已充分知悉下列情形所对应的法律风险，并在投标前已对相关风险事项进行排查。</w:t>
      </w:r>
    </w:p>
    <w:p>
      <w:pPr>
        <w:keepNext w:val="0"/>
        <w:keepLines w:val="0"/>
        <w:pageBreakBefore w:val="0"/>
        <w:widowControl w:val="0"/>
        <w:kinsoku/>
        <w:wordWrap/>
        <w:overflowPunct/>
        <w:topLinePunct w:val="0"/>
        <w:autoSpaceDE/>
        <w:autoSpaceDN/>
        <w:bidi w:val="0"/>
        <w:adjustRightInd/>
        <w:snapToGrid/>
        <w:spacing w:line="288" w:lineRule="auto"/>
        <w:ind w:left="0" w:leftChars="0" w:right="0" w:firstLine="48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（一）对于从其他主体获取的投标资料，供应商应审慎核查，确保投标资料的真实性。</w:t>
      </w:r>
      <w:r>
        <w:rPr>
          <w:rFonts w:hint="eastAsia" w:ascii="仿宋_GB2312" w:hAnsi="仿宋_GB2312" w:eastAsia="仿宋_GB2312" w:cs="仿宋_GB2312"/>
          <w:b/>
          <w:bCs/>
          <w:color w:val="auto"/>
          <w:sz w:val="28"/>
          <w:szCs w:val="28"/>
        </w:rPr>
        <w:t>如主管部门查实投标文件中存在虚假资料的，无论相关资料是否由第三方或本公司员工提供，均不影响主管部门对供应商存在“隐瞒真实情况，提供虚假资料”违法行为的认定。</w:t>
      </w:r>
    </w:p>
    <w:p>
      <w:pPr>
        <w:keepNext w:val="0"/>
        <w:keepLines w:val="0"/>
        <w:pageBreakBefore w:val="0"/>
        <w:widowControl w:val="0"/>
        <w:kinsoku/>
        <w:wordWrap/>
        <w:overflowPunct/>
        <w:topLinePunct w:val="0"/>
        <w:autoSpaceDE/>
        <w:autoSpaceDN/>
        <w:bidi w:val="0"/>
        <w:adjustRightInd/>
        <w:snapToGrid/>
        <w:spacing w:line="288" w:lineRule="auto"/>
        <w:ind w:left="0" w:leftChars="0" w:right="0" w:firstLine="48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（二）对于涉及国家机关出具的公文、证件、证明材料等文件，一旦涉嫌虚假，经查实，主管部门将依法从严处理，并移送有关部门追究法律责任；涉嫌犯罪的，主管部门将一并移送司法机关追究法律责任。</w:t>
      </w:r>
    </w:p>
    <w:p>
      <w:pPr>
        <w:keepNext w:val="0"/>
        <w:keepLines w:val="0"/>
        <w:pageBreakBefore w:val="0"/>
        <w:widowControl w:val="0"/>
        <w:kinsoku/>
        <w:wordWrap/>
        <w:overflowPunct/>
        <w:topLinePunct w:val="0"/>
        <w:autoSpaceDE/>
        <w:autoSpaceDN/>
        <w:bidi w:val="0"/>
        <w:adjustRightInd/>
        <w:snapToGrid/>
        <w:spacing w:line="288" w:lineRule="auto"/>
        <w:ind w:left="0" w:leftChars="0" w:right="0" w:firstLine="48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（三）对于涉及安全生产、特种作业、抢险救灾、防疫等政府采购项目，供应商实施提供虚假资料、串通投标等违法行为的，主管部门将依法从严处理。</w:t>
      </w:r>
    </w:p>
    <w:p>
      <w:pPr>
        <w:keepNext w:val="0"/>
        <w:keepLines w:val="0"/>
        <w:pageBreakBefore w:val="0"/>
        <w:widowControl w:val="0"/>
        <w:kinsoku/>
        <w:wordWrap/>
        <w:overflowPunct/>
        <w:topLinePunct w:val="0"/>
        <w:autoSpaceDE/>
        <w:autoSpaceDN/>
        <w:bidi w:val="0"/>
        <w:adjustRightInd/>
        <w:snapToGrid/>
        <w:spacing w:line="288" w:lineRule="auto"/>
        <w:ind w:left="0" w:leftChars="0" w:right="0" w:firstLine="48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（四）供应商应严格规范项目授权代表、员工参与招标投标的行为，加强对投标文件的审核。项目授权代表、员工编制、上传投标文件等行为违反政府采购法律法规或</w:t>
      </w:r>
      <w:r>
        <w:rPr>
          <w:rFonts w:hint="eastAsia" w:cs="仿宋_GB2312"/>
          <w:color w:val="auto"/>
          <w:sz w:val="28"/>
          <w:szCs w:val="28"/>
          <w:lang w:eastAsia="zh-CN"/>
        </w:rPr>
        <w:t>需求书</w:t>
      </w:r>
      <w:r>
        <w:rPr>
          <w:rFonts w:hint="eastAsia" w:ascii="仿宋_GB2312" w:hAnsi="仿宋_GB2312" w:eastAsia="仿宋_GB2312" w:cs="仿宋_GB2312"/>
          <w:color w:val="auto"/>
          <w:sz w:val="28"/>
          <w:szCs w:val="28"/>
        </w:rPr>
        <w:t>要求的，投标供应商应当依法承担相应法律责任。</w:t>
      </w:r>
    </w:p>
    <w:p>
      <w:pPr>
        <w:keepNext w:val="0"/>
        <w:keepLines w:val="0"/>
        <w:pageBreakBefore w:val="0"/>
        <w:widowControl w:val="0"/>
        <w:kinsoku/>
        <w:wordWrap/>
        <w:overflowPunct/>
        <w:topLinePunct w:val="0"/>
        <w:autoSpaceDE/>
        <w:autoSpaceDN/>
        <w:bidi w:val="0"/>
        <w:adjustRightInd/>
        <w:snapToGrid/>
        <w:spacing w:line="288" w:lineRule="auto"/>
        <w:ind w:left="0" w:leftChars="0" w:right="0" w:firstLine="48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keepNext w:val="0"/>
        <w:keepLines w:val="0"/>
        <w:pageBreakBefore w:val="0"/>
        <w:widowControl w:val="0"/>
        <w:kinsoku/>
        <w:wordWrap/>
        <w:overflowPunct/>
        <w:topLinePunct w:val="0"/>
        <w:autoSpaceDE/>
        <w:autoSpaceDN/>
        <w:bidi w:val="0"/>
        <w:adjustRightInd/>
        <w:snapToGrid/>
        <w:spacing w:line="288" w:lineRule="auto"/>
        <w:ind w:left="0" w:leftChars="0" w:right="0" w:firstLine="48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（六）单位负责人为同一人或者存在直接控股、管理关系的不同供应商，不得参加同一合同项下的政府采购活动。相关情形如查实，依法作投标无效处理；涉嫌串通投标等违法行为的，主管部门将依法调查处理。</w:t>
      </w:r>
    </w:p>
    <w:p>
      <w:pPr>
        <w:keepNext w:val="0"/>
        <w:keepLines w:val="0"/>
        <w:pageBreakBefore w:val="0"/>
        <w:widowControl w:val="0"/>
        <w:kinsoku/>
        <w:wordWrap/>
        <w:overflowPunct/>
        <w:topLinePunct w:val="0"/>
        <w:autoSpaceDE/>
        <w:autoSpaceDN/>
        <w:bidi w:val="0"/>
        <w:adjustRightInd/>
        <w:snapToGrid/>
        <w:spacing w:line="288" w:lineRule="auto"/>
        <w:ind w:left="0" w:leftChars="0" w:right="0" w:firstLine="48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四、本公司已充分知悉政府采购违法、违规行为的法律后果。</w:t>
      </w:r>
      <w:r>
        <w:rPr>
          <w:rFonts w:hint="eastAsia" w:ascii="仿宋_GB2312" w:hAnsi="仿宋_GB2312" w:eastAsia="仿宋_GB2312" w:cs="仿宋_GB2312"/>
          <w:color w:val="auto"/>
          <w:sz w:val="28"/>
          <w:szCs w:val="28"/>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keepNext w:val="0"/>
        <w:keepLines w:val="0"/>
        <w:pageBreakBefore w:val="0"/>
        <w:widowControl w:val="0"/>
        <w:kinsoku/>
        <w:wordWrap/>
        <w:overflowPunct/>
        <w:topLinePunct w:val="0"/>
        <w:autoSpaceDE/>
        <w:autoSpaceDN/>
        <w:bidi w:val="0"/>
        <w:adjustRightInd/>
        <w:snapToGrid/>
        <w:spacing w:line="288" w:lineRule="auto"/>
        <w:ind w:left="0" w:leftChars="0" w:right="0" w:firstLine="48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以下文字请投标供应商抄写并确认：“本公司已仔细阅读《政府采购违法行为风险知悉确认书》，充分知悉违法行为的法律后果，并承诺将严谨、诚信、依法依规参与政府采购活动”。</w:t>
      </w:r>
    </w:p>
    <w:tbl>
      <w:tblPr>
        <w:tblStyle w:val="16"/>
        <w:tblW w:w="0" w:type="auto"/>
        <w:jc w:val="center"/>
        <w:tblBorders>
          <w:top w:val="none" w:color="auto" w:sz="4" w:space="0"/>
          <w:left w:val="none" w:color="auto" w:sz="4" w:space="0"/>
          <w:bottom w:val="singl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tcPr>
          <w:p>
            <w:pPr>
              <w:pageBreakBefore w:val="0"/>
              <w:kinsoku/>
              <w:overflowPunct/>
              <w:topLinePunct w:val="0"/>
              <w:autoSpaceDE w:val="0"/>
              <w:autoSpaceDN w:val="0"/>
              <w:bidi w:val="0"/>
              <w:spacing w:line="560" w:lineRule="exact"/>
              <w:ind w:left="0" w:leftChars="0" w:right="0" w:firstLine="472"/>
              <w:rPr>
                <w:rFonts w:hint="eastAsia" w:ascii="仿宋_GB2312" w:hAnsi="仿宋_GB2312" w:eastAsia="仿宋_GB2312" w:cs="仿宋_GB2312"/>
                <w:color w:val="auto"/>
                <w:spacing w:val="-4"/>
                <w:sz w:val="28"/>
                <w:szCs w:val="28"/>
              </w:rPr>
            </w:pPr>
          </w:p>
        </w:tc>
      </w:tr>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tcPr>
          <w:p>
            <w:pPr>
              <w:pageBreakBefore w:val="0"/>
              <w:kinsoku/>
              <w:overflowPunct/>
              <w:topLinePunct w:val="0"/>
              <w:autoSpaceDE w:val="0"/>
              <w:autoSpaceDN w:val="0"/>
              <w:bidi w:val="0"/>
              <w:spacing w:line="560" w:lineRule="exact"/>
              <w:ind w:left="0" w:leftChars="0" w:right="0" w:firstLine="472"/>
              <w:rPr>
                <w:rFonts w:hint="eastAsia" w:ascii="仿宋_GB2312" w:hAnsi="仿宋_GB2312" w:eastAsia="仿宋_GB2312" w:cs="仿宋_GB2312"/>
                <w:color w:val="auto"/>
                <w:spacing w:val="-4"/>
                <w:sz w:val="28"/>
                <w:szCs w:val="28"/>
              </w:rPr>
            </w:pPr>
          </w:p>
        </w:tc>
      </w:tr>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tcPr>
          <w:p>
            <w:pPr>
              <w:pageBreakBefore w:val="0"/>
              <w:kinsoku/>
              <w:overflowPunct/>
              <w:topLinePunct w:val="0"/>
              <w:autoSpaceDE w:val="0"/>
              <w:autoSpaceDN w:val="0"/>
              <w:bidi w:val="0"/>
              <w:spacing w:line="560" w:lineRule="exact"/>
              <w:ind w:left="0" w:leftChars="0" w:right="0" w:firstLine="472"/>
              <w:rPr>
                <w:rFonts w:hint="eastAsia" w:ascii="仿宋_GB2312" w:hAnsi="仿宋_GB2312" w:eastAsia="仿宋_GB2312" w:cs="仿宋_GB2312"/>
                <w:color w:val="auto"/>
                <w:spacing w:val="-4"/>
                <w:sz w:val="28"/>
                <w:szCs w:val="28"/>
              </w:rPr>
            </w:pPr>
          </w:p>
        </w:tc>
      </w:tr>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tcPr>
          <w:p>
            <w:pPr>
              <w:pageBreakBefore w:val="0"/>
              <w:kinsoku/>
              <w:overflowPunct/>
              <w:topLinePunct w:val="0"/>
              <w:autoSpaceDE w:val="0"/>
              <w:autoSpaceDN w:val="0"/>
              <w:bidi w:val="0"/>
              <w:spacing w:line="560" w:lineRule="exact"/>
              <w:ind w:left="0" w:leftChars="0" w:right="0" w:firstLine="472"/>
              <w:rPr>
                <w:rFonts w:hint="eastAsia" w:ascii="仿宋_GB2312" w:hAnsi="仿宋_GB2312" w:eastAsia="仿宋_GB2312" w:cs="仿宋_GB2312"/>
                <w:color w:val="auto"/>
                <w:spacing w:val="-4"/>
                <w:sz w:val="28"/>
                <w:szCs w:val="28"/>
              </w:rPr>
            </w:pPr>
          </w:p>
        </w:tc>
      </w:tr>
    </w:tbl>
    <w:p>
      <w:pPr>
        <w:pageBreakBefore w:val="0"/>
        <w:widowControl/>
        <w:kinsoku/>
        <w:wordWrap w:val="0"/>
        <w:overflowPunct/>
        <w:topLinePunct w:val="0"/>
        <w:autoSpaceDE w:val="0"/>
        <w:autoSpaceDN w:val="0"/>
        <w:bidi w:val="0"/>
        <w:spacing w:line="560" w:lineRule="exact"/>
        <w:ind w:left="0" w:leftChars="0" w:right="0" w:firstLine="472"/>
        <w:jc w:val="right"/>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lang w:bidi="ar"/>
        </w:rPr>
        <w:t xml:space="preserve"> </w:t>
      </w:r>
    </w:p>
    <w:p>
      <w:pPr>
        <w:pageBreakBefore w:val="0"/>
        <w:widowControl/>
        <w:kinsoku/>
        <w:wordWrap w:val="0"/>
        <w:overflowPunct/>
        <w:topLinePunct w:val="0"/>
        <w:autoSpaceDE w:val="0"/>
        <w:autoSpaceDN w:val="0"/>
        <w:bidi w:val="0"/>
        <w:spacing w:line="560" w:lineRule="exact"/>
        <w:ind w:left="0" w:leftChars="0" w:right="0" w:firstLine="472"/>
        <w:jc w:val="right"/>
        <w:rPr>
          <w:rFonts w:hint="eastAsia" w:ascii="仿宋_GB2312" w:hAnsi="仿宋_GB2312" w:eastAsia="仿宋_GB2312" w:cs="仿宋_GB2312"/>
          <w:color w:val="auto"/>
          <w:spacing w:val="-4"/>
          <w:sz w:val="28"/>
          <w:szCs w:val="28"/>
          <w:u w:val="single"/>
        </w:rPr>
      </w:pPr>
      <w:r>
        <w:rPr>
          <w:rFonts w:hint="eastAsia" w:ascii="仿宋_GB2312" w:hAnsi="仿宋_GB2312" w:eastAsia="仿宋_GB2312" w:cs="仿宋_GB2312"/>
          <w:color w:val="auto"/>
          <w:spacing w:val="-4"/>
          <w:sz w:val="28"/>
          <w:szCs w:val="28"/>
          <w:lang w:bidi="ar"/>
        </w:rPr>
        <w:t>单位负责人签名：</w:t>
      </w:r>
      <w:r>
        <w:rPr>
          <w:rFonts w:hint="eastAsia" w:ascii="仿宋_GB2312" w:hAnsi="仿宋_GB2312" w:eastAsia="仿宋_GB2312" w:cs="仿宋_GB2312"/>
          <w:color w:val="auto"/>
          <w:spacing w:val="-4"/>
          <w:sz w:val="28"/>
          <w:szCs w:val="28"/>
          <w:u w:val="single"/>
          <w:lang w:bidi="ar"/>
        </w:rPr>
        <w:t xml:space="preserve">              </w:t>
      </w:r>
    </w:p>
    <w:p>
      <w:pPr>
        <w:pageBreakBefore w:val="0"/>
        <w:widowControl/>
        <w:kinsoku/>
        <w:wordWrap w:val="0"/>
        <w:overflowPunct/>
        <w:topLinePunct w:val="0"/>
        <w:autoSpaceDE w:val="0"/>
        <w:autoSpaceDN w:val="0"/>
        <w:bidi w:val="0"/>
        <w:spacing w:line="560" w:lineRule="exact"/>
        <w:ind w:left="0" w:leftChars="0" w:right="0" w:firstLine="472"/>
        <w:jc w:val="center"/>
        <w:rPr>
          <w:rFonts w:hint="eastAsia" w:ascii="仿宋_GB2312" w:hAnsi="仿宋_GB2312" w:eastAsia="仿宋_GB2312" w:cs="仿宋_GB2312"/>
          <w:color w:val="auto"/>
          <w:spacing w:val="-4"/>
          <w:sz w:val="28"/>
          <w:szCs w:val="28"/>
          <w:u w:val="single"/>
        </w:rPr>
      </w:pPr>
      <w:r>
        <w:rPr>
          <w:rFonts w:hint="eastAsia" w:ascii="仿宋_GB2312" w:hAnsi="仿宋_GB2312" w:eastAsia="仿宋_GB2312" w:cs="仿宋_GB2312"/>
          <w:color w:val="auto"/>
          <w:spacing w:val="-4"/>
          <w:sz w:val="28"/>
          <w:szCs w:val="28"/>
          <w:lang w:bidi="ar"/>
        </w:rPr>
        <w:t xml:space="preserve">                                 （加盖公章）</w:t>
      </w:r>
    </w:p>
    <w:p>
      <w:pPr>
        <w:pageBreakBefore w:val="0"/>
        <w:widowControl/>
        <w:kinsoku/>
        <w:wordWrap w:val="0"/>
        <w:overflowPunct/>
        <w:topLinePunct w:val="0"/>
        <w:autoSpaceDE w:val="0"/>
        <w:autoSpaceDN w:val="0"/>
        <w:bidi w:val="0"/>
        <w:spacing w:line="560" w:lineRule="exact"/>
        <w:ind w:left="0" w:leftChars="0" w:right="0" w:firstLine="472"/>
        <w:jc w:val="right"/>
        <w:rPr>
          <w:rFonts w:hint="eastAsia" w:ascii="仿宋_GB2312" w:hAnsi="仿宋_GB2312" w:eastAsia="仿宋_GB2312" w:cs="仿宋_GB2312"/>
          <w:color w:val="auto"/>
          <w:spacing w:val="-4"/>
          <w:sz w:val="28"/>
          <w:szCs w:val="28"/>
          <w:u w:val="single"/>
        </w:rPr>
      </w:pPr>
      <w:r>
        <w:rPr>
          <w:rFonts w:hint="eastAsia" w:ascii="仿宋_GB2312" w:hAnsi="仿宋_GB2312" w:eastAsia="仿宋_GB2312" w:cs="仿宋_GB2312"/>
          <w:color w:val="auto"/>
          <w:spacing w:val="-4"/>
          <w:sz w:val="28"/>
          <w:szCs w:val="28"/>
          <w:lang w:bidi="ar"/>
        </w:rPr>
        <w:t xml:space="preserve">     日期：</w:t>
      </w:r>
      <w:r>
        <w:rPr>
          <w:rFonts w:hint="eastAsia" w:ascii="仿宋_GB2312" w:hAnsi="仿宋_GB2312" w:eastAsia="仿宋_GB2312" w:cs="仿宋_GB2312"/>
          <w:color w:val="auto"/>
          <w:spacing w:val="-4"/>
          <w:sz w:val="28"/>
          <w:szCs w:val="28"/>
          <w:u w:val="single"/>
          <w:lang w:bidi="ar"/>
        </w:rPr>
        <w:t xml:space="preserve">              </w:t>
      </w:r>
    </w:p>
    <w:p>
      <w:pPr>
        <w:pageBreakBefore w:val="0"/>
        <w:widowControl/>
        <w:kinsoku/>
        <w:overflowPunct/>
        <w:topLinePunct w:val="0"/>
        <w:autoSpaceDE w:val="0"/>
        <w:autoSpaceDN w:val="0"/>
        <w:bidi w:val="0"/>
        <w:spacing w:line="560" w:lineRule="exact"/>
        <w:ind w:left="0" w:leftChars="0" w:right="0" w:firstLine="474"/>
        <w:rPr>
          <w:rFonts w:hint="eastAsia" w:ascii="仿宋_GB2312" w:hAnsi="仿宋_GB2312" w:eastAsia="仿宋_GB2312" w:cs="仿宋_GB2312"/>
          <w:b/>
          <w:bCs/>
          <w:color w:val="auto"/>
          <w:spacing w:val="-4"/>
          <w:sz w:val="24"/>
          <w:szCs w:val="24"/>
        </w:rPr>
      </w:pPr>
      <w:r>
        <w:rPr>
          <w:rFonts w:hint="eastAsia" w:ascii="仿宋_GB2312" w:hAnsi="仿宋_GB2312" w:eastAsia="仿宋_GB2312" w:cs="仿宋_GB2312"/>
          <w:b/>
          <w:bCs/>
          <w:color w:val="auto"/>
          <w:spacing w:val="-4"/>
          <w:sz w:val="24"/>
          <w:szCs w:val="24"/>
          <w:lang w:bidi="ar"/>
        </w:rPr>
        <w:t xml:space="preserve"> </w:t>
      </w:r>
    </w:p>
    <w:p>
      <w:pPr>
        <w:pageBreakBefore w:val="0"/>
        <w:widowControl/>
        <w:kinsoku/>
        <w:overflowPunct/>
        <w:topLinePunct w:val="0"/>
        <w:bidi w:val="0"/>
        <w:spacing w:line="560" w:lineRule="exact"/>
        <w:ind w:left="0" w:leftChars="0" w:right="0" w:firstLine="474"/>
        <w:rPr>
          <w:rFonts w:hint="eastAsia" w:ascii="仿宋_GB2312" w:hAnsi="仿宋_GB2312" w:eastAsia="仿宋_GB2312" w:cs="仿宋_GB2312"/>
          <w:b/>
          <w:bCs/>
          <w:color w:val="auto"/>
          <w:spacing w:val="-4"/>
          <w:sz w:val="24"/>
          <w:szCs w:val="24"/>
          <w:lang w:bidi="ar"/>
        </w:rPr>
        <w:sectPr>
          <w:footerReference r:id="rId5" w:type="default"/>
          <w:pgSz w:w="11906" w:h="16838"/>
          <w:pgMar w:top="1440" w:right="1474" w:bottom="1440" w:left="1474" w:header="851" w:footer="992" w:gutter="0"/>
          <w:pgNumType w:fmt="decimal"/>
          <w:cols w:space="720" w:num="1"/>
          <w:docGrid w:linePitch="312" w:charSpace="0"/>
        </w:sectPr>
      </w:pPr>
      <w:r>
        <w:rPr>
          <w:rFonts w:hint="eastAsia" w:ascii="仿宋_GB2312" w:hAnsi="仿宋_GB2312" w:eastAsia="仿宋_GB2312" w:cs="仿宋_GB2312"/>
          <w:b/>
          <w:bCs/>
          <w:color w:val="auto"/>
          <w:spacing w:val="-4"/>
          <w:sz w:val="24"/>
          <w:szCs w:val="24"/>
          <w:lang w:bidi="ar"/>
        </w:rPr>
        <w:t>注：《政府采购违法行为风险知悉确认书》需由投标供应商负责人签字并加盖单位公章后，与投标文件一并提交。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outlineLvl w:val="0"/>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4</w:t>
      </w:r>
    </w:p>
    <w:p>
      <w:pPr>
        <w:pageBreakBefore w:val="0"/>
        <w:kinsoku/>
        <w:overflowPunct/>
        <w:topLinePunct w:val="0"/>
        <w:bidi w:val="0"/>
        <w:spacing w:line="560" w:lineRule="exact"/>
        <w:ind w:left="0" w:leftChars="0" w:right="0" w:firstLine="0" w:firstLineChars="0"/>
        <w:jc w:val="center"/>
        <w:rPr>
          <w:rFonts w:hint="eastAsia" w:ascii="方正小标宋简体" w:hAnsi="方正小标宋简体" w:eastAsia="方正小标宋简体" w:cs="方正小标宋简体"/>
          <w:b w:val="0"/>
          <w:bCs w:val="0"/>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right="0" w:rightChars="0"/>
        <w:jc w:val="center"/>
        <w:textAlignment w:val="auto"/>
        <w:outlineLvl w:val="0"/>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投标</w:t>
      </w:r>
      <w:r>
        <w:rPr>
          <w:rFonts w:hint="eastAsia" w:ascii="方正小标宋简体" w:hAnsi="方正小标宋简体" w:eastAsia="方正小标宋简体" w:cs="方正小标宋简体"/>
          <w:b w:val="0"/>
          <w:bCs w:val="0"/>
          <w:color w:val="auto"/>
          <w:sz w:val="44"/>
          <w:szCs w:val="44"/>
        </w:rPr>
        <w:t>报价总表</w:t>
      </w:r>
    </w:p>
    <w:p>
      <w:pPr>
        <w:pStyle w:val="12"/>
        <w:pageBreakBefore w:val="0"/>
        <w:kinsoku/>
        <w:overflowPunct/>
        <w:topLinePunct w:val="0"/>
        <w:bidi w:val="0"/>
        <w:spacing w:line="560" w:lineRule="exact"/>
        <w:ind w:left="0" w:leftChars="0" w:right="0"/>
        <w:rPr>
          <w:rFonts w:hint="eastAsia" w:ascii="方正小标宋简体" w:hAnsi="方正小标宋简体" w:eastAsia="方正小标宋简体" w:cs="方正小标宋简体"/>
          <w:b w:val="0"/>
          <w:bCs w:val="0"/>
          <w:color w:val="auto"/>
          <w:sz w:val="44"/>
          <w:szCs w:val="44"/>
        </w:rPr>
      </w:pPr>
    </w:p>
    <w:tbl>
      <w:tblPr>
        <w:tblStyle w:val="16"/>
        <w:tblW w:w="46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6"/>
        <w:gridCol w:w="3622"/>
        <w:gridCol w:w="2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497" w:type="pct"/>
            <w:vAlign w:val="center"/>
          </w:tcPr>
          <w:p>
            <w:pPr>
              <w:pStyle w:val="20"/>
              <w:keepNext w:val="0"/>
              <w:keepLines w:val="0"/>
              <w:pageBreakBefore w:val="0"/>
              <w:widowControl w:val="0"/>
              <w:kinsoku/>
              <w:wordWrap/>
              <w:overflowPunct/>
              <w:topLinePunct w:val="0"/>
              <w:autoSpaceDE/>
              <w:autoSpaceDN/>
              <w:bidi w:val="0"/>
              <w:spacing w:line="560" w:lineRule="exact"/>
              <w:ind w:left="0" w:leftChars="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 目 名 称</w:t>
            </w:r>
          </w:p>
        </w:tc>
        <w:tc>
          <w:tcPr>
            <w:tcW w:w="2130" w:type="pct"/>
            <w:vAlign w:val="center"/>
          </w:tcPr>
          <w:p>
            <w:pPr>
              <w:pStyle w:val="20"/>
              <w:keepNext w:val="0"/>
              <w:keepLines w:val="0"/>
              <w:pageBreakBefore w:val="0"/>
              <w:widowControl w:val="0"/>
              <w:kinsoku/>
              <w:wordWrap/>
              <w:overflowPunct/>
              <w:topLinePunct w:val="0"/>
              <w:autoSpaceDE/>
              <w:autoSpaceDN/>
              <w:bidi w:val="0"/>
              <w:spacing w:line="560" w:lineRule="exact"/>
              <w:ind w:left="0" w:leftChars="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投标报价（元）</w:t>
            </w:r>
          </w:p>
        </w:tc>
        <w:tc>
          <w:tcPr>
            <w:tcW w:w="1372" w:type="pct"/>
            <w:vAlign w:val="center"/>
          </w:tcPr>
          <w:p>
            <w:pPr>
              <w:pStyle w:val="20"/>
              <w:keepNext w:val="0"/>
              <w:keepLines w:val="0"/>
              <w:pageBreakBefore w:val="0"/>
              <w:widowControl w:val="0"/>
              <w:kinsoku/>
              <w:wordWrap/>
              <w:overflowPunct/>
              <w:topLinePunct w:val="0"/>
              <w:autoSpaceDE/>
              <w:autoSpaceDN/>
              <w:bidi w:val="0"/>
              <w:spacing w:line="560" w:lineRule="exact"/>
              <w:ind w:left="0" w:leftChars="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1497" w:type="pct"/>
            <w:vAlign w:val="center"/>
          </w:tcPr>
          <w:p>
            <w:pPr>
              <w:keepNext w:val="0"/>
              <w:keepLines w:val="0"/>
              <w:pageBreakBefore w:val="0"/>
              <w:widowControl w:val="0"/>
              <w:kinsoku/>
              <w:wordWrap/>
              <w:overflowPunct/>
              <w:topLinePunct w:val="0"/>
              <w:autoSpaceDE/>
              <w:autoSpaceDN/>
              <w:bidi w:val="0"/>
              <w:snapToGrid w:val="0"/>
              <w:spacing w:line="560" w:lineRule="exact"/>
              <w:ind w:left="0" w:leftChars="0" w:right="0" w:firstLine="0" w:firstLineChars="0"/>
              <w:jc w:val="center"/>
              <w:textAlignment w:val="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color w:val="auto"/>
                <w:sz w:val="24"/>
                <w:szCs w:val="24"/>
                <w:shd w:val="clear" w:color="auto" w:fill="FFFFFF"/>
              </w:rPr>
              <w:t>盐田区游泳馆</w:t>
            </w:r>
          </w:p>
          <w:p>
            <w:pPr>
              <w:keepNext w:val="0"/>
              <w:keepLines w:val="0"/>
              <w:pageBreakBefore w:val="0"/>
              <w:widowControl w:val="0"/>
              <w:kinsoku/>
              <w:wordWrap/>
              <w:overflowPunct/>
              <w:topLinePunct w:val="0"/>
              <w:autoSpaceDE/>
              <w:autoSpaceDN/>
              <w:bidi w:val="0"/>
              <w:snapToGrid w:val="0"/>
              <w:spacing w:line="560" w:lineRule="exact"/>
              <w:ind w:left="0" w:leftChars="0" w:right="0" w:firstLine="0" w:firstLineChars="0"/>
              <w:jc w:val="center"/>
              <w:textAlignment w:val="auto"/>
              <w:rPr>
                <w:rFonts w:hint="eastAsia" w:ascii="仿宋_GB2312" w:hAnsi="仿宋_GB2312" w:eastAsia="仿宋_GB2312" w:cs="仿宋_GB2312"/>
                <w:color w:val="auto"/>
                <w:sz w:val="24"/>
                <w:szCs w:val="24"/>
                <w:lang w:val="en"/>
              </w:rPr>
            </w:pPr>
            <w:r>
              <w:rPr>
                <w:rFonts w:hint="eastAsia" w:ascii="仿宋_GB2312" w:hAnsi="仿宋_GB2312" w:eastAsia="仿宋_GB2312" w:cs="仿宋_GB2312"/>
                <w:color w:val="auto"/>
                <w:sz w:val="24"/>
                <w:szCs w:val="24"/>
                <w:shd w:val="clear" w:color="auto" w:fill="FFFFFF"/>
                <w:lang w:val="en"/>
              </w:rPr>
              <w:t>修缮项目</w:t>
            </w:r>
          </w:p>
        </w:tc>
        <w:tc>
          <w:tcPr>
            <w:tcW w:w="2130" w:type="pct"/>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小写：¥</w:t>
            </w:r>
          </w:p>
          <w:p>
            <w:pPr>
              <w:keepNext w:val="0"/>
              <w:keepLines w:val="0"/>
              <w:pageBreakBefore w:val="0"/>
              <w:widowControl w:val="0"/>
              <w:kinsoku/>
              <w:wordWrap/>
              <w:overflowPunct/>
              <w:topLinePunct w:val="0"/>
              <w:autoSpaceDE/>
              <w:autoSpaceDN/>
              <w:bidi w:val="0"/>
              <w:snapToGrid w:val="0"/>
              <w:spacing w:line="560" w:lineRule="exact"/>
              <w:ind w:left="0" w:leftChars="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大写：</w:t>
            </w:r>
          </w:p>
        </w:tc>
        <w:tc>
          <w:tcPr>
            <w:tcW w:w="1372" w:type="pct"/>
            <w:vAlign w:val="center"/>
          </w:tcPr>
          <w:p>
            <w:pPr>
              <w:keepNext w:val="0"/>
              <w:keepLines w:val="0"/>
              <w:pageBreakBefore w:val="0"/>
              <w:widowControl w:val="0"/>
              <w:kinsoku/>
              <w:wordWrap/>
              <w:overflowPunct/>
              <w:topLinePunct w:val="0"/>
              <w:autoSpaceDE/>
              <w:autoSpaceDN/>
              <w:bidi w:val="0"/>
              <w:snapToGrid w:val="0"/>
              <w:spacing w:line="560" w:lineRule="exact"/>
              <w:ind w:left="0" w:leftChars="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60天；</w:t>
            </w:r>
          </w:p>
        </w:tc>
      </w:tr>
    </w:tbl>
    <w:p>
      <w:pPr>
        <w:keepNext w:val="0"/>
        <w:keepLines w:val="0"/>
        <w:pageBreakBefore w:val="0"/>
        <w:widowControl w:val="0"/>
        <w:kinsoku/>
        <w:wordWrap/>
        <w:overflowPunct/>
        <w:topLinePunct w:val="0"/>
        <w:autoSpaceDE/>
        <w:autoSpaceDN/>
        <w:bidi w:val="0"/>
        <w:spacing w:line="560" w:lineRule="exact"/>
        <w:ind w:left="0" w:leftChars="0" w:right="0" w:firstLine="0" w:firstLineChars="0"/>
        <w:jc w:val="center"/>
        <w:textAlignment w:val="auto"/>
        <w:rPr>
          <w:rFonts w:hint="eastAsia" w:ascii="仿宋_GB2312" w:hAnsi="仿宋_GB2312" w:eastAsia="仿宋_GB2312" w:cs="仿宋_GB2312"/>
          <w:color w:val="auto"/>
          <w:sz w:val="24"/>
          <w:szCs w:val="24"/>
        </w:rPr>
      </w:pPr>
    </w:p>
    <w:p>
      <w:pPr>
        <w:pageBreakBefore w:val="0"/>
        <w:kinsoku/>
        <w:overflowPunct/>
        <w:topLinePunct w:val="0"/>
        <w:bidi w:val="0"/>
        <w:spacing w:line="560" w:lineRule="exact"/>
        <w:ind w:left="0" w:leftChars="0" w:right="0" w:firstLine="440"/>
        <w:rPr>
          <w:rFonts w:hint="eastAsia" w:ascii="仿宋_GB2312" w:hAnsi="仿宋_GB2312" w:eastAsia="仿宋_GB2312" w:cs="仿宋_GB2312"/>
          <w:color w:val="auto"/>
          <w:sz w:val="28"/>
          <w:szCs w:val="28"/>
          <w:lang w:eastAsia="zh-CN" w:bidi="en-US"/>
        </w:rPr>
      </w:pPr>
      <w:r>
        <w:rPr>
          <w:rFonts w:hint="eastAsia" w:ascii="仿宋_GB2312" w:hAnsi="仿宋_GB2312" w:eastAsia="仿宋_GB2312" w:cs="仿宋_GB2312"/>
          <w:color w:val="auto"/>
          <w:sz w:val="28"/>
          <w:szCs w:val="28"/>
          <w:lang w:bidi="en-US"/>
        </w:rPr>
        <w:t>说明</w:t>
      </w:r>
      <w:r>
        <w:rPr>
          <w:rFonts w:hint="eastAsia" w:ascii="仿宋_GB2312" w:hAnsi="仿宋_GB2312" w:eastAsia="仿宋_GB2312" w:cs="仿宋_GB2312"/>
          <w:color w:val="auto"/>
          <w:sz w:val="28"/>
          <w:szCs w:val="28"/>
          <w:lang w:eastAsia="zh-CN" w:bidi="en-US"/>
        </w:rPr>
        <w:t>：</w:t>
      </w:r>
    </w:p>
    <w:p>
      <w:pPr>
        <w:pageBreakBefore w:val="0"/>
        <w:kinsoku/>
        <w:overflowPunct/>
        <w:topLinePunct w:val="0"/>
        <w:bidi w:val="0"/>
        <w:spacing w:line="560" w:lineRule="exact"/>
        <w:ind w:left="0" w:leftChars="0" w:right="0" w:firstLine="440"/>
        <w:jc w:val="both"/>
        <w:rPr>
          <w:rFonts w:hint="eastAsia" w:ascii="仿宋_GB2312" w:hAnsi="仿宋_GB2312" w:eastAsia="仿宋_GB2312" w:cs="仿宋_GB2312"/>
          <w:color w:val="auto"/>
          <w:sz w:val="28"/>
          <w:szCs w:val="28"/>
          <w:lang w:bidi="en-US"/>
        </w:rPr>
      </w:pPr>
      <w:r>
        <w:rPr>
          <w:rFonts w:hint="eastAsia" w:ascii="仿宋_GB2312" w:hAnsi="仿宋_GB2312" w:eastAsia="仿宋_GB2312" w:cs="仿宋_GB2312"/>
          <w:color w:val="auto"/>
          <w:sz w:val="28"/>
          <w:szCs w:val="28"/>
          <w:lang w:val="en-US" w:eastAsia="zh-CN" w:bidi="en-US"/>
        </w:rPr>
        <w:t>1.</w:t>
      </w:r>
      <w:r>
        <w:rPr>
          <w:rFonts w:hint="eastAsia" w:ascii="仿宋_GB2312" w:hAnsi="仿宋_GB2312" w:eastAsia="仿宋_GB2312" w:cs="仿宋_GB2312"/>
          <w:color w:val="auto"/>
          <w:sz w:val="28"/>
          <w:szCs w:val="28"/>
          <w:lang w:bidi="en-US"/>
        </w:rPr>
        <w:t>最高投标限价：人民币458884.25元（大写：肆拾伍万捌仟捌佰捌拾肆元贰角伍分）</w:t>
      </w:r>
      <w:r>
        <w:rPr>
          <w:rFonts w:hint="eastAsia" w:ascii="仿宋_GB2312" w:hAnsi="仿宋_GB2312" w:eastAsia="仿宋_GB2312" w:cs="仿宋_GB2312"/>
          <w:color w:val="auto"/>
          <w:sz w:val="28"/>
          <w:szCs w:val="28"/>
          <w:lang w:eastAsia="zh-CN" w:bidi="en-US"/>
        </w:rPr>
        <w:t>，</w:t>
      </w:r>
      <w:r>
        <w:rPr>
          <w:rFonts w:hint="eastAsia" w:ascii="仿宋_GB2312" w:hAnsi="仿宋_GB2312" w:eastAsia="仿宋_GB2312" w:cs="仿宋_GB2312"/>
          <w:color w:val="auto"/>
          <w:sz w:val="28"/>
          <w:szCs w:val="28"/>
          <w:lang w:bidi="en-US"/>
        </w:rPr>
        <w:t>其中安全文明措施费：10056.02（大写：壹万零伍拾陆元贰分）、暂列金额：21788.61（贰万壹仟柒佰捌拾捌元陆角壹分）</w:t>
      </w:r>
    </w:p>
    <w:p>
      <w:pPr>
        <w:pageBreakBefore w:val="0"/>
        <w:kinsoku/>
        <w:overflowPunct/>
        <w:topLinePunct w:val="0"/>
        <w:bidi w:val="0"/>
        <w:spacing w:line="560" w:lineRule="exact"/>
        <w:ind w:left="0" w:leftChars="0" w:right="0" w:firstLine="440"/>
        <w:jc w:val="both"/>
        <w:rPr>
          <w:rFonts w:hint="eastAsia" w:ascii="仿宋_GB2312" w:hAnsi="仿宋_GB2312" w:eastAsia="仿宋_GB2312" w:cs="仿宋_GB2312"/>
          <w:color w:val="auto"/>
          <w:sz w:val="28"/>
          <w:szCs w:val="28"/>
          <w:lang w:bidi="en-US"/>
        </w:rPr>
      </w:pPr>
      <w:r>
        <w:rPr>
          <w:rFonts w:hint="eastAsia" w:ascii="仿宋_GB2312" w:hAnsi="仿宋_GB2312" w:eastAsia="仿宋_GB2312" w:cs="仿宋_GB2312"/>
          <w:color w:val="auto"/>
          <w:sz w:val="28"/>
          <w:szCs w:val="28"/>
          <w:lang w:bidi="en-US"/>
        </w:rPr>
        <w:t>2.投标报价金额与下浮率均保留两位小数。</w:t>
      </w:r>
    </w:p>
    <w:p>
      <w:pPr>
        <w:pageBreakBefore w:val="0"/>
        <w:kinsoku/>
        <w:overflowPunct/>
        <w:topLinePunct w:val="0"/>
        <w:bidi w:val="0"/>
        <w:spacing w:line="560" w:lineRule="exact"/>
        <w:ind w:left="0" w:leftChars="0" w:right="0" w:firstLine="440"/>
        <w:jc w:val="both"/>
        <w:rPr>
          <w:rFonts w:hint="eastAsia" w:ascii="仿宋_GB2312" w:hAnsi="仿宋_GB2312" w:eastAsia="仿宋_GB2312" w:cs="仿宋_GB2312"/>
          <w:color w:val="auto"/>
          <w:sz w:val="28"/>
          <w:szCs w:val="28"/>
          <w:lang w:bidi="en-US"/>
        </w:rPr>
      </w:pPr>
      <w:r>
        <w:rPr>
          <w:rFonts w:hint="eastAsia" w:ascii="仿宋_GB2312" w:hAnsi="仿宋_GB2312" w:eastAsia="仿宋_GB2312" w:cs="仿宋_GB2312"/>
          <w:color w:val="auto"/>
          <w:sz w:val="28"/>
          <w:szCs w:val="28"/>
          <w:lang w:bidi="en-US"/>
        </w:rPr>
        <w:t>3.本项目合同价为暂定价，最终结算价以政府财政审计部门或第三方咨询公司出具的评审结果为准。</w:t>
      </w:r>
    </w:p>
    <w:p>
      <w:pPr>
        <w:pStyle w:val="15"/>
        <w:pageBreakBefore w:val="0"/>
        <w:kinsoku/>
        <w:overflowPunct/>
        <w:topLinePunct w:val="0"/>
        <w:bidi w:val="0"/>
        <w:spacing w:after="0" w:line="560" w:lineRule="exact"/>
        <w:ind w:left="0" w:leftChars="0" w:right="0" w:firstLine="492"/>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right="0" w:firstLine="3080" w:firstLineChars="1100"/>
        <w:jc w:val="both"/>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投标单位名称（公章）：</w:t>
      </w:r>
    </w:p>
    <w:p>
      <w:pPr>
        <w:keepNext w:val="0"/>
        <w:keepLines w:val="0"/>
        <w:pageBreakBefore w:val="0"/>
        <w:widowControl w:val="0"/>
        <w:kinsoku/>
        <w:wordWrap/>
        <w:overflowPunct/>
        <w:topLinePunct w:val="0"/>
        <w:autoSpaceDE/>
        <w:autoSpaceDN/>
        <w:bidi w:val="0"/>
        <w:adjustRightInd/>
        <w:snapToGrid/>
        <w:spacing w:line="560" w:lineRule="exact"/>
        <w:ind w:right="0" w:firstLine="3080" w:firstLineChars="110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法定代表人或授权代理人（签字）：</w:t>
      </w:r>
    </w:p>
    <w:p>
      <w:pPr>
        <w:keepNext w:val="0"/>
        <w:keepLines w:val="0"/>
        <w:pageBreakBefore w:val="0"/>
        <w:widowControl w:val="0"/>
        <w:kinsoku/>
        <w:wordWrap/>
        <w:overflowPunct/>
        <w:topLinePunct w:val="0"/>
        <w:autoSpaceDE/>
        <w:autoSpaceDN/>
        <w:bidi w:val="0"/>
        <w:adjustRightInd/>
        <w:snapToGrid/>
        <w:spacing w:line="560" w:lineRule="exact"/>
        <w:ind w:right="0" w:firstLine="4480" w:firstLineChars="1600"/>
        <w:textAlignment w:val="auto"/>
        <w:rPr>
          <w:rFonts w:hint="eastAsia" w:ascii="仿宋_GB2312" w:hAnsi="仿宋_GB2312" w:eastAsia="仿宋_GB2312" w:cs="仿宋_GB2312"/>
          <w:color w:val="auto"/>
          <w:sz w:val="28"/>
          <w:szCs w:val="28"/>
        </w:rPr>
        <w:sectPr>
          <w:pgSz w:w="11906" w:h="16838"/>
          <w:pgMar w:top="1440" w:right="1474" w:bottom="1440" w:left="1474" w:header="851" w:footer="992" w:gutter="0"/>
          <w:pgNumType w:fmt="decimal"/>
          <w:cols w:space="720" w:num="1"/>
          <w:docGrid w:linePitch="312" w:charSpace="0"/>
        </w:sectPr>
      </w:pPr>
      <w:r>
        <w:rPr>
          <w:rFonts w:hint="eastAsia" w:ascii="仿宋_GB2312" w:hAnsi="仿宋_GB2312" w:eastAsia="仿宋_GB2312" w:cs="仿宋_GB2312"/>
          <w:color w:val="auto"/>
          <w:sz w:val="28"/>
          <w:szCs w:val="28"/>
        </w:rPr>
        <w:t>年    月    日</w:t>
      </w:r>
    </w:p>
    <w:p>
      <w:pPr>
        <w:pStyle w:val="14"/>
        <w:keepNext w:val="0"/>
        <w:keepLines w:val="0"/>
        <w:pageBreakBefore w:val="0"/>
        <w:widowControl w:val="0"/>
        <w:numPr>
          <w:ilvl w:val="0"/>
          <w:numId w:val="0"/>
        </w:numPr>
        <w:kinsoku/>
        <w:wordWrap/>
        <w:overflowPunct/>
        <w:topLinePunct w:val="0"/>
        <w:autoSpaceDE/>
        <w:autoSpaceDN/>
        <w:bidi w:val="0"/>
        <w:adjustRightInd/>
        <w:snapToGrid w:val="0"/>
        <w:spacing w:before="0" w:after="0" w:line="560" w:lineRule="exact"/>
        <w:ind w:leftChars="0" w:right="0" w:rightChars="0"/>
        <w:jc w:val="center"/>
        <w:textAlignment w:val="auto"/>
        <w:rPr>
          <w:rFonts w:hint="eastAsia" w:ascii="方正小标宋简体" w:hAnsi="方正小标宋简体" w:eastAsia="方正小标宋简体" w:cs="方正小标宋简体"/>
          <w:b w:val="0"/>
          <w:bCs w:val="0"/>
          <w:color w:val="auto"/>
          <w:kern w:val="2"/>
          <w:sz w:val="44"/>
          <w:szCs w:val="44"/>
          <w:lang w:val="zh-CN"/>
        </w:rPr>
      </w:pPr>
      <w:r>
        <w:rPr>
          <w:rFonts w:hint="eastAsia" w:ascii="方正小标宋简体" w:hAnsi="方正小标宋简体" w:eastAsia="方正小标宋简体" w:cs="方正小标宋简体"/>
          <w:b w:val="0"/>
          <w:bCs w:val="0"/>
          <w:color w:val="auto"/>
          <w:kern w:val="2"/>
          <w:sz w:val="44"/>
          <w:szCs w:val="44"/>
          <w:lang w:val="zh-CN"/>
        </w:rPr>
        <w:t>一、工程量清单的说明及投标报价要求</w:t>
      </w:r>
    </w:p>
    <w:p>
      <w:pPr>
        <w:numPr>
          <w:ilvl w:val="0"/>
          <w:numId w:val="0"/>
        </w:numPr>
        <w:ind w:leftChars="200"/>
        <w:rPr>
          <w:rFonts w:hint="eastAsia"/>
          <w:color w:val="auto"/>
          <w:lang w:val="zh-CN"/>
        </w:rPr>
      </w:pP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1.工程量清单应与投标须知、合同条件、工程建设标准及技术要求和图纸等文件结合起来理解或解释。</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2.按照《计价规程》、《13清单计价规范》的规定，“工程量清单格式”组成和主要内容如下：</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(1)清单封面；</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总说明：应包括工程概况（建设规模、工程招标范围、工程特征、自然地理条件）、工期要求、环境保护要求、工程质量、材料、施工的特殊要求、暂列金额、专业工程暂估价及优质优价奖励费情况、工程清单编制依据等；</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(3)工程项目/单项工程汇总表：指本次招标的工程项目所包含的单项工程及每个单项工程所包含的单位工程的汇总，只有一个单位工程时只填写单项工程汇总表。</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(4)分部分项工程量清单；</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(5)措施项目清单汇总表；</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(6)措施项目清单（一）：指按分部分项工程量清单的方式采用综合单价计价的措施项目；</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(7)其他项目清单汇总表；</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(8)材料设备暂估价表；</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(9)计日工表；</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(10)总承包服务费表；</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(11)发包人供应材料设备明细表：指招标人计划自行采购的材料设备的数量价格等情况。</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(12)规费、税金项目清单；</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(13)暂列金额明细表；</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(14)工程建设其他费：指招标人要求投标人完成的工程建设其他费项目。</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(15)设备及工器具购置费：指招标工程中包含的不计算营业税的设备名称、规格、数量等情况。</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3.本工程的工程量清单是根据</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b/>
          <w:bCs/>
          <w:color w:val="auto"/>
          <w:sz w:val="28"/>
          <w:szCs w:val="28"/>
          <w:u w:val="single"/>
        </w:rPr>
        <w:t>广州亚泰建筑设计院有限公司深圳分公司</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提供的</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b/>
          <w:bCs/>
          <w:color w:val="auto"/>
          <w:sz w:val="28"/>
          <w:szCs w:val="28"/>
          <w:u w:val="single"/>
        </w:rPr>
        <w:t>盐田区游泳馆</w:t>
      </w:r>
      <w:r>
        <w:rPr>
          <w:rFonts w:hint="eastAsia" w:ascii="仿宋_GB2312" w:hAnsi="仿宋_GB2312" w:eastAsia="仿宋_GB2312" w:cs="仿宋_GB2312"/>
          <w:b/>
          <w:bCs/>
          <w:color w:val="auto"/>
          <w:sz w:val="28"/>
          <w:szCs w:val="28"/>
          <w:u w:val="single"/>
          <w:lang w:val="en"/>
        </w:rPr>
        <w:t>修缮项目</w:t>
      </w:r>
      <w:r>
        <w:rPr>
          <w:rFonts w:hint="eastAsia" w:ascii="仿宋_GB2312" w:hAnsi="仿宋_GB2312" w:eastAsia="仿宋_GB2312" w:cs="仿宋_GB2312"/>
          <w:color w:val="auto"/>
          <w:sz w:val="28"/>
          <w:szCs w:val="28"/>
          <w:u w:val="single"/>
        </w:rPr>
        <w:fldChar w:fldCharType="begin"/>
      </w:r>
      <w:r>
        <w:rPr>
          <w:rFonts w:hint="eastAsia" w:ascii="仿宋_GB2312" w:hAnsi="仿宋_GB2312" w:eastAsia="仿宋_GB2312" w:cs="仿宋_GB2312"/>
          <w:color w:val="auto"/>
          <w:sz w:val="28"/>
          <w:szCs w:val="28"/>
          <w:u w:val="single"/>
        </w:rPr>
        <w:instrText xml:space="preserve"> AUTOTEXT  input301 \* MERGEFORMAT </w:instrText>
      </w:r>
      <w:r>
        <w:rPr>
          <w:rFonts w:hint="eastAsia" w:ascii="仿宋_GB2312" w:hAnsi="仿宋_GB2312" w:eastAsia="仿宋_GB2312" w:cs="仿宋_GB2312"/>
          <w:color w:val="auto"/>
          <w:sz w:val="28"/>
          <w:szCs w:val="28"/>
          <w:u w:val="single"/>
        </w:rPr>
        <w:fldChar w:fldCharType="separate"/>
      </w:r>
      <w:r>
        <w:rPr>
          <w:rFonts w:hint="eastAsia" w:ascii="仿宋_GB2312" w:hAnsi="仿宋_GB2312" w:eastAsia="仿宋_GB2312" w:cs="仿宋_GB2312"/>
          <w:color w:val="auto"/>
          <w:sz w:val="28"/>
          <w:szCs w:val="28"/>
          <w:u w:val="single"/>
        </w:rPr>
        <w:fldChar w:fldCharType="end"/>
      </w:r>
      <w:r>
        <w:rPr>
          <w:rFonts w:hint="eastAsia" w:ascii="仿宋_GB2312" w:hAnsi="仿宋_GB2312" w:eastAsia="仿宋_GB2312" w:cs="仿宋_GB2312"/>
          <w:color w:val="auto"/>
          <w:sz w:val="28"/>
          <w:szCs w:val="28"/>
        </w:rPr>
        <w:t>（工程项目名称）</w:t>
      </w:r>
      <w:r>
        <w:rPr>
          <w:rFonts w:hint="eastAsia" w:ascii="仿宋_GB2312" w:hAnsi="仿宋_GB2312" w:eastAsia="仿宋_GB2312" w:cs="仿宋_GB2312"/>
          <w:color w:val="auto"/>
          <w:sz w:val="28"/>
          <w:szCs w:val="28"/>
          <w:u w:val="single"/>
        </w:rPr>
        <w:fldChar w:fldCharType="begin"/>
      </w:r>
      <w:r>
        <w:rPr>
          <w:rFonts w:hint="eastAsia" w:ascii="仿宋_GB2312" w:hAnsi="仿宋_GB2312" w:eastAsia="仿宋_GB2312" w:cs="仿宋_GB2312"/>
          <w:color w:val="auto"/>
          <w:sz w:val="28"/>
          <w:szCs w:val="28"/>
          <w:u w:val="single"/>
        </w:rPr>
        <w:instrText xml:space="preserve"> AUTOTEXT  input302 \* MERGEFORMAT </w:instrText>
      </w:r>
      <w:r>
        <w:rPr>
          <w:rFonts w:hint="eastAsia" w:ascii="仿宋_GB2312" w:hAnsi="仿宋_GB2312" w:eastAsia="仿宋_GB2312" w:cs="仿宋_GB2312"/>
          <w:color w:val="auto"/>
          <w:sz w:val="28"/>
          <w:szCs w:val="28"/>
          <w:u w:val="single"/>
        </w:rPr>
        <w:fldChar w:fldCharType="separate"/>
      </w:r>
      <w:r>
        <w:rPr>
          <w:rFonts w:hint="eastAsia" w:ascii="仿宋_GB2312" w:hAnsi="仿宋_GB2312" w:eastAsia="仿宋_GB2312" w:cs="仿宋_GB2312"/>
          <w:color w:val="auto"/>
          <w:sz w:val="28"/>
          <w:szCs w:val="28"/>
          <w:u w:val="single"/>
        </w:rPr>
        <w:fldChar w:fldCharType="end"/>
      </w:r>
      <w:r>
        <w:rPr>
          <w:rFonts w:hint="eastAsia" w:ascii="仿宋_GB2312" w:hAnsi="仿宋_GB2312" w:eastAsia="仿宋_GB2312" w:cs="仿宋_GB2312"/>
          <w:color w:val="auto"/>
          <w:sz w:val="28"/>
          <w:szCs w:val="28"/>
        </w:rPr>
        <w:t>的设计文件及《建设工程工程量清单计价规范》(GB50500-2013)、深圳市补充规范编制而成。</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4.本工程要求采用的工程量计算规则，应作为本工程招投标双方进行工程招投标和结算计量、计价的共同依据。</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5.本工程要求采用的工程量计算规则是《13清单计价规范》及《13清单计价规范》补充规范（深圳2013）。</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6.对“分部分项工程量清单”的说明和报价要求：</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⑴该清单所列的工程量系招标人的估算，是临时的，是投标人报价的共同基础。不被理解为是对招标人要求工作内容的全部定义，也不能作为投标人应完成的实际工程量。结算时，应以由发、承包双方在合同中约定应予计量且实际完成的工程量确定。</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⑵该清单中的每一单项均需填写综合单价和合价，对没有填写综合单价和合价的项目，其费用视为已包括在清单的其他综合单价或合价之中，同时投标人应清楚地加以说明。</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⑶该清单中不再重复或概括工程及材料的一般说明，在编制和填写工程量清单的每一项的综合单价和合价时应参考投标须知和合同条件的有关条款。</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⑷针对该清单，要求投标人报价时提供“工程量清单综合单价分析表”。</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7.对“措施项目清单”的说明和报价要求：</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⑴该清单所列项目是招标人根据一般情况估计的项目，投标人实际措施项目不同的，可以对具体列项内容进行调整或补充。增补的内容列在措施项目清单“其他”项目中。</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⑵该清单中以“项”为单位的措施项目，投标人填报的价格应包括除规费、税金外的全部费用。</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措施项目中可以计算工程量的项目，投标人应根据招标人在“措施项目清单（一）”提供的工程量填报综合单价和合价。该清单所列的工程量系招标人的估算，是临时的，是投标人报价的共同基础。不被理解为是对招标人要求工作内容的全部定义，也不能作为投标人应完成的实际工程量。所填入的综合单价和合价应包括人工费、材料费、施工机械使用费和企业管理费与利润，以及一定范围内的风险费用。</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⑶针对该清单，要求投标人报价时提供“措施项目清单与计价表（二）”。</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⑷该清单中列入了“安全文明施工措施费”，该费用包括临时设施费、安全施工费、文明施工费、环境保护费。编制招标控制价时，招标人将按《〈建设工程工程清单计价规范〉补充规范（深圳2013）》中安全文明施工措施费详细清单所列基本项目和现行《深圳市建设工程计价费率标准》中的费率确定“安全文明施工措施费”费用，计入招标控制价，并在公布招标控制价时明确该项费用的具体金额，作为非竞争性费用。不编制招标控制价时，招标人按现行《深圳市建设工程计价费率标准》中的费率确定“安全文明施工措施费”费用。</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投标人应当按照本</w:t>
      </w:r>
      <w:r>
        <w:rPr>
          <w:rFonts w:hint="eastAsia" w:cs="仿宋_GB2312"/>
          <w:color w:val="auto"/>
          <w:sz w:val="28"/>
          <w:szCs w:val="28"/>
          <w:lang w:eastAsia="zh-CN"/>
        </w:rPr>
        <w:t>需求书</w:t>
      </w:r>
      <w:r>
        <w:rPr>
          <w:rFonts w:hint="eastAsia" w:ascii="仿宋_GB2312" w:hAnsi="仿宋_GB2312" w:eastAsia="仿宋_GB2312" w:cs="仿宋_GB2312"/>
          <w:color w:val="auto"/>
          <w:sz w:val="28"/>
          <w:szCs w:val="28"/>
        </w:rPr>
        <w:t>的规定，在《〈建设工程工程清单计价规范〉补充规范（深圳2013）》中“安全文明施工措施费详细清单”所列基本项目基础上，结合工程实际及施工组织设计或施工方案，补充所需的特定安全文明施工措施项目，编制“安全文明施工措施费详细清单”，列出项目编码、项目名称、项目特征、计量单位和工程量，填报综合单价，并将该表合价合计金额计入投标总价。</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⑸计划施工总工期相比按《深圳市建设工程施工工期标准》计算所得标准工期压缩超过30%时，该清单中列入“夜间施工费和赶工措施费”，该费用为工期压缩导致施工投入增加的补偿。编制招标控制价时，招标人将按现行的《深圳市建设工程计价费率标准》中的费率确定“夜间施工费和赶工措施费”费用，计入招标控制价。</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投标人应当按照本</w:t>
      </w:r>
      <w:r>
        <w:rPr>
          <w:rFonts w:hint="eastAsia" w:cs="仿宋_GB2312"/>
          <w:color w:val="auto"/>
          <w:sz w:val="28"/>
          <w:szCs w:val="28"/>
          <w:lang w:eastAsia="zh-CN"/>
        </w:rPr>
        <w:t>需求书</w:t>
      </w:r>
      <w:r>
        <w:rPr>
          <w:rFonts w:hint="eastAsia" w:ascii="仿宋_GB2312" w:hAnsi="仿宋_GB2312" w:eastAsia="仿宋_GB2312" w:cs="仿宋_GB2312"/>
          <w:color w:val="auto"/>
          <w:sz w:val="28"/>
          <w:szCs w:val="28"/>
        </w:rPr>
        <w:t>的规定，结合自身实际及施工组织设计或施工方案，确定投标工期，自主填报夜间施工费和赶工措施费，并计入投标总价。</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8.对“其他项目清单”的说明和报价要求：</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材料设备暂估价指招标人提供的用于支付必然发生但暂时不能确定价格的材料、设备的清单。投标时，投标人应将材料设备的暂估单价计入分部分项工程量清单综合单价报价中。结算时，按发、承包双方最终确认的价格调整价差，价差部分不计利润。</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(2)计日工指招标人提出的施工图纸以外的零星项目或工作。投标时，投标人应根据招标人提出的计日工表的要求自主确定综合单价，计算汇总后计入其他项目清单汇总表。</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总承包服务费包括分包管理费、总分包配合费、发包人供应材料设备保管费。投标时，投标人根据招标人提出的分包专业工程内容和供应材料、设备情况，按照招标人提出的协调、配合与服务内容和施工现场管理需要，自主确定总承包服务费各项目费率。其中分包管理费和总分包配合费以分包工程合同造价为计算基数；发包人供应材料设备保管费应根据“发包人供应材料设备明细表”中合计金额为计算基数。</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9.工程量清单作为本</w:t>
      </w:r>
      <w:r>
        <w:rPr>
          <w:rFonts w:hint="eastAsia" w:cs="仿宋_GB2312"/>
          <w:color w:val="auto"/>
          <w:sz w:val="28"/>
          <w:szCs w:val="28"/>
          <w:lang w:eastAsia="zh-CN"/>
        </w:rPr>
        <w:t>需求书</w:t>
      </w:r>
      <w:r>
        <w:rPr>
          <w:rFonts w:hint="eastAsia" w:ascii="仿宋_GB2312" w:hAnsi="仿宋_GB2312" w:eastAsia="仿宋_GB2312" w:cs="仿宋_GB2312"/>
          <w:color w:val="auto"/>
          <w:sz w:val="28"/>
          <w:szCs w:val="28"/>
        </w:rPr>
        <w:t>的组成部分，其准确性和完整性由招标人负责。如发现招标人提供的工程量清单的项目及工程量与图纸实际不符时，除</w:t>
      </w:r>
      <w:r>
        <w:rPr>
          <w:rFonts w:hint="eastAsia" w:cs="仿宋_GB2312"/>
          <w:color w:val="auto"/>
          <w:sz w:val="28"/>
          <w:szCs w:val="28"/>
          <w:lang w:eastAsia="zh-CN"/>
        </w:rPr>
        <w:t>需求书</w:t>
      </w:r>
      <w:r>
        <w:rPr>
          <w:rFonts w:hint="eastAsia" w:ascii="仿宋_GB2312" w:hAnsi="仿宋_GB2312" w:eastAsia="仿宋_GB2312" w:cs="仿宋_GB2312"/>
          <w:color w:val="auto"/>
          <w:sz w:val="28"/>
          <w:szCs w:val="28"/>
        </w:rPr>
        <w:t>另有要求外，投标人应在截标前9天向招标人提出，招标人应进行复核并用书面发出修正，分送所有投标人。如招标人没有做出修正，投标人仍应按原提供的项目及工程量报价。</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10.所有报价应以本</w:t>
      </w:r>
      <w:r>
        <w:rPr>
          <w:rFonts w:hint="eastAsia" w:cs="仿宋_GB2312"/>
          <w:color w:val="auto"/>
          <w:sz w:val="28"/>
          <w:szCs w:val="28"/>
          <w:lang w:eastAsia="zh-CN"/>
        </w:rPr>
        <w:t>需求书</w:t>
      </w:r>
      <w:r>
        <w:rPr>
          <w:rFonts w:hint="eastAsia" w:ascii="仿宋_GB2312" w:hAnsi="仿宋_GB2312" w:eastAsia="仿宋_GB2312" w:cs="仿宋_GB2312"/>
          <w:color w:val="auto"/>
          <w:sz w:val="28"/>
          <w:szCs w:val="28"/>
        </w:rPr>
        <w:t>约定的币种表示。</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11.特别提示：</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*规费税金项目应按国家和深圳市法律法规计算，作为非竞争性费用。</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暂列金额是招标人在工程量清单中暂定并包括在合同价款中的一笔款项。用于施工合同签订时尚未确定或者不可预见的所需材料、设备、服务的采购，施工中可能发生的工程变更、合同约定调整因素出现时的工程价款调整以及发生的索赔、现场签证确认等的费用。投标时，投标人按照招标人提供的“暂列金额明细表”中所列项目和金额填报，不得修改，且计入投标总价。</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*专业工程暂估价是招标人提供的用于支付必然发生但暂时不能确定的专业工程金额。投标人按招标人所列金额填报并计入投标总价。</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*投标人按本</w:t>
      </w:r>
      <w:r>
        <w:rPr>
          <w:rFonts w:hint="eastAsia" w:cs="仿宋_GB2312"/>
          <w:color w:val="auto"/>
          <w:sz w:val="28"/>
          <w:szCs w:val="28"/>
          <w:lang w:eastAsia="zh-CN"/>
        </w:rPr>
        <w:t>需求书</w:t>
      </w:r>
      <w:r>
        <w:rPr>
          <w:rFonts w:hint="eastAsia" w:ascii="仿宋_GB2312" w:hAnsi="仿宋_GB2312" w:eastAsia="仿宋_GB2312" w:cs="仿宋_GB2312"/>
          <w:color w:val="auto"/>
          <w:sz w:val="28"/>
          <w:szCs w:val="28"/>
        </w:rPr>
        <w:t>要求和招标人提供的工程建设其他费项目内容填报价格。工程建设其他费不作为规费、税金的计算基数，结算时，发、承包双方依据合同约定确定。</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12.投标人在投标文件中列明的工程机械、装卸机械应满足国家现阶段非道路移动机械用柴油机排放标准，鼓励使用LNG或电动工程机械、装卸机械。</w:t>
      </w:r>
    </w:p>
    <w:p>
      <w:pPr>
        <w:pageBreakBefore w:val="0"/>
        <w:kinsoku/>
        <w:overflowPunct/>
        <w:topLinePunct w:val="0"/>
        <w:bidi w:val="0"/>
        <w:adjustRightInd w:val="0"/>
        <w:snapToGrid w:val="0"/>
        <w:spacing w:line="240" w:lineRule="auto"/>
        <w:ind w:left="0" w:leftChars="0" w:right="0"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13.其他。</w:t>
      </w:r>
    </w:p>
    <w:p>
      <w:pPr>
        <w:pStyle w:val="14"/>
        <w:keepNext w:val="0"/>
        <w:keepLines w:val="0"/>
        <w:pageBreakBefore w:val="0"/>
        <w:widowControl w:val="0"/>
        <w:kinsoku/>
        <w:wordWrap/>
        <w:overflowPunct/>
        <w:topLinePunct w:val="0"/>
        <w:autoSpaceDE/>
        <w:autoSpaceDN/>
        <w:bidi w:val="0"/>
        <w:adjustRightInd/>
        <w:snapToGrid w:val="0"/>
        <w:spacing w:before="0" w:after="0" w:line="560" w:lineRule="exact"/>
        <w:ind w:firstLine="0" w:firstLineChars="0"/>
        <w:textAlignment w:val="auto"/>
        <w:rPr>
          <w:rFonts w:hint="eastAsia"/>
          <w:color w:val="auto"/>
          <w:lang w:val="zh-CN"/>
        </w:rPr>
      </w:pPr>
      <w:r>
        <w:rPr>
          <w:rFonts w:hint="eastAsia" w:ascii="仿宋_GB2312" w:hAnsi="仿宋_GB2312" w:eastAsia="仿宋_GB2312" w:cs="仿宋_GB2312"/>
          <w:color w:val="auto"/>
          <w:sz w:val="32"/>
          <w:szCs w:val="32"/>
        </w:rPr>
        <w:br w:type="page"/>
      </w:r>
      <w:r>
        <w:rPr>
          <w:rFonts w:hint="eastAsia" w:ascii="方正小标宋简体" w:hAnsi="方正小标宋简体" w:eastAsia="方正小标宋简体" w:cs="方正小标宋简体"/>
          <w:b w:val="0"/>
          <w:bCs w:val="0"/>
          <w:color w:val="auto"/>
          <w:kern w:val="2"/>
          <w:sz w:val="44"/>
          <w:szCs w:val="44"/>
          <w:lang w:val="zh-CN"/>
        </w:rPr>
        <w:t>二、工程量清单格式</w:t>
      </w:r>
    </w:p>
    <w:p>
      <w:pPr>
        <w:widowControl/>
        <w:ind w:firstLine="0" w:firstLineChars="0"/>
        <w:jc w:val="center"/>
        <w:textAlignment w:val="center"/>
        <w:outlineLvl w:val="2"/>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工程项目投标报价汇总表</w:t>
      </w:r>
    </w:p>
    <w:tbl>
      <w:tblPr>
        <w:tblStyle w:val="16"/>
        <w:tblW w:w="5117" w:type="pct"/>
        <w:tblInd w:w="0" w:type="dxa"/>
        <w:tblLayout w:type="fixed"/>
        <w:tblCellMar>
          <w:top w:w="0" w:type="dxa"/>
          <w:left w:w="108" w:type="dxa"/>
          <w:bottom w:w="0" w:type="dxa"/>
          <w:right w:w="108" w:type="dxa"/>
        </w:tblCellMar>
      </w:tblPr>
      <w:tblGrid>
        <w:gridCol w:w="1363"/>
        <w:gridCol w:w="1648"/>
        <w:gridCol w:w="1060"/>
        <w:gridCol w:w="1107"/>
        <w:gridCol w:w="816"/>
        <w:gridCol w:w="2924"/>
        <w:gridCol w:w="1276"/>
      </w:tblGrid>
      <w:tr>
        <w:tblPrEx>
          <w:tblCellMar>
            <w:top w:w="0" w:type="dxa"/>
            <w:left w:w="108" w:type="dxa"/>
            <w:bottom w:w="0" w:type="dxa"/>
            <w:right w:w="108" w:type="dxa"/>
          </w:tblCellMar>
        </w:tblPrEx>
        <w:trPr>
          <w:trHeight w:val="390" w:hRule="atLeast"/>
        </w:trPr>
        <w:tc>
          <w:tcPr>
            <w:tcW w:w="2481" w:type="pct"/>
            <w:gridSpan w:val="4"/>
            <w:tcBorders>
              <w:top w:val="nil"/>
              <w:left w:val="nil"/>
              <w:bottom w:val="single" w:color="000000" w:sz="4" w:space="0"/>
              <w:right w:val="nil"/>
            </w:tcBorders>
            <w:vAlign w:val="center"/>
          </w:tcPr>
          <w:p>
            <w:pPr>
              <w:widowControl/>
              <w:spacing w:line="240" w:lineRule="auto"/>
              <w:ind w:firstLine="0" w:firstLineChars="0"/>
              <w:textAlignment w:val="center"/>
              <w:rPr>
                <w:rFonts w:hint="default" w:ascii="宋体" w:hAnsi="宋体" w:eastAsia="宋体" w:cs="宋体"/>
                <w:color w:val="auto"/>
                <w:sz w:val="18"/>
                <w:szCs w:val="18"/>
                <w:lang w:val="en"/>
              </w:rPr>
            </w:pPr>
            <w:r>
              <w:rPr>
                <w:rFonts w:hint="eastAsia" w:ascii="宋体" w:hAnsi="宋体" w:eastAsia="宋体" w:cs="宋体"/>
                <w:color w:val="auto"/>
                <w:sz w:val="18"/>
                <w:szCs w:val="18"/>
                <w:lang w:bidi="ar"/>
              </w:rPr>
              <w:t>工程名称：盐田区</w:t>
            </w:r>
            <w:r>
              <w:rPr>
                <w:rFonts w:hint="default" w:ascii="宋体" w:hAnsi="宋体" w:eastAsia="宋体" w:cs="宋体"/>
                <w:color w:val="auto"/>
                <w:sz w:val="18"/>
                <w:szCs w:val="18"/>
                <w:lang w:val="en" w:bidi="ar"/>
              </w:rPr>
              <w:t>游泳馆修缮项目</w:t>
            </w:r>
          </w:p>
        </w:tc>
        <w:tc>
          <w:tcPr>
            <w:tcW w:w="2402" w:type="pct"/>
            <w:gridSpan w:val="3"/>
            <w:tcBorders>
              <w:top w:val="nil"/>
              <w:left w:val="nil"/>
              <w:bottom w:val="single" w:color="000000" w:sz="4" w:space="0"/>
              <w:right w:val="nil"/>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第 1 页 共 1 页</w:t>
            </w:r>
          </w:p>
        </w:tc>
      </w:tr>
      <w:tr>
        <w:tblPrEx>
          <w:tblCellMar>
            <w:top w:w="0" w:type="dxa"/>
            <w:left w:w="108" w:type="dxa"/>
            <w:bottom w:w="0" w:type="dxa"/>
            <w:right w:w="108" w:type="dxa"/>
          </w:tblCellMar>
        </w:tblPrEx>
        <w:trPr>
          <w:trHeight w:val="390" w:hRule="atLeast"/>
        </w:trPr>
        <w:tc>
          <w:tcPr>
            <w:tcW w:w="653"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序号</w:t>
            </w:r>
          </w:p>
        </w:tc>
        <w:tc>
          <w:tcPr>
            <w:tcW w:w="789"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单项工程名称</w:t>
            </w:r>
          </w:p>
        </w:tc>
        <w:tc>
          <w:tcPr>
            <w:tcW w:w="508"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金额(元)</w:t>
            </w:r>
          </w:p>
        </w:tc>
        <w:tc>
          <w:tcPr>
            <w:tcW w:w="2932" w:type="pct"/>
            <w:gridSpan w:val="4"/>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其中：(元)</w:t>
            </w:r>
          </w:p>
        </w:tc>
      </w:tr>
      <w:tr>
        <w:tblPrEx>
          <w:tblCellMar>
            <w:top w:w="0" w:type="dxa"/>
            <w:left w:w="108" w:type="dxa"/>
            <w:bottom w:w="0" w:type="dxa"/>
            <w:right w:w="108" w:type="dxa"/>
          </w:tblCellMar>
        </w:tblPrEx>
        <w:trPr>
          <w:trHeight w:val="555" w:hRule="atLeast"/>
        </w:trPr>
        <w:tc>
          <w:tcPr>
            <w:tcW w:w="653"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789"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508"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921"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暂估价</w:t>
            </w:r>
          </w:p>
        </w:tc>
        <w:tc>
          <w:tcPr>
            <w:tcW w:w="140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安全文明</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施工费</w:t>
            </w:r>
          </w:p>
        </w:tc>
        <w:tc>
          <w:tcPr>
            <w:tcW w:w="60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规费</w:t>
            </w:r>
          </w:p>
        </w:tc>
      </w:tr>
      <w:tr>
        <w:tblPrEx>
          <w:tblCellMar>
            <w:top w:w="0" w:type="dxa"/>
            <w:left w:w="108" w:type="dxa"/>
            <w:bottom w:w="0" w:type="dxa"/>
            <w:right w:w="108" w:type="dxa"/>
          </w:tblCellMar>
        </w:tblPrEx>
        <w:trPr>
          <w:trHeight w:val="390" w:hRule="atLeast"/>
        </w:trPr>
        <w:tc>
          <w:tcPr>
            <w:tcW w:w="653" w:type="pct"/>
            <w:tcBorders>
              <w:top w:val="single" w:color="000000" w:sz="4" w:space="0"/>
              <w:left w:val="single" w:color="000000" w:sz="4" w:space="0"/>
              <w:bottom w:val="nil"/>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w:t>
            </w:r>
          </w:p>
        </w:tc>
        <w:tc>
          <w:tcPr>
            <w:tcW w:w="789" w:type="pct"/>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textAlignment w:val="center"/>
              <w:rPr>
                <w:rFonts w:hint="default" w:ascii="宋体" w:hAnsi="宋体" w:eastAsia="宋体" w:cs="宋体"/>
                <w:color w:val="auto"/>
                <w:sz w:val="18"/>
                <w:szCs w:val="18"/>
                <w:lang w:val="en"/>
              </w:rPr>
            </w:pPr>
            <w:r>
              <w:rPr>
                <w:rFonts w:hint="eastAsia" w:ascii="宋体" w:hAnsi="宋体" w:eastAsia="宋体" w:cs="宋体"/>
                <w:color w:val="auto"/>
                <w:sz w:val="18"/>
                <w:szCs w:val="18"/>
                <w:lang w:bidi="ar"/>
              </w:rPr>
              <w:t>盐田区</w:t>
            </w:r>
            <w:r>
              <w:rPr>
                <w:rFonts w:hint="default" w:ascii="宋体" w:hAnsi="宋体" w:eastAsia="宋体" w:cs="宋体"/>
                <w:color w:val="auto"/>
                <w:sz w:val="18"/>
                <w:szCs w:val="18"/>
                <w:lang w:val="en" w:bidi="ar"/>
              </w:rPr>
              <w:t>游泳馆修缮项目</w:t>
            </w:r>
          </w:p>
        </w:tc>
        <w:tc>
          <w:tcPr>
            <w:tcW w:w="508"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21" w:type="pct"/>
            <w:gridSpan w:val="2"/>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401" w:type="pct"/>
            <w:tcBorders>
              <w:top w:val="single" w:color="000000" w:sz="4" w:space="0"/>
              <w:left w:val="single" w:color="000000" w:sz="4" w:space="0"/>
              <w:bottom w:val="nil"/>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10056.02</w:t>
            </w:r>
          </w:p>
        </w:tc>
        <w:tc>
          <w:tcPr>
            <w:tcW w:w="609"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0" w:hRule="atLeast"/>
        </w:trPr>
        <w:tc>
          <w:tcPr>
            <w:tcW w:w="653"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789" w:type="pct"/>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工程建设其他费</w:t>
            </w:r>
          </w:p>
        </w:tc>
        <w:tc>
          <w:tcPr>
            <w:tcW w:w="508"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21" w:type="pct"/>
            <w:gridSpan w:val="2"/>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401"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609"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0" w:hRule="atLeast"/>
        </w:trPr>
        <w:tc>
          <w:tcPr>
            <w:tcW w:w="653"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789" w:type="pct"/>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设备及工器具购置费</w:t>
            </w:r>
          </w:p>
        </w:tc>
        <w:tc>
          <w:tcPr>
            <w:tcW w:w="508"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21" w:type="pct"/>
            <w:gridSpan w:val="2"/>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401"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609"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5" w:hRule="atLeast"/>
        </w:trPr>
        <w:tc>
          <w:tcPr>
            <w:tcW w:w="653"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789" w:type="pct"/>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508"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21" w:type="pct"/>
            <w:gridSpan w:val="2"/>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401"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609"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5" w:hRule="atLeast"/>
        </w:trPr>
        <w:tc>
          <w:tcPr>
            <w:tcW w:w="653"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789" w:type="pct"/>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508"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21" w:type="pct"/>
            <w:gridSpan w:val="2"/>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401"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609"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5" w:hRule="atLeast"/>
        </w:trPr>
        <w:tc>
          <w:tcPr>
            <w:tcW w:w="653"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789" w:type="pct"/>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508"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21" w:type="pct"/>
            <w:gridSpan w:val="2"/>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401"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609"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5" w:hRule="atLeast"/>
        </w:trPr>
        <w:tc>
          <w:tcPr>
            <w:tcW w:w="653"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789" w:type="pct"/>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508"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21" w:type="pct"/>
            <w:gridSpan w:val="2"/>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401"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609"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5" w:hRule="atLeast"/>
        </w:trPr>
        <w:tc>
          <w:tcPr>
            <w:tcW w:w="653"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789" w:type="pct"/>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508"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21" w:type="pct"/>
            <w:gridSpan w:val="2"/>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401"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609"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5" w:hRule="atLeast"/>
        </w:trPr>
        <w:tc>
          <w:tcPr>
            <w:tcW w:w="653"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789" w:type="pct"/>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508"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21" w:type="pct"/>
            <w:gridSpan w:val="2"/>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401"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609"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5" w:hRule="atLeast"/>
        </w:trPr>
        <w:tc>
          <w:tcPr>
            <w:tcW w:w="653"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789" w:type="pct"/>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508"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21" w:type="pct"/>
            <w:gridSpan w:val="2"/>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401"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609"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5" w:hRule="atLeast"/>
        </w:trPr>
        <w:tc>
          <w:tcPr>
            <w:tcW w:w="653"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789" w:type="pct"/>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508"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21" w:type="pct"/>
            <w:gridSpan w:val="2"/>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401"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609"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5" w:hRule="atLeast"/>
        </w:trPr>
        <w:tc>
          <w:tcPr>
            <w:tcW w:w="653"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789" w:type="pct"/>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508"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21" w:type="pct"/>
            <w:gridSpan w:val="2"/>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401"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609"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5" w:hRule="atLeast"/>
        </w:trPr>
        <w:tc>
          <w:tcPr>
            <w:tcW w:w="653"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789" w:type="pct"/>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508"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21" w:type="pct"/>
            <w:gridSpan w:val="2"/>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401"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609"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5" w:hRule="atLeast"/>
        </w:trPr>
        <w:tc>
          <w:tcPr>
            <w:tcW w:w="653"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789" w:type="pct"/>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508"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21" w:type="pct"/>
            <w:gridSpan w:val="2"/>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401"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609"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5" w:hRule="atLeast"/>
        </w:trPr>
        <w:tc>
          <w:tcPr>
            <w:tcW w:w="653"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789" w:type="pct"/>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508"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21" w:type="pct"/>
            <w:gridSpan w:val="2"/>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401"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609"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5" w:hRule="atLeast"/>
        </w:trPr>
        <w:tc>
          <w:tcPr>
            <w:tcW w:w="653"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789" w:type="pct"/>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508"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21" w:type="pct"/>
            <w:gridSpan w:val="2"/>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401"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609"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5" w:hRule="atLeast"/>
        </w:trPr>
        <w:tc>
          <w:tcPr>
            <w:tcW w:w="653"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789" w:type="pct"/>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508"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21" w:type="pct"/>
            <w:gridSpan w:val="2"/>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401"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609"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5" w:hRule="atLeast"/>
        </w:trPr>
        <w:tc>
          <w:tcPr>
            <w:tcW w:w="653"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789" w:type="pct"/>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508"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21" w:type="pct"/>
            <w:gridSpan w:val="2"/>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401"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609"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5" w:hRule="atLeast"/>
        </w:trPr>
        <w:tc>
          <w:tcPr>
            <w:tcW w:w="653"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789" w:type="pct"/>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508"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21" w:type="pct"/>
            <w:gridSpan w:val="2"/>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401"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609"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5" w:hRule="atLeast"/>
        </w:trPr>
        <w:tc>
          <w:tcPr>
            <w:tcW w:w="653"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789" w:type="pct"/>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508"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21" w:type="pct"/>
            <w:gridSpan w:val="2"/>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401"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609"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5" w:hRule="atLeast"/>
        </w:trPr>
        <w:tc>
          <w:tcPr>
            <w:tcW w:w="653"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789" w:type="pct"/>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508"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21" w:type="pct"/>
            <w:gridSpan w:val="2"/>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401"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609"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5" w:hRule="atLeast"/>
        </w:trPr>
        <w:tc>
          <w:tcPr>
            <w:tcW w:w="653"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789" w:type="pct"/>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508"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21" w:type="pct"/>
            <w:gridSpan w:val="2"/>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401"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609"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5" w:hRule="atLeast"/>
        </w:trPr>
        <w:tc>
          <w:tcPr>
            <w:tcW w:w="653"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789" w:type="pct"/>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508"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21" w:type="pct"/>
            <w:gridSpan w:val="2"/>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401"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609"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5" w:hRule="atLeast"/>
        </w:trPr>
        <w:tc>
          <w:tcPr>
            <w:tcW w:w="653"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789" w:type="pct"/>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508"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21" w:type="pct"/>
            <w:gridSpan w:val="2"/>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401"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609" w:type="pct"/>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0" w:hRule="atLeast"/>
        </w:trPr>
        <w:tc>
          <w:tcPr>
            <w:tcW w:w="1443"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合    计</w:t>
            </w:r>
          </w:p>
        </w:tc>
        <w:tc>
          <w:tcPr>
            <w:tcW w:w="50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21" w:type="pct"/>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40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60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0" w:hRule="atLeast"/>
        </w:trPr>
        <w:tc>
          <w:tcPr>
            <w:tcW w:w="4884" w:type="pct"/>
            <w:gridSpan w:val="7"/>
            <w:tcBorders>
              <w:top w:val="single" w:color="000000" w:sz="4" w:space="0"/>
              <w:left w:val="nil"/>
              <w:bottom w:val="nil"/>
              <w:right w:val="nil"/>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 xml:space="preserve">    注：本表适用于建设项目招标控制价或投标报价的汇总。</w:t>
            </w:r>
          </w:p>
        </w:tc>
      </w:tr>
    </w:tbl>
    <w:p>
      <w:pPr>
        <w:ind w:firstLine="643"/>
        <w:rPr>
          <w:rFonts w:hint="eastAsia" w:ascii="宋体" w:hAnsi="宋体" w:eastAsia="宋体" w:cs="宋体"/>
          <w:b/>
          <w:bCs/>
          <w:color w:val="auto"/>
          <w:sz w:val="32"/>
          <w:szCs w:val="32"/>
          <w:lang w:bidi="ar"/>
        </w:rPr>
      </w:pPr>
      <w:r>
        <w:rPr>
          <w:rFonts w:hint="eastAsia" w:ascii="宋体" w:hAnsi="宋体" w:eastAsia="宋体" w:cs="宋体"/>
          <w:b/>
          <w:bCs/>
          <w:color w:val="auto"/>
          <w:sz w:val="32"/>
          <w:szCs w:val="32"/>
          <w:lang w:bidi="ar"/>
        </w:rPr>
        <w:br w:type="page"/>
      </w:r>
    </w:p>
    <w:p>
      <w:pPr>
        <w:widowControl/>
        <w:ind w:firstLine="0" w:firstLineChars="0"/>
        <w:jc w:val="center"/>
        <w:textAlignment w:val="center"/>
        <w:outlineLvl w:val="2"/>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单项工程投标报价汇总表</w:t>
      </w:r>
    </w:p>
    <w:tbl>
      <w:tblPr>
        <w:tblStyle w:val="16"/>
        <w:tblW w:w="4918" w:type="pct"/>
        <w:tblInd w:w="0" w:type="dxa"/>
        <w:tblLayout w:type="fixed"/>
        <w:tblCellMar>
          <w:top w:w="0" w:type="dxa"/>
          <w:left w:w="108" w:type="dxa"/>
          <w:bottom w:w="0" w:type="dxa"/>
          <w:right w:w="108" w:type="dxa"/>
        </w:tblCellMar>
      </w:tblPr>
      <w:tblGrid>
        <w:gridCol w:w="489"/>
        <w:gridCol w:w="2478"/>
        <w:gridCol w:w="2093"/>
        <w:gridCol w:w="1820"/>
        <w:gridCol w:w="1421"/>
        <w:gridCol w:w="1497"/>
      </w:tblGrid>
      <w:tr>
        <w:tblPrEx>
          <w:tblCellMar>
            <w:top w:w="0" w:type="dxa"/>
            <w:left w:w="108" w:type="dxa"/>
            <w:bottom w:w="0" w:type="dxa"/>
            <w:right w:w="108" w:type="dxa"/>
          </w:tblCellMar>
        </w:tblPrEx>
        <w:trPr>
          <w:trHeight w:val="395" w:hRule="atLeast"/>
        </w:trPr>
        <w:tc>
          <w:tcPr>
            <w:tcW w:w="3510" w:type="pct"/>
            <w:gridSpan w:val="4"/>
            <w:tcBorders>
              <w:top w:val="nil"/>
              <w:left w:val="nil"/>
              <w:bottom w:val="nil"/>
              <w:right w:val="nil"/>
            </w:tcBorders>
            <w:vAlign w:val="center"/>
          </w:tcPr>
          <w:p>
            <w:pPr>
              <w:widowControl/>
              <w:spacing w:line="240" w:lineRule="auto"/>
              <w:ind w:firstLine="0" w:firstLineChars="0"/>
              <w:textAlignment w:val="center"/>
              <w:rPr>
                <w:rFonts w:hint="default" w:ascii="宋体" w:hAnsi="宋体" w:eastAsia="宋体" w:cs="宋体"/>
                <w:color w:val="auto"/>
                <w:sz w:val="18"/>
                <w:szCs w:val="18"/>
                <w:lang w:val="en"/>
              </w:rPr>
            </w:pPr>
            <w:r>
              <w:rPr>
                <w:rFonts w:hint="eastAsia" w:ascii="宋体" w:hAnsi="宋体" w:eastAsia="宋体" w:cs="宋体"/>
                <w:color w:val="auto"/>
                <w:sz w:val="18"/>
                <w:szCs w:val="18"/>
                <w:lang w:bidi="ar"/>
              </w:rPr>
              <w:t>工程名称：盐田区</w:t>
            </w:r>
            <w:r>
              <w:rPr>
                <w:rFonts w:hint="default" w:ascii="宋体" w:hAnsi="宋体" w:eastAsia="宋体" w:cs="宋体"/>
                <w:color w:val="auto"/>
                <w:sz w:val="18"/>
                <w:szCs w:val="18"/>
                <w:lang w:val="en" w:bidi="ar"/>
              </w:rPr>
              <w:t>游泳馆修缮项目</w:t>
            </w:r>
          </w:p>
        </w:tc>
        <w:tc>
          <w:tcPr>
            <w:tcW w:w="1489" w:type="pct"/>
            <w:gridSpan w:val="2"/>
            <w:tcBorders>
              <w:top w:val="nil"/>
              <w:left w:val="nil"/>
              <w:bottom w:val="nil"/>
              <w:right w:val="nil"/>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第 1 页 共 1 页</w:t>
            </w:r>
          </w:p>
        </w:tc>
      </w:tr>
      <w:tr>
        <w:tblPrEx>
          <w:tblCellMar>
            <w:top w:w="0" w:type="dxa"/>
            <w:left w:w="108" w:type="dxa"/>
            <w:bottom w:w="0" w:type="dxa"/>
            <w:right w:w="108" w:type="dxa"/>
          </w:tblCellMar>
        </w:tblPrEx>
        <w:trPr>
          <w:trHeight w:val="395" w:hRule="atLeast"/>
        </w:trPr>
        <w:tc>
          <w:tcPr>
            <w:tcW w:w="249"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序号</w:t>
            </w:r>
          </w:p>
        </w:tc>
        <w:tc>
          <w:tcPr>
            <w:tcW w:w="126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单位工程名称</w:t>
            </w:r>
          </w:p>
        </w:tc>
        <w:tc>
          <w:tcPr>
            <w:tcW w:w="1068"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金额(元)</w:t>
            </w:r>
          </w:p>
        </w:tc>
        <w:tc>
          <w:tcPr>
            <w:tcW w:w="2417" w:type="pct"/>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其中</w:t>
            </w:r>
          </w:p>
        </w:tc>
      </w:tr>
      <w:tr>
        <w:tblPrEx>
          <w:tblCellMar>
            <w:top w:w="0" w:type="dxa"/>
            <w:left w:w="108" w:type="dxa"/>
            <w:bottom w:w="0" w:type="dxa"/>
            <w:right w:w="108" w:type="dxa"/>
          </w:tblCellMar>
        </w:tblPrEx>
        <w:trPr>
          <w:trHeight w:val="790" w:hRule="atLeast"/>
        </w:trPr>
        <w:tc>
          <w:tcPr>
            <w:tcW w:w="249" w:type="pct"/>
            <w:vMerge w:val="continue"/>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1264" w:type="pct"/>
            <w:vMerge w:val="continue"/>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1068" w:type="pct"/>
            <w:vMerge w:val="continue"/>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928" w:type="pct"/>
            <w:tcBorders>
              <w:top w:val="single" w:color="000000" w:sz="4" w:space="0"/>
              <w:left w:val="single" w:color="000000" w:sz="4" w:space="0"/>
              <w:bottom w:val="single" w:color="000000" w:sz="4" w:space="0"/>
              <w:right w:val="single" w:color="000000" w:sz="4" w:space="0"/>
            </w:tcBorders>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材料设备</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暂估价</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(元)</w:t>
            </w:r>
          </w:p>
        </w:tc>
        <w:tc>
          <w:tcPr>
            <w:tcW w:w="724" w:type="pct"/>
            <w:tcBorders>
              <w:top w:val="single" w:color="000000" w:sz="4" w:space="0"/>
              <w:left w:val="single" w:color="000000" w:sz="4" w:space="0"/>
              <w:bottom w:val="single" w:color="000000" w:sz="4" w:space="0"/>
              <w:right w:val="single" w:color="000000" w:sz="4" w:space="0"/>
            </w:tcBorders>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安全文明</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施工措施费</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(元)</w:t>
            </w:r>
          </w:p>
        </w:tc>
        <w:tc>
          <w:tcPr>
            <w:tcW w:w="764" w:type="pct"/>
            <w:tcBorders>
              <w:top w:val="single" w:color="000000" w:sz="4" w:space="0"/>
              <w:left w:val="single" w:color="000000" w:sz="4" w:space="0"/>
              <w:bottom w:val="single" w:color="000000" w:sz="4" w:space="0"/>
              <w:right w:val="single" w:color="000000" w:sz="4" w:space="0"/>
            </w:tcBorders>
          </w:tcPr>
          <w:p>
            <w:pPr>
              <w:widowControl/>
              <w:spacing w:line="240" w:lineRule="auto"/>
              <w:ind w:firstLine="0" w:firstLineChars="0"/>
              <w:jc w:val="center"/>
              <w:textAlignment w:val="center"/>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规费</w:t>
            </w:r>
          </w:p>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(元)</w:t>
            </w:r>
          </w:p>
        </w:tc>
      </w:tr>
      <w:tr>
        <w:tblPrEx>
          <w:tblCellMar>
            <w:top w:w="0" w:type="dxa"/>
            <w:left w:w="108" w:type="dxa"/>
            <w:bottom w:w="0" w:type="dxa"/>
            <w:right w:w="108" w:type="dxa"/>
          </w:tblCellMar>
        </w:tblPrEx>
        <w:trPr>
          <w:trHeight w:val="395" w:hRule="atLeast"/>
        </w:trPr>
        <w:tc>
          <w:tcPr>
            <w:tcW w:w="249" w:type="pct"/>
            <w:tcBorders>
              <w:top w:val="single" w:color="000000" w:sz="4" w:space="0"/>
              <w:left w:val="single" w:color="000000" w:sz="4" w:space="0"/>
              <w:bottom w:val="single" w:color="000000" w:sz="4" w:space="0"/>
              <w:right w:val="single" w:color="000000" w:sz="4" w:space="0"/>
            </w:tcBorders>
            <w:noWrap/>
          </w:tcPr>
          <w:p>
            <w:pPr>
              <w:widowControl/>
              <w:spacing w:line="240" w:lineRule="auto"/>
              <w:ind w:firstLine="0" w:firstLineChars="0"/>
              <w:jc w:val="both"/>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w:t>
            </w:r>
          </w:p>
        </w:tc>
        <w:tc>
          <w:tcPr>
            <w:tcW w:w="1264" w:type="pct"/>
            <w:tcBorders>
              <w:top w:val="single" w:color="000000" w:sz="4" w:space="0"/>
              <w:left w:val="single" w:color="000000" w:sz="4" w:space="0"/>
              <w:bottom w:val="single" w:color="000000" w:sz="4" w:space="0"/>
              <w:right w:val="single" w:color="000000" w:sz="4" w:space="0"/>
            </w:tcBorders>
          </w:tcPr>
          <w:p>
            <w:pPr>
              <w:widowControl/>
              <w:spacing w:line="240" w:lineRule="auto"/>
              <w:ind w:firstLine="0" w:firstLineChars="0"/>
              <w:jc w:val="both"/>
              <w:textAlignment w:val="center"/>
              <w:rPr>
                <w:rFonts w:hint="default" w:ascii="宋体" w:hAnsi="宋体" w:eastAsia="宋体" w:cs="宋体"/>
                <w:color w:val="auto"/>
                <w:sz w:val="18"/>
                <w:szCs w:val="18"/>
                <w:lang w:val="en"/>
              </w:rPr>
            </w:pPr>
            <w:r>
              <w:rPr>
                <w:rFonts w:hint="eastAsia" w:ascii="宋体" w:hAnsi="宋体" w:eastAsia="宋体" w:cs="宋体"/>
                <w:color w:val="auto"/>
                <w:sz w:val="18"/>
                <w:szCs w:val="18"/>
                <w:lang w:bidi="ar"/>
              </w:rPr>
              <w:t>盐田区</w:t>
            </w:r>
            <w:r>
              <w:rPr>
                <w:rFonts w:hint="default" w:ascii="宋体" w:hAnsi="宋体" w:eastAsia="宋体" w:cs="宋体"/>
                <w:color w:val="auto"/>
                <w:sz w:val="18"/>
                <w:szCs w:val="18"/>
                <w:lang w:val="en" w:bidi="ar"/>
              </w:rPr>
              <w:t>游泳馆修缮项目</w:t>
            </w:r>
          </w:p>
        </w:tc>
        <w:tc>
          <w:tcPr>
            <w:tcW w:w="106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92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24" w:type="pct"/>
            <w:tcBorders>
              <w:top w:val="single" w:color="000000" w:sz="4" w:space="0"/>
              <w:left w:val="single" w:color="000000" w:sz="4" w:space="0"/>
              <w:bottom w:val="single" w:color="000000" w:sz="4" w:space="0"/>
              <w:right w:val="single" w:color="000000" w:sz="4" w:space="0"/>
            </w:tcBorders>
            <w:noWrap/>
          </w:tcPr>
          <w:p>
            <w:pPr>
              <w:widowControl/>
              <w:spacing w:line="240" w:lineRule="auto"/>
              <w:ind w:firstLine="0" w:firstLineChars="0"/>
              <w:jc w:val="both"/>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10056.02</w:t>
            </w:r>
          </w:p>
        </w:tc>
        <w:tc>
          <w:tcPr>
            <w:tcW w:w="76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5" w:hRule="atLeast"/>
        </w:trPr>
        <w:tc>
          <w:tcPr>
            <w:tcW w:w="249"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1264" w:type="pct"/>
            <w:tcBorders>
              <w:top w:val="single" w:color="000000" w:sz="4" w:space="0"/>
              <w:left w:val="single" w:color="000000" w:sz="4" w:space="0"/>
              <w:bottom w:val="single" w:color="000000" w:sz="4" w:space="0"/>
              <w:right w:val="single" w:color="000000" w:sz="4" w:space="0"/>
            </w:tcBorders>
          </w:tcPr>
          <w:p>
            <w:pPr>
              <w:widowControl/>
              <w:spacing w:line="240" w:lineRule="auto"/>
              <w:ind w:firstLine="0" w:firstLineChars="0"/>
              <w:jc w:val="both"/>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暂列金额</w:t>
            </w:r>
          </w:p>
        </w:tc>
        <w:tc>
          <w:tcPr>
            <w:tcW w:w="1068" w:type="pct"/>
            <w:tcBorders>
              <w:top w:val="single" w:color="000000" w:sz="4" w:space="0"/>
              <w:left w:val="single" w:color="000000" w:sz="4" w:space="0"/>
              <w:bottom w:val="single" w:color="000000" w:sz="4" w:space="0"/>
              <w:right w:val="single" w:color="000000" w:sz="4" w:space="0"/>
            </w:tcBorders>
            <w:noWrap/>
          </w:tcPr>
          <w:p>
            <w:pPr>
              <w:widowControl/>
              <w:spacing w:line="240" w:lineRule="auto"/>
              <w:ind w:firstLine="0" w:firstLineChars="0"/>
              <w:jc w:val="both"/>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21788.61</w:t>
            </w:r>
          </w:p>
        </w:tc>
        <w:tc>
          <w:tcPr>
            <w:tcW w:w="92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2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6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5" w:hRule="atLeast"/>
        </w:trPr>
        <w:tc>
          <w:tcPr>
            <w:tcW w:w="249"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1264" w:type="pct"/>
            <w:tcBorders>
              <w:top w:val="single" w:color="000000" w:sz="4" w:space="0"/>
              <w:left w:val="single" w:color="000000" w:sz="4" w:space="0"/>
              <w:bottom w:val="single" w:color="000000" w:sz="4" w:space="0"/>
              <w:right w:val="single" w:color="000000" w:sz="4" w:space="0"/>
            </w:tcBorders>
          </w:tcPr>
          <w:p>
            <w:pPr>
              <w:widowControl/>
              <w:spacing w:line="240" w:lineRule="auto"/>
              <w:ind w:firstLine="0" w:firstLineChars="0"/>
              <w:jc w:val="both"/>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专业工程暂估价</w:t>
            </w:r>
          </w:p>
        </w:tc>
        <w:tc>
          <w:tcPr>
            <w:tcW w:w="106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92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2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6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5" w:hRule="atLeast"/>
        </w:trPr>
        <w:tc>
          <w:tcPr>
            <w:tcW w:w="249"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1264" w:type="pct"/>
            <w:tcBorders>
              <w:top w:val="single" w:color="000000" w:sz="4" w:space="0"/>
              <w:left w:val="single" w:color="000000" w:sz="4" w:space="0"/>
              <w:bottom w:val="single" w:color="000000" w:sz="4" w:space="0"/>
              <w:right w:val="single" w:color="000000" w:sz="4" w:space="0"/>
            </w:tcBorders>
          </w:tcPr>
          <w:p>
            <w:pPr>
              <w:widowControl/>
              <w:spacing w:line="240" w:lineRule="auto"/>
              <w:ind w:firstLine="0" w:firstLineChars="0"/>
              <w:jc w:val="both"/>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专业工程结算价</w:t>
            </w:r>
          </w:p>
        </w:tc>
        <w:tc>
          <w:tcPr>
            <w:tcW w:w="106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92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2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6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0" w:hRule="atLeast"/>
        </w:trPr>
        <w:tc>
          <w:tcPr>
            <w:tcW w:w="249"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1264" w:type="pct"/>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both"/>
              <w:rPr>
                <w:rFonts w:hint="eastAsia" w:ascii="宋体" w:hAnsi="宋体" w:eastAsia="宋体" w:cs="宋体"/>
                <w:color w:val="auto"/>
                <w:sz w:val="18"/>
                <w:szCs w:val="18"/>
              </w:rPr>
            </w:pPr>
          </w:p>
        </w:tc>
        <w:tc>
          <w:tcPr>
            <w:tcW w:w="106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92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2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6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0" w:hRule="atLeast"/>
        </w:trPr>
        <w:tc>
          <w:tcPr>
            <w:tcW w:w="249"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1264" w:type="pct"/>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both"/>
              <w:rPr>
                <w:rFonts w:hint="eastAsia" w:ascii="宋体" w:hAnsi="宋体" w:eastAsia="宋体" w:cs="宋体"/>
                <w:color w:val="auto"/>
                <w:sz w:val="18"/>
                <w:szCs w:val="18"/>
              </w:rPr>
            </w:pPr>
          </w:p>
        </w:tc>
        <w:tc>
          <w:tcPr>
            <w:tcW w:w="106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92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2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6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0" w:hRule="atLeast"/>
        </w:trPr>
        <w:tc>
          <w:tcPr>
            <w:tcW w:w="249"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1264" w:type="pct"/>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both"/>
              <w:rPr>
                <w:rFonts w:hint="eastAsia" w:ascii="宋体" w:hAnsi="宋体" w:eastAsia="宋体" w:cs="宋体"/>
                <w:color w:val="auto"/>
                <w:sz w:val="18"/>
                <w:szCs w:val="18"/>
              </w:rPr>
            </w:pPr>
          </w:p>
        </w:tc>
        <w:tc>
          <w:tcPr>
            <w:tcW w:w="106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92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2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6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0" w:hRule="atLeast"/>
        </w:trPr>
        <w:tc>
          <w:tcPr>
            <w:tcW w:w="249"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1264" w:type="pct"/>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both"/>
              <w:rPr>
                <w:rFonts w:hint="eastAsia" w:ascii="宋体" w:hAnsi="宋体" w:eastAsia="宋体" w:cs="宋体"/>
                <w:color w:val="auto"/>
                <w:sz w:val="18"/>
                <w:szCs w:val="18"/>
              </w:rPr>
            </w:pPr>
          </w:p>
        </w:tc>
        <w:tc>
          <w:tcPr>
            <w:tcW w:w="106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92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2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6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0" w:hRule="atLeast"/>
        </w:trPr>
        <w:tc>
          <w:tcPr>
            <w:tcW w:w="249"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1264" w:type="pct"/>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both"/>
              <w:rPr>
                <w:rFonts w:hint="eastAsia" w:ascii="宋体" w:hAnsi="宋体" w:eastAsia="宋体" w:cs="宋体"/>
                <w:color w:val="auto"/>
                <w:sz w:val="18"/>
                <w:szCs w:val="18"/>
              </w:rPr>
            </w:pPr>
          </w:p>
        </w:tc>
        <w:tc>
          <w:tcPr>
            <w:tcW w:w="106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92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2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6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0" w:hRule="atLeast"/>
        </w:trPr>
        <w:tc>
          <w:tcPr>
            <w:tcW w:w="249"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1264" w:type="pct"/>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both"/>
              <w:rPr>
                <w:rFonts w:hint="eastAsia" w:ascii="宋体" w:hAnsi="宋体" w:eastAsia="宋体" w:cs="宋体"/>
                <w:color w:val="auto"/>
                <w:sz w:val="18"/>
                <w:szCs w:val="18"/>
              </w:rPr>
            </w:pPr>
          </w:p>
        </w:tc>
        <w:tc>
          <w:tcPr>
            <w:tcW w:w="106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92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2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6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0" w:hRule="atLeast"/>
        </w:trPr>
        <w:tc>
          <w:tcPr>
            <w:tcW w:w="249"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1264" w:type="pct"/>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both"/>
              <w:rPr>
                <w:rFonts w:hint="eastAsia" w:ascii="宋体" w:hAnsi="宋体" w:eastAsia="宋体" w:cs="宋体"/>
                <w:color w:val="auto"/>
                <w:sz w:val="18"/>
                <w:szCs w:val="18"/>
              </w:rPr>
            </w:pPr>
          </w:p>
        </w:tc>
        <w:tc>
          <w:tcPr>
            <w:tcW w:w="106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92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2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6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0" w:hRule="atLeast"/>
        </w:trPr>
        <w:tc>
          <w:tcPr>
            <w:tcW w:w="249"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1264" w:type="pct"/>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both"/>
              <w:rPr>
                <w:rFonts w:hint="eastAsia" w:ascii="宋体" w:hAnsi="宋体" w:eastAsia="宋体" w:cs="宋体"/>
                <w:color w:val="auto"/>
                <w:sz w:val="18"/>
                <w:szCs w:val="18"/>
              </w:rPr>
            </w:pPr>
          </w:p>
        </w:tc>
        <w:tc>
          <w:tcPr>
            <w:tcW w:w="106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92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2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6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0" w:hRule="atLeast"/>
        </w:trPr>
        <w:tc>
          <w:tcPr>
            <w:tcW w:w="249"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1264" w:type="pct"/>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both"/>
              <w:rPr>
                <w:rFonts w:hint="eastAsia" w:ascii="宋体" w:hAnsi="宋体" w:eastAsia="宋体" w:cs="宋体"/>
                <w:color w:val="auto"/>
                <w:sz w:val="18"/>
                <w:szCs w:val="18"/>
              </w:rPr>
            </w:pPr>
          </w:p>
        </w:tc>
        <w:tc>
          <w:tcPr>
            <w:tcW w:w="106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92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2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6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0" w:hRule="atLeast"/>
        </w:trPr>
        <w:tc>
          <w:tcPr>
            <w:tcW w:w="249"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1264" w:type="pct"/>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both"/>
              <w:rPr>
                <w:rFonts w:hint="eastAsia" w:ascii="宋体" w:hAnsi="宋体" w:eastAsia="宋体" w:cs="宋体"/>
                <w:color w:val="auto"/>
                <w:sz w:val="18"/>
                <w:szCs w:val="18"/>
              </w:rPr>
            </w:pPr>
          </w:p>
        </w:tc>
        <w:tc>
          <w:tcPr>
            <w:tcW w:w="106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92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2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6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0" w:hRule="atLeast"/>
        </w:trPr>
        <w:tc>
          <w:tcPr>
            <w:tcW w:w="249"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1264" w:type="pct"/>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both"/>
              <w:rPr>
                <w:rFonts w:hint="eastAsia" w:ascii="宋体" w:hAnsi="宋体" w:eastAsia="宋体" w:cs="宋体"/>
                <w:color w:val="auto"/>
                <w:sz w:val="18"/>
                <w:szCs w:val="18"/>
              </w:rPr>
            </w:pPr>
          </w:p>
        </w:tc>
        <w:tc>
          <w:tcPr>
            <w:tcW w:w="106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92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2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6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0" w:hRule="atLeast"/>
        </w:trPr>
        <w:tc>
          <w:tcPr>
            <w:tcW w:w="249"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1264" w:type="pct"/>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both"/>
              <w:rPr>
                <w:rFonts w:hint="eastAsia" w:ascii="宋体" w:hAnsi="宋体" w:eastAsia="宋体" w:cs="宋体"/>
                <w:color w:val="auto"/>
                <w:sz w:val="18"/>
                <w:szCs w:val="18"/>
              </w:rPr>
            </w:pPr>
          </w:p>
        </w:tc>
        <w:tc>
          <w:tcPr>
            <w:tcW w:w="106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92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2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6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0" w:hRule="atLeast"/>
        </w:trPr>
        <w:tc>
          <w:tcPr>
            <w:tcW w:w="249"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1264" w:type="pct"/>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both"/>
              <w:rPr>
                <w:rFonts w:hint="eastAsia" w:ascii="宋体" w:hAnsi="宋体" w:eastAsia="宋体" w:cs="宋体"/>
                <w:color w:val="auto"/>
                <w:sz w:val="18"/>
                <w:szCs w:val="18"/>
              </w:rPr>
            </w:pPr>
          </w:p>
        </w:tc>
        <w:tc>
          <w:tcPr>
            <w:tcW w:w="106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92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2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6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0" w:hRule="atLeast"/>
        </w:trPr>
        <w:tc>
          <w:tcPr>
            <w:tcW w:w="249"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1264" w:type="pct"/>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both"/>
              <w:rPr>
                <w:rFonts w:hint="eastAsia" w:ascii="宋体" w:hAnsi="宋体" w:eastAsia="宋体" w:cs="宋体"/>
                <w:color w:val="auto"/>
                <w:sz w:val="18"/>
                <w:szCs w:val="18"/>
              </w:rPr>
            </w:pPr>
          </w:p>
        </w:tc>
        <w:tc>
          <w:tcPr>
            <w:tcW w:w="106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92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2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6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0" w:hRule="atLeast"/>
        </w:trPr>
        <w:tc>
          <w:tcPr>
            <w:tcW w:w="249"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1264" w:type="pct"/>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both"/>
              <w:rPr>
                <w:rFonts w:hint="eastAsia" w:ascii="宋体" w:hAnsi="宋体" w:eastAsia="宋体" w:cs="宋体"/>
                <w:color w:val="auto"/>
                <w:sz w:val="18"/>
                <w:szCs w:val="18"/>
              </w:rPr>
            </w:pPr>
          </w:p>
        </w:tc>
        <w:tc>
          <w:tcPr>
            <w:tcW w:w="106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92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2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6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0" w:hRule="atLeast"/>
        </w:trPr>
        <w:tc>
          <w:tcPr>
            <w:tcW w:w="249"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1264" w:type="pct"/>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both"/>
              <w:rPr>
                <w:rFonts w:hint="eastAsia" w:ascii="宋体" w:hAnsi="宋体" w:eastAsia="宋体" w:cs="宋体"/>
                <w:color w:val="auto"/>
                <w:sz w:val="18"/>
                <w:szCs w:val="18"/>
              </w:rPr>
            </w:pPr>
          </w:p>
        </w:tc>
        <w:tc>
          <w:tcPr>
            <w:tcW w:w="106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92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2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6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0" w:hRule="atLeast"/>
        </w:trPr>
        <w:tc>
          <w:tcPr>
            <w:tcW w:w="249"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1264" w:type="pct"/>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both"/>
              <w:rPr>
                <w:rFonts w:hint="eastAsia" w:ascii="宋体" w:hAnsi="宋体" w:eastAsia="宋体" w:cs="宋体"/>
                <w:color w:val="auto"/>
                <w:sz w:val="18"/>
                <w:szCs w:val="18"/>
              </w:rPr>
            </w:pPr>
          </w:p>
        </w:tc>
        <w:tc>
          <w:tcPr>
            <w:tcW w:w="106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92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2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6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0" w:hRule="atLeast"/>
        </w:trPr>
        <w:tc>
          <w:tcPr>
            <w:tcW w:w="249"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1264" w:type="pct"/>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both"/>
              <w:rPr>
                <w:rFonts w:hint="eastAsia" w:ascii="宋体" w:hAnsi="宋体" w:eastAsia="宋体" w:cs="宋体"/>
                <w:color w:val="auto"/>
                <w:sz w:val="18"/>
                <w:szCs w:val="18"/>
              </w:rPr>
            </w:pPr>
          </w:p>
        </w:tc>
        <w:tc>
          <w:tcPr>
            <w:tcW w:w="106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92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2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6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0" w:hRule="atLeast"/>
        </w:trPr>
        <w:tc>
          <w:tcPr>
            <w:tcW w:w="249"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1264" w:type="pct"/>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both"/>
              <w:rPr>
                <w:rFonts w:hint="eastAsia" w:ascii="宋体" w:hAnsi="宋体" w:eastAsia="宋体" w:cs="宋体"/>
                <w:color w:val="auto"/>
                <w:sz w:val="18"/>
                <w:szCs w:val="18"/>
              </w:rPr>
            </w:pPr>
          </w:p>
        </w:tc>
        <w:tc>
          <w:tcPr>
            <w:tcW w:w="106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92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2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6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0" w:hRule="atLeast"/>
        </w:trPr>
        <w:tc>
          <w:tcPr>
            <w:tcW w:w="249"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1264" w:type="pct"/>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both"/>
              <w:rPr>
                <w:rFonts w:hint="eastAsia" w:ascii="宋体" w:hAnsi="宋体" w:eastAsia="宋体" w:cs="宋体"/>
                <w:color w:val="auto"/>
                <w:sz w:val="18"/>
                <w:szCs w:val="18"/>
              </w:rPr>
            </w:pPr>
          </w:p>
        </w:tc>
        <w:tc>
          <w:tcPr>
            <w:tcW w:w="106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92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2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6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0" w:hRule="atLeast"/>
        </w:trPr>
        <w:tc>
          <w:tcPr>
            <w:tcW w:w="249"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1264" w:type="pct"/>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both"/>
              <w:rPr>
                <w:rFonts w:hint="eastAsia" w:ascii="宋体" w:hAnsi="宋体" w:eastAsia="宋体" w:cs="宋体"/>
                <w:color w:val="auto"/>
                <w:sz w:val="18"/>
                <w:szCs w:val="18"/>
              </w:rPr>
            </w:pPr>
          </w:p>
        </w:tc>
        <w:tc>
          <w:tcPr>
            <w:tcW w:w="106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92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2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6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0" w:hRule="atLeast"/>
        </w:trPr>
        <w:tc>
          <w:tcPr>
            <w:tcW w:w="249"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1264" w:type="pct"/>
            <w:tcBorders>
              <w:top w:val="single" w:color="000000" w:sz="4" w:space="0"/>
              <w:left w:val="single" w:color="000000" w:sz="4" w:space="0"/>
              <w:bottom w:val="single" w:color="000000" w:sz="4" w:space="0"/>
              <w:right w:val="single" w:color="000000" w:sz="4" w:space="0"/>
            </w:tcBorders>
            <w:noWrap/>
          </w:tcPr>
          <w:p>
            <w:pPr>
              <w:widowControl/>
              <w:spacing w:line="240" w:lineRule="auto"/>
              <w:ind w:firstLine="0" w:firstLineChars="0"/>
              <w:jc w:val="both"/>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合  计</w:t>
            </w:r>
          </w:p>
        </w:tc>
        <w:tc>
          <w:tcPr>
            <w:tcW w:w="106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928"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2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c>
          <w:tcPr>
            <w:tcW w:w="764"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jc w:val="both"/>
              <w:rPr>
                <w:rFonts w:hint="eastAsia" w:ascii="宋体" w:hAnsi="宋体" w:eastAsia="宋体" w:cs="宋体"/>
                <w:color w:val="auto"/>
                <w:sz w:val="18"/>
                <w:szCs w:val="18"/>
              </w:rPr>
            </w:pPr>
          </w:p>
        </w:tc>
      </w:tr>
      <w:tr>
        <w:tblPrEx>
          <w:tblCellMar>
            <w:top w:w="0" w:type="dxa"/>
            <w:left w:w="108" w:type="dxa"/>
            <w:bottom w:w="0" w:type="dxa"/>
            <w:right w:w="108" w:type="dxa"/>
          </w:tblCellMar>
        </w:tblPrEx>
        <w:trPr>
          <w:gridAfter w:val="1"/>
          <w:wAfter w:w="764" w:type="pct"/>
          <w:trHeight w:val="390" w:hRule="atLeast"/>
        </w:trPr>
        <w:tc>
          <w:tcPr>
            <w:tcW w:w="4235" w:type="pct"/>
            <w:gridSpan w:val="5"/>
            <w:tcBorders>
              <w:top w:val="nil"/>
              <w:left w:val="nil"/>
              <w:bottom w:val="nil"/>
              <w:right w:val="nil"/>
            </w:tcBorders>
          </w:tcPr>
          <w:p>
            <w:pPr>
              <w:widowControl/>
              <w:spacing w:line="240" w:lineRule="auto"/>
              <w:ind w:firstLine="0" w:firstLineChars="0"/>
              <w:jc w:val="both"/>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 xml:space="preserve">    注：本表适用于单项工程招标控制价或投标报价的汇总。</w:t>
            </w:r>
          </w:p>
        </w:tc>
      </w:tr>
    </w:tbl>
    <w:p>
      <w:pPr>
        <w:rPr>
          <w:rFonts w:hint="eastAsia" w:ascii="宋体" w:hAnsi="宋体" w:eastAsia="宋体" w:cs="宋体"/>
          <w:b/>
          <w:bCs/>
          <w:color w:val="auto"/>
          <w:sz w:val="32"/>
          <w:szCs w:val="32"/>
          <w:lang w:bidi="ar"/>
        </w:rPr>
      </w:pPr>
      <w:r>
        <w:rPr>
          <w:rFonts w:hint="eastAsia" w:ascii="宋体" w:hAnsi="宋体" w:eastAsia="宋体" w:cs="宋体"/>
          <w:b/>
          <w:bCs/>
          <w:color w:val="auto"/>
          <w:sz w:val="32"/>
          <w:szCs w:val="32"/>
          <w:lang w:bidi="ar"/>
        </w:rPr>
        <w:br w:type="page"/>
      </w:r>
    </w:p>
    <w:p>
      <w:pPr>
        <w:widowControl/>
        <w:ind w:firstLine="0" w:firstLineChars="0"/>
        <w:jc w:val="center"/>
        <w:textAlignment w:val="center"/>
        <w:outlineLvl w:val="2"/>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暂列金额明细表</w:t>
      </w:r>
    </w:p>
    <w:tbl>
      <w:tblPr>
        <w:tblStyle w:val="16"/>
        <w:tblW w:w="4997" w:type="pct"/>
        <w:jc w:val="center"/>
        <w:tblLayout w:type="fixed"/>
        <w:tblCellMar>
          <w:top w:w="0" w:type="dxa"/>
          <w:left w:w="108" w:type="dxa"/>
          <w:bottom w:w="0" w:type="dxa"/>
          <w:right w:w="108" w:type="dxa"/>
        </w:tblCellMar>
      </w:tblPr>
      <w:tblGrid>
        <w:gridCol w:w="614"/>
        <w:gridCol w:w="2801"/>
        <w:gridCol w:w="974"/>
        <w:gridCol w:w="1331"/>
        <w:gridCol w:w="4235"/>
      </w:tblGrid>
      <w:tr>
        <w:tblPrEx>
          <w:tblCellMar>
            <w:top w:w="0" w:type="dxa"/>
            <w:left w:w="108" w:type="dxa"/>
            <w:bottom w:w="0" w:type="dxa"/>
            <w:right w:w="108" w:type="dxa"/>
          </w:tblCellMar>
        </w:tblPrEx>
        <w:trPr>
          <w:trHeight w:val="390" w:hRule="atLeast"/>
          <w:jc w:val="center"/>
        </w:trPr>
        <w:tc>
          <w:tcPr>
            <w:tcW w:w="1715" w:type="pct"/>
            <w:gridSpan w:val="2"/>
            <w:tcBorders>
              <w:top w:val="nil"/>
              <w:left w:val="nil"/>
              <w:bottom w:val="nil"/>
              <w:right w:val="nil"/>
            </w:tcBorders>
            <w:vAlign w:val="center"/>
          </w:tcPr>
          <w:p>
            <w:pPr>
              <w:widowControl/>
              <w:spacing w:line="240" w:lineRule="auto"/>
              <w:ind w:firstLine="0" w:firstLineChars="0"/>
              <w:textAlignment w:val="center"/>
              <w:rPr>
                <w:rFonts w:hint="default" w:ascii="宋体" w:hAnsi="宋体" w:eastAsia="宋体" w:cs="宋体"/>
                <w:color w:val="auto"/>
                <w:sz w:val="18"/>
                <w:szCs w:val="18"/>
                <w:lang w:val="en"/>
              </w:rPr>
            </w:pPr>
            <w:r>
              <w:rPr>
                <w:rFonts w:hint="eastAsia" w:ascii="宋体" w:hAnsi="宋体" w:eastAsia="宋体" w:cs="宋体"/>
                <w:color w:val="auto"/>
                <w:sz w:val="18"/>
                <w:szCs w:val="18"/>
                <w:lang w:bidi="ar"/>
              </w:rPr>
              <w:t>工程名称：盐田区</w:t>
            </w:r>
            <w:r>
              <w:rPr>
                <w:rFonts w:hint="default" w:ascii="宋体" w:hAnsi="宋体" w:eastAsia="宋体" w:cs="宋体"/>
                <w:color w:val="auto"/>
                <w:sz w:val="18"/>
                <w:szCs w:val="18"/>
                <w:lang w:val="en" w:bidi="ar"/>
              </w:rPr>
              <w:t>游泳馆修缮项目</w:t>
            </w:r>
          </w:p>
        </w:tc>
        <w:tc>
          <w:tcPr>
            <w:tcW w:w="1157" w:type="pct"/>
            <w:gridSpan w:val="2"/>
            <w:tcBorders>
              <w:top w:val="nil"/>
              <w:left w:val="nil"/>
              <w:bottom w:val="nil"/>
              <w:right w:val="nil"/>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标段：</w:t>
            </w:r>
          </w:p>
        </w:tc>
        <w:tc>
          <w:tcPr>
            <w:tcW w:w="2127" w:type="pct"/>
            <w:tcBorders>
              <w:top w:val="nil"/>
              <w:left w:val="nil"/>
              <w:bottom w:val="nil"/>
              <w:right w:val="nil"/>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第 1 页，共 1 页</w:t>
            </w:r>
          </w:p>
        </w:tc>
      </w:tr>
      <w:tr>
        <w:tblPrEx>
          <w:tblCellMar>
            <w:top w:w="0" w:type="dxa"/>
            <w:left w:w="108" w:type="dxa"/>
            <w:bottom w:w="0" w:type="dxa"/>
            <w:right w:w="108" w:type="dxa"/>
          </w:tblCellMar>
        </w:tblPrEx>
        <w:trPr>
          <w:trHeight w:val="390" w:hRule="atLeast"/>
          <w:jc w:val="center"/>
        </w:trPr>
        <w:tc>
          <w:tcPr>
            <w:tcW w:w="308"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序号</w:t>
            </w:r>
          </w:p>
        </w:tc>
        <w:tc>
          <w:tcPr>
            <w:tcW w:w="140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项目名称</w:t>
            </w:r>
          </w:p>
        </w:tc>
        <w:tc>
          <w:tcPr>
            <w:tcW w:w="489"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计量单位</w:t>
            </w:r>
          </w:p>
        </w:tc>
        <w:tc>
          <w:tcPr>
            <w:tcW w:w="668"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暂列金额(元)</w:t>
            </w:r>
          </w:p>
        </w:tc>
        <w:tc>
          <w:tcPr>
            <w:tcW w:w="2127"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备注</w:t>
            </w:r>
          </w:p>
        </w:tc>
      </w:tr>
      <w:tr>
        <w:tblPrEx>
          <w:tblCellMar>
            <w:top w:w="0" w:type="dxa"/>
            <w:left w:w="108" w:type="dxa"/>
            <w:bottom w:w="0" w:type="dxa"/>
            <w:right w:w="108" w:type="dxa"/>
          </w:tblCellMar>
        </w:tblPrEx>
        <w:trPr>
          <w:trHeight w:val="391" w:hRule="atLeast"/>
          <w:jc w:val="center"/>
        </w:trPr>
        <w:tc>
          <w:tcPr>
            <w:tcW w:w="308"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w:t>
            </w:r>
          </w:p>
        </w:tc>
        <w:tc>
          <w:tcPr>
            <w:tcW w:w="1407"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default" w:ascii="宋体" w:hAnsi="宋体" w:eastAsia="宋体" w:cs="宋体"/>
                <w:color w:val="auto"/>
                <w:sz w:val="18"/>
                <w:szCs w:val="18"/>
                <w:lang w:val="en"/>
              </w:rPr>
            </w:pPr>
            <w:r>
              <w:rPr>
                <w:rFonts w:hint="eastAsia" w:ascii="宋体" w:hAnsi="宋体" w:eastAsia="宋体" w:cs="宋体"/>
                <w:color w:val="auto"/>
                <w:sz w:val="18"/>
                <w:szCs w:val="18"/>
                <w:lang w:bidi="ar"/>
              </w:rPr>
              <w:t>盐田区</w:t>
            </w:r>
            <w:r>
              <w:rPr>
                <w:rFonts w:hint="default" w:ascii="宋体" w:hAnsi="宋体" w:eastAsia="宋体" w:cs="宋体"/>
                <w:color w:val="auto"/>
                <w:sz w:val="18"/>
                <w:szCs w:val="18"/>
                <w:lang w:val="en" w:bidi="ar"/>
              </w:rPr>
              <w:t>游泳馆修缮项目</w:t>
            </w:r>
          </w:p>
        </w:tc>
        <w:tc>
          <w:tcPr>
            <w:tcW w:w="489"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212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557" w:hRule="atLeast"/>
          <w:jc w:val="center"/>
        </w:trPr>
        <w:tc>
          <w:tcPr>
            <w:tcW w:w="308"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1.1</w:t>
            </w:r>
          </w:p>
        </w:tc>
        <w:tc>
          <w:tcPr>
            <w:tcW w:w="1407"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暂列金额</w:t>
            </w:r>
          </w:p>
        </w:tc>
        <w:tc>
          <w:tcPr>
            <w:tcW w:w="48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元</w:t>
            </w:r>
          </w:p>
        </w:tc>
        <w:tc>
          <w:tcPr>
            <w:tcW w:w="668"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21788.61</w:t>
            </w:r>
          </w:p>
        </w:tc>
        <w:tc>
          <w:tcPr>
            <w:tcW w:w="2127"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含税建安工程造价x暂列金额费率(5%-10%)</w:t>
            </w:r>
          </w:p>
        </w:tc>
      </w:tr>
      <w:tr>
        <w:tblPrEx>
          <w:tblCellMar>
            <w:top w:w="0" w:type="dxa"/>
            <w:left w:w="108" w:type="dxa"/>
            <w:bottom w:w="0" w:type="dxa"/>
            <w:right w:w="108" w:type="dxa"/>
          </w:tblCellMar>
        </w:tblPrEx>
        <w:trPr>
          <w:trHeight w:val="376" w:hRule="atLeast"/>
          <w:jc w:val="center"/>
        </w:trPr>
        <w:tc>
          <w:tcPr>
            <w:tcW w:w="30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40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489"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212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jc w:val="center"/>
        </w:trPr>
        <w:tc>
          <w:tcPr>
            <w:tcW w:w="30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40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489"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212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jc w:val="center"/>
        </w:trPr>
        <w:tc>
          <w:tcPr>
            <w:tcW w:w="30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40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489"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212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jc w:val="center"/>
        </w:trPr>
        <w:tc>
          <w:tcPr>
            <w:tcW w:w="30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40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489"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212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jc w:val="center"/>
        </w:trPr>
        <w:tc>
          <w:tcPr>
            <w:tcW w:w="30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40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489"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212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jc w:val="center"/>
        </w:trPr>
        <w:tc>
          <w:tcPr>
            <w:tcW w:w="30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40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489"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212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jc w:val="center"/>
        </w:trPr>
        <w:tc>
          <w:tcPr>
            <w:tcW w:w="30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40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489"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212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jc w:val="center"/>
        </w:trPr>
        <w:tc>
          <w:tcPr>
            <w:tcW w:w="30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40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489"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212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jc w:val="center"/>
        </w:trPr>
        <w:tc>
          <w:tcPr>
            <w:tcW w:w="30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40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489"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212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jc w:val="center"/>
        </w:trPr>
        <w:tc>
          <w:tcPr>
            <w:tcW w:w="30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40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489"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212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jc w:val="center"/>
        </w:trPr>
        <w:tc>
          <w:tcPr>
            <w:tcW w:w="30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40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489"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212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jc w:val="center"/>
        </w:trPr>
        <w:tc>
          <w:tcPr>
            <w:tcW w:w="30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40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489"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212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jc w:val="center"/>
        </w:trPr>
        <w:tc>
          <w:tcPr>
            <w:tcW w:w="30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40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489"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212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jc w:val="center"/>
        </w:trPr>
        <w:tc>
          <w:tcPr>
            <w:tcW w:w="30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40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489"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212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jc w:val="center"/>
        </w:trPr>
        <w:tc>
          <w:tcPr>
            <w:tcW w:w="30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40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489"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212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jc w:val="center"/>
        </w:trPr>
        <w:tc>
          <w:tcPr>
            <w:tcW w:w="30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40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489"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212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jc w:val="center"/>
        </w:trPr>
        <w:tc>
          <w:tcPr>
            <w:tcW w:w="30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40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489"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212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jc w:val="center"/>
        </w:trPr>
        <w:tc>
          <w:tcPr>
            <w:tcW w:w="30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40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489"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212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jc w:val="center"/>
        </w:trPr>
        <w:tc>
          <w:tcPr>
            <w:tcW w:w="30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40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489"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212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jc w:val="center"/>
        </w:trPr>
        <w:tc>
          <w:tcPr>
            <w:tcW w:w="30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40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489"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212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jc w:val="center"/>
        </w:trPr>
        <w:tc>
          <w:tcPr>
            <w:tcW w:w="30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40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489"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212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jc w:val="center"/>
        </w:trPr>
        <w:tc>
          <w:tcPr>
            <w:tcW w:w="30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40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489"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212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jc w:val="center"/>
        </w:trPr>
        <w:tc>
          <w:tcPr>
            <w:tcW w:w="30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40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489"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212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jc w:val="center"/>
        </w:trPr>
        <w:tc>
          <w:tcPr>
            <w:tcW w:w="30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40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489"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212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jc w:val="center"/>
        </w:trPr>
        <w:tc>
          <w:tcPr>
            <w:tcW w:w="30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40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489"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212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jc w:val="center"/>
        </w:trPr>
        <w:tc>
          <w:tcPr>
            <w:tcW w:w="30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40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489"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212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jc w:val="center"/>
        </w:trPr>
        <w:tc>
          <w:tcPr>
            <w:tcW w:w="30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40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489"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2127"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0" w:hRule="atLeast"/>
          <w:jc w:val="center"/>
        </w:trPr>
        <w:tc>
          <w:tcPr>
            <w:tcW w:w="2204" w:type="pct"/>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合    计</w:t>
            </w:r>
          </w:p>
        </w:tc>
        <w:tc>
          <w:tcPr>
            <w:tcW w:w="668"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21788.61</w:t>
            </w:r>
          </w:p>
        </w:tc>
        <w:tc>
          <w:tcPr>
            <w:tcW w:w="2127" w:type="pct"/>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r>
    </w:tbl>
    <w:p>
      <w:pPr>
        <w:ind w:firstLine="643"/>
        <w:rPr>
          <w:rFonts w:hint="eastAsia" w:ascii="宋体" w:hAnsi="宋体" w:eastAsia="宋体" w:cs="宋体"/>
          <w:b/>
          <w:bCs/>
          <w:color w:val="auto"/>
          <w:sz w:val="32"/>
          <w:szCs w:val="32"/>
          <w:lang w:bidi="ar"/>
        </w:rPr>
      </w:pPr>
      <w:r>
        <w:rPr>
          <w:rFonts w:hint="eastAsia" w:ascii="宋体" w:hAnsi="宋体" w:eastAsia="宋体" w:cs="宋体"/>
          <w:b/>
          <w:bCs/>
          <w:color w:val="auto"/>
          <w:sz w:val="32"/>
          <w:szCs w:val="32"/>
          <w:lang w:bidi="ar"/>
        </w:rPr>
        <w:br w:type="page"/>
      </w:r>
    </w:p>
    <w:p>
      <w:pPr>
        <w:widowControl/>
        <w:ind w:firstLine="0" w:firstLineChars="0"/>
        <w:jc w:val="center"/>
        <w:textAlignment w:val="center"/>
        <w:outlineLvl w:val="2"/>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工程建设其他费计价表</w:t>
      </w:r>
    </w:p>
    <w:tbl>
      <w:tblPr>
        <w:tblStyle w:val="16"/>
        <w:tblW w:w="9829" w:type="dxa"/>
        <w:tblInd w:w="-20" w:type="dxa"/>
        <w:tblLayout w:type="fixed"/>
        <w:tblCellMar>
          <w:top w:w="0" w:type="dxa"/>
          <w:left w:w="108" w:type="dxa"/>
          <w:bottom w:w="0" w:type="dxa"/>
          <w:right w:w="108" w:type="dxa"/>
        </w:tblCellMar>
      </w:tblPr>
      <w:tblGrid>
        <w:gridCol w:w="518"/>
        <w:gridCol w:w="2054"/>
        <w:gridCol w:w="1950"/>
        <w:gridCol w:w="605"/>
        <w:gridCol w:w="1123"/>
        <w:gridCol w:w="535"/>
        <w:gridCol w:w="1768"/>
        <w:gridCol w:w="1276"/>
      </w:tblGrid>
      <w:tr>
        <w:tblPrEx>
          <w:tblCellMar>
            <w:top w:w="0" w:type="dxa"/>
            <w:left w:w="108" w:type="dxa"/>
            <w:bottom w:w="0" w:type="dxa"/>
            <w:right w:w="108" w:type="dxa"/>
          </w:tblCellMar>
        </w:tblPrEx>
        <w:trPr>
          <w:trHeight w:val="390" w:hRule="atLeast"/>
        </w:trPr>
        <w:tc>
          <w:tcPr>
            <w:tcW w:w="4522" w:type="dxa"/>
            <w:gridSpan w:val="3"/>
            <w:tcBorders>
              <w:top w:val="nil"/>
              <w:left w:val="nil"/>
              <w:bottom w:val="nil"/>
              <w:right w:val="nil"/>
            </w:tcBorders>
            <w:vAlign w:val="center"/>
          </w:tcPr>
          <w:p>
            <w:pPr>
              <w:widowControl/>
              <w:spacing w:line="240" w:lineRule="auto"/>
              <w:ind w:firstLine="0" w:firstLineChars="0"/>
              <w:textAlignment w:val="center"/>
              <w:rPr>
                <w:rFonts w:hint="default" w:ascii="宋体" w:hAnsi="宋体" w:eastAsia="宋体" w:cs="宋体"/>
                <w:color w:val="auto"/>
                <w:sz w:val="18"/>
                <w:szCs w:val="18"/>
                <w:lang w:val="en"/>
              </w:rPr>
            </w:pPr>
            <w:r>
              <w:rPr>
                <w:rFonts w:hint="eastAsia" w:ascii="宋体" w:hAnsi="宋体" w:eastAsia="宋体" w:cs="宋体"/>
                <w:color w:val="auto"/>
                <w:sz w:val="18"/>
                <w:szCs w:val="18"/>
                <w:lang w:bidi="ar"/>
              </w:rPr>
              <w:t>工程名称：盐田区</w:t>
            </w:r>
            <w:r>
              <w:rPr>
                <w:rFonts w:hint="default" w:ascii="宋体" w:hAnsi="宋体" w:eastAsia="宋体" w:cs="宋体"/>
                <w:color w:val="auto"/>
                <w:sz w:val="18"/>
                <w:szCs w:val="18"/>
                <w:lang w:val="en" w:bidi="ar"/>
              </w:rPr>
              <w:t>游泳馆修缮项目</w:t>
            </w:r>
          </w:p>
        </w:tc>
        <w:tc>
          <w:tcPr>
            <w:tcW w:w="2263" w:type="dxa"/>
            <w:gridSpan w:val="3"/>
            <w:tcBorders>
              <w:top w:val="nil"/>
              <w:left w:val="nil"/>
              <w:bottom w:val="single" w:color="000000" w:sz="4" w:space="0"/>
              <w:right w:val="nil"/>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标段：</w:t>
            </w:r>
          </w:p>
        </w:tc>
        <w:tc>
          <w:tcPr>
            <w:tcW w:w="3044" w:type="dxa"/>
            <w:gridSpan w:val="2"/>
            <w:tcBorders>
              <w:top w:val="nil"/>
              <w:left w:val="nil"/>
              <w:bottom w:val="single" w:color="000000" w:sz="4" w:space="0"/>
              <w:right w:val="nil"/>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第 1 页，共 1 页</w:t>
            </w:r>
          </w:p>
        </w:tc>
      </w:tr>
      <w:tr>
        <w:tblPrEx>
          <w:tblCellMar>
            <w:top w:w="0" w:type="dxa"/>
            <w:left w:w="108" w:type="dxa"/>
            <w:bottom w:w="0" w:type="dxa"/>
            <w:right w:w="108" w:type="dxa"/>
          </w:tblCellMar>
        </w:tblPrEx>
        <w:trPr>
          <w:trHeight w:val="554" w:hRule="atLeast"/>
        </w:trPr>
        <w:tc>
          <w:tcPr>
            <w:tcW w:w="51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序号</w:t>
            </w:r>
          </w:p>
        </w:tc>
        <w:tc>
          <w:tcPr>
            <w:tcW w:w="205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项目名称</w:t>
            </w:r>
          </w:p>
        </w:tc>
        <w:tc>
          <w:tcPr>
            <w:tcW w:w="195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工作内容</w:t>
            </w:r>
          </w:p>
        </w:tc>
        <w:tc>
          <w:tcPr>
            <w:tcW w:w="60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计量</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单位</w:t>
            </w:r>
          </w:p>
        </w:tc>
        <w:tc>
          <w:tcPr>
            <w:tcW w:w="112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工程量</w:t>
            </w:r>
          </w:p>
        </w:tc>
        <w:tc>
          <w:tcPr>
            <w:tcW w:w="230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金额(元)</w:t>
            </w:r>
          </w:p>
        </w:tc>
        <w:tc>
          <w:tcPr>
            <w:tcW w:w="127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备注</w:t>
            </w:r>
          </w:p>
        </w:tc>
      </w:tr>
      <w:tr>
        <w:tblPrEx>
          <w:tblCellMar>
            <w:top w:w="0" w:type="dxa"/>
            <w:left w:w="108" w:type="dxa"/>
            <w:bottom w:w="0" w:type="dxa"/>
            <w:right w:w="108" w:type="dxa"/>
          </w:tblCellMar>
        </w:tblPrEx>
        <w:trPr>
          <w:trHeight w:val="390" w:hRule="atLeast"/>
        </w:trPr>
        <w:tc>
          <w:tcPr>
            <w:tcW w:w="518"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054"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60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1123"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5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单价</w:t>
            </w:r>
          </w:p>
        </w:tc>
        <w:tc>
          <w:tcPr>
            <w:tcW w:w="176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合价</w:t>
            </w:r>
          </w:p>
        </w:tc>
        <w:tc>
          <w:tcPr>
            <w:tcW w:w="127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r>
      <w:tr>
        <w:trPr>
          <w:trHeight w:val="396" w:hRule="atLeast"/>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w:t>
            </w:r>
          </w:p>
        </w:tc>
        <w:tc>
          <w:tcPr>
            <w:tcW w:w="2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勘察设计费</w:t>
            </w:r>
          </w:p>
        </w:tc>
        <w:tc>
          <w:tcPr>
            <w:tcW w:w="19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元</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53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6" w:hRule="atLeast"/>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w:t>
            </w:r>
          </w:p>
        </w:tc>
        <w:tc>
          <w:tcPr>
            <w:tcW w:w="2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工程检测费</w:t>
            </w:r>
          </w:p>
        </w:tc>
        <w:tc>
          <w:tcPr>
            <w:tcW w:w="19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元</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53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6" w:hRule="atLeast"/>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2.1</w:t>
            </w:r>
          </w:p>
        </w:tc>
        <w:tc>
          <w:tcPr>
            <w:tcW w:w="2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基桩检测</w:t>
            </w:r>
          </w:p>
        </w:tc>
        <w:tc>
          <w:tcPr>
            <w:tcW w:w="19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元</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53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6" w:hRule="atLeast"/>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2.2</w:t>
            </w:r>
          </w:p>
        </w:tc>
        <w:tc>
          <w:tcPr>
            <w:tcW w:w="2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地基基础检测</w:t>
            </w:r>
          </w:p>
        </w:tc>
        <w:tc>
          <w:tcPr>
            <w:tcW w:w="19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元</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53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rPr>
          <w:trHeight w:val="563" w:hRule="atLeast"/>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2.3</w:t>
            </w:r>
          </w:p>
        </w:tc>
        <w:tc>
          <w:tcPr>
            <w:tcW w:w="2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锚栓（植筋）抗拔、抗剪试验</w:t>
            </w:r>
          </w:p>
        </w:tc>
        <w:tc>
          <w:tcPr>
            <w:tcW w:w="19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元</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53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6" w:hRule="atLeast"/>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2.4</w:t>
            </w:r>
          </w:p>
        </w:tc>
        <w:tc>
          <w:tcPr>
            <w:tcW w:w="2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钢结构探伤检测</w:t>
            </w:r>
          </w:p>
        </w:tc>
        <w:tc>
          <w:tcPr>
            <w:tcW w:w="19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元</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53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6" w:hRule="atLeast"/>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2.5</w:t>
            </w:r>
          </w:p>
        </w:tc>
        <w:tc>
          <w:tcPr>
            <w:tcW w:w="2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钢网架构变形检测</w:t>
            </w:r>
          </w:p>
        </w:tc>
        <w:tc>
          <w:tcPr>
            <w:tcW w:w="19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元</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53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792" w:hRule="atLeast"/>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2.6</w:t>
            </w:r>
          </w:p>
        </w:tc>
        <w:tc>
          <w:tcPr>
            <w:tcW w:w="2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建筑幕墙及建筑外窗气密性、水密性、风压变形性能检测</w:t>
            </w:r>
          </w:p>
        </w:tc>
        <w:tc>
          <w:tcPr>
            <w:tcW w:w="19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元</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53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rPr>
          <w:trHeight w:val="563" w:hRule="atLeast"/>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2.7</w:t>
            </w:r>
          </w:p>
        </w:tc>
        <w:tc>
          <w:tcPr>
            <w:tcW w:w="2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外墙饰面砖粘结强度检测</w:t>
            </w:r>
          </w:p>
        </w:tc>
        <w:tc>
          <w:tcPr>
            <w:tcW w:w="19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元</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53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6" w:hRule="atLeast"/>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2.8</w:t>
            </w:r>
          </w:p>
        </w:tc>
        <w:tc>
          <w:tcPr>
            <w:tcW w:w="2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建筑物沉降、变形检测</w:t>
            </w:r>
          </w:p>
        </w:tc>
        <w:tc>
          <w:tcPr>
            <w:tcW w:w="19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元</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53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6" w:hRule="atLeast"/>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2.9</w:t>
            </w:r>
          </w:p>
        </w:tc>
        <w:tc>
          <w:tcPr>
            <w:tcW w:w="2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室内环境质量检测</w:t>
            </w:r>
          </w:p>
        </w:tc>
        <w:tc>
          <w:tcPr>
            <w:tcW w:w="19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元</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53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6" w:hRule="atLeast"/>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2.10</w:t>
            </w:r>
          </w:p>
        </w:tc>
        <w:tc>
          <w:tcPr>
            <w:tcW w:w="2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智能建筑检测</w:t>
            </w:r>
          </w:p>
        </w:tc>
        <w:tc>
          <w:tcPr>
            <w:tcW w:w="19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元</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53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rPr>
          <w:trHeight w:val="396" w:hRule="atLeast"/>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2.11</w:t>
            </w:r>
          </w:p>
        </w:tc>
        <w:tc>
          <w:tcPr>
            <w:tcW w:w="2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建筑节能检测</w:t>
            </w:r>
          </w:p>
        </w:tc>
        <w:tc>
          <w:tcPr>
            <w:tcW w:w="19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元</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53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6" w:hRule="atLeast"/>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w:t>
            </w:r>
          </w:p>
        </w:tc>
        <w:tc>
          <w:tcPr>
            <w:tcW w:w="2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其他检验费</w:t>
            </w:r>
          </w:p>
        </w:tc>
        <w:tc>
          <w:tcPr>
            <w:tcW w:w="19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元</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53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6" w:hRule="atLeast"/>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4</w:t>
            </w:r>
          </w:p>
        </w:tc>
        <w:tc>
          <w:tcPr>
            <w:tcW w:w="2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城市道路临时占用费</w:t>
            </w:r>
          </w:p>
        </w:tc>
        <w:tc>
          <w:tcPr>
            <w:tcW w:w="19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元</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53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6" w:hRule="atLeast"/>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5</w:t>
            </w:r>
          </w:p>
        </w:tc>
        <w:tc>
          <w:tcPr>
            <w:tcW w:w="2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城市道路挖掘修复费</w:t>
            </w:r>
          </w:p>
        </w:tc>
        <w:tc>
          <w:tcPr>
            <w:tcW w:w="19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元</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53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rPr>
          <w:trHeight w:val="396" w:hRule="atLeast"/>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6</w:t>
            </w:r>
          </w:p>
        </w:tc>
        <w:tc>
          <w:tcPr>
            <w:tcW w:w="2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临时占用绿地费</w:t>
            </w:r>
          </w:p>
        </w:tc>
        <w:tc>
          <w:tcPr>
            <w:tcW w:w="19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元</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53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6" w:hRule="atLeast"/>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7</w:t>
            </w:r>
          </w:p>
        </w:tc>
        <w:tc>
          <w:tcPr>
            <w:tcW w:w="2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绿化补偿（赔偿）费</w:t>
            </w:r>
          </w:p>
        </w:tc>
        <w:tc>
          <w:tcPr>
            <w:tcW w:w="19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元</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53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1173" w:hRule="atLeast"/>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8</w:t>
            </w:r>
          </w:p>
        </w:tc>
        <w:tc>
          <w:tcPr>
            <w:tcW w:w="2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工程保险费</w:t>
            </w:r>
          </w:p>
        </w:tc>
        <w:tc>
          <w:tcPr>
            <w:tcW w:w="19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元</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53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详见《深圳市建设工程计价费率标准(2023)》)</w:t>
            </w:r>
          </w:p>
        </w:tc>
      </w:tr>
      <w:tr>
        <w:tblPrEx>
          <w:tblCellMar>
            <w:top w:w="0" w:type="dxa"/>
            <w:left w:w="108" w:type="dxa"/>
            <w:bottom w:w="0" w:type="dxa"/>
            <w:right w:w="108" w:type="dxa"/>
          </w:tblCellMar>
        </w:tblPrEx>
        <w:trPr>
          <w:trHeight w:val="396" w:hRule="atLeast"/>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9</w:t>
            </w:r>
          </w:p>
        </w:tc>
        <w:tc>
          <w:tcPr>
            <w:tcW w:w="2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弃土场受纳处置费</w:t>
            </w:r>
          </w:p>
        </w:tc>
        <w:tc>
          <w:tcPr>
            <w:tcW w:w="19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元</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53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深建价[2013]3号</w:t>
            </w:r>
          </w:p>
        </w:tc>
      </w:tr>
      <w:tr>
        <w:trPr>
          <w:trHeight w:val="396" w:hRule="atLeast"/>
        </w:trPr>
        <w:tc>
          <w:tcPr>
            <w:tcW w:w="5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10</w:t>
            </w:r>
          </w:p>
        </w:tc>
        <w:tc>
          <w:tcPr>
            <w:tcW w:w="2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其他费</w:t>
            </w:r>
          </w:p>
        </w:tc>
        <w:tc>
          <w:tcPr>
            <w:tcW w:w="19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元</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53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0" w:hRule="atLeast"/>
        </w:trPr>
        <w:tc>
          <w:tcPr>
            <w:tcW w:w="51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205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19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53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0" w:hRule="atLeast"/>
        </w:trPr>
        <w:tc>
          <w:tcPr>
            <w:tcW w:w="51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205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19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53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0" w:hRule="atLeast"/>
        </w:trPr>
        <w:tc>
          <w:tcPr>
            <w:tcW w:w="6785" w:type="dxa"/>
            <w:gridSpan w:val="6"/>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合    计</w:t>
            </w:r>
          </w:p>
        </w:tc>
        <w:tc>
          <w:tcPr>
            <w:tcW w:w="176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276"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r>
    </w:tbl>
    <w:p>
      <w:pPr>
        <w:ind w:firstLine="440"/>
        <w:rPr>
          <w:rFonts w:hint="eastAsia" w:ascii="宋体" w:hAnsi="宋体" w:eastAsia="宋体" w:cs="宋体"/>
          <w:color w:val="auto"/>
          <w:sz w:val="22"/>
        </w:rPr>
      </w:pPr>
      <w:r>
        <w:rPr>
          <w:rFonts w:hint="eastAsia" w:ascii="宋体" w:hAnsi="宋体" w:eastAsia="宋体" w:cs="宋体"/>
          <w:color w:val="auto"/>
          <w:sz w:val="22"/>
        </w:rPr>
        <w:br w:type="page"/>
      </w:r>
    </w:p>
    <w:p>
      <w:pPr>
        <w:widowControl/>
        <w:ind w:firstLine="0" w:firstLineChars="0"/>
        <w:jc w:val="center"/>
        <w:textAlignment w:val="center"/>
        <w:outlineLvl w:val="2"/>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单项工程投标价汇总表</w:t>
      </w:r>
    </w:p>
    <w:tbl>
      <w:tblPr>
        <w:tblStyle w:val="16"/>
        <w:tblW w:w="9450" w:type="dxa"/>
        <w:tblInd w:w="93" w:type="dxa"/>
        <w:tblLayout w:type="autofit"/>
        <w:tblCellMar>
          <w:top w:w="0" w:type="dxa"/>
          <w:left w:w="108" w:type="dxa"/>
          <w:bottom w:w="0" w:type="dxa"/>
          <w:right w:w="108" w:type="dxa"/>
        </w:tblCellMar>
      </w:tblPr>
      <w:tblGrid>
        <w:gridCol w:w="642"/>
        <w:gridCol w:w="3237"/>
        <w:gridCol w:w="954"/>
        <w:gridCol w:w="1415"/>
        <w:gridCol w:w="1936"/>
        <w:gridCol w:w="1266"/>
      </w:tblGrid>
      <w:tr>
        <w:tblPrEx>
          <w:tblCellMar>
            <w:top w:w="0" w:type="dxa"/>
            <w:left w:w="108" w:type="dxa"/>
            <w:bottom w:w="0" w:type="dxa"/>
            <w:right w:w="108" w:type="dxa"/>
          </w:tblCellMar>
        </w:tblPrEx>
        <w:trPr>
          <w:trHeight w:val="390" w:hRule="atLeast"/>
        </w:trPr>
        <w:tc>
          <w:tcPr>
            <w:tcW w:w="6248" w:type="dxa"/>
            <w:gridSpan w:val="4"/>
            <w:tcBorders>
              <w:top w:val="nil"/>
              <w:left w:val="nil"/>
              <w:bottom w:val="single" w:color="000000" w:sz="4" w:space="0"/>
              <w:right w:val="nil"/>
            </w:tcBorders>
            <w:vAlign w:val="center"/>
          </w:tcPr>
          <w:p>
            <w:pPr>
              <w:widowControl/>
              <w:spacing w:line="240" w:lineRule="auto"/>
              <w:ind w:firstLine="0" w:firstLineChars="0"/>
              <w:textAlignment w:val="center"/>
              <w:rPr>
                <w:rFonts w:hint="default" w:ascii="宋体" w:hAnsi="宋体" w:eastAsia="宋体" w:cs="宋体"/>
                <w:color w:val="auto"/>
                <w:sz w:val="18"/>
                <w:szCs w:val="18"/>
                <w:lang w:val="en"/>
              </w:rPr>
            </w:pPr>
            <w:r>
              <w:rPr>
                <w:rFonts w:hint="eastAsia" w:ascii="宋体" w:hAnsi="宋体" w:eastAsia="宋体" w:cs="宋体"/>
                <w:color w:val="auto"/>
                <w:sz w:val="18"/>
                <w:szCs w:val="18"/>
                <w:lang w:bidi="ar"/>
              </w:rPr>
              <w:t>工程名称：盐田区</w:t>
            </w:r>
            <w:r>
              <w:rPr>
                <w:rFonts w:hint="default" w:ascii="宋体" w:hAnsi="宋体" w:eastAsia="宋体" w:cs="宋体"/>
                <w:color w:val="auto"/>
                <w:sz w:val="18"/>
                <w:szCs w:val="18"/>
                <w:lang w:val="en" w:bidi="ar"/>
              </w:rPr>
              <w:t>游泳馆修缮项目</w:t>
            </w:r>
          </w:p>
        </w:tc>
        <w:tc>
          <w:tcPr>
            <w:tcW w:w="0" w:type="auto"/>
            <w:gridSpan w:val="2"/>
            <w:tcBorders>
              <w:top w:val="nil"/>
              <w:left w:val="nil"/>
              <w:bottom w:val="single" w:color="000000" w:sz="4" w:space="0"/>
              <w:right w:val="nil"/>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第 1 页 共 1 页</w:t>
            </w:r>
          </w:p>
        </w:tc>
      </w:tr>
      <w:tr>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单项工程名称</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金额(元)</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其中</w:t>
            </w:r>
          </w:p>
        </w:tc>
      </w:tr>
      <w:tr>
        <w:tblPrEx>
          <w:tblCellMar>
            <w:top w:w="0" w:type="dxa"/>
            <w:left w:w="108" w:type="dxa"/>
            <w:bottom w:w="0" w:type="dxa"/>
            <w:right w:w="108" w:type="dxa"/>
          </w:tblCellMar>
        </w:tblPrEx>
        <w:trPr>
          <w:trHeight w:val="55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2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材料设备</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暂估价(元)</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安全文明施工措施费(元)</w:t>
            </w:r>
          </w:p>
        </w:tc>
        <w:tc>
          <w:tcPr>
            <w:tcW w:w="1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规费(元)</w:t>
            </w:r>
          </w:p>
        </w:tc>
      </w:tr>
      <w:tr>
        <w:trPr>
          <w:trHeight w:val="391" w:hRule="atLeast"/>
        </w:trPr>
        <w:tc>
          <w:tcPr>
            <w:tcW w:w="0" w:type="auto"/>
            <w:tcBorders>
              <w:top w:val="single" w:color="000000" w:sz="4" w:space="0"/>
              <w:left w:val="single" w:color="000000" w:sz="4" w:space="0"/>
              <w:bottom w:val="nil"/>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w:t>
            </w:r>
          </w:p>
        </w:tc>
        <w:tc>
          <w:tcPr>
            <w:tcW w:w="2905" w:type="dxa"/>
            <w:tcBorders>
              <w:top w:val="single" w:color="000000" w:sz="4" w:space="0"/>
              <w:left w:val="single" w:color="000000" w:sz="4" w:space="0"/>
              <w:bottom w:val="nil"/>
              <w:right w:val="single" w:color="000000" w:sz="4" w:space="0"/>
            </w:tcBorders>
            <w:vAlign w:val="center"/>
          </w:tcPr>
          <w:p>
            <w:pPr>
              <w:widowControl/>
              <w:spacing w:line="240" w:lineRule="auto"/>
              <w:ind w:firstLine="0" w:firstLineChars="0"/>
              <w:textAlignment w:val="center"/>
              <w:rPr>
                <w:rFonts w:hint="default" w:ascii="宋体" w:hAnsi="宋体" w:eastAsia="宋体" w:cs="宋体"/>
                <w:color w:val="auto"/>
                <w:sz w:val="18"/>
                <w:szCs w:val="18"/>
                <w:lang w:val="en"/>
              </w:rPr>
            </w:pPr>
            <w:r>
              <w:rPr>
                <w:rFonts w:hint="eastAsia" w:ascii="宋体" w:hAnsi="宋体" w:eastAsia="宋体" w:cs="宋体"/>
                <w:color w:val="auto"/>
                <w:sz w:val="18"/>
                <w:szCs w:val="18"/>
                <w:lang w:bidi="ar"/>
              </w:rPr>
              <w:t>盐田区</w:t>
            </w:r>
            <w:r>
              <w:rPr>
                <w:rFonts w:hint="default" w:ascii="宋体" w:hAnsi="宋体" w:eastAsia="宋体" w:cs="宋体"/>
                <w:color w:val="auto"/>
                <w:sz w:val="18"/>
                <w:szCs w:val="18"/>
                <w:lang w:val="en" w:bidi="ar"/>
              </w:rPr>
              <w:t>游泳馆修缮项目</w:t>
            </w: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10056.02</w:t>
            </w: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905" w:type="dxa"/>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905" w:type="dxa"/>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905" w:type="dxa"/>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rPr>
          <w:trHeight w:val="376" w:hRule="atLeast"/>
        </w:trPr>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905" w:type="dxa"/>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905" w:type="dxa"/>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905" w:type="dxa"/>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905" w:type="dxa"/>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rPr>
          <w:trHeight w:val="376" w:hRule="atLeast"/>
        </w:trPr>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905" w:type="dxa"/>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905" w:type="dxa"/>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905" w:type="dxa"/>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905" w:type="dxa"/>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rPr>
          <w:trHeight w:val="376" w:hRule="atLeast"/>
        </w:trPr>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905" w:type="dxa"/>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905" w:type="dxa"/>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905" w:type="dxa"/>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905" w:type="dxa"/>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rPr>
          <w:trHeight w:val="376" w:hRule="atLeast"/>
        </w:trPr>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905" w:type="dxa"/>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905" w:type="dxa"/>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905" w:type="dxa"/>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905" w:type="dxa"/>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rPr>
          <w:trHeight w:val="376" w:hRule="atLeast"/>
        </w:trPr>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905" w:type="dxa"/>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905" w:type="dxa"/>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905" w:type="dxa"/>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905" w:type="dxa"/>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rPr>
          <w:trHeight w:val="376" w:hRule="atLeast"/>
        </w:trPr>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905" w:type="dxa"/>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905" w:type="dxa"/>
            <w:tcBorders>
              <w:top w:val="single" w:color="000000" w:sz="4" w:space="0"/>
              <w:left w:val="single" w:color="000000" w:sz="4" w:space="0"/>
              <w:bottom w:val="nil"/>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合    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10056.02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0" w:hRule="atLeast"/>
        </w:trPr>
        <w:tc>
          <w:tcPr>
            <w:tcW w:w="0" w:type="auto"/>
            <w:gridSpan w:val="6"/>
            <w:tcBorders>
              <w:top w:val="single" w:color="000000" w:sz="4" w:space="0"/>
              <w:left w:val="nil"/>
              <w:bottom w:val="nil"/>
              <w:right w:val="nil"/>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 xml:space="preserve">   注：本表适用于单项工程招标控制价或投标价的汇总。</w:t>
            </w:r>
          </w:p>
        </w:tc>
      </w:tr>
    </w:tbl>
    <w:p>
      <w:pPr>
        <w:pStyle w:val="20"/>
        <w:shd w:val="clear" w:color="auto" w:fill="auto"/>
        <w:jc w:val="left"/>
        <w:rPr>
          <w:rFonts w:hint="eastAsia"/>
          <w:color w:val="auto"/>
          <w:sz w:val="22"/>
          <w:szCs w:val="22"/>
        </w:rPr>
      </w:pPr>
    </w:p>
    <w:p>
      <w:pPr>
        <w:ind w:firstLine="440"/>
        <w:rPr>
          <w:rFonts w:hint="eastAsia" w:ascii="宋体" w:hAnsi="宋体" w:eastAsia="宋体" w:cs="宋体"/>
          <w:color w:val="auto"/>
          <w:sz w:val="22"/>
        </w:rPr>
      </w:pPr>
      <w:r>
        <w:rPr>
          <w:rFonts w:hint="eastAsia" w:ascii="宋体" w:hAnsi="宋体" w:eastAsia="宋体" w:cs="宋体"/>
          <w:color w:val="auto"/>
          <w:sz w:val="22"/>
        </w:rPr>
        <w:br w:type="page"/>
      </w:r>
    </w:p>
    <w:p>
      <w:pPr>
        <w:widowControl/>
        <w:ind w:firstLine="0" w:firstLineChars="0"/>
        <w:jc w:val="center"/>
        <w:textAlignment w:val="center"/>
        <w:outlineLvl w:val="2"/>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单位工程投标报价汇总表</w:t>
      </w:r>
    </w:p>
    <w:tbl>
      <w:tblPr>
        <w:tblStyle w:val="16"/>
        <w:tblW w:w="9511" w:type="dxa"/>
        <w:tblInd w:w="93" w:type="dxa"/>
        <w:tblLayout w:type="fixed"/>
        <w:tblCellMar>
          <w:top w:w="0" w:type="dxa"/>
          <w:left w:w="108" w:type="dxa"/>
          <w:bottom w:w="0" w:type="dxa"/>
          <w:right w:w="108" w:type="dxa"/>
        </w:tblCellMar>
      </w:tblPr>
      <w:tblGrid>
        <w:gridCol w:w="1280"/>
        <w:gridCol w:w="2589"/>
        <w:gridCol w:w="1052"/>
        <w:gridCol w:w="4590"/>
      </w:tblGrid>
      <w:tr>
        <w:tblPrEx>
          <w:tblCellMar>
            <w:top w:w="0" w:type="dxa"/>
            <w:left w:w="108" w:type="dxa"/>
            <w:bottom w:w="0" w:type="dxa"/>
            <w:right w:w="108" w:type="dxa"/>
          </w:tblCellMar>
        </w:tblPrEx>
        <w:trPr>
          <w:trHeight w:val="551" w:hRule="atLeast"/>
        </w:trPr>
        <w:tc>
          <w:tcPr>
            <w:tcW w:w="4921" w:type="dxa"/>
            <w:gridSpan w:val="3"/>
            <w:tcBorders>
              <w:top w:val="nil"/>
              <w:left w:val="nil"/>
              <w:bottom w:val="nil"/>
              <w:right w:val="nil"/>
            </w:tcBorders>
            <w:vAlign w:val="center"/>
          </w:tcPr>
          <w:p>
            <w:pPr>
              <w:widowControl/>
              <w:spacing w:line="240" w:lineRule="auto"/>
              <w:ind w:firstLine="0" w:firstLineChars="0"/>
              <w:textAlignment w:val="center"/>
              <w:rPr>
                <w:rFonts w:hint="default" w:ascii="宋体" w:hAnsi="宋体" w:eastAsia="宋体" w:cs="宋体"/>
                <w:color w:val="auto"/>
                <w:sz w:val="18"/>
                <w:szCs w:val="18"/>
                <w:lang w:val="en"/>
              </w:rPr>
            </w:pPr>
            <w:r>
              <w:rPr>
                <w:rFonts w:hint="eastAsia" w:ascii="宋体" w:hAnsi="宋体" w:eastAsia="宋体" w:cs="宋体"/>
                <w:color w:val="auto"/>
                <w:sz w:val="18"/>
                <w:szCs w:val="18"/>
                <w:lang w:bidi="ar"/>
              </w:rPr>
              <w:t>工程名称：盐田区</w:t>
            </w:r>
            <w:r>
              <w:rPr>
                <w:rFonts w:hint="default" w:ascii="宋体" w:hAnsi="宋体" w:eastAsia="宋体" w:cs="宋体"/>
                <w:color w:val="auto"/>
                <w:sz w:val="18"/>
                <w:szCs w:val="18"/>
                <w:lang w:val="en" w:bidi="ar"/>
              </w:rPr>
              <w:t>游泳馆修缮项目</w:t>
            </w:r>
          </w:p>
        </w:tc>
        <w:tc>
          <w:tcPr>
            <w:tcW w:w="4590" w:type="dxa"/>
            <w:tcBorders>
              <w:top w:val="nil"/>
              <w:left w:val="nil"/>
              <w:bottom w:val="nil"/>
              <w:right w:val="nil"/>
            </w:tcBorders>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第 1 页 共 1 页</w:t>
            </w:r>
          </w:p>
        </w:tc>
      </w:tr>
      <w:tr>
        <w:tblPrEx>
          <w:tblCellMar>
            <w:top w:w="0" w:type="dxa"/>
            <w:left w:w="108" w:type="dxa"/>
            <w:bottom w:w="0" w:type="dxa"/>
            <w:right w:w="108" w:type="dxa"/>
          </w:tblCellMar>
        </w:tblPrEx>
        <w:trPr>
          <w:trHeight w:val="785" w:hRule="atLeast"/>
        </w:trPr>
        <w:tc>
          <w:tcPr>
            <w:tcW w:w="12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序号</w:t>
            </w:r>
          </w:p>
        </w:tc>
        <w:tc>
          <w:tcPr>
            <w:tcW w:w="258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汇 总 内 容</w:t>
            </w:r>
          </w:p>
        </w:tc>
        <w:tc>
          <w:tcPr>
            <w:tcW w:w="105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金额(元)</w:t>
            </w:r>
          </w:p>
        </w:tc>
        <w:tc>
          <w:tcPr>
            <w:tcW w:w="45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其中：</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材料设备暂估价</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(元)</w:t>
            </w:r>
          </w:p>
        </w:tc>
      </w:tr>
      <w:tr>
        <w:tblPrEx>
          <w:tblCellMar>
            <w:top w:w="0" w:type="dxa"/>
            <w:left w:w="108" w:type="dxa"/>
            <w:bottom w:w="0" w:type="dxa"/>
            <w:right w:w="108" w:type="dxa"/>
          </w:tblCellMar>
        </w:tblPrEx>
        <w:trPr>
          <w:trHeight w:val="403" w:hRule="atLeast"/>
        </w:trPr>
        <w:tc>
          <w:tcPr>
            <w:tcW w:w="12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分部分项工程费</w:t>
            </w:r>
          </w:p>
        </w:tc>
        <w:tc>
          <w:tcPr>
            <w:tcW w:w="105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459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rPr>
          <w:trHeight w:val="403" w:hRule="atLeast"/>
        </w:trPr>
        <w:tc>
          <w:tcPr>
            <w:tcW w:w="12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1.1</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下沉花园维修改造</w:t>
            </w:r>
          </w:p>
        </w:tc>
        <w:tc>
          <w:tcPr>
            <w:tcW w:w="105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459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403" w:hRule="atLeast"/>
        </w:trPr>
        <w:tc>
          <w:tcPr>
            <w:tcW w:w="12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1.2</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天台防水及天花维修改造</w:t>
            </w:r>
          </w:p>
        </w:tc>
        <w:tc>
          <w:tcPr>
            <w:tcW w:w="105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459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403" w:hRule="atLeast"/>
        </w:trPr>
        <w:tc>
          <w:tcPr>
            <w:tcW w:w="12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1.3</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卫生间更衣室维修改造</w:t>
            </w:r>
          </w:p>
        </w:tc>
        <w:tc>
          <w:tcPr>
            <w:tcW w:w="105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459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403" w:hRule="atLeast"/>
        </w:trPr>
        <w:tc>
          <w:tcPr>
            <w:tcW w:w="12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1.4</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游泳馆天花维修改造</w:t>
            </w:r>
          </w:p>
        </w:tc>
        <w:tc>
          <w:tcPr>
            <w:tcW w:w="105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459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rPr>
          <w:trHeight w:val="403" w:hRule="atLeast"/>
        </w:trPr>
        <w:tc>
          <w:tcPr>
            <w:tcW w:w="12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措施项目费</w:t>
            </w:r>
          </w:p>
        </w:tc>
        <w:tc>
          <w:tcPr>
            <w:tcW w:w="105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459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403" w:hRule="atLeast"/>
        </w:trPr>
        <w:tc>
          <w:tcPr>
            <w:tcW w:w="12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2.1</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其中：混凝土、钢筋混凝土模板及支架费</w:t>
            </w:r>
          </w:p>
        </w:tc>
        <w:tc>
          <w:tcPr>
            <w:tcW w:w="105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459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403" w:hRule="atLeast"/>
        </w:trPr>
        <w:tc>
          <w:tcPr>
            <w:tcW w:w="12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2.2</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安全文明施工措施费</w:t>
            </w:r>
          </w:p>
        </w:tc>
        <w:tc>
          <w:tcPr>
            <w:tcW w:w="105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10056.02</w:t>
            </w:r>
          </w:p>
        </w:tc>
        <w:tc>
          <w:tcPr>
            <w:tcW w:w="459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403" w:hRule="atLeast"/>
        </w:trPr>
        <w:tc>
          <w:tcPr>
            <w:tcW w:w="12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2.3</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履约担保手续费、赶工措施费</w:t>
            </w:r>
          </w:p>
        </w:tc>
        <w:tc>
          <w:tcPr>
            <w:tcW w:w="105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459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rPr>
          <w:trHeight w:val="403" w:hRule="atLeast"/>
        </w:trPr>
        <w:tc>
          <w:tcPr>
            <w:tcW w:w="12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2.4</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其它措施项目费</w:t>
            </w:r>
          </w:p>
        </w:tc>
        <w:tc>
          <w:tcPr>
            <w:tcW w:w="105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459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403" w:hRule="atLeast"/>
        </w:trPr>
        <w:tc>
          <w:tcPr>
            <w:tcW w:w="12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其他项目费</w:t>
            </w:r>
          </w:p>
        </w:tc>
        <w:tc>
          <w:tcPr>
            <w:tcW w:w="105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459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403" w:hRule="atLeast"/>
        </w:trPr>
        <w:tc>
          <w:tcPr>
            <w:tcW w:w="12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3.1</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计日工</w:t>
            </w:r>
          </w:p>
        </w:tc>
        <w:tc>
          <w:tcPr>
            <w:tcW w:w="105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459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403" w:hRule="atLeast"/>
        </w:trPr>
        <w:tc>
          <w:tcPr>
            <w:tcW w:w="12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3.2</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总承包服务费</w:t>
            </w:r>
          </w:p>
        </w:tc>
        <w:tc>
          <w:tcPr>
            <w:tcW w:w="105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459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rPr>
          <w:trHeight w:val="403" w:hRule="atLeast"/>
        </w:trPr>
        <w:tc>
          <w:tcPr>
            <w:tcW w:w="12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3.3</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发包人供应材料费</w:t>
            </w:r>
          </w:p>
        </w:tc>
        <w:tc>
          <w:tcPr>
            <w:tcW w:w="105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459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403" w:hRule="atLeast"/>
        </w:trPr>
        <w:tc>
          <w:tcPr>
            <w:tcW w:w="12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4</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规费</w:t>
            </w:r>
          </w:p>
        </w:tc>
        <w:tc>
          <w:tcPr>
            <w:tcW w:w="105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459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403" w:hRule="atLeast"/>
        </w:trPr>
        <w:tc>
          <w:tcPr>
            <w:tcW w:w="12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5</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不含税建安工程造价</w:t>
            </w:r>
          </w:p>
        </w:tc>
        <w:tc>
          <w:tcPr>
            <w:tcW w:w="105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459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403" w:hRule="atLeast"/>
        </w:trPr>
        <w:tc>
          <w:tcPr>
            <w:tcW w:w="12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6</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应纳税费</w:t>
            </w:r>
          </w:p>
        </w:tc>
        <w:tc>
          <w:tcPr>
            <w:tcW w:w="105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459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rPr>
          <w:trHeight w:val="403" w:hRule="atLeast"/>
        </w:trPr>
        <w:tc>
          <w:tcPr>
            <w:tcW w:w="12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6.1</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增值税应纳税额</w:t>
            </w:r>
          </w:p>
        </w:tc>
        <w:tc>
          <w:tcPr>
            <w:tcW w:w="105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459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474" w:hRule="atLeast"/>
        </w:trPr>
        <w:tc>
          <w:tcPr>
            <w:tcW w:w="12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6.2</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城市维护建设税、教育费附加及地方教育费附加</w:t>
            </w:r>
          </w:p>
        </w:tc>
        <w:tc>
          <w:tcPr>
            <w:tcW w:w="105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459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7" w:hRule="atLeast"/>
        </w:trPr>
        <w:tc>
          <w:tcPr>
            <w:tcW w:w="128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58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459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7" w:hRule="atLeast"/>
        </w:trPr>
        <w:tc>
          <w:tcPr>
            <w:tcW w:w="128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58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459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rPr>
          <w:trHeight w:val="387" w:hRule="atLeast"/>
        </w:trPr>
        <w:tc>
          <w:tcPr>
            <w:tcW w:w="128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58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459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7" w:hRule="atLeast"/>
        </w:trPr>
        <w:tc>
          <w:tcPr>
            <w:tcW w:w="128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58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459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8" w:hRule="atLeast"/>
        </w:trPr>
        <w:tc>
          <w:tcPr>
            <w:tcW w:w="3869"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含税建安工程造价=5+6</w:t>
            </w:r>
          </w:p>
        </w:tc>
        <w:tc>
          <w:tcPr>
            <w:tcW w:w="105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459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8" w:hRule="atLeast"/>
        </w:trPr>
        <w:tc>
          <w:tcPr>
            <w:tcW w:w="9511" w:type="dxa"/>
            <w:gridSpan w:val="4"/>
            <w:tcBorders>
              <w:top w:val="single" w:color="000000" w:sz="4" w:space="0"/>
              <w:left w:val="nil"/>
              <w:bottom w:val="nil"/>
              <w:right w:val="nil"/>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 xml:space="preserve">   注：本表适用于单位工程招标控制价或投标价的汇总，如无单位工程划分，单项工程也使用本表汇总。</w:t>
            </w:r>
          </w:p>
        </w:tc>
      </w:tr>
    </w:tbl>
    <w:p>
      <w:pPr>
        <w:rPr>
          <w:rFonts w:hint="eastAsia" w:ascii="宋体" w:hAnsi="宋体" w:eastAsia="宋体" w:cs="宋体"/>
          <w:b/>
          <w:bCs/>
          <w:color w:val="auto"/>
          <w:sz w:val="32"/>
          <w:szCs w:val="32"/>
          <w:lang w:bidi="ar"/>
        </w:rPr>
      </w:pPr>
      <w:r>
        <w:rPr>
          <w:rFonts w:hint="eastAsia" w:ascii="宋体" w:hAnsi="宋体" w:eastAsia="宋体" w:cs="宋体"/>
          <w:b/>
          <w:bCs/>
          <w:color w:val="auto"/>
          <w:sz w:val="32"/>
          <w:szCs w:val="32"/>
          <w:lang w:bidi="ar"/>
        </w:rPr>
        <w:br w:type="page"/>
      </w:r>
    </w:p>
    <w:p>
      <w:pPr>
        <w:widowControl/>
        <w:ind w:firstLine="0" w:firstLineChars="0"/>
        <w:jc w:val="center"/>
        <w:textAlignment w:val="center"/>
        <w:outlineLvl w:val="2"/>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分部分项工程量清单与计价表</w:t>
      </w:r>
      <w:r>
        <w:rPr>
          <w:rFonts w:hint="eastAsia" w:ascii="宋体" w:hAnsi="宋体" w:eastAsia="宋体" w:cs="宋体"/>
          <w:b/>
          <w:bCs/>
          <w:color w:val="auto"/>
          <w:sz w:val="32"/>
          <w:szCs w:val="32"/>
          <w:lang w:bidi="ar"/>
        </w:rPr>
        <w:br w:type="textWrapping"/>
      </w:r>
      <w:r>
        <w:rPr>
          <w:rFonts w:hint="eastAsia" w:ascii="宋体" w:hAnsi="宋体" w:eastAsia="宋体" w:cs="宋体"/>
          <w:b/>
          <w:bCs/>
          <w:color w:val="auto"/>
          <w:sz w:val="32"/>
          <w:szCs w:val="32"/>
          <w:lang w:bidi="ar"/>
        </w:rPr>
        <w:t>（适用于工程量清单计价）</w:t>
      </w:r>
    </w:p>
    <w:tbl>
      <w:tblPr>
        <w:tblStyle w:val="16"/>
        <w:tblW w:w="9511" w:type="dxa"/>
        <w:tblInd w:w="93" w:type="dxa"/>
        <w:tblLayout w:type="fixed"/>
        <w:tblCellMar>
          <w:top w:w="0" w:type="dxa"/>
          <w:left w:w="108" w:type="dxa"/>
          <w:bottom w:w="0" w:type="dxa"/>
          <w:right w:w="108" w:type="dxa"/>
        </w:tblCellMar>
      </w:tblPr>
      <w:tblGrid>
        <w:gridCol w:w="508"/>
        <w:gridCol w:w="1007"/>
        <w:gridCol w:w="1429"/>
        <w:gridCol w:w="2458"/>
        <w:gridCol w:w="595"/>
        <w:gridCol w:w="790"/>
        <w:gridCol w:w="861"/>
        <w:gridCol w:w="871"/>
        <w:gridCol w:w="992"/>
      </w:tblGrid>
      <w:tr>
        <w:tblPrEx>
          <w:tblCellMar>
            <w:top w:w="0" w:type="dxa"/>
            <w:left w:w="108" w:type="dxa"/>
            <w:bottom w:w="0" w:type="dxa"/>
            <w:right w:w="108" w:type="dxa"/>
          </w:tblCellMar>
        </w:tblPrEx>
        <w:trPr>
          <w:trHeight w:val="388" w:hRule="atLeast"/>
        </w:trPr>
        <w:tc>
          <w:tcPr>
            <w:tcW w:w="2944" w:type="dxa"/>
            <w:gridSpan w:val="3"/>
            <w:tcBorders>
              <w:top w:val="nil"/>
              <w:left w:val="nil"/>
              <w:bottom w:val="nil"/>
              <w:right w:val="nil"/>
            </w:tcBorders>
            <w:vAlign w:val="center"/>
          </w:tcPr>
          <w:p>
            <w:pPr>
              <w:widowControl/>
              <w:spacing w:line="240" w:lineRule="auto"/>
              <w:ind w:firstLine="0" w:firstLineChars="0"/>
              <w:textAlignment w:val="center"/>
              <w:rPr>
                <w:rFonts w:hint="default" w:ascii="宋体" w:hAnsi="宋体" w:eastAsia="宋体" w:cs="宋体"/>
                <w:color w:val="auto"/>
                <w:sz w:val="18"/>
                <w:szCs w:val="18"/>
                <w:lang w:val="en"/>
              </w:rPr>
            </w:pPr>
            <w:r>
              <w:rPr>
                <w:rFonts w:hint="eastAsia" w:ascii="宋体" w:hAnsi="宋体" w:eastAsia="宋体" w:cs="宋体"/>
                <w:color w:val="auto"/>
                <w:sz w:val="18"/>
                <w:szCs w:val="18"/>
                <w:lang w:bidi="ar"/>
              </w:rPr>
              <w:t>工程名称：盐田区</w:t>
            </w:r>
            <w:r>
              <w:rPr>
                <w:rFonts w:hint="default" w:ascii="宋体" w:hAnsi="宋体" w:eastAsia="宋体" w:cs="宋体"/>
                <w:color w:val="auto"/>
                <w:sz w:val="18"/>
                <w:szCs w:val="18"/>
                <w:lang w:val="en" w:bidi="ar"/>
              </w:rPr>
              <w:t>游泳馆修缮项目</w:t>
            </w:r>
          </w:p>
        </w:tc>
        <w:tc>
          <w:tcPr>
            <w:tcW w:w="3843" w:type="dxa"/>
            <w:gridSpan w:val="3"/>
            <w:tcBorders>
              <w:top w:val="nil"/>
              <w:left w:val="nil"/>
              <w:bottom w:val="nil"/>
              <w:right w:val="nil"/>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p>
        </w:tc>
        <w:tc>
          <w:tcPr>
            <w:tcW w:w="2724" w:type="dxa"/>
            <w:gridSpan w:val="3"/>
            <w:tcBorders>
              <w:top w:val="nil"/>
              <w:left w:val="nil"/>
              <w:bottom w:val="single" w:color="000000" w:sz="4" w:space="0"/>
              <w:right w:val="nil"/>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第 1 页 共 4 页</w:t>
            </w:r>
          </w:p>
        </w:tc>
      </w:tr>
      <w:tr>
        <w:tblPrEx>
          <w:tblCellMar>
            <w:top w:w="0" w:type="dxa"/>
            <w:left w:w="108" w:type="dxa"/>
            <w:bottom w:w="0" w:type="dxa"/>
            <w:right w:w="108" w:type="dxa"/>
          </w:tblCellMar>
        </w:tblPrEx>
        <w:trPr>
          <w:trHeight w:val="562" w:hRule="atLeast"/>
        </w:trPr>
        <w:tc>
          <w:tcPr>
            <w:tcW w:w="50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序号</w:t>
            </w:r>
          </w:p>
        </w:tc>
        <w:tc>
          <w:tcPr>
            <w:tcW w:w="100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项目编码</w:t>
            </w:r>
          </w:p>
        </w:tc>
        <w:tc>
          <w:tcPr>
            <w:tcW w:w="142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项目名称</w:t>
            </w:r>
          </w:p>
        </w:tc>
        <w:tc>
          <w:tcPr>
            <w:tcW w:w="245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项目特征描述</w:t>
            </w:r>
          </w:p>
        </w:tc>
        <w:tc>
          <w:tcPr>
            <w:tcW w:w="59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计量单位</w:t>
            </w:r>
          </w:p>
        </w:tc>
        <w:tc>
          <w:tcPr>
            <w:tcW w:w="79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工程量</w:t>
            </w:r>
          </w:p>
        </w:tc>
        <w:tc>
          <w:tcPr>
            <w:tcW w:w="2724"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金额(元)</w:t>
            </w:r>
          </w:p>
        </w:tc>
      </w:tr>
      <w:tr>
        <w:tblPrEx>
          <w:tblCellMar>
            <w:top w:w="0" w:type="dxa"/>
            <w:left w:w="108" w:type="dxa"/>
            <w:bottom w:w="0" w:type="dxa"/>
            <w:right w:w="108" w:type="dxa"/>
          </w:tblCellMar>
        </w:tblPrEx>
        <w:trPr>
          <w:trHeight w:val="938" w:hRule="atLeast"/>
        </w:trPr>
        <w:tc>
          <w:tcPr>
            <w:tcW w:w="508"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100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2458"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79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86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综合单价</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合价</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材料设备暂估合价</w:t>
            </w:r>
          </w:p>
        </w:tc>
      </w:tr>
      <w:tr>
        <w:trPr>
          <w:trHeight w:val="398"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6"/>
                <w:szCs w:val="16"/>
              </w:rPr>
            </w:pPr>
          </w:p>
        </w:tc>
        <w:tc>
          <w:tcPr>
            <w:tcW w:w="100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6"/>
                <w:szCs w:val="16"/>
              </w:rPr>
            </w:pPr>
          </w:p>
        </w:tc>
        <w:tc>
          <w:tcPr>
            <w:tcW w:w="3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下沉花园维修改造</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hint="eastAsia" w:ascii="宋体" w:hAnsi="宋体" w:eastAsia="宋体" w:cs="宋体"/>
                <w:color w:val="auto"/>
                <w:sz w:val="16"/>
                <w:szCs w:val="16"/>
              </w:rPr>
            </w:pPr>
          </w:p>
        </w:tc>
        <w:tc>
          <w:tcPr>
            <w:tcW w:w="790"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6"/>
                <w:szCs w:val="16"/>
              </w:rPr>
            </w:pP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87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r>
      <w:tr>
        <w:tblPrEx>
          <w:tblCellMar>
            <w:top w:w="0" w:type="dxa"/>
            <w:left w:w="108" w:type="dxa"/>
            <w:bottom w:w="0" w:type="dxa"/>
            <w:right w:w="108" w:type="dxa"/>
          </w:tblCellMar>
        </w:tblPrEx>
        <w:trPr>
          <w:trHeight w:val="398"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6"/>
                <w:szCs w:val="16"/>
              </w:rPr>
            </w:pPr>
          </w:p>
        </w:tc>
        <w:tc>
          <w:tcPr>
            <w:tcW w:w="100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6"/>
                <w:szCs w:val="16"/>
              </w:rPr>
            </w:pPr>
          </w:p>
        </w:tc>
        <w:tc>
          <w:tcPr>
            <w:tcW w:w="3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 xml:space="preserve">  拆除部分</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hint="eastAsia" w:ascii="宋体" w:hAnsi="宋体" w:eastAsia="宋体" w:cs="宋体"/>
                <w:color w:val="auto"/>
                <w:sz w:val="16"/>
                <w:szCs w:val="16"/>
              </w:rPr>
            </w:pPr>
          </w:p>
        </w:tc>
        <w:tc>
          <w:tcPr>
            <w:tcW w:w="790"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6"/>
                <w:szCs w:val="16"/>
              </w:rPr>
            </w:pP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87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r>
      <w:tr>
        <w:tblPrEx>
          <w:tblCellMar>
            <w:top w:w="0" w:type="dxa"/>
            <w:left w:w="108" w:type="dxa"/>
            <w:bottom w:w="0" w:type="dxa"/>
            <w:right w:w="108" w:type="dxa"/>
          </w:tblCellMar>
        </w:tblPrEx>
        <w:trPr>
          <w:trHeight w:val="562"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010101003001</w:t>
            </w:r>
          </w:p>
        </w:tc>
        <w:tc>
          <w:tcPr>
            <w:tcW w:w="142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铲除覆土及草皮</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1.铲除覆土及草皮</w:t>
            </w:r>
            <w:r>
              <w:rPr>
                <w:rFonts w:hint="eastAsia" w:ascii="宋体" w:hAnsi="宋体" w:eastAsia="宋体" w:cs="宋体"/>
                <w:color w:val="auto"/>
                <w:sz w:val="16"/>
                <w:szCs w:val="16"/>
                <w:lang w:bidi="ar"/>
              </w:rPr>
              <w:br w:type="textWrapping"/>
            </w:r>
            <w:r>
              <w:rPr>
                <w:rFonts w:hint="eastAsia" w:ascii="宋体" w:hAnsi="宋体" w:eastAsia="宋体" w:cs="宋体"/>
                <w:color w:val="auto"/>
                <w:sz w:val="16"/>
                <w:szCs w:val="16"/>
                <w:lang w:bidi="ar"/>
              </w:rPr>
              <w:t>2.土方类型综合考虑</w:t>
            </w:r>
          </w:p>
        </w:tc>
        <w:tc>
          <w:tcPr>
            <w:tcW w:w="59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default" w:ascii="宋体" w:hAnsi="宋体" w:eastAsia="宋体" w:cs="宋体"/>
                <w:color w:val="auto"/>
                <w:sz w:val="16"/>
                <w:szCs w:val="16"/>
                <w:lang w:val="en"/>
              </w:rPr>
            </w:pPr>
            <w:r>
              <w:rPr>
                <w:rFonts w:hint="default" w:ascii="宋体" w:hAnsi="宋体" w:eastAsia="宋体" w:cs="宋体"/>
                <w:color w:val="auto"/>
                <w:sz w:val="16"/>
                <w:szCs w:val="16"/>
                <w:lang w:val="en" w:bidi="ar"/>
              </w:rPr>
              <w:t>m³</w:t>
            </w:r>
          </w:p>
        </w:tc>
        <w:tc>
          <w:tcPr>
            <w:tcW w:w="79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16.86</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87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r>
      <w:tr>
        <w:tblPrEx>
          <w:tblCellMar>
            <w:top w:w="0" w:type="dxa"/>
            <w:left w:w="108" w:type="dxa"/>
            <w:bottom w:w="0" w:type="dxa"/>
            <w:right w:w="108" w:type="dxa"/>
          </w:tblCellMar>
        </w:tblPrEx>
        <w:trPr>
          <w:trHeight w:val="562"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2</w:t>
            </w:r>
          </w:p>
        </w:tc>
        <w:tc>
          <w:tcPr>
            <w:tcW w:w="100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011605001001</w:t>
            </w:r>
          </w:p>
        </w:tc>
        <w:tc>
          <w:tcPr>
            <w:tcW w:w="142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拆除蓝色玻璃马赛克戏水池壁</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1.拆除蓝色玻璃马赛克戏水池壁</w:t>
            </w:r>
          </w:p>
        </w:tc>
        <w:tc>
          <w:tcPr>
            <w:tcW w:w="59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default" w:ascii="宋体" w:hAnsi="宋体" w:eastAsia="宋体" w:cs="宋体"/>
                <w:color w:val="auto"/>
                <w:sz w:val="16"/>
                <w:szCs w:val="16"/>
                <w:lang w:val="en"/>
              </w:rPr>
            </w:pPr>
            <w:r>
              <w:rPr>
                <w:rFonts w:hint="default" w:ascii="宋体" w:hAnsi="宋体" w:eastAsia="宋体" w:cs="宋体"/>
                <w:color w:val="auto"/>
                <w:sz w:val="16"/>
                <w:szCs w:val="16"/>
                <w:lang w:val="en" w:bidi="ar"/>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3.16</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87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r>
      <w:tr>
        <w:trPr>
          <w:trHeight w:val="398"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3</w:t>
            </w:r>
          </w:p>
        </w:tc>
        <w:tc>
          <w:tcPr>
            <w:tcW w:w="100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011601001002</w:t>
            </w:r>
          </w:p>
        </w:tc>
        <w:tc>
          <w:tcPr>
            <w:tcW w:w="142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混凝土拆除</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1.拆除戏水池</w:t>
            </w:r>
          </w:p>
        </w:tc>
        <w:tc>
          <w:tcPr>
            <w:tcW w:w="59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default" w:ascii="宋体" w:hAnsi="宋体" w:eastAsia="宋体" w:cs="宋体"/>
                <w:color w:val="auto"/>
                <w:sz w:val="16"/>
                <w:szCs w:val="16"/>
                <w:lang w:val="en"/>
              </w:rPr>
            </w:pPr>
            <w:r>
              <w:rPr>
                <w:rFonts w:hint="default" w:ascii="宋体" w:hAnsi="宋体" w:eastAsia="宋体" w:cs="宋体"/>
                <w:color w:val="auto"/>
                <w:sz w:val="16"/>
                <w:szCs w:val="16"/>
                <w:lang w:val="en" w:bidi="ar"/>
              </w:rPr>
              <w:t>m³</w:t>
            </w:r>
          </w:p>
        </w:tc>
        <w:tc>
          <w:tcPr>
            <w:tcW w:w="79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1.27</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87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r>
      <w:tr>
        <w:tblPrEx>
          <w:tblCellMar>
            <w:top w:w="0" w:type="dxa"/>
            <w:left w:w="108" w:type="dxa"/>
            <w:bottom w:w="0" w:type="dxa"/>
            <w:right w:w="108" w:type="dxa"/>
          </w:tblCellMar>
        </w:tblPrEx>
        <w:trPr>
          <w:trHeight w:val="398"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4</w:t>
            </w:r>
          </w:p>
        </w:tc>
        <w:tc>
          <w:tcPr>
            <w:tcW w:w="100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011605001002</w:t>
            </w:r>
          </w:p>
        </w:tc>
        <w:tc>
          <w:tcPr>
            <w:tcW w:w="142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拆除石材压顶</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1.拆除石材压顶</w:t>
            </w:r>
          </w:p>
        </w:tc>
        <w:tc>
          <w:tcPr>
            <w:tcW w:w="59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default" w:ascii="宋体" w:hAnsi="宋体" w:eastAsia="宋体" w:cs="宋体"/>
                <w:color w:val="auto"/>
                <w:sz w:val="16"/>
                <w:szCs w:val="16"/>
                <w:lang w:val="en"/>
              </w:rPr>
            </w:pPr>
            <w:r>
              <w:rPr>
                <w:rFonts w:hint="default" w:ascii="宋体" w:hAnsi="宋体" w:eastAsia="宋体" w:cs="宋体"/>
                <w:color w:val="auto"/>
                <w:sz w:val="16"/>
                <w:szCs w:val="16"/>
                <w:lang w:val="en" w:bidi="ar"/>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7.75</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87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r>
      <w:tr>
        <w:tblPrEx>
          <w:tblCellMar>
            <w:top w:w="0" w:type="dxa"/>
            <w:left w:w="108" w:type="dxa"/>
            <w:bottom w:w="0" w:type="dxa"/>
            <w:right w:w="108" w:type="dxa"/>
          </w:tblCellMar>
        </w:tblPrEx>
        <w:trPr>
          <w:trHeight w:val="398"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5</w:t>
            </w:r>
          </w:p>
        </w:tc>
        <w:tc>
          <w:tcPr>
            <w:tcW w:w="100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011601001001</w:t>
            </w:r>
          </w:p>
        </w:tc>
        <w:tc>
          <w:tcPr>
            <w:tcW w:w="142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拆除花池壁</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1.拆除花池壁</w:t>
            </w:r>
          </w:p>
        </w:tc>
        <w:tc>
          <w:tcPr>
            <w:tcW w:w="59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6"/>
                <w:szCs w:val="16"/>
              </w:rPr>
            </w:pPr>
            <w:r>
              <w:rPr>
                <w:rFonts w:hint="default" w:ascii="宋体" w:hAnsi="宋体" w:eastAsia="宋体" w:cs="宋体"/>
                <w:color w:val="auto"/>
                <w:sz w:val="16"/>
                <w:szCs w:val="16"/>
                <w:lang w:val="en" w:bidi="ar"/>
              </w:rPr>
              <w:t>m³</w:t>
            </w:r>
          </w:p>
        </w:tc>
        <w:tc>
          <w:tcPr>
            <w:tcW w:w="79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4.03</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87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r>
      <w:tr>
        <w:tblPrEx>
          <w:tblCellMar>
            <w:top w:w="0" w:type="dxa"/>
            <w:left w:w="108" w:type="dxa"/>
            <w:bottom w:w="0" w:type="dxa"/>
            <w:right w:w="108" w:type="dxa"/>
          </w:tblCellMar>
        </w:tblPrEx>
        <w:trPr>
          <w:trHeight w:val="398"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6</w:t>
            </w:r>
          </w:p>
        </w:tc>
        <w:tc>
          <w:tcPr>
            <w:tcW w:w="100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010103001001</w:t>
            </w:r>
          </w:p>
        </w:tc>
        <w:tc>
          <w:tcPr>
            <w:tcW w:w="142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回填方</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1.人工回填土</w:t>
            </w:r>
          </w:p>
        </w:tc>
        <w:tc>
          <w:tcPr>
            <w:tcW w:w="59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6"/>
                <w:szCs w:val="16"/>
              </w:rPr>
            </w:pPr>
            <w:r>
              <w:rPr>
                <w:rFonts w:hint="default" w:ascii="宋体" w:hAnsi="宋体" w:eastAsia="宋体" w:cs="宋体"/>
                <w:color w:val="auto"/>
                <w:sz w:val="16"/>
                <w:szCs w:val="16"/>
                <w:lang w:val="en" w:bidi="ar"/>
              </w:rPr>
              <w:t>m³</w:t>
            </w:r>
          </w:p>
        </w:tc>
        <w:tc>
          <w:tcPr>
            <w:tcW w:w="79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1.83</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87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r>
      <w:tr>
        <w:trPr>
          <w:trHeight w:val="398"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7</w:t>
            </w:r>
          </w:p>
        </w:tc>
        <w:tc>
          <w:tcPr>
            <w:tcW w:w="100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010103001003</w:t>
            </w:r>
          </w:p>
        </w:tc>
        <w:tc>
          <w:tcPr>
            <w:tcW w:w="142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回填方</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1.人工回填碎石</w:t>
            </w:r>
          </w:p>
        </w:tc>
        <w:tc>
          <w:tcPr>
            <w:tcW w:w="59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6"/>
                <w:szCs w:val="16"/>
              </w:rPr>
            </w:pPr>
            <w:r>
              <w:rPr>
                <w:rFonts w:hint="default" w:ascii="宋体" w:hAnsi="宋体" w:eastAsia="宋体" w:cs="宋体"/>
                <w:color w:val="auto"/>
                <w:sz w:val="16"/>
                <w:szCs w:val="16"/>
                <w:lang w:val="en" w:bidi="ar"/>
              </w:rPr>
              <w:t>m³</w:t>
            </w:r>
          </w:p>
        </w:tc>
        <w:tc>
          <w:tcPr>
            <w:tcW w:w="79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2.74</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87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r>
      <w:tr>
        <w:tblPrEx>
          <w:tblCellMar>
            <w:top w:w="0" w:type="dxa"/>
            <w:left w:w="108" w:type="dxa"/>
            <w:bottom w:w="0" w:type="dxa"/>
            <w:right w:w="108" w:type="dxa"/>
          </w:tblCellMar>
        </w:tblPrEx>
        <w:trPr>
          <w:trHeight w:val="562"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8</w:t>
            </w:r>
          </w:p>
        </w:tc>
        <w:tc>
          <w:tcPr>
            <w:tcW w:w="100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010103002001</w:t>
            </w:r>
          </w:p>
        </w:tc>
        <w:tc>
          <w:tcPr>
            <w:tcW w:w="142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废料外运</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1.人工装废料自卸汽车运</w:t>
            </w:r>
            <w:r>
              <w:rPr>
                <w:rFonts w:hint="eastAsia" w:ascii="宋体" w:hAnsi="宋体" w:eastAsia="宋体" w:cs="宋体"/>
                <w:color w:val="auto"/>
                <w:sz w:val="16"/>
                <w:szCs w:val="16"/>
                <w:lang w:bidi="ar"/>
              </w:rPr>
              <w:br w:type="textWrapping"/>
            </w:r>
            <w:r>
              <w:rPr>
                <w:rFonts w:hint="eastAsia" w:ascii="宋体" w:hAnsi="宋体" w:eastAsia="宋体" w:cs="宋体"/>
                <w:color w:val="auto"/>
                <w:sz w:val="16"/>
                <w:szCs w:val="16"/>
                <w:lang w:bidi="ar"/>
              </w:rPr>
              <w:t>2.运距综合考虑</w:t>
            </w:r>
          </w:p>
        </w:tc>
        <w:tc>
          <w:tcPr>
            <w:tcW w:w="59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6"/>
                <w:szCs w:val="16"/>
              </w:rPr>
            </w:pPr>
            <w:r>
              <w:rPr>
                <w:rFonts w:hint="default" w:ascii="宋体" w:hAnsi="宋体" w:eastAsia="宋体" w:cs="宋体"/>
                <w:color w:val="auto"/>
                <w:sz w:val="16"/>
                <w:szCs w:val="16"/>
                <w:lang w:val="en" w:bidi="ar"/>
              </w:rPr>
              <w:t>m³</w:t>
            </w:r>
          </w:p>
        </w:tc>
        <w:tc>
          <w:tcPr>
            <w:tcW w:w="79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64.31</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87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r>
      <w:tr>
        <w:tblPrEx>
          <w:tblCellMar>
            <w:top w:w="0" w:type="dxa"/>
            <w:left w:w="108" w:type="dxa"/>
            <w:bottom w:w="0" w:type="dxa"/>
            <w:right w:w="108" w:type="dxa"/>
          </w:tblCellMar>
        </w:tblPrEx>
        <w:trPr>
          <w:trHeight w:val="398" w:hRule="atLeast"/>
        </w:trPr>
        <w:tc>
          <w:tcPr>
            <w:tcW w:w="508"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6"/>
                <w:szCs w:val="16"/>
              </w:rPr>
            </w:pPr>
          </w:p>
        </w:tc>
        <w:tc>
          <w:tcPr>
            <w:tcW w:w="1007"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6"/>
                <w:szCs w:val="16"/>
              </w:rPr>
            </w:pPr>
          </w:p>
        </w:tc>
        <w:tc>
          <w:tcPr>
            <w:tcW w:w="3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 xml:space="preserve">  分部小计</w:t>
            </w:r>
          </w:p>
        </w:tc>
        <w:tc>
          <w:tcPr>
            <w:tcW w:w="595"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6"/>
                <w:szCs w:val="16"/>
              </w:rPr>
            </w:pPr>
          </w:p>
        </w:tc>
        <w:tc>
          <w:tcPr>
            <w:tcW w:w="790"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6"/>
                <w:szCs w:val="16"/>
              </w:rPr>
            </w:pP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87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r>
      <w:tr>
        <w:tblPrEx>
          <w:tblCellMar>
            <w:top w:w="0" w:type="dxa"/>
            <w:left w:w="108" w:type="dxa"/>
            <w:bottom w:w="0" w:type="dxa"/>
            <w:right w:w="108" w:type="dxa"/>
          </w:tblCellMar>
        </w:tblPrEx>
        <w:trPr>
          <w:trHeight w:val="398"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6"/>
                <w:szCs w:val="16"/>
              </w:rPr>
            </w:pPr>
          </w:p>
        </w:tc>
        <w:tc>
          <w:tcPr>
            <w:tcW w:w="100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6"/>
                <w:szCs w:val="16"/>
              </w:rPr>
            </w:pPr>
          </w:p>
        </w:tc>
        <w:tc>
          <w:tcPr>
            <w:tcW w:w="3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 xml:space="preserve">  新建部分</w:t>
            </w:r>
          </w:p>
        </w:tc>
        <w:tc>
          <w:tcPr>
            <w:tcW w:w="59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hint="eastAsia" w:ascii="宋体" w:hAnsi="宋体" w:eastAsia="宋体" w:cs="宋体"/>
                <w:color w:val="auto"/>
                <w:sz w:val="16"/>
                <w:szCs w:val="16"/>
              </w:rPr>
            </w:pPr>
          </w:p>
        </w:tc>
        <w:tc>
          <w:tcPr>
            <w:tcW w:w="790"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6"/>
                <w:szCs w:val="16"/>
              </w:rPr>
            </w:pP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87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r>
      <w:tr>
        <w:trPr>
          <w:trHeight w:val="1696"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9</w:t>
            </w:r>
          </w:p>
        </w:tc>
        <w:tc>
          <w:tcPr>
            <w:tcW w:w="100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011101001001</w:t>
            </w:r>
          </w:p>
        </w:tc>
        <w:tc>
          <w:tcPr>
            <w:tcW w:w="142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地面硬化</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 xml:space="preserve">1.100厚C25细石混凝土地面硬化,表面压光,内配双向φC6钢筋@200 </w:t>
            </w:r>
            <w:r>
              <w:rPr>
                <w:rFonts w:hint="eastAsia" w:ascii="宋体" w:hAnsi="宋体" w:eastAsia="宋体" w:cs="宋体"/>
                <w:color w:val="auto"/>
                <w:sz w:val="16"/>
                <w:szCs w:val="16"/>
                <w:lang w:bidi="ar"/>
              </w:rPr>
              <w:br w:type="textWrapping"/>
            </w:r>
            <w:r>
              <w:rPr>
                <w:rFonts w:hint="eastAsia" w:ascii="宋体" w:hAnsi="宋体" w:eastAsia="宋体" w:cs="宋体"/>
                <w:color w:val="auto"/>
                <w:sz w:val="16"/>
                <w:szCs w:val="16"/>
                <w:lang w:bidi="ar"/>
              </w:rPr>
              <w:t>2.按不大于6x6米的间距切割伸缩缝,缝深约为垫层厚度的1/3</w:t>
            </w:r>
            <w:r>
              <w:rPr>
                <w:rFonts w:hint="eastAsia" w:ascii="宋体" w:hAnsi="宋体" w:eastAsia="宋体" w:cs="宋体"/>
                <w:color w:val="auto"/>
                <w:sz w:val="16"/>
                <w:szCs w:val="16"/>
                <w:lang w:bidi="ar"/>
              </w:rPr>
              <w:br w:type="textWrapping"/>
            </w:r>
            <w:r>
              <w:rPr>
                <w:rFonts w:hint="eastAsia" w:ascii="宋体" w:hAnsi="宋体" w:eastAsia="宋体" w:cs="宋体"/>
                <w:color w:val="auto"/>
                <w:sz w:val="16"/>
                <w:szCs w:val="16"/>
                <w:lang w:bidi="ar"/>
              </w:rPr>
              <w:t xml:space="preserve">3.素土夯实,夯实系数&gt;0.93 </w:t>
            </w:r>
          </w:p>
        </w:tc>
        <w:tc>
          <w:tcPr>
            <w:tcW w:w="59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6"/>
                <w:szCs w:val="16"/>
              </w:rPr>
            </w:pPr>
            <w:r>
              <w:rPr>
                <w:rFonts w:hint="default" w:ascii="宋体" w:hAnsi="宋体" w:eastAsia="宋体" w:cs="宋体"/>
                <w:color w:val="auto"/>
                <w:sz w:val="16"/>
                <w:szCs w:val="16"/>
                <w:lang w:val="en" w:bidi="ar"/>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151.89</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87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r>
      <w:tr>
        <w:tblPrEx>
          <w:tblCellMar>
            <w:top w:w="0" w:type="dxa"/>
            <w:left w:w="108" w:type="dxa"/>
            <w:bottom w:w="0" w:type="dxa"/>
            <w:right w:w="108" w:type="dxa"/>
          </w:tblCellMar>
        </w:tblPrEx>
        <w:trPr>
          <w:trHeight w:val="562"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10</w:t>
            </w:r>
          </w:p>
        </w:tc>
        <w:tc>
          <w:tcPr>
            <w:tcW w:w="100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011102003001</w:t>
            </w:r>
          </w:p>
        </w:tc>
        <w:tc>
          <w:tcPr>
            <w:tcW w:w="142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石材收边条</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1.30厚50mm宽荔枝面芝麻黑</w:t>
            </w:r>
            <w:r>
              <w:rPr>
                <w:rFonts w:hint="eastAsia" w:ascii="宋体" w:hAnsi="宋体" w:eastAsia="宋体" w:cs="宋体"/>
                <w:color w:val="auto"/>
                <w:sz w:val="16"/>
                <w:szCs w:val="16"/>
                <w:lang w:bidi="ar"/>
              </w:rPr>
              <w:br w:type="textWrapping"/>
            </w:r>
            <w:r>
              <w:rPr>
                <w:rFonts w:hint="eastAsia" w:ascii="宋体" w:hAnsi="宋体" w:eastAsia="宋体" w:cs="宋体"/>
                <w:color w:val="auto"/>
                <w:sz w:val="16"/>
                <w:szCs w:val="16"/>
                <w:lang w:bidi="ar"/>
              </w:rPr>
              <w:t>2.30厚1:2水泥砂浆结合层</w:t>
            </w:r>
          </w:p>
        </w:tc>
        <w:tc>
          <w:tcPr>
            <w:tcW w:w="59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6"/>
                <w:szCs w:val="16"/>
              </w:rPr>
            </w:pPr>
            <w:r>
              <w:rPr>
                <w:rFonts w:hint="default" w:ascii="宋体" w:hAnsi="宋体" w:eastAsia="宋体" w:cs="宋体"/>
                <w:color w:val="auto"/>
                <w:sz w:val="16"/>
                <w:szCs w:val="16"/>
                <w:lang w:val="en" w:bidi="ar"/>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1.48</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87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r>
      <w:tr>
        <w:tblPrEx>
          <w:tblCellMar>
            <w:top w:w="0" w:type="dxa"/>
            <w:left w:w="108" w:type="dxa"/>
            <w:bottom w:w="0" w:type="dxa"/>
            <w:right w:w="108" w:type="dxa"/>
          </w:tblCellMar>
        </w:tblPrEx>
        <w:trPr>
          <w:trHeight w:val="3962" w:hRule="atLeast"/>
        </w:trPr>
        <w:tc>
          <w:tcPr>
            <w:tcW w:w="5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11</w:t>
            </w:r>
          </w:p>
        </w:tc>
        <w:tc>
          <w:tcPr>
            <w:tcW w:w="100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011101005001</w:t>
            </w:r>
          </w:p>
        </w:tc>
        <w:tc>
          <w:tcPr>
            <w:tcW w:w="142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2.0厚地坪漆</w:t>
            </w:r>
          </w:p>
        </w:tc>
        <w:tc>
          <w:tcPr>
            <w:tcW w:w="2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1.基层处理: 使用研磨机对混凝土基层进行全面打磨,去除表面浮浆和杂质,并用工业吸尘器彻底清洁。</w:t>
            </w:r>
            <w:r>
              <w:rPr>
                <w:rFonts w:hint="eastAsia" w:ascii="宋体" w:hAnsi="宋体" w:eastAsia="宋体" w:cs="宋体"/>
                <w:color w:val="auto"/>
                <w:sz w:val="16"/>
                <w:szCs w:val="16"/>
                <w:lang w:bidi="ar"/>
              </w:rPr>
              <w:br w:type="textWrapping"/>
            </w:r>
            <w:r>
              <w:rPr>
                <w:rFonts w:hint="eastAsia" w:ascii="宋体" w:hAnsi="宋体" w:eastAsia="宋体" w:cs="宋体"/>
                <w:color w:val="auto"/>
                <w:sz w:val="16"/>
                <w:szCs w:val="16"/>
                <w:lang w:bidi="ar"/>
              </w:rPr>
              <w:t>2.底涂施工: 将环氧底漆按比例混合均匀,用滚筒均匀滚涂。</w:t>
            </w:r>
            <w:r>
              <w:rPr>
                <w:rFonts w:hint="eastAsia" w:ascii="宋体" w:hAnsi="宋体" w:eastAsia="宋体" w:cs="宋体"/>
                <w:color w:val="auto"/>
                <w:sz w:val="16"/>
                <w:szCs w:val="16"/>
                <w:lang w:bidi="ar"/>
              </w:rPr>
              <w:br w:type="textWrapping"/>
            </w:r>
            <w:r>
              <w:rPr>
                <w:rFonts w:hint="eastAsia" w:ascii="宋体" w:hAnsi="宋体" w:eastAsia="宋体" w:cs="宋体"/>
                <w:color w:val="auto"/>
                <w:sz w:val="16"/>
                <w:szCs w:val="16"/>
                <w:lang w:bidi="ar"/>
              </w:rPr>
              <w:t>3.中涂施工(批刮): 将环氧中涂材料按比例混合石英砂,用刮刀整体批刮1-2遍。</w:t>
            </w:r>
            <w:r>
              <w:rPr>
                <w:rFonts w:hint="eastAsia" w:ascii="宋体" w:hAnsi="宋体" w:eastAsia="宋体" w:cs="宋体"/>
                <w:color w:val="auto"/>
                <w:sz w:val="16"/>
                <w:szCs w:val="16"/>
                <w:lang w:bidi="ar"/>
              </w:rPr>
              <w:br w:type="textWrapping"/>
            </w:r>
            <w:r>
              <w:rPr>
                <w:rFonts w:hint="eastAsia" w:ascii="宋体" w:hAnsi="宋体" w:eastAsia="宋体" w:cs="宋体"/>
                <w:color w:val="auto"/>
                <w:sz w:val="16"/>
                <w:szCs w:val="16"/>
                <w:lang w:bidi="ar"/>
              </w:rPr>
              <w:t>4.面涂施工: 将调配好颜色的环氧面漆用滚筒均匀滚涂。滚涂1-2遍,确保颜色均匀饱满。</w:t>
            </w:r>
            <w:r>
              <w:rPr>
                <w:rFonts w:hint="eastAsia" w:ascii="宋体" w:hAnsi="宋体" w:eastAsia="宋体" w:cs="宋体"/>
                <w:color w:val="auto"/>
                <w:sz w:val="16"/>
                <w:szCs w:val="16"/>
                <w:lang w:bidi="ar"/>
              </w:rPr>
              <w:br w:type="textWrapping"/>
            </w:r>
            <w:r>
              <w:rPr>
                <w:rFonts w:hint="eastAsia" w:ascii="宋体" w:hAnsi="宋体" w:eastAsia="宋体" w:cs="宋体"/>
                <w:color w:val="auto"/>
                <w:sz w:val="16"/>
                <w:szCs w:val="16"/>
                <w:lang w:bidi="ar"/>
              </w:rPr>
              <w:t>5.防滑罩面层: 在色漆层干透后,滚涂一道专业的防滑清漆。</w:t>
            </w:r>
          </w:p>
        </w:tc>
        <w:tc>
          <w:tcPr>
            <w:tcW w:w="59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6"/>
                <w:szCs w:val="16"/>
              </w:rPr>
            </w:pPr>
            <w:r>
              <w:rPr>
                <w:rFonts w:hint="default" w:ascii="宋体" w:hAnsi="宋体" w:eastAsia="宋体" w:cs="宋体"/>
                <w:color w:val="auto"/>
                <w:sz w:val="16"/>
                <w:szCs w:val="16"/>
                <w:lang w:val="en" w:bidi="ar"/>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152.77</w:t>
            </w: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87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r>
      <w:tr>
        <w:tblPrEx>
          <w:tblCellMar>
            <w:top w:w="0" w:type="dxa"/>
            <w:left w:w="108" w:type="dxa"/>
            <w:bottom w:w="0" w:type="dxa"/>
            <w:right w:w="108" w:type="dxa"/>
          </w:tblCellMar>
        </w:tblPrEx>
        <w:trPr>
          <w:trHeight w:val="398" w:hRule="atLeast"/>
        </w:trPr>
        <w:tc>
          <w:tcPr>
            <w:tcW w:w="508"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6"/>
                <w:szCs w:val="16"/>
              </w:rPr>
            </w:pPr>
          </w:p>
        </w:tc>
        <w:tc>
          <w:tcPr>
            <w:tcW w:w="1007"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6"/>
                <w:szCs w:val="16"/>
              </w:rPr>
            </w:pPr>
          </w:p>
        </w:tc>
        <w:tc>
          <w:tcPr>
            <w:tcW w:w="3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 xml:space="preserve">  分部小计</w:t>
            </w:r>
          </w:p>
        </w:tc>
        <w:tc>
          <w:tcPr>
            <w:tcW w:w="595"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6"/>
                <w:szCs w:val="16"/>
              </w:rPr>
            </w:pPr>
          </w:p>
        </w:tc>
        <w:tc>
          <w:tcPr>
            <w:tcW w:w="790"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6"/>
                <w:szCs w:val="16"/>
              </w:rPr>
            </w:pP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87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r>
      <w:tr>
        <w:trPr>
          <w:trHeight w:val="398" w:hRule="atLeast"/>
        </w:trPr>
        <w:tc>
          <w:tcPr>
            <w:tcW w:w="508"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6"/>
                <w:szCs w:val="16"/>
              </w:rPr>
            </w:pPr>
          </w:p>
        </w:tc>
        <w:tc>
          <w:tcPr>
            <w:tcW w:w="1007"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6"/>
                <w:szCs w:val="16"/>
              </w:rPr>
            </w:pPr>
          </w:p>
        </w:tc>
        <w:tc>
          <w:tcPr>
            <w:tcW w:w="38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分部小计</w:t>
            </w:r>
          </w:p>
        </w:tc>
        <w:tc>
          <w:tcPr>
            <w:tcW w:w="595"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6"/>
                <w:szCs w:val="16"/>
              </w:rPr>
            </w:pPr>
          </w:p>
        </w:tc>
        <w:tc>
          <w:tcPr>
            <w:tcW w:w="790"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6"/>
                <w:szCs w:val="16"/>
              </w:rPr>
            </w:pPr>
          </w:p>
        </w:tc>
        <w:tc>
          <w:tcPr>
            <w:tcW w:w="86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87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r>
      <w:tr>
        <w:tblPrEx>
          <w:tblCellMar>
            <w:top w:w="0" w:type="dxa"/>
            <w:left w:w="108" w:type="dxa"/>
            <w:bottom w:w="0" w:type="dxa"/>
            <w:right w:w="108" w:type="dxa"/>
          </w:tblCellMar>
        </w:tblPrEx>
        <w:trPr>
          <w:trHeight w:val="398" w:hRule="atLeast"/>
        </w:trPr>
        <w:tc>
          <w:tcPr>
            <w:tcW w:w="7648" w:type="dxa"/>
            <w:gridSpan w:val="7"/>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6"/>
                <w:szCs w:val="16"/>
              </w:rPr>
            </w:pPr>
            <w:r>
              <w:rPr>
                <w:rFonts w:hint="eastAsia" w:ascii="宋体" w:hAnsi="宋体" w:eastAsia="宋体" w:cs="宋体"/>
                <w:color w:val="auto"/>
                <w:sz w:val="16"/>
                <w:szCs w:val="16"/>
                <w:lang w:bidi="ar"/>
              </w:rPr>
              <w:t>本页小计</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6"/>
                <w:szCs w:val="16"/>
              </w:rPr>
            </w:pPr>
          </w:p>
        </w:tc>
      </w:tr>
    </w:tbl>
    <w:p>
      <w:pPr>
        <w:ind w:firstLine="400"/>
        <w:rPr>
          <w:rFonts w:hint="eastAsia" w:ascii="宋体" w:hAnsi="宋体" w:eastAsia="宋体" w:cs="宋体"/>
          <w:color w:val="auto"/>
          <w:sz w:val="20"/>
          <w:szCs w:val="20"/>
        </w:rPr>
      </w:pPr>
      <w:r>
        <w:rPr>
          <w:rFonts w:hint="eastAsia" w:ascii="宋体" w:hAnsi="宋体" w:eastAsia="宋体" w:cs="宋体"/>
          <w:color w:val="auto"/>
          <w:sz w:val="20"/>
          <w:szCs w:val="20"/>
        </w:rPr>
        <w:br w:type="page"/>
      </w:r>
    </w:p>
    <w:p>
      <w:pPr>
        <w:widowControl/>
        <w:ind w:firstLine="0" w:firstLineChars="0"/>
        <w:jc w:val="center"/>
        <w:textAlignment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分部分项工程量清单与计价表</w:t>
      </w:r>
      <w:r>
        <w:rPr>
          <w:rFonts w:hint="eastAsia" w:ascii="宋体" w:hAnsi="宋体" w:eastAsia="宋体" w:cs="宋体"/>
          <w:b/>
          <w:bCs/>
          <w:color w:val="auto"/>
          <w:sz w:val="32"/>
          <w:szCs w:val="32"/>
          <w:lang w:bidi="ar"/>
        </w:rPr>
        <w:br w:type="textWrapping"/>
      </w:r>
      <w:r>
        <w:rPr>
          <w:rFonts w:hint="eastAsia" w:ascii="宋体" w:hAnsi="宋体" w:eastAsia="宋体" w:cs="宋体"/>
          <w:b/>
          <w:bCs/>
          <w:color w:val="auto"/>
          <w:sz w:val="32"/>
          <w:szCs w:val="32"/>
          <w:lang w:bidi="ar"/>
        </w:rPr>
        <w:t>（适用于工程量清单计价）</w:t>
      </w:r>
    </w:p>
    <w:tbl>
      <w:tblPr>
        <w:tblStyle w:val="16"/>
        <w:tblW w:w="9600" w:type="dxa"/>
        <w:tblInd w:w="93" w:type="dxa"/>
        <w:tblLayout w:type="fixed"/>
        <w:tblCellMar>
          <w:top w:w="0" w:type="dxa"/>
          <w:left w:w="108" w:type="dxa"/>
          <w:bottom w:w="0" w:type="dxa"/>
          <w:right w:w="108" w:type="dxa"/>
        </w:tblCellMar>
      </w:tblPr>
      <w:tblGrid>
        <w:gridCol w:w="326"/>
        <w:gridCol w:w="944"/>
        <w:gridCol w:w="1686"/>
        <w:gridCol w:w="2225"/>
        <w:gridCol w:w="516"/>
        <w:gridCol w:w="996"/>
        <w:gridCol w:w="1166"/>
        <w:gridCol w:w="740"/>
        <w:gridCol w:w="1001"/>
      </w:tblGrid>
      <w:tr>
        <w:tblPrEx>
          <w:tblCellMar>
            <w:top w:w="0" w:type="dxa"/>
            <w:left w:w="108" w:type="dxa"/>
            <w:bottom w:w="0" w:type="dxa"/>
            <w:right w:w="108" w:type="dxa"/>
          </w:tblCellMar>
        </w:tblPrEx>
        <w:trPr>
          <w:trHeight w:val="388" w:hRule="atLeast"/>
        </w:trPr>
        <w:tc>
          <w:tcPr>
            <w:tcW w:w="2929" w:type="dxa"/>
            <w:gridSpan w:val="3"/>
            <w:tcBorders>
              <w:top w:val="nil"/>
              <w:left w:val="nil"/>
              <w:bottom w:val="nil"/>
              <w:right w:val="nil"/>
            </w:tcBorders>
            <w:vAlign w:val="center"/>
          </w:tcPr>
          <w:p>
            <w:pPr>
              <w:widowControl/>
              <w:spacing w:line="240" w:lineRule="auto"/>
              <w:ind w:firstLine="0" w:firstLineChars="0"/>
              <w:textAlignment w:val="center"/>
              <w:rPr>
                <w:rFonts w:hint="default" w:ascii="宋体" w:hAnsi="宋体" w:eastAsia="宋体" w:cs="宋体"/>
                <w:color w:val="auto"/>
                <w:sz w:val="18"/>
                <w:szCs w:val="18"/>
                <w:lang w:val="en"/>
              </w:rPr>
            </w:pPr>
            <w:r>
              <w:rPr>
                <w:rFonts w:hint="eastAsia" w:ascii="宋体" w:hAnsi="宋体" w:eastAsia="宋体" w:cs="宋体"/>
                <w:color w:val="auto"/>
                <w:sz w:val="18"/>
                <w:szCs w:val="18"/>
                <w:lang w:bidi="ar"/>
              </w:rPr>
              <w:t>工程名称：盐田区</w:t>
            </w:r>
            <w:r>
              <w:rPr>
                <w:rFonts w:hint="default" w:ascii="宋体" w:hAnsi="宋体" w:eastAsia="宋体" w:cs="宋体"/>
                <w:color w:val="auto"/>
                <w:sz w:val="18"/>
                <w:szCs w:val="18"/>
                <w:lang w:val="en" w:bidi="ar"/>
              </w:rPr>
              <w:t>游泳馆修缮项目</w:t>
            </w:r>
          </w:p>
        </w:tc>
        <w:tc>
          <w:tcPr>
            <w:tcW w:w="3702" w:type="dxa"/>
            <w:gridSpan w:val="3"/>
            <w:tcBorders>
              <w:top w:val="nil"/>
              <w:left w:val="nil"/>
              <w:bottom w:val="nil"/>
              <w:right w:val="nil"/>
            </w:tcBorders>
            <w:vAlign w:val="center"/>
          </w:tcPr>
          <w:p>
            <w:pPr>
              <w:widowControl/>
              <w:spacing w:line="240" w:lineRule="auto"/>
              <w:ind w:firstLine="0" w:firstLineChars="0"/>
              <w:jc w:val="center"/>
              <w:textAlignment w:val="center"/>
              <w:rPr>
                <w:rFonts w:hint="default" w:ascii="宋体" w:hAnsi="宋体" w:eastAsia="宋体" w:cs="宋体"/>
                <w:color w:val="auto"/>
                <w:sz w:val="18"/>
                <w:szCs w:val="18"/>
                <w:lang w:val="en"/>
              </w:rPr>
            </w:pPr>
            <w:r>
              <w:rPr>
                <w:rFonts w:hint="eastAsia" w:ascii="宋体" w:hAnsi="宋体" w:eastAsia="宋体" w:cs="宋体"/>
                <w:color w:val="auto"/>
                <w:sz w:val="18"/>
                <w:szCs w:val="18"/>
                <w:lang w:bidi="ar"/>
              </w:rPr>
              <w:t>标段：盐田区</w:t>
            </w:r>
            <w:r>
              <w:rPr>
                <w:rFonts w:hint="default" w:ascii="宋体" w:hAnsi="宋体" w:eastAsia="宋体" w:cs="宋体"/>
                <w:color w:val="auto"/>
                <w:sz w:val="18"/>
                <w:szCs w:val="18"/>
                <w:lang w:val="en" w:bidi="ar"/>
              </w:rPr>
              <w:t>游泳馆修缮项目</w:t>
            </w:r>
          </w:p>
        </w:tc>
        <w:tc>
          <w:tcPr>
            <w:tcW w:w="2880" w:type="dxa"/>
            <w:gridSpan w:val="3"/>
            <w:tcBorders>
              <w:top w:val="nil"/>
              <w:left w:val="nil"/>
              <w:bottom w:val="single" w:color="000000" w:sz="4" w:space="0"/>
              <w:right w:val="nil"/>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第 2 页 共 4 页</w:t>
            </w:r>
          </w:p>
        </w:tc>
      </w:tr>
      <w:tr>
        <w:tblPrEx>
          <w:tblCellMar>
            <w:top w:w="0" w:type="dxa"/>
            <w:left w:w="108" w:type="dxa"/>
            <w:bottom w:w="0" w:type="dxa"/>
            <w:right w:w="108" w:type="dxa"/>
          </w:tblCellMar>
        </w:tblPrEx>
        <w:trPr>
          <w:trHeight w:val="562" w:hRule="atLeast"/>
        </w:trPr>
        <w:tc>
          <w:tcPr>
            <w:tcW w:w="32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序号</w:t>
            </w:r>
          </w:p>
        </w:tc>
        <w:tc>
          <w:tcPr>
            <w:tcW w:w="9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项目编码</w:t>
            </w:r>
          </w:p>
        </w:tc>
        <w:tc>
          <w:tcPr>
            <w:tcW w:w="167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项目名称</w:t>
            </w:r>
          </w:p>
        </w:tc>
        <w:tc>
          <w:tcPr>
            <w:tcW w:w="220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项目特征描述</w:t>
            </w:r>
          </w:p>
        </w:tc>
        <w:tc>
          <w:tcPr>
            <w:tcW w:w="51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计量单位</w:t>
            </w:r>
          </w:p>
        </w:tc>
        <w:tc>
          <w:tcPr>
            <w:tcW w:w="98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工程量</w:t>
            </w:r>
          </w:p>
        </w:tc>
        <w:tc>
          <w:tcPr>
            <w:tcW w:w="2880"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金额(元)</w:t>
            </w:r>
          </w:p>
        </w:tc>
      </w:tr>
      <w:tr>
        <w:tblPrEx>
          <w:tblCellMar>
            <w:top w:w="0" w:type="dxa"/>
            <w:left w:w="108" w:type="dxa"/>
            <w:bottom w:w="0" w:type="dxa"/>
            <w:right w:w="108" w:type="dxa"/>
          </w:tblCellMar>
        </w:tblPrEx>
        <w:trPr>
          <w:trHeight w:val="938" w:hRule="atLeast"/>
        </w:trPr>
        <w:tc>
          <w:tcPr>
            <w:tcW w:w="32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167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2204"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511"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综合单价</w:t>
            </w:r>
          </w:p>
        </w:tc>
        <w:tc>
          <w:tcPr>
            <w:tcW w:w="733"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合价</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材料设备暂估合价</w:t>
            </w:r>
          </w:p>
        </w:tc>
      </w:tr>
      <w:tr>
        <w:trPr>
          <w:trHeight w:val="398"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93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387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天台防水及天花维修改造</w:t>
            </w:r>
          </w:p>
        </w:tc>
        <w:tc>
          <w:tcPr>
            <w:tcW w:w="51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hint="eastAsia" w:ascii="宋体" w:hAnsi="宋体" w:eastAsia="宋体" w:cs="宋体"/>
                <w:color w:val="auto"/>
                <w:sz w:val="18"/>
                <w:szCs w:val="18"/>
              </w:rPr>
            </w:pPr>
          </w:p>
        </w:tc>
        <w:tc>
          <w:tcPr>
            <w:tcW w:w="987"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786"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12</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011605001004</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天台平面块料拆除</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1.铲除原地砖及至结构楼板</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2.人工装废料自卸汽车运 运距综合考虑</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default" w:ascii="宋体" w:hAnsi="宋体" w:eastAsia="宋体" w:cs="宋体"/>
                <w:color w:val="auto"/>
                <w:sz w:val="18"/>
                <w:szCs w:val="18"/>
                <w:lang w:val="en"/>
              </w:rPr>
            </w:pPr>
            <w:r>
              <w:rPr>
                <w:rFonts w:hint="default" w:ascii="宋体" w:hAnsi="宋体" w:eastAsia="宋体" w:cs="宋体"/>
                <w:color w:val="auto"/>
                <w:sz w:val="18"/>
                <w:szCs w:val="18"/>
                <w:lang w:val="en" w:bidi="ar"/>
              </w:rPr>
              <w:t>㎡</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36.71</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8"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13</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011601001003</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拆除挡水侧砖</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1.拆除挡水侧砖</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default" w:ascii="宋体" w:hAnsi="宋体" w:eastAsia="宋体" w:cs="宋体"/>
                <w:color w:val="auto"/>
                <w:sz w:val="18"/>
                <w:szCs w:val="18"/>
                <w:lang w:val="en"/>
              </w:rPr>
            </w:pPr>
            <w:r>
              <w:rPr>
                <w:rFonts w:hint="default" w:ascii="宋体" w:hAnsi="宋体" w:eastAsia="宋体" w:cs="宋体"/>
                <w:color w:val="auto"/>
                <w:sz w:val="18"/>
                <w:szCs w:val="18"/>
                <w:lang w:val="en" w:bidi="ar"/>
              </w:rPr>
              <w:t>m³</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4.03</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786"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14</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011606002001</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墙柱面龙骨及饰面拆除</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1.切除100mm高铝板装饰柱面</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2.人工装废料自卸汽车运 运距综合考虑</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default" w:ascii="宋体" w:hAnsi="宋体" w:eastAsia="宋体" w:cs="宋体"/>
                <w:color w:val="auto"/>
                <w:sz w:val="18"/>
                <w:szCs w:val="18"/>
                <w:lang w:val="en" w:bidi="ar"/>
              </w:rPr>
              <w:t>㎡</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0.19</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rPr>
          <w:trHeight w:val="1010"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15</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011201001001</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墙面一般抹灰</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1.1:3干硬性水泥砂浆,内装直径15PVC导水管</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2.部位：切除100mm高铝板装饰柱</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default" w:ascii="宋体" w:hAnsi="宋体" w:eastAsia="宋体" w:cs="宋体"/>
                <w:color w:val="auto"/>
                <w:sz w:val="18"/>
                <w:szCs w:val="18"/>
                <w:lang w:val="en" w:bidi="ar"/>
              </w:rPr>
              <w:t>㎡</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0.07</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562"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16</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040201022001</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排水沟、截水沟</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1.100宽x60不锈钢线性水槽(接入现场排水系统)</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m</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10.95</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786"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17</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011102001003</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门槛石</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1.25mm门槛石</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 xml:space="preserve">2.20mm厚M15预拌地面砂浆结合层 </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default" w:ascii="宋体" w:hAnsi="宋体" w:eastAsia="宋体" w:cs="宋体"/>
                <w:color w:val="auto"/>
                <w:sz w:val="18"/>
                <w:szCs w:val="18"/>
                <w:lang w:val="en" w:bidi="ar"/>
              </w:rPr>
              <w:t>㎡</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0.7</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1010"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18</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011101003001</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细石混凝土楼地面</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1.基面有裂缝修补,刷渗透环氧基层处理剂一道</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2.用C30细石砼按平面图布置找坡2%(最薄处40㎜厚)</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default" w:ascii="宋体" w:hAnsi="宋体" w:eastAsia="宋体" w:cs="宋体"/>
                <w:color w:val="auto"/>
                <w:sz w:val="18"/>
                <w:szCs w:val="18"/>
                <w:lang w:val="en" w:bidi="ar"/>
              </w:rPr>
              <w:t>㎡</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36.71</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rPr>
          <w:trHeight w:val="562"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19</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010902002001</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屋面涂膜防水</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 xml:space="preserve">1.2.5mm厚水泥基渗透结晶型防水涂料 </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default" w:ascii="宋体" w:hAnsi="宋体" w:eastAsia="宋体" w:cs="宋体"/>
                <w:color w:val="auto"/>
                <w:sz w:val="18"/>
                <w:szCs w:val="18"/>
                <w:lang w:val="en" w:bidi="ar"/>
              </w:rPr>
              <w:t>㎡</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39.71</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562"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20</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010902002002</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屋面涂膜防水</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1.2.0mm厚水泥基聚合物防水涂料</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default" w:ascii="宋体" w:hAnsi="宋体" w:eastAsia="宋体" w:cs="宋体"/>
                <w:color w:val="auto"/>
                <w:sz w:val="18"/>
                <w:szCs w:val="18"/>
                <w:lang w:val="en" w:bidi="ar"/>
              </w:rPr>
              <w:t>㎡</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39.71</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562"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21</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010902002003</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屋面涂膜防水</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1.1.5mm厚水泥基聚合物防水涂料</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default" w:ascii="宋体" w:hAnsi="宋体" w:eastAsia="宋体" w:cs="宋体"/>
                <w:color w:val="auto"/>
                <w:sz w:val="18"/>
                <w:szCs w:val="18"/>
                <w:lang w:val="en" w:bidi="ar"/>
              </w:rPr>
              <w:t>㎡</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39.71</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562"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22</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010902001001</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屋面卷材防水</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1.热塑性聚烯烃防水卷材(TPO)增强型 δ=1.2mm</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default" w:ascii="宋体" w:hAnsi="宋体" w:eastAsia="宋体" w:cs="宋体"/>
                <w:color w:val="auto"/>
                <w:sz w:val="18"/>
                <w:szCs w:val="18"/>
                <w:lang w:val="en" w:bidi="ar"/>
              </w:rPr>
              <w:t>㎡</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39.71</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rPr>
          <w:trHeight w:val="1233"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23</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011101003002</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UEA 补偿收缩混凝土防水层</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1.50厚C30 UEA 补偿收缩混凝土防水层,表面压光</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2.内配φ4钢筋@100,双向,3500~4000设缝,缝嵌填密封胶</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3.满铺0.3厚聚乙烯薄膜一层</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default" w:ascii="宋体" w:hAnsi="宋体" w:eastAsia="宋体" w:cs="宋体"/>
                <w:color w:val="auto"/>
                <w:sz w:val="18"/>
                <w:szCs w:val="18"/>
                <w:lang w:val="en" w:bidi="ar"/>
              </w:rPr>
              <w:t>㎡</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36.71</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1233"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24</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011102003003</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块料楼地面</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1.5厚聚合物水泥砂浆找平保护</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2.30mm厚1:3干硬性水泥砂浆</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3.800x400mm防滑地砖,砖缝采用防霉填缝剂</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default" w:ascii="宋体" w:hAnsi="宋体" w:eastAsia="宋体" w:cs="宋体"/>
                <w:color w:val="auto"/>
                <w:sz w:val="18"/>
                <w:szCs w:val="18"/>
                <w:lang w:val="en" w:bidi="ar"/>
              </w:rPr>
              <w:t>㎡</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36.71</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1233"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25</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011606003001</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天棚面龙骨及饰面拆除</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1.拆除原有天棚面龙骨及饰面</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2.拆除原有铝塑板窗帘盒</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3.人工装废料自卸汽车运 运距综合考虑</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default" w:ascii="宋体" w:hAnsi="宋体" w:eastAsia="宋体" w:cs="宋体"/>
                <w:color w:val="auto"/>
                <w:sz w:val="18"/>
                <w:szCs w:val="18"/>
                <w:lang w:val="en" w:bidi="ar"/>
              </w:rPr>
              <w:t>㎡</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36.56</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562"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26</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030412001001</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普通灯具</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1.破坏性拆除天花原有筒灯</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2.重新安装原有筒灯</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套</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9</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rPr>
          <w:trHeight w:val="398" w:hRule="atLeast"/>
        </w:trPr>
        <w:tc>
          <w:tcPr>
            <w:tcW w:w="7786" w:type="dxa"/>
            <w:gridSpan w:val="7"/>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本页小计</w:t>
            </w: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bl>
    <w:p>
      <w:pPr>
        <w:ind w:firstLine="400"/>
        <w:rPr>
          <w:rFonts w:hint="eastAsia" w:ascii="宋体" w:hAnsi="宋体" w:eastAsia="宋体" w:cs="宋体"/>
          <w:color w:val="auto"/>
          <w:sz w:val="20"/>
          <w:szCs w:val="20"/>
        </w:rPr>
      </w:pPr>
      <w:r>
        <w:rPr>
          <w:rFonts w:hint="eastAsia" w:ascii="宋体" w:hAnsi="宋体" w:eastAsia="宋体" w:cs="宋体"/>
          <w:color w:val="auto"/>
          <w:sz w:val="20"/>
          <w:szCs w:val="20"/>
        </w:rPr>
        <w:br w:type="page"/>
      </w:r>
    </w:p>
    <w:p>
      <w:pPr>
        <w:widowControl/>
        <w:ind w:firstLine="0" w:firstLineChars="0"/>
        <w:jc w:val="center"/>
        <w:textAlignment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分部分项工程量清单与计价表</w:t>
      </w:r>
      <w:r>
        <w:rPr>
          <w:rFonts w:hint="eastAsia" w:ascii="宋体" w:hAnsi="宋体" w:eastAsia="宋体" w:cs="宋体"/>
          <w:b/>
          <w:bCs/>
          <w:color w:val="auto"/>
          <w:sz w:val="32"/>
          <w:szCs w:val="32"/>
          <w:lang w:bidi="ar"/>
        </w:rPr>
        <w:br w:type="textWrapping"/>
      </w:r>
      <w:r>
        <w:rPr>
          <w:rFonts w:hint="eastAsia" w:ascii="宋体" w:hAnsi="宋体" w:eastAsia="宋体" w:cs="宋体"/>
          <w:b/>
          <w:bCs/>
          <w:color w:val="auto"/>
          <w:sz w:val="32"/>
          <w:szCs w:val="32"/>
          <w:lang w:bidi="ar"/>
        </w:rPr>
        <w:t>（适用于工程量清单计价）</w:t>
      </w:r>
    </w:p>
    <w:tbl>
      <w:tblPr>
        <w:tblStyle w:val="16"/>
        <w:tblW w:w="9600" w:type="dxa"/>
        <w:tblInd w:w="93" w:type="dxa"/>
        <w:tblLayout w:type="fixed"/>
        <w:tblCellMar>
          <w:top w:w="0" w:type="dxa"/>
          <w:left w:w="108" w:type="dxa"/>
          <w:bottom w:w="0" w:type="dxa"/>
          <w:right w:w="108" w:type="dxa"/>
        </w:tblCellMar>
      </w:tblPr>
      <w:tblGrid>
        <w:gridCol w:w="326"/>
        <w:gridCol w:w="944"/>
        <w:gridCol w:w="1686"/>
        <w:gridCol w:w="2225"/>
        <w:gridCol w:w="516"/>
        <w:gridCol w:w="996"/>
        <w:gridCol w:w="1166"/>
        <w:gridCol w:w="740"/>
        <w:gridCol w:w="1001"/>
      </w:tblGrid>
      <w:tr>
        <w:tblPrEx>
          <w:tblCellMar>
            <w:top w:w="0" w:type="dxa"/>
            <w:left w:w="108" w:type="dxa"/>
            <w:bottom w:w="0" w:type="dxa"/>
            <w:right w:w="108" w:type="dxa"/>
          </w:tblCellMar>
        </w:tblPrEx>
        <w:trPr>
          <w:trHeight w:val="388" w:hRule="atLeast"/>
        </w:trPr>
        <w:tc>
          <w:tcPr>
            <w:tcW w:w="2929" w:type="dxa"/>
            <w:gridSpan w:val="3"/>
            <w:tcBorders>
              <w:top w:val="nil"/>
              <w:left w:val="nil"/>
              <w:bottom w:val="nil"/>
              <w:right w:val="nil"/>
            </w:tcBorders>
            <w:vAlign w:val="center"/>
          </w:tcPr>
          <w:p>
            <w:pPr>
              <w:widowControl/>
              <w:spacing w:line="240" w:lineRule="auto"/>
              <w:ind w:firstLine="0" w:firstLineChars="0"/>
              <w:textAlignment w:val="center"/>
              <w:rPr>
                <w:rFonts w:hint="default" w:ascii="宋体" w:hAnsi="宋体" w:eastAsia="宋体" w:cs="宋体"/>
                <w:color w:val="auto"/>
                <w:sz w:val="18"/>
                <w:szCs w:val="18"/>
                <w:lang w:val="en"/>
              </w:rPr>
            </w:pPr>
            <w:r>
              <w:rPr>
                <w:rFonts w:hint="eastAsia" w:ascii="宋体" w:hAnsi="宋体" w:eastAsia="宋体" w:cs="宋体"/>
                <w:color w:val="auto"/>
                <w:sz w:val="18"/>
                <w:szCs w:val="18"/>
                <w:lang w:bidi="ar"/>
              </w:rPr>
              <w:t>工程名称：盐田区</w:t>
            </w:r>
            <w:r>
              <w:rPr>
                <w:rFonts w:hint="default" w:ascii="宋体" w:hAnsi="宋体" w:eastAsia="宋体" w:cs="宋体"/>
                <w:color w:val="auto"/>
                <w:sz w:val="18"/>
                <w:szCs w:val="18"/>
                <w:lang w:val="en" w:bidi="ar"/>
              </w:rPr>
              <w:t>游泳馆修缮项目</w:t>
            </w:r>
          </w:p>
        </w:tc>
        <w:tc>
          <w:tcPr>
            <w:tcW w:w="3702" w:type="dxa"/>
            <w:gridSpan w:val="3"/>
            <w:tcBorders>
              <w:top w:val="nil"/>
              <w:left w:val="nil"/>
              <w:bottom w:val="nil"/>
              <w:right w:val="nil"/>
            </w:tcBorders>
            <w:vAlign w:val="center"/>
          </w:tcPr>
          <w:p>
            <w:pPr>
              <w:widowControl/>
              <w:spacing w:line="240" w:lineRule="auto"/>
              <w:ind w:firstLine="0" w:firstLineChars="0"/>
              <w:jc w:val="center"/>
              <w:textAlignment w:val="center"/>
              <w:rPr>
                <w:rFonts w:hint="default" w:ascii="宋体" w:hAnsi="宋体" w:eastAsia="宋体" w:cs="宋体"/>
                <w:color w:val="auto"/>
                <w:sz w:val="18"/>
                <w:szCs w:val="18"/>
                <w:lang w:val="en"/>
              </w:rPr>
            </w:pPr>
            <w:r>
              <w:rPr>
                <w:rFonts w:hint="eastAsia" w:ascii="宋体" w:hAnsi="宋体" w:eastAsia="宋体" w:cs="宋体"/>
                <w:color w:val="auto"/>
                <w:sz w:val="18"/>
                <w:szCs w:val="18"/>
                <w:lang w:bidi="ar"/>
              </w:rPr>
              <w:t>标段：盐田区</w:t>
            </w:r>
            <w:r>
              <w:rPr>
                <w:rFonts w:hint="default" w:ascii="宋体" w:hAnsi="宋体" w:eastAsia="宋体" w:cs="宋体"/>
                <w:color w:val="auto"/>
                <w:sz w:val="18"/>
                <w:szCs w:val="18"/>
                <w:lang w:val="en" w:bidi="ar"/>
              </w:rPr>
              <w:t>游泳馆修缮项目</w:t>
            </w:r>
          </w:p>
        </w:tc>
        <w:tc>
          <w:tcPr>
            <w:tcW w:w="2880" w:type="dxa"/>
            <w:gridSpan w:val="3"/>
            <w:tcBorders>
              <w:top w:val="nil"/>
              <w:left w:val="nil"/>
              <w:bottom w:val="single" w:color="000000" w:sz="4" w:space="0"/>
              <w:right w:val="nil"/>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第 3 页 共 4 页</w:t>
            </w:r>
          </w:p>
        </w:tc>
      </w:tr>
      <w:tr>
        <w:tblPrEx>
          <w:tblCellMar>
            <w:top w:w="0" w:type="dxa"/>
            <w:left w:w="108" w:type="dxa"/>
            <w:bottom w:w="0" w:type="dxa"/>
            <w:right w:w="108" w:type="dxa"/>
          </w:tblCellMar>
        </w:tblPrEx>
        <w:trPr>
          <w:trHeight w:val="562" w:hRule="atLeast"/>
        </w:trPr>
        <w:tc>
          <w:tcPr>
            <w:tcW w:w="32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序号</w:t>
            </w:r>
          </w:p>
        </w:tc>
        <w:tc>
          <w:tcPr>
            <w:tcW w:w="9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项目编码</w:t>
            </w:r>
          </w:p>
        </w:tc>
        <w:tc>
          <w:tcPr>
            <w:tcW w:w="167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项目名称</w:t>
            </w:r>
          </w:p>
        </w:tc>
        <w:tc>
          <w:tcPr>
            <w:tcW w:w="220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项目特征描述</w:t>
            </w:r>
          </w:p>
        </w:tc>
        <w:tc>
          <w:tcPr>
            <w:tcW w:w="51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计量单位</w:t>
            </w:r>
          </w:p>
        </w:tc>
        <w:tc>
          <w:tcPr>
            <w:tcW w:w="98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工程量</w:t>
            </w:r>
          </w:p>
        </w:tc>
        <w:tc>
          <w:tcPr>
            <w:tcW w:w="2880"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金额(元)</w:t>
            </w:r>
          </w:p>
        </w:tc>
      </w:tr>
      <w:tr>
        <w:tblPrEx>
          <w:tblCellMar>
            <w:top w:w="0" w:type="dxa"/>
            <w:left w:w="108" w:type="dxa"/>
            <w:bottom w:w="0" w:type="dxa"/>
            <w:right w:w="108" w:type="dxa"/>
          </w:tblCellMar>
        </w:tblPrEx>
        <w:trPr>
          <w:trHeight w:val="938" w:hRule="atLeast"/>
        </w:trPr>
        <w:tc>
          <w:tcPr>
            <w:tcW w:w="32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167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2204"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511"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综合单价</w:t>
            </w:r>
          </w:p>
        </w:tc>
        <w:tc>
          <w:tcPr>
            <w:tcW w:w="733"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合价</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材料设备暂估合价</w:t>
            </w:r>
          </w:p>
        </w:tc>
      </w:tr>
      <w:tr>
        <w:tblPrEx>
          <w:tblCellMar>
            <w:top w:w="0" w:type="dxa"/>
            <w:left w:w="108" w:type="dxa"/>
            <w:bottom w:w="0" w:type="dxa"/>
            <w:right w:w="108" w:type="dxa"/>
          </w:tblCellMar>
        </w:tblPrEx>
        <w:trPr>
          <w:trHeight w:val="786"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27</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030412001002</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普通灯具</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1.破坏性拆除天花原有暗藏灯管</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2.重新安装原有筒灯</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套</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9</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1010"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28</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011302001002</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重做原有石膏板吊顶</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1.天棚面龙骨</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2.双层9.5mm厚防水石膏板面层</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3.按展开面积计取</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default" w:ascii="宋体" w:hAnsi="宋体" w:eastAsia="宋体" w:cs="宋体"/>
                <w:color w:val="auto"/>
                <w:sz w:val="18"/>
                <w:szCs w:val="18"/>
                <w:lang w:val="en" w:bidi="ar"/>
              </w:rPr>
              <w:t>㎡</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36.56</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562"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29</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011406001002</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抹灰面油漆</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1.油白色防水乳胶漆 二遍</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2.满刮腻子 二遍</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default" w:ascii="宋体" w:hAnsi="宋体" w:eastAsia="宋体" w:cs="宋体"/>
                <w:color w:val="auto"/>
                <w:sz w:val="18"/>
                <w:szCs w:val="18"/>
                <w:lang w:val="en" w:bidi="ar"/>
              </w:rPr>
              <w:t>㎡</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36.56</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8"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30</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010810003001</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铝塑板窗帘盒</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1.铝塑板窗帘盒  200mm宽</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m</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21.54</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786"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31</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011304002001</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送风口、回风口</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1.保护性拆除铝制空调出风口</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2.原有铝制空调出风口安装</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个</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20</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8" w:hRule="atLeast"/>
        </w:trPr>
        <w:tc>
          <w:tcPr>
            <w:tcW w:w="324"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935"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387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分部小计</w:t>
            </w:r>
          </w:p>
        </w:tc>
        <w:tc>
          <w:tcPr>
            <w:tcW w:w="511"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987"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8"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93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387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卫生间更衣室维修改造</w:t>
            </w:r>
          </w:p>
        </w:tc>
        <w:tc>
          <w:tcPr>
            <w:tcW w:w="51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hint="eastAsia" w:ascii="宋体" w:hAnsi="宋体" w:eastAsia="宋体" w:cs="宋体"/>
                <w:color w:val="auto"/>
                <w:sz w:val="18"/>
                <w:szCs w:val="18"/>
              </w:rPr>
            </w:pPr>
          </w:p>
        </w:tc>
        <w:tc>
          <w:tcPr>
            <w:tcW w:w="987"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8"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32</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011501003001</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衣柜移位</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1.衣柜搬运</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工日</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6</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786"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33</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011102001001</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门槛石拆除</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1.门槛石拆除</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2.人工装废料自卸汽车运 运距综合考虑</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default" w:ascii="宋体" w:hAnsi="宋体" w:eastAsia="宋体" w:cs="宋体"/>
                <w:color w:val="auto"/>
                <w:sz w:val="18"/>
                <w:szCs w:val="18"/>
                <w:lang w:val="en" w:bidi="ar"/>
              </w:rPr>
              <w:t>㎡</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1.19</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786"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34</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011102003002</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原地砖凿毛面</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1.原地砖凿毛面</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2.人工装废料自卸汽车运 运距综合考虑</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default" w:ascii="宋体" w:hAnsi="宋体" w:eastAsia="宋体" w:cs="宋体"/>
                <w:color w:val="auto"/>
                <w:sz w:val="18"/>
                <w:szCs w:val="18"/>
                <w:lang w:val="en" w:bidi="ar"/>
              </w:rPr>
              <w:t>㎡</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292.76</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786"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35</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011102003004</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块料楼地面</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1.600*600mm防滑地砖,砖缝采用防霉填缝剂（美缝剂）</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2.10mm厚防水型瓷砖胶粘接</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default" w:ascii="宋体" w:hAnsi="宋体" w:eastAsia="宋体" w:cs="宋体"/>
                <w:color w:val="auto"/>
                <w:sz w:val="18"/>
                <w:szCs w:val="18"/>
                <w:lang w:val="en" w:bidi="ar"/>
              </w:rPr>
              <w:t>㎡</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292.76</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1472"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36</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011102001002</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门槛石</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1.25mm门槛石</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 xml:space="preserve">2.20mm厚M15预拌地面砂浆结合层 </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3.聚合物水泥基防水涂料(2遍)</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4.基层处理剂一道</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default" w:ascii="宋体" w:hAnsi="宋体" w:eastAsia="宋体" w:cs="宋体"/>
                <w:color w:val="auto"/>
                <w:sz w:val="18"/>
                <w:szCs w:val="18"/>
                <w:lang w:val="en" w:bidi="ar"/>
              </w:rPr>
              <w:t>㎡</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1.19</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562"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37</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011210006001</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其他隔断</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1.保护性拆除</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2.利旧安装隔断</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default" w:ascii="宋体" w:hAnsi="宋体" w:eastAsia="宋体" w:cs="宋体"/>
                <w:color w:val="auto"/>
                <w:sz w:val="18"/>
                <w:szCs w:val="18"/>
                <w:lang w:val="en" w:bidi="ar"/>
              </w:rPr>
              <w:t>㎡</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148.48</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786"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38</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031004014001</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地漏拆除重做</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1.名称:防堵防臭地漏</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2.地漏四周涂刷2.0mm水泥基聚合物防水涂料</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个(组)</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58</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8"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39</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030404033001</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排气扇</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1.名称:静音款排气扇  200w</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台</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24</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8" w:hRule="atLeast"/>
        </w:trPr>
        <w:tc>
          <w:tcPr>
            <w:tcW w:w="324"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935"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387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分部小计</w:t>
            </w:r>
          </w:p>
        </w:tc>
        <w:tc>
          <w:tcPr>
            <w:tcW w:w="511"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987"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8"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93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387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游泳馆天花维修改造</w:t>
            </w:r>
          </w:p>
        </w:tc>
        <w:tc>
          <w:tcPr>
            <w:tcW w:w="51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hint="eastAsia" w:ascii="宋体" w:hAnsi="宋体" w:eastAsia="宋体" w:cs="宋体"/>
                <w:color w:val="auto"/>
                <w:sz w:val="18"/>
                <w:szCs w:val="18"/>
              </w:rPr>
            </w:pPr>
          </w:p>
        </w:tc>
        <w:tc>
          <w:tcPr>
            <w:tcW w:w="987"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786"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40</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030412001003</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普通灯具</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1.保护性拆除天花原有工矿灯</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2.重新安装原有工矿灯</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套</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30</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8" w:hRule="atLeast"/>
        </w:trPr>
        <w:tc>
          <w:tcPr>
            <w:tcW w:w="7786" w:type="dxa"/>
            <w:gridSpan w:val="7"/>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本页小计</w:t>
            </w: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bl>
    <w:p>
      <w:pPr>
        <w:ind w:firstLine="400"/>
        <w:rPr>
          <w:rFonts w:hint="eastAsia" w:ascii="宋体" w:hAnsi="宋体" w:eastAsia="宋体" w:cs="宋体"/>
          <w:color w:val="auto"/>
          <w:sz w:val="20"/>
          <w:szCs w:val="20"/>
        </w:rPr>
      </w:pPr>
      <w:r>
        <w:rPr>
          <w:rFonts w:hint="eastAsia" w:ascii="宋体" w:hAnsi="宋体" w:eastAsia="宋体" w:cs="宋体"/>
          <w:color w:val="auto"/>
          <w:sz w:val="20"/>
          <w:szCs w:val="20"/>
        </w:rPr>
        <w:br w:type="page"/>
      </w:r>
    </w:p>
    <w:p>
      <w:pPr>
        <w:widowControl/>
        <w:ind w:firstLine="0" w:firstLineChars="0"/>
        <w:jc w:val="center"/>
        <w:textAlignment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分部分项工程量清单与计价表</w:t>
      </w:r>
      <w:r>
        <w:rPr>
          <w:rFonts w:hint="eastAsia" w:ascii="宋体" w:hAnsi="宋体" w:eastAsia="宋体" w:cs="宋体"/>
          <w:b/>
          <w:bCs/>
          <w:color w:val="auto"/>
          <w:sz w:val="32"/>
          <w:szCs w:val="32"/>
          <w:lang w:bidi="ar"/>
        </w:rPr>
        <w:br w:type="textWrapping"/>
      </w:r>
      <w:r>
        <w:rPr>
          <w:rFonts w:hint="eastAsia" w:ascii="宋体" w:hAnsi="宋体" w:eastAsia="宋体" w:cs="宋体"/>
          <w:b/>
          <w:bCs/>
          <w:color w:val="auto"/>
          <w:sz w:val="32"/>
          <w:szCs w:val="32"/>
          <w:lang w:bidi="ar"/>
        </w:rPr>
        <w:t>（适用于工程量清单计价）</w:t>
      </w:r>
    </w:p>
    <w:tbl>
      <w:tblPr>
        <w:tblStyle w:val="16"/>
        <w:tblW w:w="9511" w:type="dxa"/>
        <w:tblInd w:w="93" w:type="dxa"/>
        <w:tblLayout w:type="fixed"/>
        <w:tblCellMar>
          <w:top w:w="0" w:type="dxa"/>
          <w:left w:w="108" w:type="dxa"/>
          <w:bottom w:w="0" w:type="dxa"/>
          <w:right w:w="108" w:type="dxa"/>
        </w:tblCellMar>
      </w:tblPr>
      <w:tblGrid>
        <w:gridCol w:w="324"/>
        <w:gridCol w:w="935"/>
        <w:gridCol w:w="1670"/>
        <w:gridCol w:w="2204"/>
        <w:gridCol w:w="511"/>
        <w:gridCol w:w="987"/>
        <w:gridCol w:w="1155"/>
        <w:gridCol w:w="733"/>
        <w:gridCol w:w="992"/>
      </w:tblGrid>
      <w:tr>
        <w:tblPrEx>
          <w:tblCellMar>
            <w:top w:w="0" w:type="dxa"/>
            <w:left w:w="108" w:type="dxa"/>
            <w:bottom w:w="0" w:type="dxa"/>
            <w:right w:w="108" w:type="dxa"/>
          </w:tblCellMar>
        </w:tblPrEx>
        <w:trPr>
          <w:trHeight w:val="388" w:hRule="atLeast"/>
        </w:trPr>
        <w:tc>
          <w:tcPr>
            <w:tcW w:w="2929" w:type="dxa"/>
            <w:gridSpan w:val="3"/>
            <w:tcBorders>
              <w:top w:val="nil"/>
              <w:left w:val="nil"/>
              <w:bottom w:val="nil"/>
              <w:right w:val="nil"/>
            </w:tcBorders>
            <w:vAlign w:val="center"/>
          </w:tcPr>
          <w:p>
            <w:pPr>
              <w:widowControl/>
              <w:spacing w:line="240" w:lineRule="auto"/>
              <w:ind w:firstLine="0" w:firstLineChars="0"/>
              <w:textAlignment w:val="center"/>
              <w:rPr>
                <w:rFonts w:hint="default" w:ascii="宋体" w:hAnsi="宋体" w:eastAsia="宋体" w:cs="宋体"/>
                <w:color w:val="auto"/>
                <w:sz w:val="18"/>
                <w:szCs w:val="18"/>
                <w:lang w:val="en"/>
              </w:rPr>
            </w:pPr>
            <w:r>
              <w:rPr>
                <w:rFonts w:hint="eastAsia" w:ascii="宋体" w:hAnsi="宋体" w:eastAsia="宋体" w:cs="宋体"/>
                <w:color w:val="auto"/>
                <w:sz w:val="18"/>
                <w:szCs w:val="18"/>
                <w:lang w:bidi="ar"/>
              </w:rPr>
              <w:t>工程名称：盐田区</w:t>
            </w:r>
            <w:r>
              <w:rPr>
                <w:rFonts w:hint="default" w:ascii="宋体" w:hAnsi="宋体" w:eastAsia="宋体" w:cs="宋体"/>
                <w:color w:val="auto"/>
                <w:sz w:val="18"/>
                <w:szCs w:val="18"/>
                <w:lang w:val="en" w:bidi="ar"/>
              </w:rPr>
              <w:t>游泳馆修缮项目</w:t>
            </w:r>
          </w:p>
        </w:tc>
        <w:tc>
          <w:tcPr>
            <w:tcW w:w="3702" w:type="dxa"/>
            <w:gridSpan w:val="3"/>
            <w:tcBorders>
              <w:top w:val="nil"/>
              <w:left w:val="nil"/>
              <w:bottom w:val="nil"/>
              <w:right w:val="nil"/>
            </w:tcBorders>
            <w:vAlign w:val="center"/>
          </w:tcPr>
          <w:p>
            <w:pPr>
              <w:widowControl/>
              <w:spacing w:line="240" w:lineRule="auto"/>
              <w:ind w:firstLine="0" w:firstLineChars="0"/>
              <w:jc w:val="center"/>
              <w:textAlignment w:val="center"/>
              <w:rPr>
                <w:rFonts w:hint="default" w:ascii="宋体" w:hAnsi="宋体" w:eastAsia="宋体" w:cs="宋体"/>
                <w:color w:val="auto"/>
                <w:sz w:val="18"/>
                <w:szCs w:val="18"/>
                <w:lang w:val="en"/>
              </w:rPr>
            </w:pPr>
            <w:r>
              <w:rPr>
                <w:rFonts w:hint="eastAsia" w:ascii="宋体" w:hAnsi="宋体" w:eastAsia="宋体" w:cs="宋体"/>
                <w:color w:val="auto"/>
                <w:sz w:val="18"/>
                <w:szCs w:val="18"/>
                <w:lang w:bidi="ar"/>
              </w:rPr>
              <w:t>标段：盐田区</w:t>
            </w:r>
            <w:r>
              <w:rPr>
                <w:rFonts w:hint="default" w:ascii="宋体" w:hAnsi="宋体" w:eastAsia="宋体" w:cs="宋体"/>
                <w:color w:val="auto"/>
                <w:sz w:val="18"/>
                <w:szCs w:val="18"/>
                <w:lang w:val="en" w:bidi="ar"/>
              </w:rPr>
              <w:t>游泳馆修缮项目</w:t>
            </w:r>
          </w:p>
        </w:tc>
        <w:tc>
          <w:tcPr>
            <w:tcW w:w="2880" w:type="dxa"/>
            <w:gridSpan w:val="3"/>
            <w:tcBorders>
              <w:top w:val="nil"/>
              <w:left w:val="nil"/>
              <w:bottom w:val="single" w:color="000000" w:sz="4" w:space="0"/>
              <w:right w:val="nil"/>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第 4 页 共 4 页</w:t>
            </w:r>
          </w:p>
        </w:tc>
      </w:tr>
      <w:tr>
        <w:tblPrEx>
          <w:tblCellMar>
            <w:top w:w="0" w:type="dxa"/>
            <w:left w:w="108" w:type="dxa"/>
            <w:bottom w:w="0" w:type="dxa"/>
            <w:right w:w="108" w:type="dxa"/>
          </w:tblCellMar>
        </w:tblPrEx>
        <w:trPr>
          <w:trHeight w:val="562" w:hRule="atLeast"/>
        </w:trPr>
        <w:tc>
          <w:tcPr>
            <w:tcW w:w="32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序号</w:t>
            </w:r>
          </w:p>
        </w:tc>
        <w:tc>
          <w:tcPr>
            <w:tcW w:w="9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项目编码</w:t>
            </w:r>
          </w:p>
        </w:tc>
        <w:tc>
          <w:tcPr>
            <w:tcW w:w="167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项目名称</w:t>
            </w:r>
          </w:p>
        </w:tc>
        <w:tc>
          <w:tcPr>
            <w:tcW w:w="220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项目特征描述</w:t>
            </w:r>
          </w:p>
        </w:tc>
        <w:tc>
          <w:tcPr>
            <w:tcW w:w="51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计量单位</w:t>
            </w:r>
          </w:p>
        </w:tc>
        <w:tc>
          <w:tcPr>
            <w:tcW w:w="98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工程量</w:t>
            </w:r>
          </w:p>
        </w:tc>
        <w:tc>
          <w:tcPr>
            <w:tcW w:w="2880"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金额(元)</w:t>
            </w:r>
          </w:p>
        </w:tc>
      </w:tr>
      <w:tr>
        <w:tblPrEx>
          <w:tblCellMar>
            <w:top w:w="0" w:type="dxa"/>
            <w:left w:w="108" w:type="dxa"/>
            <w:bottom w:w="0" w:type="dxa"/>
            <w:right w:w="108" w:type="dxa"/>
          </w:tblCellMar>
        </w:tblPrEx>
        <w:trPr>
          <w:trHeight w:val="938" w:hRule="atLeast"/>
        </w:trPr>
        <w:tc>
          <w:tcPr>
            <w:tcW w:w="32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167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2204"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511"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综合单价</w:t>
            </w:r>
          </w:p>
        </w:tc>
        <w:tc>
          <w:tcPr>
            <w:tcW w:w="733"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合价</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材料设备暂估合价</w:t>
            </w:r>
          </w:p>
        </w:tc>
      </w:tr>
      <w:tr>
        <w:tblPrEx>
          <w:tblCellMar>
            <w:top w:w="0" w:type="dxa"/>
            <w:left w:w="108" w:type="dxa"/>
            <w:bottom w:w="0" w:type="dxa"/>
            <w:right w:w="108" w:type="dxa"/>
          </w:tblCellMar>
        </w:tblPrEx>
        <w:trPr>
          <w:trHeight w:val="563"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41</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030412001004</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普通灯具</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1.破坏性拆除天花原有筒灯</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2.重新安装原有筒灯</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套</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30</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1235"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42</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011606003002</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天棚面龙骨及饰面拆除</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1.拆除原有天棚面龙骨及饰面</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2.人工装废料自卸汽车运 运距综合考虑</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3.残值回收</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default" w:ascii="宋体" w:hAnsi="宋体" w:eastAsia="宋体" w:cs="宋体"/>
                <w:color w:val="auto"/>
                <w:sz w:val="18"/>
                <w:szCs w:val="18"/>
                <w:lang w:val="en" w:bidi="ar"/>
              </w:rPr>
              <w:t>㎡</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151.2</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1011"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43</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011604003001</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天棚抹灰面拆除</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1.铲除游泳馆天花楼板局部脱落水泥砂浆保护层</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2.人工装废料自卸汽车运 运距综合考虑</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default" w:ascii="宋体" w:hAnsi="宋体" w:eastAsia="宋体" w:cs="宋体"/>
                <w:color w:val="auto"/>
                <w:sz w:val="18"/>
                <w:szCs w:val="18"/>
                <w:lang w:val="en" w:bidi="ar"/>
              </w:rPr>
              <w:t>㎡</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151.2</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1011"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44</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011304002002</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送风口、回风口</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1.保护性拆除铝制空调出风口</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2.200*500mm铝制空调出风口安装</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个</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30</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1011"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45</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030702003001</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不锈钢板通风管道</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1.镀锌薄钢板矩形风管制作安装(咬口) 板厚δ(mm)，δ=0.5 大边长L(mm) 200＜L≤320</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default" w:ascii="宋体" w:hAnsi="宋体" w:eastAsia="宋体" w:cs="宋体"/>
                <w:color w:val="auto"/>
                <w:sz w:val="18"/>
                <w:szCs w:val="18"/>
                <w:lang w:val="en" w:bidi="ar"/>
              </w:rPr>
              <w:t>㎡</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5</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563"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46</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011301001001</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天棚抹灰</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1.修复游泳馆天花楼板局部脱落水泥砂浆保护层</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default" w:ascii="宋体" w:hAnsi="宋体" w:eastAsia="宋体" w:cs="宋体"/>
                <w:color w:val="auto"/>
                <w:sz w:val="18"/>
                <w:szCs w:val="18"/>
                <w:lang w:val="en" w:bidi="ar"/>
              </w:rPr>
              <w:t>㎡</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50</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9"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47</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011301001002</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混凝土缺损修补</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1.混凝土缺损修补 环氧砂浆</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default" w:ascii="宋体" w:hAnsi="宋体" w:eastAsia="宋体" w:cs="宋体"/>
                <w:color w:val="auto"/>
                <w:sz w:val="18"/>
                <w:szCs w:val="18"/>
                <w:lang w:val="en" w:bidi="ar"/>
              </w:rPr>
              <w:t>㎡</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50</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563"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48</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011405001001</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天棚钢筋除锈</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1.钢筋除锈</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2.手工除锈</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default" w:ascii="宋体" w:hAnsi="宋体" w:eastAsia="宋体" w:cs="宋体"/>
                <w:color w:val="auto"/>
                <w:sz w:val="18"/>
                <w:szCs w:val="18"/>
                <w:lang w:val="en" w:bidi="ar"/>
              </w:rPr>
              <w:t>㎡</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50</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563"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49</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011302001001</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吊顶天棚转换层</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1.天棚型钢转换层、反向支撑</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t</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1.058</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1235"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50</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011302001003</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吊顶天棚</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1.金属方板天棚龙骨 上人型 嵌入式 面层规格(mm) 300×300</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2.1.4mm厚白色氟碳漆铝板天花</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default" w:ascii="宋体" w:hAnsi="宋体" w:eastAsia="宋体" w:cs="宋体"/>
                <w:color w:val="auto"/>
                <w:sz w:val="18"/>
                <w:szCs w:val="18"/>
                <w:lang w:val="en" w:bidi="ar"/>
              </w:rPr>
              <w:t>㎡</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316.58</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9" w:hRule="atLeast"/>
        </w:trPr>
        <w:tc>
          <w:tcPr>
            <w:tcW w:w="3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51</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010805005001</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全玻自由门</w:t>
            </w:r>
          </w:p>
        </w:tc>
        <w:tc>
          <w:tcPr>
            <w:tcW w:w="22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1.玻璃门拆除重装</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default" w:ascii="宋体" w:hAnsi="宋体" w:eastAsia="宋体" w:cs="宋体"/>
                <w:color w:val="auto"/>
                <w:sz w:val="18"/>
                <w:szCs w:val="18"/>
                <w:lang w:val="en" w:bidi="ar"/>
              </w:rPr>
              <w:t>㎡</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6.6</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9" w:hRule="atLeast"/>
        </w:trPr>
        <w:tc>
          <w:tcPr>
            <w:tcW w:w="324"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935"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387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分部小计</w:t>
            </w:r>
          </w:p>
        </w:tc>
        <w:tc>
          <w:tcPr>
            <w:tcW w:w="511"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987"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3" w:hRule="atLeast"/>
        </w:trPr>
        <w:tc>
          <w:tcPr>
            <w:tcW w:w="324"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935"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387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511"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987"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3" w:hRule="atLeast"/>
        </w:trPr>
        <w:tc>
          <w:tcPr>
            <w:tcW w:w="324"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935"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387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511"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987"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3" w:hRule="atLeast"/>
        </w:trPr>
        <w:tc>
          <w:tcPr>
            <w:tcW w:w="324"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935"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387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511"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987"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3" w:hRule="atLeast"/>
        </w:trPr>
        <w:tc>
          <w:tcPr>
            <w:tcW w:w="324"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935"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387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511"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987"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3" w:hRule="atLeast"/>
        </w:trPr>
        <w:tc>
          <w:tcPr>
            <w:tcW w:w="324"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935"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387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511"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987"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3" w:hRule="atLeast"/>
        </w:trPr>
        <w:tc>
          <w:tcPr>
            <w:tcW w:w="324"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935"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387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511"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987"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3" w:hRule="atLeast"/>
        </w:trPr>
        <w:tc>
          <w:tcPr>
            <w:tcW w:w="324"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935"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387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511"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987"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3" w:hRule="atLeast"/>
        </w:trPr>
        <w:tc>
          <w:tcPr>
            <w:tcW w:w="324"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935"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387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511"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987" w:type="dxa"/>
            <w:tcBorders>
              <w:top w:val="single" w:color="000000" w:sz="4" w:space="0"/>
              <w:left w:val="single" w:color="000000" w:sz="4" w:space="0"/>
              <w:bottom w:val="single" w:color="000000" w:sz="4" w:space="0"/>
              <w:right w:val="single" w:color="000000" w:sz="4" w:space="0"/>
            </w:tcBorders>
            <w:noWrap/>
          </w:tcPr>
          <w:p>
            <w:pPr>
              <w:spacing w:line="240" w:lineRule="auto"/>
              <w:ind w:firstLine="0" w:firstLineChars="0"/>
              <w:rPr>
                <w:rFonts w:hint="eastAsia" w:ascii="宋体" w:hAnsi="宋体" w:eastAsia="宋体" w:cs="宋体"/>
                <w:color w:val="auto"/>
                <w:sz w:val="18"/>
                <w:szCs w:val="18"/>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8" w:hRule="atLeast"/>
        </w:trPr>
        <w:tc>
          <w:tcPr>
            <w:tcW w:w="7786" w:type="dxa"/>
            <w:gridSpan w:val="7"/>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本页小计</w:t>
            </w: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408" w:hRule="atLeast"/>
        </w:trPr>
        <w:tc>
          <w:tcPr>
            <w:tcW w:w="7786" w:type="dxa"/>
            <w:gridSpan w:val="7"/>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合    计</w:t>
            </w:r>
          </w:p>
        </w:tc>
        <w:tc>
          <w:tcPr>
            <w:tcW w:w="73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bl>
    <w:p>
      <w:pPr>
        <w:widowControl/>
        <w:ind w:firstLine="0" w:firstLineChars="0"/>
        <w:jc w:val="center"/>
        <w:textAlignment w:val="center"/>
        <w:rPr>
          <w:rFonts w:hint="eastAsia" w:ascii="宋体" w:hAnsi="宋体" w:eastAsia="宋体" w:cs="宋体"/>
          <w:b/>
          <w:bCs/>
          <w:color w:val="auto"/>
          <w:sz w:val="32"/>
          <w:szCs w:val="32"/>
          <w:lang w:bidi="ar"/>
        </w:rPr>
      </w:pPr>
      <w:r>
        <w:rPr>
          <w:rFonts w:hint="eastAsia" w:ascii="宋体" w:hAnsi="宋体" w:eastAsia="宋体" w:cs="宋体"/>
          <w:b/>
          <w:bCs/>
          <w:color w:val="auto"/>
          <w:sz w:val="32"/>
          <w:szCs w:val="32"/>
          <w:lang w:bidi="ar"/>
        </w:rPr>
        <w:br w:type="page"/>
      </w:r>
    </w:p>
    <w:p>
      <w:pPr>
        <w:widowControl/>
        <w:ind w:firstLine="0" w:firstLineChars="0"/>
        <w:jc w:val="center"/>
        <w:textAlignment w:val="center"/>
        <w:outlineLvl w:val="2"/>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措施项目清单与计价汇总表</w:t>
      </w:r>
    </w:p>
    <w:tbl>
      <w:tblPr>
        <w:tblStyle w:val="16"/>
        <w:tblW w:w="9600" w:type="dxa"/>
        <w:tblInd w:w="93" w:type="dxa"/>
        <w:tblLayout w:type="fixed"/>
        <w:tblCellMar>
          <w:top w:w="0" w:type="dxa"/>
          <w:left w:w="108" w:type="dxa"/>
          <w:bottom w:w="0" w:type="dxa"/>
          <w:right w:w="108" w:type="dxa"/>
        </w:tblCellMar>
      </w:tblPr>
      <w:tblGrid>
        <w:gridCol w:w="841"/>
        <w:gridCol w:w="3914"/>
        <w:gridCol w:w="2730"/>
        <w:gridCol w:w="2115"/>
      </w:tblGrid>
      <w:tr>
        <w:tblPrEx>
          <w:tblCellMar>
            <w:top w:w="0" w:type="dxa"/>
            <w:left w:w="108" w:type="dxa"/>
            <w:bottom w:w="0" w:type="dxa"/>
            <w:right w:w="108" w:type="dxa"/>
          </w:tblCellMar>
        </w:tblPrEx>
        <w:trPr>
          <w:trHeight w:val="389" w:hRule="atLeast"/>
        </w:trPr>
        <w:tc>
          <w:tcPr>
            <w:tcW w:w="4755" w:type="dxa"/>
            <w:gridSpan w:val="2"/>
            <w:tcBorders>
              <w:top w:val="nil"/>
              <w:left w:val="nil"/>
              <w:bottom w:val="nil"/>
              <w:right w:val="nil"/>
            </w:tcBorders>
            <w:vAlign w:val="center"/>
          </w:tcPr>
          <w:p>
            <w:pPr>
              <w:widowControl/>
              <w:spacing w:line="240" w:lineRule="auto"/>
              <w:ind w:firstLine="0" w:firstLineChars="0"/>
              <w:textAlignment w:val="center"/>
              <w:rPr>
                <w:rFonts w:hint="default" w:ascii="宋体" w:hAnsi="宋体" w:eastAsia="宋体" w:cs="宋体"/>
                <w:color w:val="auto"/>
                <w:sz w:val="18"/>
                <w:szCs w:val="18"/>
                <w:lang w:val="en"/>
              </w:rPr>
            </w:pPr>
            <w:r>
              <w:rPr>
                <w:rFonts w:hint="eastAsia" w:ascii="宋体" w:hAnsi="宋体" w:eastAsia="宋体" w:cs="宋体"/>
                <w:color w:val="auto"/>
                <w:sz w:val="18"/>
                <w:szCs w:val="18"/>
                <w:lang w:bidi="ar"/>
              </w:rPr>
              <w:t>工程名称：盐田区</w:t>
            </w:r>
            <w:r>
              <w:rPr>
                <w:rFonts w:hint="default" w:ascii="宋体" w:hAnsi="宋体" w:eastAsia="宋体" w:cs="宋体"/>
                <w:color w:val="auto"/>
                <w:sz w:val="18"/>
                <w:szCs w:val="18"/>
                <w:lang w:val="en" w:bidi="ar"/>
              </w:rPr>
              <w:t>游泳馆修缮项目</w:t>
            </w:r>
          </w:p>
        </w:tc>
        <w:tc>
          <w:tcPr>
            <w:tcW w:w="2730" w:type="dxa"/>
            <w:tcBorders>
              <w:top w:val="nil"/>
              <w:left w:val="nil"/>
              <w:bottom w:val="nil"/>
              <w:right w:val="nil"/>
            </w:tcBorders>
            <w:vAlign w:val="center"/>
          </w:tcPr>
          <w:p>
            <w:pPr>
              <w:widowControl/>
              <w:spacing w:line="240" w:lineRule="auto"/>
              <w:ind w:firstLine="0" w:firstLineChars="0"/>
              <w:textAlignment w:val="center"/>
              <w:rPr>
                <w:rFonts w:hint="default" w:ascii="宋体" w:hAnsi="宋体" w:eastAsia="宋体" w:cs="宋体"/>
                <w:color w:val="auto"/>
                <w:sz w:val="18"/>
                <w:szCs w:val="18"/>
                <w:lang w:val="en"/>
              </w:rPr>
            </w:pPr>
            <w:r>
              <w:rPr>
                <w:rFonts w:hint="eastAsia" w:ascii="宋体" w:hAnsi="宋体" w:eastAsia="宋体" w:cs="宋体"/>
                <w:color w:val="auto"/>
                <w:sz w:val="18"/>
                <w:szCs w:val="18"/>
                <w:lang w:bidi="ar"/>
              </w:rPr>
              <w:t>标段：盐田区</w:t>
            </w:r>
            <w:r>
              <w:rPr>
                <w:rFonts w:hint="default" w:ascii="宋体" w:hAnsi="宋体" w:eastAsia="宋体" w:cs="宋体"/>
                <w:color w:val="auto"/>
                <w:sz w:val="18"/>
                <w:szCs w:val="18"/>
                <w:lang w:val="en" w:bidi="ar"/>
              </w:rPr>
              <w:t>游泳馆修缮项目</w:t>
            </w:r>
          </w:p>
        </w:tc>
        <w:tc>
          <w:tcPr>
            <w:tcW w:w="2115" w:type="dxa"/>
            <w:tcBorders>
              <w:top w:val="nil"/>
              <w:left w:val="nil"/>
              <w:bottom w:val="nil"/>
              <w:right w:val="nil"/>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第 1 页 共 1 页</w:t>
            </w:r>
          </w:p>
        </w:tc>
      </w:tr>
      <w:tr>
        <w:tblPrEx>
          <w:tblCellMar>
            <w:top w:w="0" w:type="dxa"/>
            <w:left w:w="108" w:type="dxa"/>
            <w:bottom w:w="0" w:type="dxa"/>
            <w:right w:w="108" w:type="dxa"/>
          </w:tblCellMar>
        </w:tblPrEx>
        <w:trPr>
          <w:trHeight w:val="389"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序号</w:t>
            </w:r>
          </w:p>
        </w:tc>
        <w:tc>
          <w:tcPr>
            <w:tcW w:w="391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项 目 名 称</w:t>
            </w:r>
          </w:p>
        </w:tc>
        <w:tc>
          <w:tcPr>
            <w:tcW w:w="484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金额(元)</w:t>
            </w:r>
          </w:p>
        </w:tc>
      </w:tr>
      <w:tr>
        <w:tblPrEx>
          <w:tblCellMar>
            <w:top w:w="0" w:type="dxa"/>
            <w:left w:w="108" w:type="dxa"/>
            <w:bottom w:w="0" w:type="dxa"/>
            <w:right w:w="108" w:type="dxa"/>
          </w:tblCellMar>
        </w:tblPrEx>
        <w:trPr>
          <w:trHeight w:val="399"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w:t>
            </w:r>
          </w:p>
        </w:tc>
        <w:tc>
          <w:tcPr>
            <w:tcW w:w="391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安全文明施工措施费</w:t>
            </w:r>
          </w:p>
        </w:tc>
        <w:tc>
          <w:tcPr>
            <w:tcW w:w="484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10056.02</w:t>
            </w:r>
          </w:p>
        </w:tc>
      </w:tr>
      <w:tr>
        <w:tblPrEx>
          <w:tblCellMar>
            <w:top w:w="0" w:type="dxa"/>
            <w:left w:w="108" w:type="dxa"/>
            <w:bottom w:w="0" w:type="dxa"/>
            <w:right w:w="108" w:type="dxa"/>
          </w:tblCellMar>
        </w:tblPrEx>
        <w:trPr>
          <w:trHeight w:val="399"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1.1</w:t>
            </w:r>
          </w:p>
        </w:tc>
        <w:tc>
          <w:tcPr>
            <w:tcW w:w="391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安全文明施工措施费(按费率计算)</w:t>
            </w:r>
          </w:p>
        </w:tc>
        <w:tc>
          <w:tcPr>
            <w:tcW w:w="484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8518.53</w:t>
            </w:r>
          </w:p>
        </w:tc>
      </w:tr>
      <w:tr>
        <w:tblPrEx>
          <w:tblCellMar>
            <w:top w:w="0" w:type="dxa"/>
            <w:left w:w="108" w:type="dxa"/>
            <w:bottom w:w="0" w:type="dxa"/>
            <w:right w:w="108" w:type="dxa"/>
          </w:tblCellMar>
        </w:tblPrEx>
        <w:trPr>
          <w:trHeight w:val="399"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1.2</w:t>
            </w:r>
          </w:p>
        </w:tc>
        <w:tc>
          <w:tcPr>
            <w:tcW w:w="391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其他安全文明施工措施(按清单列项)</w:t>
            </w:r>
          </w:p>
        </w:tc>
        <w:tc>
          <w:tcPr>
            <w:tcW w:w="4845" w:type="dxa"/>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9"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1.2.1</w:t>
            </w:r>
          </w:p>
        </w:tc>
        <w:tc>
          <w:tcPr>
            <w:tcW w:w="391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临时围挡费</w:t>
            </w:r>
          </w:p>
        </w:tc>
        <w:tc>
          <w:tcPr>
            <w:tcW w:w="4845" w:type="dxa"/>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9"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1.2.2</w:t>
            </w:r>
          </w:p>
        </w:tc>
        <w:tc>
          <w:tcPr>
            <w:tcW w:w="391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基坑内场地硬地化</w:t>
            </w:r>
          </w:p>
        </w:tc>
        <w:tc>
          <w:tcPr>
            <w:tcW w:w="4845" w:type="dxa"/>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9"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1.3</w:t>
            </w:r>
          </w:p>
        </w:tc>
        <w:tc>
          <w:tcPr>
            <w:tcW w:w="391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产业工人职业训练专项经费</w:t>
            </w:r>
          </w:p>
        </w:tc>
        <w:tc>
          <w:tcPr>
            <w:tcW w:w="484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1537.49</w:t>
            </w:r>
          </w:p>
        </w:tc>
      </w:tr>
      <w:tr>
        <w:tblPrEx>
          <w:tblCellMar>
            <w:top w:w="0" w:type="dxa"/>
            <w:left w:w="108" w:type="dxa"/>
            <w:bottom w:w="0" w:type="dxa"/>
            <w:right w:w="108" w:type="dxa"/>
          </w:tblCellMar>
        </w:tblPrEx>
        <w:trPr>
          <w:trHeight w:val="399"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w:t>
            </w:r>
          </w:p>
        </w:tc>
        <w:tc>
          <w:tcPr>
            <w:tcW w:w="391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履约担保手续费</w:t>
            </w:r>
          </w:p>
        </w:tc>
        <w:tc>
          <w:tcPr>
            <w:tcW w:w="4845" w:type="dxa"/>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9"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w:t>
            </w:r>
          </w:p>
        </w:tc>
        <w:tc>
          <w:tcPr>
            <w:tcW w:w="391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夜间施工增加费</w:t>
            </w:r>
          </w:p>
        </w:tc>
        <w:tc>
          <w:tcPr>
            <w:tcW w:w="4845" w:type="dxa"/>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9"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4</w:t>
            </w:r>
          </w:p>
        </w:tc>
        <w:tc>
          <w:tcPr>
            <w:tcW w:w="391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赶工措施费</w:t>
            </w:r>
          </w:p>
        </w:tc>
        <w:tc>
          <w:tcPr>
            <w:tcW w:w="4845" w:type="dxa"/>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9"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5</w:t>
            </w:r>
          </w:p>
        </w:tc>
        <w:tc>
          <w:tcPr>
            <w:tcW w:w="391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冬雨季施工费</w:t>
            </w:r>
          </w:p>
        </w:tc>
        <w:tc>
          <w:tcPr>
            <w:tcW w:w="4845" w:type="dxa"/>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9"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6</w:t>
            </w:r>
          </w:p>
        </w:tc>
        <w:tc>
          <w:tcPr>
            <w:tcW w:w="391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已完成工程及设备保护费</w:t>
            </w:r>
          </w:p>
        </w:tc>
        <w:tc>
          <w:tcPr>
            <w:tcW w:w="4845" w:type="dxa"/>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9"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7</w:t>
            </w:r>
          </w:p>
        </w:tc>
        <w:tc>
          <w:tcPr>
            <w:tcW w:w="391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地上地下设施及建筑物的临时保护费</w:t>
            </w:r>
          </w:p>
        </w:tc>
        <w:tc>
          <w:tcPr>
            <w:tcW w:w="4845" w:type="dxa"/>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9"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8</w:t>
            </w:r>
          </w:p>
        </w:tc>
        <w:tc>
          <w:tcPr>
            <w:tcW w:w="391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混凝土、钢筋混凝土模板及支架费</w:t>
            </w:r>
          </w:p>
        </w:tc>
        <w:tc>
          <w:tcPr>
            <w:tcW w:w="4845" w:type="dxa"/>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9"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9</w:t>
            </w:r>
          </w:p>
        </w:tc>
        <w:tc>
          <w:tcPr>
            <w:tcW w:w="391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二次搬运费</w:t>
            </w:r>
          </w:p>
        </w:tc>
        <w:tc>
          <w:tcPr>
            <w:tcW w:w="4845" w:type="dxa"/>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9"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10</w:t>
            </w:r>
          </w:p>
        </w:tc>
        <w:tc>
          <w:tcPr>
            <w:tcW w:w="391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脚手架费</w:t>
            </w:r>
          </w:p>
        </w:tc>
        <w:tc>
          <w:tcPr>
            <w:tcW w:w="4845" w:type="dxa"/>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9"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11</w:t>
            </w:r>
          </w:p>
        </w:tc>
        <w:tc>
          <w:tcPr>
            <w:tcW w:w="391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垂直运输机械费</w:t>
            </w:r>
          </w:p>
        </w:tc>
        <w:tc>
          <w:tcPr>
            <w:tcW w:w="4845" w:type="dxa"/>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9"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12</w:t>
            </w:r>
          </w:p>
        </w:tc>
        <w:tc>
          <w:tcPr>
            <w:tcW w:w="391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大型机械设备进出场及安拆费</w:t>
            </w:r>
          </w:p>
        </w:tc>
        <w:tc>
          <w:tcPr>
            <w:tcW w:w="4845" w:type="dxa"/>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9"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13</w:t>
            </w:r>
          </w:p>
        </w:tc>
        <w:tc>
          <w:tcPr>
            <w:tcW w:w="391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施工排水、降水费</w:t>
            </w:r>
          </w:p>
        </w:tc>
        <w:tc>
          <w:tcPr>
            <w:tcW w:w="4845" w:type="dxa"/>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9"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14</w:t>
            </w:r>
          </w:p>
        </w:tc>
        <w:tc>
          <w:tcPr>
            <w:tcW w:w="391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专业工程措施项目费</w:t>
            </w:r>
          </w:p>
        </w:tc>
        <w:tc>
          <w:tcPr>
            <w:tcW w:w="4845" w:type="dxa"/>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9"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14.1</w:t>
            </w:r>
          </w:p>
        </w:tc>
        <w:tc>
          <w:tcPr>
            <w:tcW w:w="391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室内空气污染测试</w:t>
            </w:r>
          </w:p>
        </w:tc>
        <w:tc>
          <w:tcPr>
            <w:tcW w:w="4845" w:type="dxa"/>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9" w:hRule="atLeast"/>
        </w:trPr>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15</w:t>
            </w:r>
          </w:p>
        </w:tc>
        <w:tc>
          <w:tcPr>
            <w:tcW w:w="391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其他</w:t>
            </w:r>
          </w:p>
        </w:tc>
        <w:tc>
          <w:tcPr>
            <w:tcW w:w="4845" w:type="dxa"/>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9" w:hRule="atLeast"/>
        </w:trPr>
        <w:tc>
          <w:tcPr>
            <w:tcW w:w="475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合  计</w:t>
            </w:r>
          </w:p>
        </w:tc>
        <w:tc>
          <w:tcPr>
            <w:tcW w:w="4845" w:type="dxa"/>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89" w:hRule="atLeast"/>
        </w:trPr>
        <w:tc>
          <w:tcPr>
            <w:tcW w:w="9600" w:type="dxa"/>
            <w:gridSpan w:val="4"/>
            <w:tcBorders>
              <w:top w:val="single" w:color="000000" w:sz="4" w:space="0"/>
              <w:left w:val="nil"/>
              <w:bottom w:val="nil"/>
              <w:right w:val="nil"/>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 xml:space="preserve">   注：专业工程措施项目费可根据工程实际在本表中补充。</w:t>
            </w:r>
          </w:p>
        </w:tc>
      </w:tr>
    </w:tbl>
    <w:p>
      <w:pPr>
        <w:pStyle w:val="20"/>
        <w:shd w:val="clear" w:color="auto" w:fill="auto"/>
        <w:jc w:val="left"/>
        <w:rPr>
          <w:rFonts w:hint="eastAsia"/>
          <w:color w:val="auto"/>
          <w:sz w:val="22"/>
          <w:szCs w:val="22"/>
        </w:rPr>
      </w:pPr>
    </w:p>
    <w:p>
      <w:pPr>
        <w:ind w:firstLine="440"/>
        <w:rPr>
          <w:rFonts w:hint="eastAsia" w:ascii="宋体" w:hAnsi="宋体" w:eastAsia="宋体" w:cs="宋体"/>
          <w:color w:val="auto"/>
          <w:sz w:val="22"/>
        </w:rPr>
      </w:pPr>
      <w:r>
        <w:rPr>
          <w:rFonts w:hint="eastAsia" w:ascii="宋体" w:hAnsi="宋体" w:eastAsia="宋体" w:cs="宋体"/>
          <w:color w:val="auto"/>
          <w:sz w:val="22"/>
        </w:rPr>
        <w:br w:type="page"/>
      </w:r>
    </w:p>
    <w:p>
      <w:pPr>
        <w:widowControl/>
        <w:ind w:firstLine="0" w:firstLineChars="0"/>
        <w:jc w:val="center"/>
        <w:textAlignment w:val="center"/>
        <w:outlineLvl w:val="2"/>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措施项目清单与计价表(一)</w:t>
      </w:r>
      <w:r>
        <w:rPr>
          <w:rFonts w:hint="eastAsia" w:ascii="宋体" w:hAnsi="宋体" w:eastAsia="宋体" w:cs="宋体"/>
          <w:b/>
          <w:bCs/>
          <w:color w:val="auto"/>
          <w:sz w:val="32"/>
          <w:szCs w:val="32"/>
          <w:lang w:bidi="ar"/>
        </w:rPr>
        <w:br w:type="textWrapping"/>
      </w:r>
      <w:r>
        <w:rPr>
          <w:rFonts w:hint="eastAsia" w:ascii="宋体" w:hAnsi="宋体" w:eastAsia="宋体" w:cs="宋体"/>
          <w:b/>
          <w:bCs/>
          <w:color w:val="auto"/>
          <w:sz w:val="32"/>
          <w:szCs w:val="32"/>
          <w:lang w:bidi="ar"/>
        </w:rPr>
        <w:t>(适用于工程量清单计价)</w:t>
      </w:r>
    </w:p>
    <w:tbl>
      <w:tblPr>
        <w:tblStyle w:val="16"/>
        <w:tblW w:w="9549" w:type="dxa"/>
        <w:tblInd w:w="93" w:type="dxa"/>
        <w:tblLayout w:type="fixed"/>
        <w:tblCellMar>
          <w:top w:w="0" w:type="dxa"/>
          <w:left w:w="108" w:type="dxa"/>
          <w:bottom w:w="0" w:type="dxa"/>
          <w:right w:w="108" w:type="dxa"/>
        </w:tblCellMar>
      </w:tblPr>
      <w:tblGrid>
        <w:gridCol w:w="826"/>
        <w:gridCol w:w="1154"/>
        <w:gridCol w:w="2419"/>
        <w:gridCol w:w="1482"/>
        <w:gridCol w:w="950"/>
        <w:gridCol w:w="746"/>
        <w:gridCol w:w="1091"/>
        <w:gridCol w:w="881"/>
      </w:tblGrid>
      <w:tr>
        <w:tblPrEx>
          <w:tblCellMar>
            <w:top w:w="0" w:type="dxa"/>
            <w:left w:w="108" w:type="dxa"/>
            <w:bottom w:w="0" w:type="dxa"/>
            <w:right w:w="108" w:type="dxa"/>
          </w:tblCellMar>
        </w:tblPrEx>
        <w:trPr>
          <w:trHeight w:val="390" w:hRule="atLeast"/>
        </w:trPr>
        <w:tc>
          <w:tcPr>
            <w:tcW w:w="4399" w:type="dxa"/>
            <w:gridSpan w:val="3"/>
            <w:tcBorders>
              <w:top w:val="nil"/>
              <w:left w:val="nil"/>
              <w:bottom w:val="nil"/>
              <w:right w:val="nil"/>
            </w:tcBorders>
            <w:vAlign w:val="center"/>
          </w:tcPr>
          <w:p>
            <w:pPr>
              <w:widowControl/>
              <w:spacing w:line="240" w:lineRule="auto"/>
              <w:ind w:firstLine="0" w:firstLineChars="0"/>
              <w:textAlignment w:val="center"/>
              <w:rPr>
                <w:rFonts w:hint="default" w:ascii="宋体" w:hAnsi="宋体" w:eastAsia="宋体" w:cs="宋体"/>
                <w:color w:val="auto"/>
                <w:sz w:val="18"/>
                <w:szCs w:val="18"/>
                <w:lang w:val="en"/>
              </w:rPr>
            </w:pPr>
            <w:r>
              <w:rPr>
                <w:rFonts w:hint="eastAsia" w:ascii="宋体" w:hAnsi="宋体" w:eastAsia="宋体" w:cs="宋体"/>
                <w:color w:val="auto"/>
                <w:sz w:val="18"/>
                <w:szCs w:val="18"/>
                <w:lang w:bidi="ar"/>
              </w:rPr>
              <w:t>工程名称：盐田区</w:t>
            </w:r>
            <w:r>
              <w:rPr>
                <w:rFonts w:hint="default" w:ascii="宋体" w:hAnsi="宋体" w:eastAsia="宋体" w:cs="宋体"/>
                <w:color w:val="auto"/>
                <w:sz w:val="18"/>
                <w:szCs w:val="18"/>
                <w:lang w:val="en" w:bidi="ar"/>
              </w:rPr>
              <w:t>游泳馆修缮项目</w:t>
            </w:r>
          </w:p>
        </w:tc>
        <w:tc>
          <w:tcPr>
            <w:tcW w:w="2432" w:type="dxa"/>
            <w:gridSpan w:val="2"/>
            <w:tcBorders>
              <w:top w:val="nil"/>
              <w:left w:val="nil"/>
              <w:bottom w:val="nil"/>
              <w:right w:val="nil"/>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p>
        </w:tc>
        <w:tc>
          <w:tcPr>
            <w:tcW w:w="2718" w:type="dxa"/>
            <w:gridSpan w:val="3"/>
            <w:tcBorders>
              <w:top w:val="nil"/>
              <w:left w:val="nil"/>
              <w:bottom w:val="single" w:color="000000" w:sz="4" w:space="0"/>
              <w:right w:val="nil"/>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第 1 页 共 1 页</w:t>
            </w:r>
          </w:p>
        </w:tc>
      </w:tr>
      <w:tr>
        <w:tblPrEx>
          <w:tblCellMar>
            <w:top w:w="0" w:type="dxa"/>
            <w:left w:w="108" w:type="dxa"/>
            <w:bottom w:w="0" w:type="dxa"/>
            <w:right w:w="108" w:type="dxa"/>
          </w:tblCellMar>
        </w:tblPrEx>
        <w:trPr>
          <w:trHeight w:val="575" w:hRule="atLeast"/>
        </w:trPr>
        <w:tc>
          <w:tcPr>
            <w:tcW w:w="82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序号</w:t>
            </w:r>
          </w:p>
        </w:tc>
        <w:tc>
          <w:tcPr>
            <w:tcW w:w="115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项目编码</w:t>
            </w:r>
          </w:p>
        </w:tc>
        <w:tc>
          <w:tcPr>
            <w:tcW w:w="241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项目名称</w:t>
            </w:r>
          </w:p>
        </w:tc>
        <w:tc>
          <w:tcPr>
            <w:tcW w:w="148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项目特征描述</w:t>
            </w:r>
          </w:p>
        </w:tc>
        <w:tc>
          <w:tcPr>
            <w:tcW w:w="95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计量</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单位</w:t>
            </w:r>
          </w:p>
        </w:tc>
        <w:tc>
          <w:tcPr>
            <w:tcW w:w="74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工程量</w:t>
            </w:r>
          </w:p>
        </w:tc>
        <w:tc>
          <w:tcPr>
            <w:tcW w:w="197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金额（元）</w:t>
            </w:r>
          </w:p>
        </w:tc>
      </w:tr>
      <w:tr>
        <w:tblPrEx>
          <w:tblCellMar>
            <w:top w:w="0" w:type="dxa"/>
            <w:left w:w="108" w:type="dxa"/>
            <w:bottom w:w="0" w:type="dxa"/>
            <w:right w:w="108" w:type="dxa"/>
          </w:tblCellMar>
        </w:tblPrEx>
        <w:trPr>
          <w:trHeight w:val="952" w:hRule="atLeast"/>
        </w:trPr>
        <w:tc>
          <w:tcPr>
            <w:tcW w:w="82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154"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41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48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95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7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综合单价</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合价</w:t>
            </w:r>
          </w:p>
        </w:tc>
      </w:tr>
      <w:tr>
        <w:tblPrEx>
          <w:tblCellMar>
            <w:top w:w="0" w:type="dxa"/>
            <w:left w:w="108" w:type="dxa"/>
            <w:bottom w:w="0" w:type="dxa"/>
            <w:right w:w="108" w:type="dxa"/>
          </w:tblCellMar>
        </w:tblPrEx>
        <w:trPr>
          <w:trHeight w:val="578" w:hRule="atLeast"/>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hint="eastAsia" w:ascii="宋体" w:hAnsi="宋体" w:eastAsia="宋体" w:cs="宋体"/>
                <w:color w:val="auto"/>
                <w:sz w:val="18"/>
                <w:szCs w:val="18"/>
              </w:rPr>
            </w:pPr>
          </w:p>
        </w:tc>
        <w:tc>
          <w:tcPr>
            <w:tcW w:w="241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已完成工程及设备保护费</w:t>
            </w:r>
          </w:p>
        </w:tc>
        <w:tc>
          <w:tcPr>
            <w:tcW w:w="148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项</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412" w:hRule="atLeast"/>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1.1</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011707007001</w:t>
            </w:r>
          </w:p>
        </w:tc>
        <w:tc>
          <w:tcPr>
            <w:tcW w:w="241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已完工程及设备保护</w:t>
            </w:r>
          </w:p>
        </w:tc>
        <w:tc>
          <w:tcPr>
            <w:tcW w:w="148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项</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412" w:hRule="atLeast"/>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1.1.1</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080016-89</w:t>
            </w:r>
          </w:p>
        </w:tc>
        <w:tc>
          <w:tcPr>
            <w:tcW w:w="241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楼地面 铺胶合板</w:t>
            </w:r>
          </w:p>
        </w:tc>
        <w:tc>
          <w:tcPr>
            <w:tcW w:w="148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100m2</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3.5</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412" w:hRule="atLeast"/>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hint="eastAsia" w:ascii="宋体" w:hAnsi="宋体" w:eastAsia="宋体" w:cs="宋体"/>
                <w:color w:val="auto"/>
                <w:sz w:val="18"/>
                <w:szCs w:val="18"/>
              </w:rPr>
            </w:pPr>
          </w:p>
        </w:tc>
        <w:tc>
          <w:tcPr>
            <w:tcW w:w="241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脚手架费</w:t>
            </w:r>
          </w:p>
        </w:tc>
        <w:tc>
          <w:tcPr>
            <w:tcW w:w="148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项</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710" w:hRule="atLeast"/>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2.1</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011701006001</w:t>
            </w:r>
          </w:p>
        </w:tc>
        <w:tc>
          <w:tcPr>
            <w:tcW w:w="241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泳池脚手架平台</w:t>
            </w:r>
          </w:p>
        </w:tc>
        <w:tc>
          <w:tcPr>
            <w:tcW w:w="148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1.泳池脚手架平台</w:t>
            </w:r>
            <w:r>
              <w:rPr>
                <w:rFonts w:hint="eastAsia" w:ascii="宋体" w:hAnsi="宋体" w:eastAsia="宋体" w:cs="宋体"/>
                <w:color w:val="auto"/>
                <w:sz w:val="18"/>
                <w:szCs w:val="18"/>
                <w:lang w:bidi="ar"/>
              </w:rPr>
              <w:br w:type="textWrapping"/>
            </w:r>
            <w:r>
              <w:rPr>
                <w:rFonts w:hint="eastAsia" w:ascii="宋体" w:hAnsi="宋体" w:eastAsia="宋体" w:cs="宋体"/>
                <w:color w:val="auto"/>
                <w:sz w:val="18"/>
                <w:szCs w:val="18"/>
                <w:lang w:bidi="ar"/>
              </w:rPr>
              <w:t>2.面铺木板</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m2</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300</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1495" w:hRule="atLeast"/>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2.1.1</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010007-52换</w:t>
            </w:r>
          </w:p>
        </w:tc>
        <w:tc>
          <w:tcPr>
            <w:tcW w:w="241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满堂脚手架 搭拆及使用 层高H(m) 0＜H≤6 ^ (如棚架（花架）超过3.6m且需做装饰（梁或板）时:人工*0.5材料*0.5)</w:t>
            </w:r>
          </w:p>
        </w:tc>
        <w:tc>
          <w:tcPr>
            <w:tcW w:w="148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10m3</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54</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803" w:hRule="atLeast"/>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2.1.2</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010006-39换</w:t>
            </w:r>
          </w:p>
        </w:tc>
        <w:tc>
          <w:tcPr>
            <w:tcW w:w="241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平板、肋板、井式板、无梁板、有梁板、空心板 木模板</w:t>
            </w:r>
          </w:p>
        </w:tc>
        <w:tc>
          <w:tcPr>
            <w:tcW w:w="148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100m2</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710" w:hRule="atLeast"/>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2.2</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011701006003</w:t>
            </w:r>
          </w:p>
        </w:tc>
        <w:tc>
          <w:tcPr>
            <w:tcW w:w="241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出口处及泳池处天棚</w:t>
            </w:r>
          </w:p>
        </w:tc>
        <w:tc>
          <w:tcPr>
            <w:tcW w:w="148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1.曲臂高空作业车 不低于14m</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项</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578" w:hRule="atLeast"/>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2.2.1</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C04002400</w:t>
            </w:r>
          </w:p>
        </w:tc>
        <w:tc>
          <w:tcPr>
            <w:tcW w:w="241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曲臂高空作业车 不低于14m</w:t>
            </w:r>
          </w:p>
        </w:tc>
        <w:tc>
          <w:tcPr>
            <w:tcW w:w="148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台班</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30</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578" w:hRule="atLeast"/>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hint="eastAsia" w:ascii="宋体" w:hAnsi="宋体" w:eastAsia="宋体" w:cs="宋体"/>
                <w:color w:val="auto"/>
                <w:sz w:val="18"/>
                <w:szCs w:val="18"/>
              </w:rPr>
            </w:pPr>
          </w:p>
        </w:tc>
        <w:tc>
          <w:tcPr>
            <w:tcW w:w="241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大型机械设备进出场及安拆费</w:t>
            </w:r>
          </w:p>
        </w:tc>
        <w:tc>
          <w:tcPr>
            <w:tcW w:w="148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项</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578" w:hRule="atLeast"/>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3.1</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011705001001</w:t>
            </w:r>
          </w:p>
        </w:tc>
        <w:tc>
          <w:tcPr>
            <w:tcW w:w="241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大型机械设备进出场及安拆</w:t>
            </w:r>
          </w:p>
        </w:tc>
        <w:tc>
          <w:tcPr>
            <w:tcW w:w="148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台次</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578" w:hRule="atLeast"/>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3.1.1</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C05002500</w:t>
            </w:r>
          </w:p>
        </w:tc>
        <w:tc>
          <w:tcPr>
            <w:tcW w:w="241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平板拖车组 装载质量M（t） M=15</w:t>
            </w:r>
          </w:p>
        </w:tc>
        <w:tc>
          <w:tcPr>
            <w:tcW w:w="148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台班</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578" w:hRule="atLeast"/>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3.1.2</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C04003200</w:t>
            </w:r>
          </w:p>
        </w:tc>
        <w:tc>
          <w:tcPr>
            <w:tcW w:w="241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汽车式起重机 起重量Gn(t) Gn=30</w:t>
            </w:r>
          </w:p>
        </w:tc>
        <w:tc>
          <w:tcPr>
            <w:tcW w:w="148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台班</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7" w:hRule="atLeast"/>
        </w:trPr>
        <w:tc>
          <w:tcPr>
            <w:tcW w:w="82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hint="eastAsia" w:ascii="宋体" w:hAnsi="宋体" w:eastAsia="宋体" w:cs="宋体"/>
                <w:color w:val="auto"/>
                <w:sz w:val="18"/>
                <w:szCs w:val="18"/>
              </w:rPr>
            </w:pPr>
          </w:p>
        </w:tc>
        <w:tc>
          <w:tcPr>
            <w:tcW w:w="241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148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74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397" w:hRule="atLeast"/>
        </w:trPr>
        <w:tc>
          <w:tcPr>
            <w:tcW w:w="82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115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hint="eastAsia" w:ascii="宋体" w:hAnsi="宋体" w:eastAsia="宋体" w:cs="宋体"/>
                <w:color w:val="auto"/>
                <w:sz w:val="18"/>
                <w:szCs w:val="18"/>
              </w:rPr>
            </w:pPr>
          </w:p>
        </w:tc>
        <w:tc>
          <w:tcPr>
            <w:tcW w:w="241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148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9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color w:val="auto"/>
                <w:sz w:val="18"/>
                <w:szCs w:val="18"/>
              </w:rPr>
            </w:pPr>
          </w:p>
        </w:tc>
        <w:tc>
          <w:tcPr>
            <w:tcW w:w="74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410" w:hRule="atLeast"/>
        </w:trPr>
        <w:tc>
          <w:tcPr>
            <w:tcW w:w="8668" w:type="dxa"/>
            <w:gridSpan w:val="7"/>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本页小计</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410" w:hRule="atLeast"/>
        </w:trPr>
        <w:tc>
          <w:tcPr>
            <w:tcW w:w="8668" w:type="dxa"/>
            <w:gridSpan w:val="7"/>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合    计</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410" w:hRule="atLeast"/>
        </w:trPr>
        <w:tc>
          <w:tcPr>
            <w:tcW w:w="9549" w:type="dxa"/>
            <w:gridSpan w:val="8"/>
            <w:tcBorders>
              <w:top w:val="single" w:color="000000" w:sz="4" w:space="0"/>
              <w:left w:val="nil"/>
              <w:bottom w:val="nil"/>
              <w:right w:val="nil"/>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 xml:space="preserve">   注：本表适用于以综合单价形式计价的措施项目。</w:t>
            </w:r>
          </w:p>
        </w:tc>
      </w:tr>
    </w:tbl>
    <w:p>
      <w:pPr>
        <w:widowControl/>
        <w:ind w:firstLine="0" w:firstLineChars="0"/>
        <w:jc w:val="center"/>
        <w:textAlignment w:val="center"/>
        <w:rPr>
          <w:rFonts w:hint="eastAsia" w:ascii="宋体" w:hAnsi="宋体" w:eastAsia="宋体" w:cs="宋体"/>
          <w:b/>
          <w:bCs/>
          <w:color w:val="auto"/>
          <w:sz w:val="32"/>
          <w:szCs w:val="32"/>
          <w:lang w:bidi="ar"/>
        </w:rPr>
      </w:pPr>
      <w:r>
        <w:rPr>
          <w:rFonts w:hint="eastAsia" w:ascii="宋体" w:hAnsi="宋体" w:eastAsia="宋体" w:cs="宋体"/>
          <w:b/>
          <w:bCs/>
          <w:color w:val="auto"/>
          <w:sz w:val="32"/>
          <w:szCs w:val="32"/>
          <w:lang w:bidi="ar"/>
        </w:rPr>
        <w:br w:type="page"/>
      </w:r>
    </w:p>
    <w:p>
      <w:pPr>
        <w:widowControl/>
        <w:ind w:firstLine="0" w:firstLineChars="0"/>
        <w:jc w:val="center"/>
        <w:textAlignment w:val="center"/>
        <w:outlineLvl w:val="2"/>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规费、应纳税费项目清单与计价表</w:t>
      </w:r>
    </w:p>
    <w:tbl>
      <w:tblPr>
        <w:tblStyle w:val="16"/>
        <w:tblW w:w="9549" w:type="dxa"/>
        <w:tblInd w:w="93" w:type="dxa"/>
        <w:tblLayout w:type="fixed"/>
        <w:tblCellMar>
          <w:top w:w="0" w:type="dxa"/>
          <w:left w:w="108" w:type="dxa"/>
          <w:bottom w:w="0" w:type="dxa"/>
          <w:right w:w="108" w:type="dxa"/>
        </w:tblCellMar>
      </w:tblPr>
      <w:tblGrid>
        <w:gridCol w:w="826"/>
        <w:gridCol w:w="2544"/>
        <w:gridCol w:w="2884"/>
        <w:gridCol w:w="1092"/>
        <w:gridCol w:w="2203"/>
      </w:tblGrid>
      <w:tr>
        <w:tblPrEx>
          <w:tblCellMar>
            <w:top w:w="0" w:type="dxa"/>
            <w:left w:w="108" w:type="dxa"/>
            <w:bottom w:w="0" w:type="dxa"/>
            <w:right w:w="108" w:type="dxa"/>
          </w:tblCellMar>
        </w:tblPrEx>
        <w:trPr>
          <w:trHeight w:val="466" w:hRule="atLeast"/>
        </w:trPr>
        <w:tc>
          <w:tcPr>
            <w:tcW w:w="3370" w:type="dxa"/>
            <w:gridSpan w:val="2"/>
            <w:tcBorders>
              <w:top w:val="nil"/>
              <w:left w:val="nil"/>
              <w:bottom w:val="single" w:color="000000" w:sz="4" w:space="0"/>
              <w:right w:val="nil"/>
            </w:tcBorders>
            <w:vAlign w:val="center"/>
          </w:tcPr>
          <w:p>
            <w:pPr>
              <w:widowControl/>
              <w:spacing w:line="240" w:lineRule="auto"/>
              <w:ind w:firstLine="0" w:firstLineChars="0"/>
              <w:textAlignment w:val="center"/>
              <w:rPr>
                <w:rFonts w:hint="default" w:ascii="宋体" w:hAnsi="宋体" w:eastAsia="宋体" w:cs="宋体"/>
                <w:color w:val="auto"/>
                <w:sz w:val="18"/>
                <w:szCs w:val="18"/>
                <w:lang w:val="en"/>
              </w:rPr>
            </w:pPr>
            <w:r>
              <w:rPr>
                <w:rFonts w:hint="eastAsia" w:ascii="宋体" w:hAnsi="宋体" w:eastAsia="宋体" w:cs="宋体"/>
                <w:color w:val="auto"/>
                <w:sz w:val="18"/>
                <w:szCs w:val="18"/>
                <w:lang w:bidi="ar"/>
              </w:rPr>
              <w:t>工程名称：盐田区</w:t>
            </w:r>
            <w:r>
              <w:rPr>
                <w:rFonts w:hint="default" w:ascii="宋体" w:hAnsi="宋体" w:eastAsia="宋体" w:cs="宋体"/>
                <w:color w:val="auto"/>
                <w:sz w:val="18"/>
                <w:szCs w:val="18"/>
                <w:lang w:val="en" w:bidi="ar"/>
              </w:rPr>
              <w:t>游泳馆修缮项目</w:t>
            </w:r>
          </w:p>
        </w:tc>
        <w:tc>
          <w:tcPr>
            <w:tcW w:w="2884" w:type="dxa"/>
            <w:tcBorders>
              <w:top w:val="nil"/>
              <w:left w:val="nil"/>
              <w:bottom w:val="single" w:color="000000" w:sz="4" w:space="0"/>
              <w:right w:val="nil"/>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p>
        </w:tc>
        <w:tc>
          <w:tcPr>
            <w:tcW w:w="3295" w:type="dxa"/>
            <w:gridSpan w:val="2"/>
            <w:tcBorders>
              <w:top w:val="nil"/>
              <w:left w:val="nil"/>
              <w:bottom w:val="nil"/>
              <w:right w:val="nil"/>
            </w:tcBorders>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第 1 页 共 1 页</w:t>
            </w:r>
          </w:p>
        </w:tc>
      </w:tr>
      <w:tr>
        <w:tblPrEx>
          <w:tblCellMar>
            <w:top w:w="0" w:type="dxa"/>
            <w:left w:w="108" w:type="dxa"/>
            <w:bottom w:w="0" w:type="dxa"/>
            <w:right w:w="108" w:type="dxa"/>
          </w:tblCellMar>
        </w:tblPrEx>
        <w:trPr>
          <w:trHeight w:val="486" w:hRule="atLeast"/>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序号</w:t>
            </w:r>
          </w:p>
        </w:tc>
        <w:tc>
          <w:tcPr>
            <w:tcW w:w="254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项目名称</w:t>
            </w:r>
          </w:p>
        </w:tc>
        <w:tc>
          <w:tcPr>
            <w:tcW w:w="288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计算基础</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费率(%)</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金额(元)</w:t>
            </w:r>
          </w:p>
        </w:tc>
      </w:tr>
      <w:tr>
        <w:tblPrEx>
          <w:tblCellMar>
            <w:top w:w="0" w:type="dxa"/>
            <w:left w:w="108" w:type="dxa"/>
            <w:bottom w:w="0" w:type="dxa"/>
            <w:right w:w="108" w:type="dxa"/>
          </w:tblCellMar>
        </w:tblPrEx>
        <w:trPr>
          <w:trHeight w:val="943" w:hRule="atLeast"/>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w:t>
            </w:r>
          </w:p>
        </w:tc>
        <w:tc>
          <w:tcPr>
            <w:tcW w:w="254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规费</w:t>
            </w:r>
          </w:p>
        </w:tc>
        <w:tc>
          <w:tcPr>
            <w:tcW w:w="28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(分部分项工程费+措施项目费+其他项目费)中的人工费</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18</w:t>
            </w:r>
          </w:p>
        </w:tc>
        <w:tc>
          <w:tcPr>
            <w:tcW w:w="220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417" w:hRule="atLeast"/>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w:t>
            </w:r>
          </w:p>
        </w:tc>
        <w:tc>
          <w:tcPr>
            <w:tcW w:w="254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应纳税费</w:t>
            </w:r>
          </w:p>
        </w:tc>
        <w:tc>
          <w:tcPr>
            <w:tcW w:w="28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应纳税费合计</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220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1176" w:hRule="atLeast"/>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2.1</w:t>
            </w:r>
          </w:p>
        </w:tc>
        <w:tc>
          <w:tcPr>
            <w:tcW w:w="254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增值税应纳税额</w:t>
            </w:r>
          </w:p>
        </w:tc>
        <w:tc>
          <w:tcPr>
            <w:tcW w:w="28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分部分项工程费+措施项目费+其他项目费+规费-发包人供应材料费</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3.02</w:t>
            </w:r>
          </w:p>
        </w:tc>
        <w:tc>
          <w:tcPr>
            <w:tcW w:w="220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585" w:hRule="atLeast"/>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2.2</w:t>
            </w:r>
          </w:p>
        </w:tc>
        <w:tc>
          <w:tcPr>
            <w:tcW w:w="254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城市维护建设税、教育费附加及地方教育费附加</w:t>
            </w:r>
          </w:p>
        </w:tc>
        <w:tc>
          <w:tcPr>
            <w:tcW w:w="28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增值税应纳税额</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righ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12</w:t>
            </w:r>
          </w:p>
        </w:tc>
        <w:tc>
          <w:tcPr>
            <w:tcW w:w="220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401" w:hRule="atLeast"/>
        </w:trPr>
        <w:tc>
          <w:tcPr>
            <w:tcW w:w="82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54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28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220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401" w:hRule="atLeast"/>
        </w:trPr>
        <w:tc>
          <w:tcPr>
            <w:tcW w:w="82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hint="eastAsia" w:ascii="宋体" w:hAnsi="宋体" w:eastAsia="宋体" w:cs="宋体"/>
                <w:color w:val="auto"/>
                <w:sz w:val="18"/>
                <w:szCs w:val="18"/>
              </w:rPr>
            </w:pPr>
          </w:p>
        </w:tc>
        <w:tc>
          <w:tcPr>
            <w:tcW w:w="254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28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color w:val="auto"/>
                <w:sz w:val="18"/>
                <w:szCs w:val="18"/>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c>
          <w:tcPr>
            <w:tcW w:w="220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429" w:hRule="atLeast"/>
        </w:trPr>
        <w:tc>
          <w:tcPr>
            <w:tcW w:w="7346" w:type="dxa"/>
            <w:gridSpan w:val="4"/>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合  计</w:t>
            </w:r>
          </w:p>
        </w:tc>
        <w:tc>
          <w:tcPr>
            <w:tcW w:w="2203"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right"/>
              <w:rPr>
                <w:rFonts w:hint="eastAsia" w:ascii="宋体" w:hAnsi="宋体" w:eastAsia="宋体" w:cs="宋体"/>
                <w:color w:val="auto"/>
                <w:sz w:val="18"/>
                <w:szCs w:val="18"/>
              </w:rPr>
            </w:pPr>
          </w:p>
        </w:tc>
      </w:tr>
    </w:tbl>
    <w:p>
      <w:pPr>
        <w:pStyle w:val="15"/>
        <w:pageBreakBefore w:val="0"/>
        <w:kinsoku/>
        <w:overflowPunct/>
        <w:topLinePunct w:val="0"/>
        <w:bidi w:val="0"/>
        <w:spacing w:after="0" w:line="560" w:lineRule="exact"/>
        <w:ind w:left="0" w:leftChars="0" w:right="0" w:firstLine="0" w:firstLineChars="0"/>
        <w:rPr>
          <w:rFonts w:hint="eastAsia" w:ascii="仿宋_GB2312" w:hAnsi="仿宋_GB2312" w:eastAsia="仿宋_GB2312" w:cs="仿宋_GB2312"/>
          <w:color w:val="auto"/>
          <w:sz w:val="32"/>
          <w:szCs w:val="32"/>
        </w:rPr>
      </w:pPr>
    </w:p>
    <w:sectPr>
      <w:headerReference r:id="rId6" w:type="default"/>
      <w:footerReference r:id="rId7" w:type="default"/>
      <w:pgSz w:w="11905" w:h="16840"/>
      <w:pgMar w:top="1440" w:right="1080" w:bottom="1440" w:left="108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22</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22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D4C635"/>
    <w:multiLevelType w:val="singleLevel"/>
    <w:tmpl w:val="4DD4C635"/>
    <w:lvl w:ilvl="0" w:tentative="0">
      <w:start w:val="1"/>
      <w:numFmt w:val="decimal"/>
      <w:lvlText w:val="%1."/>
      <w:lvlJc w:val="left"/>
      <w:pPr>
        <w:tabs>
          <w:tab w:val="left" w:pos="312"/>
        </w:tabs>
      </w:pPr>
    </w:lvl>
  </w:abstractNum>
  <w:abstractNum w:abstractNumId="1">
    <w:nsid w:val="55F4FD5E"/>
    <w:multiLevelType w:val="singleLevel"/>
    <w:tmpl w:val="55F4FD5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true"/>
  <w:bordersDoNotSurroundFooter w:val="true"/>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176AE"/>
    <w:rsid w:val="00AE68EB"/>
    <w:rsid w:val="00E305AA"/>
    <w:rsid w:val="00EE06B1"/>
    <w:rsid w:val="013B5127"/>
    <w:rsid w:val="02E146F9"/>
    <w:rsid w:val="0577452A"/>
    <w:rsid w:val="058D09D2"/>
    <w:rsid w:val="09526CCE"/>
    <w:rsid w:val="104B091B"/>
    <w:rsid w:val="1EC93DFC"/>
    <w:rsid w:val="1F2C1D60"/>
    <w:rsid w:val="1FF72C7A"/>
    <w:rsid w:val="20CF46BB"/>
    <w:rsid w:val="233E7083"/>
    <w:rsid w:val="24C7754F"/>
    <w:rsid w:val="25B60C44"/>
    <w:rsid w:val="2A33656A"/>
    <w:rsid w:val="2EF7224F"/>
    <w:rsid w:val="31754028"/>
    <w:rsid w:val="32316E37"/>
    <w:rsid w:val="32AD727A"/>
    <w:rsid w:val="334D6A27"/>
    <w:rsid w:val="35981834"/>
    <w:rsid w:val="36A63F92"/>
    <w:rsid w:val="3FFB43AD"/>
    <w:rsid w:val="40CD7812"/>
    <w:rsid w:val="41C42BF4"/>
    <w:rsid w:val="479011D8"/>
    <w:rsid w:val="4BF0736C"/>
    <w:rsid w:val="4C547C35"/>
    <w:rsid w:val="4CA624D3"/>
    <w:rsid w:val="51204692"/>
    <w:rsid w:val="525741FD"/>
    <w:rsid w:val="547DF2C1"/>
    <w:rsid w:val="658E3D60"/>
    <w:rsid w:val="6BD65B28"/>
    <w:rsid w:val="6EB9CBBA"/>
    <w:rsid w:val="6FCF9D14"/>
    <w:rsid w:val="6FFC14C6"/>
    <w:rsid w:val="6FFFCCB3"/>
    <w:rsid w:val="710A7485"/>
    <w:rsid w:val="730C087E"/>
    <w:rsid w:val="77FE25CB"/>
    <w:rsid w:val="7C5C1516"/>
    <w:rsid w:val="7EFF57B8"/>
    <w:rsid w:val="7FB77EF5"/>
    <w:rsid w:val="7FFD038A"/>
    <w:rsid w:val="9A1F7973"/>
    <w:rsid w:val="9FF9B3EB"/>
    <w:rsid w:val="BDF78C51"/>
    <w:rsid w:val="FFDD4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pPr>
    <w:rPr>
      <w:rFonts w:ascii="仿宋_GB2312" w:hAnsi="仿宋_GB2312" w:eastAsia="仿宋_GB2312" w:cs="仿宋_GB2312"/>
      <w:sz w:val="28"/>
      <w:szCs w:val="32"/>
      <w:lang w:val="en-US" w:eastAsia="zh-CN" w:bidi="ar-SA"/>
    </w:rPr>
  </w:style>
  <w:style w:type="paragraph" w:styleId="3">
    <w:name w:val="heading 1"/>
    <w:next w:val="1"/>
    <w:qFormat/>
    <w:uiPriority w:val="0"/>
    <w:pPr>
      <w:keepNext/>
      <w:keepLines/>
      <w:spacing w:before="200" w:after="200" w:line="360" w:lineRule="auto"/>
      <w:outlineLvl w:val="0"/>
    </w:pPr>
    <w:rPr>
      <w:rFonts w:eastAsia="宋体" w:asciiTheme="minorHAnsi" w:hAnsiTheme="minorHAnsi" w:cstheme="minorBidi"/>
      <w:b/>
      <w:kern w:val="44"/>
      <w:sz w:val="28"/>
      <w:lang w:val="en-US" w:eastAsia="zh-CN" w:bidi="ar-SA"/>
    </w:rPr>
  </w:style>
  <w:style w:type="paragraph" w:styleId="4">
    <w:name w:val="heading 2"/>
    <w:next w:val="1"/>
    <w:unhideWhenUsed/>
    <w:qFormat/>
    <w:uiPriority w:val="0"/>
    <w:pPr>
      <w:keepNext/>
      <w:keepLines/>
      <w:spacing w:line="360" w:lineRule="auto"/>
      <w:outlineLvl w:val="1"/>
    </w:pPr>
    <w:rPr>
      <w:rFonts w:ascii="Arial" w:hAnsi="Arial" w:eastAsia="宋体" w:cstheme="minorBidi"/>
      <w:b/>
      <w:sz w:val="24"/>
      <w:lang w:val="en-US" w:eastAsia="zh-CN" w:bidi="ar-SA"/>
    </w:rPr>
  </w:style>
  <w:style w:type="paragraph" w:styleId="5">
    <w:name w:val="heading 3"/>
    <w:basedOn w:val="1"/>
    <w:next w:val="1"/>
    <w:qFormat/>
    <w:uiPriority w:val="9"/>
    <w:pPr>
      <w:spacing w:before="260" w:after="260" w:line="240" w:lineRule="auto"/>
      <w:outlineLvl w:val="2"/>
    </w:pPr>
    <w:rPr>
      <w:rFonts w:ascii="宋体" w:hAnsi="宋体" w:eastAsia="宋体"/>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7">
    <w:name w:val="Normal Indent"/>
    <w:basedOn w:val="1"/>
    <w:next w:val="2"/>
    <w:qFormat/>
    <w:uiPriority w:val="0"/>
    <w:pPr>
      <w:ind w:firstLine="420"/>
    </w:pPr>
    <w:rPr>
      <w:rFonts w:ascii="Times New Roman" w:hAnsi="Times New Roman"/>
      <w:szCs w:val="20"/>
    </w:rPr>
  </w:style>
  <w:style w:type="paragraph" w:styleId="8">
    <w:name w:val="Body Text Indent"/>
    <w:basedOn w:val="1"/>
    <w:qFormat/>
    <w:uiPriority w:val="0"/>
    <w:pPr>
      <w:spacing w:line="600" w:lineRule="exact"/>
      <w:ind w:firstLine="504"/>
    </w:pPr>
    <w:rPr>
      <w:spacing w:val="6"/>
      <w:kern w:val="11"/>
    </w:rPr>
  </w:style>
  <w:style w:type="paragraph" w:styleId="9">
    <w:name w:val="Plain Text"/>
    <w:basedOn w:val="1"/>
    <w:qFormat/>
    <w:uiPriority w:val="0"/>
    <w:pPr>
      <w:spacing w:line="240" w:lineRule="auto"/>
      <w:ind w:firstLine="0" w:firstLineChars="0"/>
      <w:jc w:val="center"/>
    </w:pPr>
    <w:rPr>
      <w:rFonts w:ascii="宋体" w:hAnsi="宋体" w:eastAsia="宋体"/>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qFormat/>
    <w:uiPriority w:val="0"/>
    <w:pPr>
      <w:spacing w:line="240" w:lineRule="auto"/>
      <w:ind w:firstLine="0" w:firstLineChars="0"/>
    </w:pPr>
    <w:rPr>
      <w:rFonts w:eastAsia="宋体"/>
      <w:sz w:val="21"/>
    </w:rPr>
  </w:style>
  <w:style w:type="paragraph" w:styleId="13">
    <w:name w:val="Normal (Web)"/>
    <w:basedOn w:val="1"/>
    <w:qFormat/>
    <w:uiPriority w:val="0"/>
    <w:pPr>
      <w:spacing w:beforeAutospacing="1" w:afterAutospacing="1"/>
    </w:pPr>
    <w:rPr>
      <w:rFonts w:cs="Times New Roman"/>
    </w:rPr>
  </w:style>
  <w:style w:type="paragraph" w:styleId="14">
    <w:name w:val="Title"/>
    <w:basedOn w:val="1"/>
    <w:next w:val="1"/>
    <w:qFormat/>
    <w:uiPriority w:val="0"/>
    <w:pPr>
      <w:spacing w:before="240" w:after="60"/>
      <w:jc w:val="center"/>
      <w:outlineLvl w:val="0"/>
    </w:pPr>
    <w:rPr>
      <w:rFonts w:ascii="Cambria" w:hAnsi="Cambria"/>
      <w:b/>
      <w:bCs/>
      <w:sz w:val="32"/>
      <w:szCs w:val="32"/>
    </w:rPr>
  </w:style>
  <w:style w:type="paragraph" w:styleId="15">
    <w:name w:val="Body Text First Indent 2"/>
    <w:basedOn w:val="8"/>
    <w:qFormat/>
    <w:uiPriority w:val="0"/>
    <w:pPr>
      <w:spacing w:after="120" w:line="240" w:lineRule="auto"/>
      <w:ind w:left="420" w:leftChars="200"/>
    </w:p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rFonts w:ascii="Calibri" w:hAnsi="Calibri" w:eastAsia="宋体"/>
      <w:b/>
    </w:rPr>
  </w:style>
  <w:style w:type="paragraph" w:customStyle="1" w:styleId="20">
    <w:name w:val="表格标题"/>
    <w:next w:val="1"/>
    <w:qFormat/>
    <w:uiPriority w:val="0"/>
    <w:pPr>
      <w:widowControl w:val="0"/>
      <w:shd w:val="clear" w:color="auto" w:fill="FFFFFF"/>
      <w:jc w:val="center"/>
    </w:pPr>
    <w:rPr>
      <w:rFonts w:ascii="宋体" w:hAnsi="宋体" w:eastAsia="宋体" w:cs="宋体"/>
      <w:b/>
      <w:sz w:val="24"/>
      <w:lang w:val="zh-CN" w:eastAsia="zh-CN" w:bidi="zh-CN"/>
    </w:rPr>
  </w:style>
  <w:style w:type="paragraph" w:styleId="21">
    <w:name w:val="No Spacing"/>
    <w:qFormat/>
    <w:uiPriority w:val="1"/>
    <w:pPr>
      <w:widowControl w:val="0"/>
      <w:autoSpaceDE w:val="0"/>
      <w:autoSpaceDN w:val="0"/>
    </w:pPr>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7948</Words>
  <Characters>8264</Characters>
  <Lines>2116</Lines>
  <Paragraphs>1347</Paragraphs>
  <TotalTime>19</TotalTime>
  <ScaleCrop>false</ScaleCrop>
  <LinksUpToDate>false</LinksUpToDate>
  <CharactersWithSpaces>8301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2025-11-20T15:42:00Z</dcterms:created>
  <dc:creator>Apache POI</dc:creator>
  <cp:lastModifiedBy>yt</cp:lastModifiedBy>
  <dcterms:modified xsi:type="dcterms:W3CDTF">2025-12-01T18:00:42Z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eyJoZGlkIjoiZDZkNTc5ZjU5MTg1MTFiNDVhOWYxN2Q4NzFmMzk2ZjYiLCJ1c2VySWQiOiIzMzgwMDE4MzcifQ==</vt:lpwstr>
  </property>
  <property fmtid="{D5CDD505-2E9C-101B-9397-08002B2CF9AE}" pid="3" name="KSOProductBuildVer">
    <vt:lpwstr>2052-11.8.2.10422</vt:lpwstr>
  </property>
  <property fmtid="{D5CDD505-2E9C-101B-9397-08002B2CF9AE}" pid="4" name="ICV">
    <vt:lpwstr>7EAA6A2195A641AB9159981F1210B535_13</vt:lpwstr>
  </property>
</Properties>
</file>