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adjustRightInd w:val="0"/>
        <w:spacing w:line="560" w:lineRule="exact"/>
        <w:ind w:right="422" w:rightChars="201" w:firstLine="521" w:firstLineChars="118"/>
        <w:jc w:val="center"/>
        <w:rPr>
          <w:rFonts w:ascii="宋体" w:hAnsi="宋体" w:cs="宋体"/>
          <w:b/>
          <w:bCs/>
          <w:sz w:val="44"/>
          <w:szCs w:val="44"/>
        </w:rPr>
      </w:pPr>
    </w:p>
    <w:p>
      <w:pPr>
        <w:widowControl/>
        <w:adjustRightInd w:val="0"/>
        <w:spacing w:line="560" w:lineRule="exact"/>
        <w:ind w:right="422" w:rightChars="201"/>
        <w:jc w:val="center"/>
        <w:rPr>
          <w:rFonts w:ascii="宋体" w:hAnsi="宋体" w:cs="宋体"/>
          <w:b/>
          <w:bCs/>
          <w:sz w:val="44"/>
          <w:szCs w:val="44"/>
        </w:rPr>
      </w:pPr>
      <w:r>
        <w:rPr>
          <w:rFonts w:hint="eastAsia" w:ascii="宋体" w:hAnsi="宋体" w:cs="宋体"/>
          <w:b/>
          <w:bCs/>
          <w:sz w:val="44"/>
          <w:szCs w:val="44"/>
        </w:rPr>
        <w:t>深圳市盐田区政府物业管理中心2026年度零散（无物业管理小区等）物业综合管理服务项目</w:t>
      </w:r>
      <w:bookmarkStart w:id="0" w:name="_GoBack"/>
      <w:bookmarkEnd w:id="0"/>
      <w:r>
        <w:rPr>
          <w:rFonts w:hint="eastAsia" w:ascii="宋体" w:hAnsi="宋体" w:eastAsia="宋体" w:cs="宋体"/>
          <w:b/>
          <w:bCs/>
          <w:sz w:val="44"/>
          <w:szCs w:val="44"/>
        </w:rPr>
        <w:t>评</w:t>
      </w:r>
      <w:r>
        <w:rPr>
          <w:rFonts w:hint="eastAsia" w:ascii="宋体" w:hAnsi="宋体" w:cs="宋体"/>
          <w:b/>
          <w:bCs/>
          <w:sz w:val="44"/>
          <w:szCs w:val="44"/>
        </w:rPr>
        <w:t>审打分表</w:t>
      </w:r>
    </w:p>
    <w:p>
      <w:pPr>
        <w:pStyle w:val="3"/>
        <w:rPr>
          <w:rFonts w:ascii="新宋体" w:hAnsi="新宋体" w:eastAsia="新宋体"/>
          <w:sz w:val="22"/>
        </w:rPr>
      </w:pPr>
    </w:p>
    <w:p>
      <w:pPr>
        <w:pStyle w:val="3"/>
        <w:rPr>
          <w:rFonts w:ascii="新宋体" w:hAnsi="新宋体" w:eastAsia="新宋体"/>
          <w:sz w:val="28"/>
          <w:szCs w:val="28"/>
        </w:rPr>
      </w:pPr>
      <w:r>
        <w:rPr>
          <w:rFonts w:hint="eastAsia" w:ascii="新宋体" w:hAnsi="新宋体" w:eastAsia="新宋体"/>
          <w:sz w:val="28"/>
          <w:szCs w:val="28"/>
        </w:rPr>
        <w:t>供应商名称：</w:t>
      </w:r>
    </w:p>
    <w:tbl>
      <w:tblPr>
        <w:tblStyle w:val="5"/>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5535"/>
        <w:gridCol w:w="936"/>
        <w:gridCol w:w="8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评分因素</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评分规则</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权重</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价格</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本项目设最高投标限价人民币</w:t>
            </w:r>
            <w:r>
              <w:rPr>
                <w:rFonts w:hint="eastAsia" w:ascii="仿宋_GB2312" w:hAnsi="仿宋_GB2312" w:eastAsia="仿宋_GB2312" w:cs="仿宋_GB2312"/>
                <w:kern w:val="2"/>
                <w:sz w:val="32"/>
                <w:szCs w:val="32"/>
                <w:u w:val="single"/>
                <w:lang w:val="en-US" w:eastAsia="zh-CN"/>
              </w:rPr>
              <w:t>25</w:t>
            </w:r>
            <w:r>
              <w:rPr>
                <w:rFonts w:hint="eastAsia" w:ascii="仿宋_GB2312" w:hAnsi="仿宋_GB2312" w:eastAsia="仿宋_GB2312" w:cs="仿宋_GB2312"/>
                <w:kern w:val="2"/>
                <w:sz w:val="32"/>
                <w:szCs w:val="32"/>
              </w:rPr>
              <w:t>万元，投标人投标时报价均不得超限价。最终报价高于最高投标限价为无效投标。投标文件有效，报价得分计算方法如下：最低有效报价（30分），次低得（2</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分），再次得（</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0分）</w:t>
            </w:r>
            <w:r>
              <w:rPr>
                <w:rFonts w:hint="eastAsia" w:ascii="仿宋_GB2312" w:hAnsi="仿宋_GB2312" w:eastAsia="仿宋_GB2312" w:cs="仿宋_GB2312"/>
                <w:kern w:val="2"/>
                <w:sz w:val="32"/>
                <w:szCs w:val="32"/>
                <w:lang w:eastAsia="zh-CN"/>
              </w:rPr>
              <w:t>，后续不得分。</w:t>
            </w:r>
            <w:r>
              <w:rPr>
                <w:rFonts w:hint="eastAsia" w:ascii="仿宋_GB2312" w:hAnsi="仿宋_GB2312" w:eastAsia="仿宋_GB2312" w:cs="仿宋_GB2312"/>
                <w:kern w:val="2"/>
                <w:sz w:val="32"/>
                <w:szCs w:val="32"/>
              </w:rPr>
              <w:t>如遇同价取高数计算得分。</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服务方案管理制度整体评价</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结合服务方案完整性、管理制度规范性评审，具体包括：1.项目管理实施方案（15分）：评审方案可行性、流程合理性、风险管控措施；2.项目派遣管理方案（15分）：评审人员配置、派遣流程、服务保障机制；3.</w:t>
            </w:r>
            <w:r>
              <w:rPr>
                <w:rFonts w:hint="eastAsia" w:ascii="仿宋_GB2312" w:hAnsi="仿宋_GB2312" w:eastAsia="仿宋_GB2312" w:cs="仿宋_GB2312"/>
                <w:kern w:val="2"/>
                <w:sz w:val="32"/>
                <w:szCs w:val="32"/>
                <w:lang w:eastAsia="zh-CN"/>
              </w:rPr>
              <w:t>服务项目</w:t>
            </w:r>
            <w:r>
              <w:rPr>
                <w:rFonts w:hint="eastAsia" w:ascii="仿宋_GB2312" w:hAnsi="仿宋_GB2312" w:eastAsia="仿宋_GB2312" w:cs="仿宋_GB2312"/>
                <w:kern w:val="2"/>
                <w:sz w:val="32"/>
                <w:szCs w:val="32"/>
              </w:rPr>
              <w:t>绩效考核表（10分）：评审考核指标科学性、激励约束有效性；4.综合评审服务方案覆盖面及适配性。</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35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项目负责人</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综合能力</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以</w:t>
            </w:r>
            <w:r>
              <w:rPr>
                <w:rFonts w:hint="eastAsia" w:ascii="仿宋_GB2312" w:hAnsi="仿宋_GB2312" w:eastAsia="仿宋_GB2312" w:cs="仿宋_GB2312"/>
                <w:kern w:val="2"/>
                <w:sz w:val="32"/>
                <w:szCs w:val="32"/>
              </w:rPr>
              <w:t>项目负责人</w:t>
            </w:r>
            <w:r>
              <w:rPr>
                <w:rFonts w:hint="eastAsia" w:ascii="仿宋_GB2312" w:hAnsi="仿宋_GB2312" w:eastAsia="仿宋_GB2312" w:cs="仿宋_GB2312"/>
                <w:kern w:val="2"/>
                <w:sz w:val="32"/>
                <w:szCs w:val="32"/>
                <w:lang w:eastAsia="zh-CN"/>
              </w:rPr>
              <w:t>学历为评审依据，</w:t>
            </w:r>
            <w:r>
              <w:rPr>
                <w:rFonts w:hint="eastAsia" w:ascii="仿宋_GB2312" w:hAnsi="仿宋_GB2312" w:eastAsia="仿宋_GB2312" w:cs="仿宋_GB2312"/>
                <w:kern w:val="2"/>
                <w:sz w:val="32"/>
                <w:szCs w:val="32"/>
                <w:lang w:val="en-US" w:eastAsia="zh-CN"/>
              </w:rPr>
              <w:t>2人均提供大专及以上学历证书的，得满分5分。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eastAsia="仿宋_GB2312"/>
                <w:kern w:val="2"/>
                <w:sz w:val="30"/>
                <w:szCs w:val="30"/>
                <w:lang w:eastAsia="zh-CN"/>
              </w:rPr>
            </w:pPr>
            <w:r>
              <w:rPr>
                <w:rFonts w:hint="eastAsia" w:ascii="仿宋_GB2312" w:hAnsi="Times New Roman" w:eastAsia="仿宋_GB2312"/>
                <w:kern w:val="2"/>
                <w:sz w:val="30"/>
                <w:szCs w:val="30"/>
                <w:lang w:val="en-US" w:eastAsia="zh-CN"/>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项目车辆配置情况</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为项目</w:t>
            </w:r>
            <w:r>
              <w:rPr>
                <w:rFonts w:hint="eastAsia" w:ascii="仿宋_GB2312" w:eastAsia="仿宋_GB2312" w:cs="Arial" w:hAnsiTheme="minorEastAsia"/>
                <w:color w:val="000000"/>
                <w:kern w:val="0"/>
                <w:sz w:val="32"/>
                <w:szCs w:val="32"/>
                <w:lang w:val="en-US" w:eastAsia="zh-CN"/>
              </w:rPr>
              <w:t>组织服务人员及</w:t>
            </w:r>
            <w:r>
              <w:rPr>
                <w:rFonts w:hint="eastAsia" w:ascii="仿宋_GB2312" w:eastAsia="仿宋_GB2312" w:cs="Arial" w:hAnsiTheme="minorEastAsia"/>
                <w:color w:val="000000"/>
                <w:kern w:val="0"/>
                <w:sz w:val="32"/>
                <w:szCs w:val="32"/>
              </w:rPr>
              <w:t>服务</w:t>
            </w:r>
            <w:r>
              <w:rPr>
                <w:rFonts w:hint="eastAsia" w:ascii="仿宋_GB2312" w:eastAsia="仿宋_GB2312" w:cs="Arial" w:hAnsiTheme="minorEastAsia"/>
                <w:color w:val="000000"/>
                <w:kern w:val="0"/>
                <w:sz w:val="32"/>
                <w:szCs w:val="32"/>
                <w:lang w:eastAsia="zh-CN"/>
              </w:rPr>
              <w:t>工作</w:t>
            </w:r>
            <w:r>
              <w:rPr>
                <w:rFonts w:hint="eastAsia" w:ascii="仿宋_GB2312" w:eastAsia="仿宋_GB2312" w:cs="Arial" w:hAnsiTheme="minorEastAsia"/>
                <w:color w:val="000000"/>
                <w:kern w:val="0"/>
                <w:sz w:val="32"/>
                <w:szCs w:val="32"/>
              </w:rPr>
              <w:t>车辆</w:t>
            </w:r>
            <w:r>
              <w:rPr>
                <w:rFonts w:hint="eastAsia" w:ascii="仿宋_GB2312" w:eastAsia="仿宋_GB2312" w:cs="Arial" w:hAnsiTheme="minorEastAsia"/>
                <w:color w:val="000000"/>
                <w:kern w:val="0"/>
                <w:sz w:val="32"/>
                <w:szCs w:val="32"/>
                <w:lang w:eastAsia="zh-CN"/>
              </w:rPr>
              <w:t>，</w:t>
            </w:r>
            <w:r>
              <w:rPr>
                <w:rFonts w:hint="eastAsia" w:ascii="仿宋_GB2312" w:hAnsi="仿宋_GB2312" w:eastAsia="仿宋_GB2312" w:cs="仿宋_GB2312"/>
                <w:kern w:val="2"/>
                <w:sz w:val="32"/>
                <w:szCs w:val="32"/>
              </w:rPr>
              <w:t>具体包括：</w:t>
            </w:r>
            <w:r>
              <w:rPr>
                <w:rFonts w:hint="eastAsia" w:ascii="仿宋_GB2312" w:hAnsi="仿宋_GB2312" w:eastAsia="仿宋_GB2312" w:cs="仿宋_GB2312"/>
                <w:kern w:val="2"/>
                <w:sz w:val="32"/>
                <w:szCs w:val="32"/>
                <w:lang w:val="en-US" w:eastAsia="zh-CN"/>
              </w:rPr>
              <w:t>1.组织服务人员1名得5分，2名得10分；2.提供服务工作车辆得5分。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hAnsi="Times New Roman" w:eastAsia="仿宋_GB2312"/>
                <w:kern w:val="2"/>
                <w:sz w:val="30"/>
                <w:szCs w:val="30"/>
                <w:lang w:val="en-US" w:eastAsia="zh-CN"/>
              </w:rPr>
            </w:pPr>
            <w:r>
              <w:rPr>
                <w:rFonts w:hint="eastAsia" w:ascii="仿宋_GB2312" w:hAnsi="Times New Roman" w:eastAsia="仿宋_GB2312"/>
                <w:kern w:val="2"/>
                <w:sz w:val="30"/>
                <w:szCs w:val="30"/>
                <w:lang w:val="en-US" w:eastAsia="zh-CN"/>
              </w:rPr>
              <w:t>15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同类项目业绩</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1.评审范围：近3年（以合同签订/中标通知书发出日期为准）承接政府物业</w:t>
            </w:r>
            <w:r>
              <w:rPr>
                <w:rFonts w:hint="eastAsia" w:ascii="仿宋_GB2312" w:hAnsi="仿宋_GB2312" w:eastAsia="仿宋_GB2312" w:cs="仿宋_GB2312"/>
                <w:kern w:val="2"/>
                <w:sz w:val="32"/>
                <w:szCs w:val="32"/>
                <w:lang w:eastAsia="zh-CN"/>
              </w:rPr>
              <w:t>综合服务或</w:t>
            </w:r>
            <w:r>
              <w:rPr>
                <w:rFonts w:hint="eastAsia" w:ascii="仿宋_GB2312" w:hAnsi="仿宋_GB2312" w:eastAsia="仿宋_GB2312" w:cs="仿宋_GB2312"/>
                <w:kern w:val="2"/>
                <w:sz w:val="32"/>
                <w:szCs w:val="32"/>
              </w:rPr>
              <w:t>相关政务物业类服务项目；2.佐证要求：需提供合同关键页（含项目名称、服务内容、签订日期、双方盖章）或中标通知书扫描件，未提供视为无效业绩；3.计分规则：每1项有效业绩得3分，满分15分，不重复计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eastAsia="仿宋_GB2312"/>
                <w:kern w:val="2"/>
                <w:sz w:val="30"/>
                <w:szCs w:val="30"/>
                <w:lang w:eastAsia="zh-CN"/>
              </w:rPr>
            </w:pPr>
            <w:r>
              <w:rPr>
                <w:rFonts w:hint="eastAsia" w:ascii="仿宋_GB2312" w:hAnsi="Times New Roman" w:eastAsia="仿宋_GB2312"/>
                <w:kern w:val="2"/>
                <w:sz w:val="30"/>
                <w:szCs w:val="30"/>
              </w:rPr>
              <w:t>1</w:t>
            </w:r>
            <w:r>
              <w:rPr>
                <w:rFonts w:hint="eastAsia" w:ascii="仿宋_GB2312" w:hAnsi="Times New Roman" w:eastAsia="仿宋_GB2312"/>
                <w:kern w:val="2"/>
                <w:sz w:val="30"/>
                <w:szCs w:val="30"/>
                <w:lang w:val="en-US" w:eastAsia="zh-CN"/>
              </w:rPr>
              <w:t>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公司诚信</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查询渠道：深圳信用网(www.szcredit.com.cn) 及政府采购行政处罚记录平台；2.计分规则：无不良记录、无行政处罚记录的，得满分5分；存在任一不良记录的，本项得0分</w:t>
            </w:r>
            <w:r>
              <w:rPr>
                <w:rFonts w:hint="eastAsia" w:ascii="仿宋_GB2312" w:hAnsi="仿宋_GB2312" w:eastAsia="仿宋_GB2312" w:cs="仿宋_GB2312"/>
                <w:kern w:val="2"/>
                <w:sz w:val="32"/>
                <w:szCs w:val="32"/>
                <w:lang w:eastAsia="zh-CN"/>
              </w:rPr>
              <w:t>；3.佐证要求：需提供深圳信用网企业信用信息截图及《承诺函》，未按要求提供的，本项得0分。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hAnsi="仿宋_GB2312" w:eastAsia="仿宋_GB2312" w:cs="仿宋_GB2312"/>
                <w:kern w:val="2"/>
                <w:sz w:val="32"/>
                <w:szCs w:val="32"/>
              </w:rPr>
            </w:pPr>
            <w:r>
              <w:rPr>
                <w:rStyle w:val="7"/>
                <w:rFonts w:hint="eastAsia" w:ascii="仿宋_GB2312" w:hAnsi="仿宋_GB2312" w:eastAsia="仿宋_GB2312" w:cs="仿宋_GB2312"/>
                <w:kern w:val="2"/>
                <w:sz w:val="32"/>
                <w:szCs w:val="32"/>
              </w:rPr>
              <w:t>总评分</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hint="eastAsia" w:ascii="仿宋_GB2312" w:hAnsi="仿宋_GB2312" w:eastAsia="仿宋_GB2312" w:cs="仿宋_GB2312"/>
                <w:kern w:val="2"/>
                <w:sz w:val="32"/>
                <w:szCs w:val="32"/>
              </w:rPr>
            </w:pP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100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bl>
    <w:p>
      <w:pPr>
        <w:pStyle w:val="3"/>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36C532"/>
    <w:rsid w:val="4A1947CF"/>
    <w:rsid w:val="FBFF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ascii="Calibri" w:hAnsi="Calibri" w:eastAsia="文鼎小标宋简"/>
      <w:b/>
      <w:color w:val="FF0000"/>
      <w:kern w:val="44"/>
      <w:sz w:val="7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htb</cp:lastModifiedBy>
  <dcterms:modified xsi:type="dcterms:W3CDTF">2025-12-15T15:44:16Z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