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深圳市盐田区工程质量安全监督中心</w:t>
      </w:r>
      <w:r>
        <w:rPr>
          <w:rFonts w:hint="eastAsia" w:ascii="方正小标宋简体" w:hAnsi="方正小标宋简体" w:eastAsia="方正小标宋简体" w:cs="方正小标宋简体"/>
          <w:sz w:val="44"/>
          <w:szCs w:val="44"/>
          <w:highlight w:val="none"/>
          <w:lang w:val="en-US" w:eastAsia="zh-CN"/>
        </w:rPr>
        <w:t>质安监</w:t>
      </w:r>
      <w:r>
        <w:rPr>
          <w:rFonts w:hint="eastAsia" w:ascii="方正小标宋简体" w:hAnsi="方正小标宋简体" w:eastAsia="方正小标宋简体" w:cs="方正小标宋简体"/>
          <w:sz w:val="44"/>
          <w:szCs w:val="44"/>
          <w:highlight w:val="none"/>
        </w:rPr>
        <w:t>协管外购服务项目评审评分规则</w:t>
      </w:r>
    </w:p>
    <w:tbl>
      <w:tblPr>
        <w:tblStyle w:val="3"/>
        <w:tblW w:w="96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1"/>
        <w:gridCol w:w="6438"/>
        <w:gridCol w:w="712"/>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641" w:type="dxa"/>
            <w:vAlign w:val="center"/>
          </w:tcPr>
          <w:p>
            <w:pPr>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评分因素</w:t>
            </w:r>
          </w:p>
        </w:tc>
        <w:tc>
          <w:tcPr>
            <w:tcW w:w="6438" w:type="dxa"/>
            <w:vAlign w:val="center"/>
          </w:tcPr>
          <w:p>
            <w:pPr>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评分规则</w:t>
            </w:r>
          </w:p>
        </w:tc>
        <w:tc>
          <w:tcPr>
            <w:tcW w:w="712" w:type="dxa"/>
            <w:vAlign w:val="center"/>
          </w:tcPr>
          <w:p>
            <w:pPr>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权重</w:t>
            </w:r>
          </w:p>
        </w:tc>
        <w:tc>
          <w:tcPr>
            <w:tcW w:w="888" w:type="dxa"/>
            <w:vAlign w:val="center"/>
          </w:tcPr>
          <w:p>
            <w:pPr>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1641" w:type="dxa"/>
            <w:tcBorders>
              <w:right w:val="single" w:color="auto" w:sz="4" w:space="0"/>
            </w:tcBorders>
            <w:vAlign w:val="center"/>
          </w:tcPr>
          <w:p>
            <w:pPr>
              <w:adjustRightInd w:val="0"/>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价格</w:t>
            </w:r>
          </w:p>
        </w:tc>
        <w:tc>
          <w:tcPr>
            <w:tcW w:w="643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报价得分=（评标基准价/投标报价）*100，满足招标文件要求且投标价格最低的投标报价为评标基准价。对于报价明显偏低可能影响履约的，评审小组经集体投票超过半数认为投标人的报价明显低于其他满足资格条件的投标人报价的，将作为无效投标处理。</w:t>
            </w:r>
          </w:p>
        </w:tc>
        <w:tc>
          <w:tcPr>
            <w:tcW w:w="712"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w:t>
            </w:r>
          </w:p>
        </w:tc>
        <w:tc>
          <w:tcPr>
            <w:tcW w:w="888" w:type="dxa"/>
            <w:vAlign w:val="center"/>
          </w:tcPr>
          <w:p>
            <w:pPr>
              <w:jc w:val="center"/>
              <w:rPr>
                <w:rFonts w:hint="eastAsia" w:ascii="仿宋_GB2312" w:hAnsi="仿宋_GB2312" w:eastAsia="仿宋_GB2312" w:cs="仿宋_GB2312"/>
                <w:b/>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1" w:type="dxa"/>
            <w:tcBorders>
              <w:right w:val="single" w:color="auto" w:sz="4" w:space="0"/>
            </w:tcBorders>
            <w:vAlign w:val="center"/>
          </w:tcPr>
          <w:p>
            <w:pPr>
              <w:adjustRightInd w:val="0"/>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服务方案管理制度整体评价</w:t>
            </w:r>
          </w:p>
        </w:tc>
        <w:tc>
          <w:tcPr>
            <w:tcW w:w="643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比对服务方案及管理制度，对项目管理实施方案（10分）、应急处突能力方案（</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分）、交通解决方案（5分）、违约承诺（5分），实施方案的可行性、服务覆盖面进行评审。</w:t>
            </w:r>
          </w:p>
        </w:tc>
        <w:tc>
          <w:tcPr>
            <w:tcW w:w="712"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25</w:t>
            </w:r>
          </w:p>
        </w:tc>
        <w:tc>
          <w:tcPr>
            <w:tcW w:w="888" w:type="dxa"/>
            <w:vAlign w:val="center"/>
          </w:tcPr>
          <w:p>
            <w:pPr>
              <w:jc w:val="center"/>
              <w:rPr>
                <w:rFonts w:hint="eastAsia" w:ascii="仿宋_GB2312" w:hAnsi="仿宋_GB2312" w:eastAsia="仿宋_GB2312" w:cs="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1" w:type="dxa"/>
            <w:tcBorders>
              <w:right w:val="single" w:color="auto" w:sz="4" w:space="0"/>
            </w:tcBorders>
            <w:vAlign w:val="center"/>
          </w:tcPr>
          <w:p>
            <w:pPr>
              <w:adjustRightInd w:val="0"/>
              <w:snapToGrid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拟安排的项目负责人情况</w:t>
            </w:r>
          </w:p>
        </w:tc>
        <w:tc>
          <w:tcPr>
            <w:tcW w:w="6438"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项目负责人为土木工程或相关专业大专或以上学历，具备中级或以上技术职称</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1.项目负责人</w:t>
            </w:r>
            <w:r>
              <w:rPr>
                <w:rFonts w:hint="eastAsia" w:ascii="仿宋_GB2312" w:hAnsi="仿宋_GB2312" w:eastAsia="仿宋_GB2312" w:cs="仿宋_GB2312"/>
                <w:color w:val="auto"/>
                <w:sz w:val="24"/>
                <w:szCs w:val="24"/>
                <w:highlight w:val="none"/>
              </w:rPr>
              <w:t>的学历（</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本科及以上（3分），专科（2分）</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职称（3</w:t>
            </w:r>
            <w:r>
              <w:rPr>
                <w:rFonts w:hint="eastAsia" w:ascii="仿宋_GB2312" w:hAnsi="仿宋_GB2312" w:eastAsia="仿宋_GB2312" w:cs="仿宋_GB2312"/>
                <w:color w:val="auto"/>
                <w:sz w:val="24"/>
                <w:szCs w:val="24"/>
                <w:highlight w:val="none"/>
                <w:lang w:eastAsia="zh-CN"/>
              </w:rPr>
              <w:t>分</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中级及以上（3分）、初级（2分）；</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证书（</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省级及以上（2分）、市级（1分）、区级（0.5分）。</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注：提供毕业证、职称证等扫描件，原件备查。</w:t>
            </w:r>
          </w:p>
        </w:tc>
        <w:tc>
          <w:tcPr>
            <w:tcW w:w="712"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888" w:type="dxa"/>
            <w:vAlign w:val="center"/>
          </w:tcPr>
          <w:p>
            <w:pPr>
              <w:jc w:val="center"/>
              <w:rPr>
                <w:rFonts w:hint="eastAsia" w:ascii="仿宋_GB2312" w:hAnsi="仿宋_GB2312" w:eastAsia="仿宋_GB2312" w:cs="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1" w:type="dxa"/>
            <w:tcBorders>
              <w:right w:val="single" w:color="auto" w:sz="4" w:space="0"/>
            </w:tcBorders>
            <w:vAlign w:val="center"/>
          </w:tcPr>
          <w:p>
            <w:pPr>
              <w:adjustRightInd w:val="0"/>
              <w:snapToGrid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拟安排的项目团队成员（项目负责人除外）情况</w:t>
            </w:r>
          </w:p>
        </w:tc>
        <w:tc>
          <w:tcPr>
            <w:tcW w:w="6438"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项目团队成员3人（项目负责人除外），大专或以上学历，具备初级或以上技术职称</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1.项目成员</w:t>
            </w:r>
            <w:r>
              <w:rPr>
                <w:rFonts w:hint="eastAsia" w:ascii="仿宋_GB2312" w:hAnsi="仿宋_GB2312" w:eastAsia="仿宋_GB2312" w:cs="仿宋_GB2312"/>
                <w:color w:val="auto"/>
                <w:sz w:val="24"/>
                <w:szCs w:val="24"/>
                <w:highlight w:val="none"/>
              </w:rPr>
              <w:t>的学历（</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本科及以上（3分/人），专科（2分/人）</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职称（</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中级及以上（3分）、初级（2分）；</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证书（</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市级及以上（1分/人）、区级（0.5分/人）。</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注：提供毕业证、职称证等扫描件，原件备查。</w:t>
            </w:r>
          </w:p>
        </w:tc>
        <w:tc>
          <w:tcPr>
            <w:tcW w:w="712" w:type="dxa"/>
            <w:vAlign w:val="center"/>
          </w:tcPr>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21</w:t>
            </w:r>
          </w:p>
        </w:tc>
        <w:tc>
          <w:tcPr>
            <w:tcW w:w="888" w:type="dxa"/>
            <w:vAlign w:val="center"/>
          </w:tcPr>
          <w:p>
            <w:pPr>
              <w:jc w:val="center"/>
              <w:rPr>
                <w:rFonts w:hint="eastAsia" w:ascii="仿宋_GB2312" w:hAnsi="仿宋_GB2312" w:eastAsia="仿宋_GB2312" w:cs="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1" w:type="dxa"/>
            <w:vAlign w:val="center"/>
          </w:tcPr>
          <w:p>
            <w:pPr>
              <w:adjustRightInd w:val="0"/>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公司实力</w:t>
            </w:r>
          </w:p>
        </w:tc>
        <w:tc>
          <w:tcPr>
            <w:tcW w:w="6438"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1.建设工程及服务类</w:t>
            </w:r>
            <w:r>
              <w:rPr>
                <w:rFonts w:hint="eastAsia" w:ascii="仿宋_GB2312" w:hAnsi="仿宋_GB2312" w:eastAsia="仿宋_GB2312" w:cs="仿宋_GB2312"/>
                <w:color w:val="auto"/>
                <w:sz w:val="24"/>
                <w:szCs w:val="24"/>
                <w:highlight w:val="none"/>
              </w:rPr>
              <w:t>业绩经验，</w:t>
            </w:r>
            <w:r>
              <w:rPr>
                <w:rFonts w:hint="eastAsia" w:ascii="仿宋_GB2312" w:hAnsi="仿宋_GB2312" w:eastAsia="仿宋_GB2312" w:cs="仿宋_GB2312"/>
                <w:color w:val="auto"/>
                <w:sz w:val="24"/>
                <w:szCs w:val="24"/>
                <w:highlight w:val="none"/>
                <w:lang w:val="en-US" w:eastAsia="zh-CN"/>
              </w:rPr>
              <w:t>每项得3分，最高</w:t>
            </w:r>
            <w:r>
              <w:rPr>
                <w:rFonts w:hint="eastAsia" w:ascii="仿宋_GB2312" w:hAnsi="仿宋_GB2312" w:eastAsia="仿宋_GB2312" w:cs="仿宋_GB2312"/>
                <w:color w:val="auto"/>
                <w:sz w:val="24"/>
                <w:szCs w:val="24"/>
                <w:highlight w:val="none"/>
              </w:rPr>
              <w:t>得</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2.建设工程及服务类</w:t>
            </w:r>
            <w:r>
              <w:rPr>
                <w:rFonts w:hint="eastAsia" w:ascii="仿宋_GB2312" w:hAnsi="仿宋_GB2312" w:eastAsia="仿宋_GB2312" w:cs="仿宋_GB2312"/>
                <w:color w:val="auto"/>
                <w:sz w:val="24"/>
                <w:szCs w:val="24"/>
                <w:highlight w:val="none"/>
                <w:lang w:eastAsia="zh-CN"/>
              </w:rPr>
              <w:t>业绩履约评价为“优秀”，</w:t>
            </w:r>
            <w:r>
              <w:rPr>
                <w:rFonts w:hint="eastAsia" w:ascii="仿宋_GB2312" w:hAnsi="仿宋_GB2312" w:eastAsia="仿宋_GB2312" w:cs="仿宋_GB2312"/>
                <w:color w:val="auto"/>
                <w:sz w:val="24"/>
                <w:szCs w:val="24"/>
                <w:highlight w:val="none"/>
                <w:lang w:val="en-US" w:eastAsia="zh-CN"/>
              </w:rPr>
              <w:t>每项得3分，最高</w:t>
            </w:r>
            <w:r>
              <w:rPr>
                <w:rFonts w:hint="eastAsia" w:ascii="仿宋_GB2312" w:hAnsi="仿宋_GB2312" w:eastAsia="仿宋_GB2312" w:cs="仿宋_GB2312"/>
                <w:color w:val="auto"/>
                <w:sz w:val="24"/>
                <w:szCs w:val="24"/>
                <w:highlight w:val="none"/>
                <w:lang w:eastAsia="zh-CN"/>
              </w:rPr>
              <w:t>得</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分。</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诚信纳税得</w:t>
            </w:r>
            <w:r>
              <w:rPr>
                <w:rFonts w:hint="eastAsia" w:ascii="仿宋_GB2312" w:hAnsi="仿宋_GB2312" w:eastAsia="仿宋_GB2312" w:cs="仿宋_GB2312"/>
                <w:color w:val="auto"/>
                <w:sz w:val="24"/>
                <w:szCs w:val="24"/>
                <w:highlight w:val="none"/>
                <w:lang w:val="en-US" w:eastAsia="zh-CN"/>
              </w:rPr>
              <w:t>7分。</w:t>
            </w:r>
            <w:r>
              <w:rPr>
                <w:rFonts w:hint="eastAsia" w:ascii="仿宋_GB2312" w:hAnsi="仿宋_GB2312" w:eastAsia="仿宋_GB2312" w:cs="仿宋_GB2312"/>
                <w:color w:val="auto"/>
                <w:sz w:val="24"/>
                <w:szCs w:val="24"/>
                <w:highlight w:val="none"/>
                <w:lang w:eastAsia="zh-CN"/>
              </w:rPr>
              <w:t>未提供的</w:t>
            </w:r>
            <w:r>
              <w:rPr>
                <w:rFonts w:hint="eastAsia" w:ascii="仿宋_GB2312" w:hAnsi="仿宋_GB2312" w:eastAsia="仿宋_GB2312" w:cs="仿宋_GB2312"/>
                <w:color w:val="auto"/>
                <w:sz w:val="24"/>
                <w:szCs w:val="24"/>
                <w:highlight w:val="none"/>
              </w:rPr>
              <w:t>不得分</w:t>
            </w:r>
            <w:r>
              <w:rPr>
                <w:rFonts w:hint="eastAsia" w:ascii="仿宋_GB2312" w:hAnsi="仿宋_GB2312" w:eastAsia="仿宋_GB2312" w:cs="仿宋_GB2312"/>
                <w:color w:val="auto"/>
                <w:sz w:val="24"/>
                <w:szCs w:val="24"/>
                <w:highlight w:val="none"/>
                <w:lang w:eastAsia="zh-CN"/>
              </w:rPr>
              <w:t>。</w:t>
            </w:r>
          </w:p>
        </w:tc>
        <w:tc>
          <w:tcPr>
            <w:tcW w:w="712" w:type="dxa"/>
            <w:vAlign w:val="center"/>
          </w:tcPr>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19</w:t>
            </w:r>
          </w:p>
        </w:tc>
        <w:tc>
          <w:tcPr>
            <w:tcW w:w="888" w:type="dxa"/>
            <w:vAlign w:val="center"/>
          </w:tcPr>
          <w:p>
            <w:pPr>
              <w:jc w:val="center"/>
              <w:rPr>
                <w:rFonts w:hint="eastAsia" w:ascii="仿宋_GB2312" w:hAnsi="仿宋_GB2312" w:eastAsia="仿宋_GB2312" w:cs="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1" w:type="dxa"/>
            <w:vAlign w:val="center"/>
          </w:tcPr>
          <w:p>
            <w:pPr>
              <w:adjustRightInd w:val="0"/>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公司诚信</w:t>
            </w:r>
          </w:p>
        </w:tc>
        <w:tc>
          <w:tcPr>
            <w:tcW w:w="6438"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投标企业请提供以下网站查询结果截图</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中国政府采购网-政府采购严重违法失信行为记录名单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网址：http://www.ccgp.gov.cn/search/cr/</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rPr>
              <w:t>信用中国</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网址：https://www.creditchina.gov.cn/</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全国法院失信被执行人名单信息查询系统</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网址：http://zxgk.court.gov.cn/shixin/</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国家企业信用信息公示平台</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"http://www.gsxt.gov.cn/index.html。"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rPr>
              <w:t>http://www.gsxt.gov.cn/index.html</w:t>
            </w:r>
            <w:r>
              <w:rPr>
                <w:rFonts w:hint="eastAsia" w:ascii="仿宋_GB2312" w:hAnsi="仿宋_GB2312" w:eastAsia="仿宋_GB2312" w:cs="仿宋_GB2312"/>
                <w:color w:val="auto"/>
                <w:sz w:val="24"/>
                <w:szCs w:val="24"/>
                <w:highlight w:val="none"/>
              </w:rPr>
              <w:fldChar w:fldCharType="end"/>
            </w:r>
          </w:p>
          <w:p>
            <w:pPr>
              <w:adjustRightInd w:val="0"/>
              <w:snapToGrid w:val="0"/>
              <w:spacing w:line="216"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全国律师执业诚信信息公示平台</w:t>
            </w:r>
          </w:p>
          <w:p>
            <w:pPr>
              <w:adjustRightInd w:val="0"/>
              <w:snapToGrid w:val="0"/>
              <w:spacing w:line="216"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"https://credit.acla.org.cn/" </w:instrText>
            </w:r>
            <w:r>
              <w:rPr>
                <w:rFonts w:hint="eastAsia" w:ascii="仿宋_GB2312" w:hAnsi="仿宋_GB2312" w:eastAsia="仿宋_GB2312" w:cs="仿宋_GB2312"/>
                <w:color w:val="auto"/>
                <w:sz w:val="24"/>
                <w:szCs w:val="24"/>
                <w:highlight w:val="none"/>
              </w:rPr>
              <w:fldChar w:fldCharType="separate"/>
            </w:r>
            <w:r>
              <w:rPr>
                <w:rStyle w:val="4"/>
                <w:rFonts w:hint="eastAsia" w:ascii="仿宋_GB2312" w:hAnsi="仿宋_GB2312" w:eastAsia="仿宋_GB2312" w:cs="仿宋_GB2312"/>
                <w:color w:val="auto"/>
                <w:sz w:val="24"/>
                <w:szCs w:val="24"/>
                <w:highlight w:val="none"/>
              </w:rPr>
              <w:t>https://credit.acla.org.cn/</w:t>
            </w:r>
            <w:r>
              <w:rPr>
                <w:rFonts w:hint="eastAsia" w:ascii="仿宋_GB2312" w:hAnsi="仿宋_GB2312" w:eastAsia="仿宋_GB2312" w:cs="仿宋_GB2312"/>
                <w:color w:val="auto"/>
                <w:sz w:val="24"/>
                <w:szCs w:val="24"/>
                <w:highlight w:val="none"/>
              </w:rPr>
              <w:fldChar w:fldCharType="end"/>
            </w:r>
          </w:p>
          <w:p>
            <w:pPr>
              <w:adjustRightInd w:val="0"/>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val="en-US" w:eastAsia="zh-CN"/>
              </w:rPr>
              <w:t>没有负面记录和失信行为等得7分</w:t>
            </w:r>
            <w:r>
              <w:rPr>
                <w:rFonts w:hint="eastAsia" w:ascii="仿宋_GB2312" w:hAnsi="仿宋_GB2312" w:eastAsia="仿宋_GB2312" w:cs="仿宋_GB2312"/>
                <w:color w:val="auto"/>
                <w:sz w:val="24"/>
                <w:szCs w:val="24"/>
                <w:highlight w:val="none"/>
              </w:rPr>
              <w:t>、没有</w:t>
            </w:r>
            <w:r>
              <w:rPr>
                <w:rFonts w:hint="eastAsia" w:ascii="仿宋_GB2312" w:hAnsi="仿宋_GB2312" w:eastAsia="仿宋_GB2312" w:cs="仿宋_GB2312"/>
                <w:color w:val="auto"/>
                <w:sz w:val="24"/>
                <w:szCs w:val="24"/>
                <w:highlight w:val="none"/>
                <w:lang w:val="en-US" w:eastAsia="zh-CN"/>
              </w:rPr>
              <w:t>截图</w:t>
            </w:r>
            <w:r>
              <w:rPr>
                <w:rFonts w:hint="eastAsia" w:ascii="仿宋_GB2312" w:hAnsi="仿宋_GB2312" w:eastAsia="仿宋_GB2312" w:cs="仿宋_GB2312"/>
                <w:color w:val="auto"/>
                <w:sz w:val="24"/>
                <w:szCs w:val="24"/>
                <w:highlight w:val="none"/>
              </w:rPr>
              <w:t>不得分。</w:t>
            </w:r>
          </w:p>
        </w:tc>
        <w:tc>
          <w:tcPr>
            <w:tcW w:w="712" w:type="dxa"/>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7</w:t>
            </w:r>
          </w:p>
        </w:tc>
        <w:tc>
          <w:tcPr>
            <w:tcW w:w="888" w:type="dxa"/>
            <w:vAlign w:val="center"/>
          </w:tcPr>
          <w:p>
            <w:pPr>
              <w:jc w:val="center"/>
              <w:rPr>
                <w:rFonts w:hint="eastAsia" w:ascii="仿宋_GB2312" w:hAnsi="仿宋_GB2312" w:eastAsia="仿宋_GB2312" w:cs="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8079" w:type="dxa"/>
            <w:gridSpan w:val="2"/>
            <w:vAlign w:val="center"/>
          </w:tcPr>
          <w:p>
            <w:pPr>
              <w:adjustRightInd w:val="0"/>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总评分</w:t>
            </w:r>
          </w:p>
        </w:tc>
        <w:tc>
          <w:tcPr>
            <w:tcW w:w="712" w:type="dxa"/>
            <w:vAlign w:val="center"/>
          </w:tcPr>
          <w:p>
            <w:pPr>
              <w:adjustRightInd w:val="0"/>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100</w:t>
            </w:r>
          </w:p>
        </w:tc>
        <w:tc>
          <w:tcPr>
            <w:tcW w:w="888" w:type="dxa"/>
            <w:vAlign w:val="center"/>
          </w:tcPr>
          <w:p>
            <w:pPr>
              <w:adjustRightInd w:val="0"/>
              <w:snapToGrid w:val="0"/>
              <w:jc w:val="center"/>
              <w:rPr>
                <w:rFonts w:hint="eastAsia" w:ascii="仿宋_GB2312" w:hAnsi="仿宋_GB2312" w:eastAsia="仿宋_GB2312" w:cs="仿宋_GB2312"/>
                <w:sz w:val="24"/>
                <w:szCs w:val="24"/>
                <w:highlight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D3EE9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Y</cp:lastModifiedBy>
  <dcterms:modified xsi:type="dcterms:W3CDTF">2026-02-02T09:23:56Z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FFD66E4388CA6DA1ACFC7F69948F0B1D</vt:lpwstr>
  </property>
</Properties>
</file>