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12.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341218">
      <w:pPr>
        <w:shd w:val="clear"/>
        <w:rPr>
          <w:rFonts w:eastAsia="等线"/>
          <w:color w:val="auto"/>
          <w:highlight w:val="none"/>
        </w:rPr>
      </w:pPr>
    </w:p>
    <w:p w14:paraId="7A38BA47">
      <w:pPr>
        <w:shd w:val="clear"/>
        <w:rPr>
          <w:rFonts w:eastAsia="等线"/>
          <w:color w:val="auto"/>
          <w:highlight w:val="none"/>
        </w:rPr>
      </w:pPr>
    </w:p>
    <w:p w14:paraId="56ED44F4">
      <w:pPr>
        <w:shd w:val="clear"/>
        <w:rPr>
          <w:rFonts w:eastAsia="等线"/>
          <w:color w:val="auto"/>
          <w:highlight w:val="none"/>
        </w:rPr>
      </w:pPr>
    </w:p>
    <w:p w14:paraId="0BD0CE46">
      <w:pPr>
        <w:shd w:val="clear"/>
        <w:rPr>
          <w:rFonts w:eastAsia="等线"/>
          <w:color w:val="auto"/>
          <w:highlight w:val="none"/>
        </w:rPr>
      </w:pPr>
    </w:p>
    <w:p w14:paraId="057BCCC8">
      <w:pPr>
        <w:shd w:val="clear"/>
        <w:rPr>
          <w:rFonts w:eastAsia="等线"/>
          <w:color w:val="auto"/>
          <w:highlight w:val="none"/>
        </w:rPr>
      </w:pPr>
    </w:p>
    <w:p w14:paraId="21D210B0">
      <w:pPr>
        <w:shd w:val="clear"/>
        <w:rPr>
          <w:rFonts w:eastAsia="等线"/>
          <w:color w:val="auto"/>
          <w:highlight w:val="none"/>
        </w:rPr>
      </w:pPr>
    </w:p>
    <w:p w14:paraId="13F71F1A">
      <w:pPr>
        <w:shd w:val="clear"/>
        <w:rPr>
          <w:color w:val="auto"/>
          <w:highlight w:val="none"/>
        </w:rPr>
      </w:pPr>
    </w:p>
    <w:p w14:paraId="1CAC8281">
      <w:pPr>
        <w:shd w:val="clear"/>
        <w:rPr>
          <w:rFonts w:hint="eastAsia" w:eastAsia="黑体"/>
          <w:color w:val="auto"/>
          <w:sz w:val="44"/>
          <w:szCs w:val="44"/>
          <w:highlight w:val="none"/>
          <w:lang w:eastAsia="zh-CN"/>
        </w:rPr>
      </w:pPr>
      <w:r>
        <w:rPr>
          <w:rFonts w:hint="eastAsia" w:eastAsia="黑体"/>
          <w:color w:val="auto"/>
          <w:sz w:val="44"/>
          <w:szCs w:val="44"/>
          <w:highlight w:val="none"/>
          <w:lang w:eastAsia="zh-CN"/>
        </w:rPr>
        <w:t>盐田区人民医院发热门诊大楼及配套设施项目手机信号覆盖工程（重新招标第1次）</w:t>
      </w:r>
    </w:p>
    <w:p w14:paraId="476E3A66">
      <w:pPr>
        <w:shd w:val="clear"/>
        <w:rPr>
          <w:rFonts w:eastAsia="黑体"/>
          <w:color w:val="auto"/>
          <w:sz w:val="44"/>
          <w:szCs w:val="44"/>
          <w:highlight w:val="none"/>
        </w:rPr>
      </w:pPr>
      <w:r>
        <w:rPr>
          <w:rFonts w:hint="eastAsia" w:eastAsia="黑体"/>
          <w:color w:val="auto"/>
          <w:sz w:val="44"/>
          <w:szCs w:val="44"/>
          <w:highlight w:val="none"/>
          <w:lang w:val="en-US" w:eastAsia="zh-CN"/>
        </w:rPr>
        <w:t>采购</w:t>
      </w:r>
      <w:r>
        <w:rPr>
          <w:rFonts w:hint="eastAsia" w:eastAsia="黑体"/>
          <w:color w:val="auto"/>
          <w:sz w:val="44"/>
          <w:szCs w:val="44"/>
          <w:highlight w:val="none"/>
        </w:rPr>
        <w:t>文件信息</w:t>
      </w:r>
    </w:p>
    <w:p w14:paraId="51E116DB">
      <w:pPr>
        <w:pStyle w:val="35"/>
        <w:shd w:val="clear"/>
        <w:rPr>
          <w:color w:val="auto"/>
          <w:highlight w:val="none"/>
        </w:rPr>
      </w:pPr>
    </w:p>
    <w:p w14:paraId="0DBB900D">
      <w:pPr>
        <w:pStyle w:val="35"/>
        <w:shd w:val="clear"/>
        <w:rPr>
          <w:color w:val="auto"/>
          <w:highlight w:val="none"/>
        </w:rPr>
      </w:pPr>
    </w:p>
    <w:p w14:paraId="29EB4B4D">
      <w:pPr>
        <w:pStyle w:val="35"/>
        <w:shd w:val="clear"/>
        <w:rPr>
          <w:color w:val="auto"/>
          <w:highlight w:val="none"/>
        </w:rPr>
      </w:pPr>
    </w:p>
    <w:tbl>
      <w:tblPr>
        <w:tblStyle w:val="24"/>
        <w:tblW w:w="7943" w:type="dxa"/>
        <w:jc w:val="center"/>
        <w:tblCellSpacing w:w="0" w:type="dxa"/>
        <w:tblLayout w:type="fixed"/>
        <w:tblCellMar>
          <w:top w:w="45" w:type="dxa"/>
          <w:left w:w="45" w:type="dxa"/>
          <w:bottom w:w="45" w:type="dxa"/>
          <w:right w:w="45" w:type="dxa"/>
        </w:tblCellMar>
      </w:tblPr>
      <w:tblGrid>
        <w:gridCol w:w="2723"/>
        <w:gridCol w:w="5220"/>
      </w:tblGrid>
      <w:tr w14:paraId="0E602978">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60015FC2">
            <w:pPr>
              <w:shd w:val="clear"/>
              <w:rPr>
                <w:color w:val="auto"/>
                <w:highlight w:val="none"/>
              </w:rPr>
            </w:pPr>
            <w:r>
              <w:rPr>
                <w:rFonts w:hint="eastAsia" w:eastAsia="宋体"/>
                <w:color w:val="auto"/>
                <w:highlight w:val="none"/>
              </w:rPr>
              <w:t>项目编号：</w:t>
            </w:r>
          </w:p>
        </w:tc>
        <w:tc>
          <w:tcPr>
            <w:tcW w:w="5220" w:type="dxa"/>
            <w:vAlign w:val="center"/>
          </w:tcPr>
          <w:p w14:paraId="409F328A">
            <w:pPr>
              <w:shd w:val="clear"/>
              <w:rPr>
                <w:rFonts w:hint="default" w:eastAsia="宋体"/>
                <w:color w:val="auto"/>
                <w:highlight w:val="none"/>
                <w:lang w:val="en-US" w:eastAsia="zh-CN"/>
              </w:rPr>
            </w:pPr>
            <w:r>
              <w:rPr>
                <w:rFonts w:hint="eastAsia" w:eastAsia="宋体"/>
                <w:color w:val="auto"/>
                <w:highlight w:val="none"/>
                <w:lang w:eastAsia="zh-CN"/>
              </w:rPr>
              <w:t>YTGWS-2026-0116</w:t>
            </w:r>
          </w:p>
        </w:tc>
      </w:tr>
      <w:tr w14:paraId="536FF959">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1DE47DB9">
            <w:pPr>
              <w:shd w:val="clear"/>
              <w:rPr>
                <w:color w:val="auto"/>
                <w:highlight w:val="none"/>
              </w:rPr>
            </w:pPr>
            <w:r>
              <w:rPr>
                <w:rFonts w:hint="eastAsia" w:eastAsia="宋体"/>
                <w:color w:val="auto"/>
                <w:highlight w:val="none"/>
              </w:rPr>
              <w:t>项目名称：</w:t>
            </w:r>
          </w:p>
        </w:tc>
        <w:tc>
          <w:tcPr>
            <w:tcW w:w="5220" w:type="dxa"/>
            <w:vAlign w:val="center"/>
          </w:tcPr>
          <w:p w14:paraId="5C266641">
            <w:pPr>
              <w:shd w:val="clear"/>
              <w:rPr>
                <w:rFonts w:hint="eastAsia" w:eastAsia="宋体"/>
                <w:color w:val="auto"/>
                <w:highlight w:val="none"/>
                <w:lang w:eastAsia="zh-CN"/>
              </w:rPr>
            </w:pPr>
            <w:r>
              <w:rPr>
                <w:rFonts w:hint="eastAsia" w:eastAsia="宋体"/>
                <w:color w:val="auto"/>
                <w:highlight w:val="none"/>
                <w:lang w:eastAsia="zh-CN"/>
              </w:rPr>
              <w:t>盐田区人民医院发热门诊大楼及配套设施项目手机信号覆盖工程（重新招标第1次）</w:t>
            </w:r>
          </w:p>
        </w:tc>
      </w:tr>
      <w:tr w14:paraId="7542F889">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4FF510C8">
            <w:pPr>
              <w:shd w:val="clear"/>
              <w:rPr>
                <w:color w:val="auto"/>
                <w:highlight w:val="none"/>
              </w:rPr>
            </w:pPr>
            <w:r>
              <w:rPr>
                <w:rFonts w:hint="eastAsia" w:eastAsia="宋体"/>
                <w:color w:val="auto"/>
                <w:highlight w:val="none"/>
              </w:rPr>
              <w:t>项目类型：</w:t>
            </w:r>
          </w:p>
        </w:tc>
        <w:tc>
          <w:tcPr>
            <w:tcW w:w="5220" w:type="dxa"/>
            <w:vAlign w:val="center"/>
          </w:tcPr>
          <w:p w14:paraId="2EB4F530">
            <w:pPr>
              <w:shd w:val="clear"/>
              <w:rPr>
                <w:color w:val="auto"/>
                <w:highlight w:val="none"/>
              </w:rPr>
            </w:pPr>
            <w:r>
              <w:rPr>
                <w:rFonts w:hint="eastAsia" w:eastAsia="宋体"/>
                <w:color w:val="auto"/>
                <w:highlight w:val="none"/>
                <w:lang w:val="en-US" w:eastAsia="zh-CN"/>
              </w:rPr>
              <w:t>工程</w:t>
            </w:r>
            <w:r>
              <w:rPr>
                <w:rFonts w:hint="eastAsia" w:eastAsia="宋体"/>
                <w:color w:val="auto"/>
                <w:highlight w:val="none"/>
              </w:rPr>
              <w:t>类</w:t>
            </w:r>
          </w:p>
        </w:tc>
      </w:tr>
      <w:tr w14:paraId="0542DAB0">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459360BE">
            <w:pPr>
              <w:shd w:val="clear"/>
              <w:rPr>
                <w:color w:val="auto"/>
                <w:highlight w:val="none"/>
              </w:rPr>
            </w:pPr>
            <w:r>
              <w:rPr>
                <w:rFonts w:hint="eastAsia" w:eastAsia="宋体"/>
                <w:color w:val="auto"/>
                <w:highlight w:val="none"/>
              </w:rPr>
              <w:t>采购方式：</w:t>
            </w:r>
          </w:p>
        </w:tc>
        <w:tc>
          <w:tcPr>
            <w:tcW w:w="5220" w:type="dxa"/>
            <w:vAlign w:val="center"/>
          </w:tcPr>
          <w:p w14:paraId="310F85B6">
            <w:pPr>
              <w:shd w:val="clear"/>
              <w:rPr>
                <w:rFonts w:hint="eastAsia" w:eastAsia="宋体"/>
                <w:color w:val="auto"/>
                <w:highlight w:val="none"/>
                <w:lang w:eastAsia="zh-CN"/>
              </w:rPr>
            </w:pPr>
            <w:r>
              <w:rPr>
                <w:rFonts w:hint="eastAsia" w:eastAsia="宋体"/>
                <w:color w:val="auto"/>
                <w:highlight w:val="none"/>
              </w:rPr>
              <w:t>公开</w:t>
            </w:r>
            <w:r>
              <w:rPr>
                <w:rFonts w:hint="eastAsia" w:eastAsia="宋体"/>
                <w:color w:val="auto"/>
                <w:highlight w:val="none"/>
                <w:lang w:val="en-US" w:eastAsia="zh-CN"/>
              </w:rPr>
              <w:t>征集</w:t>
            </w:r>
          </w:p>
        </w:tc>
      </w:tr>
      <w:tr w14:paraId="644B8640">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718371A8">
            <w:pPr>
              <w:shd w:val="clear"/>
              <w:rPr>
                <w:color w:val="auto"/>
                <w:highlight w:val="none"/>
              </w:rPr>
            </w:pPr>
            <w:r>
              <w:rPr>
                <w:rFonts w:hint="eastAsia" w:eastAsia="宋体"/>
                <w:color w:val="auto"/>
                <w:highlight w:val="none"/>
              </w:rPr>
              <w:t>货币类型：</w:t>
            </w:r>
          </w:p>
        </w:tc>
        <w:tc>
          <w:tcPr>
            <w:tcW w:w="5220" w:type="dxa"/>
            <w:vAlign w:val="center"/>
          </w:tcPr>
          <w:p w14:paraId="7E1446C6">
            <w:pPr>
              <w:shd w:val="clear"/>
              <w:rPr>
                <w:color w:val="auto"/>
                <w:highlight w:val="none"/>
              </w:rPr>
            </w:pPr>
            <w:r>
              <w:rPr>
                <w:rFonts w:hint="eastAsia" w:eastAsia="宋体"/>
                <w:color w:val="auto"/>
                <w:highlight w:val="none"/>
              </w:rPr>
              <w:t>人民币</w:t>
            </w:r>
          </w:p>
        </w:tc>
      </w:tr>
      <w:tr w14:paraId="6E342D6B">
        <w:tblPrEx>
          <w:tblCellMar>
            <w:top w:w="45" w:type="dxa"/>
            <w:left w:w="45" w:type="dxa"/>
            <w:bottom w:w="45" w:type="dxa"/>
            <w:right w:w="45" w:type="dxa"/>
          </w:tblCellMar>
        </w:tblPrEx>
        <w:trPr>
          <w:trHeight w:val="738" w:hRule="atLeast"/>
          <w:tblCellSpacing w:w="0" w:type="dxa"/>
          <w:jc w:val="center"/>
        </w:trPr>
        <w:tc>
          <w:tcPr>
            <w:tcW w:w="2723" w:type="dxa"/>
            <w:vAlign w:val="center"/>
          </w:tcPr>
          <w:p w14:paraId="06B73ACF">
            <w:pPr>
              <w:shd w:val="clear"/>
              <w:rPr>
                <w:color w:val="auto"/>
                <w:highlight w:val="none"/>
              </w:rPr>
            </w:pPr>
            <w:r>
              <w:rPr>
                <w:rFonts w:hint="eastAsia" w:eastAsia="宋体"/>
                <w:color w:val="auto"/>
                <w:highlight w:val="none"/>
              </w:rPr>
              <w:t>评标方法：</w:t>
            </w:r>
          </w:p>
        </w:tc>
        <w:tc>
          <w:tcPr>
            <w:tcW w:w="5220" w:type="dxa"/>
            <w:vAlign w:val="center"/>
          </w:tcPr>
          <w:p w14:paraId="0AD7BCFC">
            <w:pPr>
              <w:shd w:val="clear"/>
              <w:rPr>
                <w:color w:val="auto"/>
                <w:highlight w:val="none"/>
              </w:rPr>
            </w:pPr>
            <w:r>
              <w:rPr>
                <w:rFonts w:hint="eastAsia" w:eastAsia="宋体"/>
                <w:color w:val="auto"/>
                <w:highlight w:val="none"/>
              </w:rPr>
              <w:t>综合评分法</w:t>
            </w:r>
          </w:p>
        </w:tc>
      </w:tr>
    </w:tbl>
    <w:p w14:paraId="7888CEAA">
      <w:pPr>
        <w:shd w:val="clear"/>
        <w:rPr>
          <w:rFonts w:eastAsia="黑体"/>
          <w:color w:val="auto"/>
          <w:highlight w:val="none"/>
        </w:rPr>
      </w:pPr>
    </w:p>
    <w:p w14:paraId="1FD8D144">
      <w:pPr>
        <w:shd w:val="clear"/>
        <w:rPr>
          <w:rFonts w:eastAsia="黑体"/>
          <w:color w:val="auto"/>
          <w:highlight w:val="none"/>
        </w:rPr>
      </w:pPr>
    </w:p>
    <w:p w14:paraId="6807A0B8">
      <w:pPr>
        <w:shd w:val="clear"/>
        <w:rPr>
          <w:rFonts w:eastAsia="黑体"/>
          <w:color w:val="auto"/>
          <w:highlight w:val="none"/>
        </w:rPr>
      </w:pPr>
    </w:p>
    <w:p w14:paraId="6B8813ED">
      <w:pPr>
        <w:pStyle w:val="35"/>
        <w:shd w:val="clear"/>
        <w:rPr>
          <w:color w:val="auto"/>
          <w:highlight w:val="none"/>
        </w:rPr>
      </w:pPr>
    </w:p>
    <w:p w14:paraId="6A8C5361">
      <w:pPr>
        <w:pStyle w:val="35"/>
        <w:shd w:val="clear"/>
        <w:rPr>
          <w:color w:val="auto"/>
          <w:highlight w:val="none"/>
        </w:rPr>
      </w:pPr>
    </w:p>
    <w:p w14:paraId="0FE22AFB">
      <w:pPr>
        <w:pStyle w:val="35"/>
        <w:shd w:val="clear"/>
        <w:rPr>
          <w:color w:val="auto"/>
          <w:highlight w:val="none"/>
        </w:rPr>
      </w:pPr>
    </w:p>
    <w:p w14:paraId="0CABA9A9">
      <w:pPr>
        <w:shd w:val="clear"/>
        <w:rPr>
          <w:rFonts w:eastAsia="黑体"/>
          <w:color w:val="auto"/>
          <w:sz w:val="36"/>
          <w:szCs w:val="36"/>
          <w:highlight w:val="none"/>
        </w:rPr>
      </w:pPr>
    </w:p>
    <w:p w14:paraId="3E0C6E78">
      <w:pPr>
        <w:shd w:val="clear"/>
        <w:rPr>
          <w:rFonts w:eastAsia="黑体"/>
          <w:color w:val="auto"/>
          <w:sz w:val="36"/>
          <w:szCs w:val="36"/>
          <w:highlight w:val="none"/>
        </w:rPr>
      </w:pPr>
      <w:r>
        <w:rPr>
          <w:rFonts w:hint="eastAsia" w:eastAsia="黑体"/>
          <w:color w:val="auto"/>
          <w:sz w:val="36"/>
          <w:szCs w:val="36"/>
          <w:highlight w:val="none"/>
        </w:rPr>
        <w:t>深圳市城投全过程工程咨询有限公司</w:t>
      </w:r>
    </w:p>
    <w:p w14:paraId="2A1FAC0B">
      <w:pPr>
        <w:shd w:val="clear"/>
        <w:rPr>
          <w:rFonts w:eastAsia="黑体"/>
          <w:color w:val="auto"/>
          <w:sz w:val="36"/>
          <w:szCs w:val="36"/>
          <w:highlight w:val="none"/>
        </w:rPr>
      </w:pPr>
      <w:r>
        <w:rPr>
          <w:rFonts w:hint="eastAsia" w:eastAsia="黑体"/>
          <w:color w:val="auto"/>
          <w:sz w:val="36"/>
          <w:szCs w:val="36"/>
          <w:highlight w:val="none"/>
        </w:rPr>
        <w:t>202</w:t>
      </w:r>
      <w:r>
        <w:rPr>
          <w:rFonts w:hint="eastAsia" w:eastAsia="黑体"/>
          <w:color w:val="auto"/>
          <w:sz w:val="36"/>
          <w:szCs w:val="36"/>
          <w:highlight w:val="none"/>
          <w:lang w:val="en-US" w:eastAsia="zh-CN"/>
        </w:rPr>
        <w:t>6</w:t>
      </w:r>
      <w:r>
        <w:rPr>
          <w:rFonts w:hint="eastAsia" w:eastAsia="黑体"/>
          <w:color w:val="auto"/>
          <w:sz w:val="36"/>
          <w:szCs w:val="36"/>
          <w:highlight w:val="none"/>
        </w:rPr>
        <w:t>年</w:t>
      </w:r>
      <w:r>
        <w:rPr>
          <w:rFonts w:hint="eastAsia" w:eastAsia="黑体"/>
          <w:color w:val="auto"/>
          <w:sz w:val="36"/>
          <w:szCs w:val="36"/>
          <w:highlight w:val="none"/>
          <w:lang w:val="en-US" w:eastAsia="zh-CN"/>
        </w:rPr>
        <w:t>2</w:t>
      </w:r>
      <w:r>
        <w:rPr>
          <w:rFonts w:hint="eastAsia" w:eastAsia="黑体"/>
          <w:color w:val="auto"/>
          <w:sz w:val="36"/>
          <w:szCs w:val="36"/>
          <w:highlight w:val="none"/>
        </w:rPr>
        <w:t>月</w:t>
      </w:r>
    </w:p>
    <w:p w14:paraId="3AADF909">
      <w:pPr>
        <w:pStyle w:val="19"/>
        <w:shd w:val="clear"/>
        <w:rPr>
          <w:rFonts w:eastAsia="黑体"/>
          <w:color w:val="auto"/>
          <w:highlight w:val="none"/>
        </w:rPr>
        <w:sectPr>
          <w:footerReference r:id="rId3" w:type="default"/>
          <w:pgSz w:w="11906" w:h="16838"/>
          <w:pgMar w:top="1440" w:right="1080" w:bottom="1440" w:left="1080" w:header="851" w:footer="340" w:gutter="0"/>
          <w:pgNumType w:fmt="decimal" w:start="1"/>
          <w:cols w:space="720" w:num="1"/>
          <w:docGrid w:linePitch="312" w:charSpace="0"/>
        </w:sectPr>
      </w:pPr>
    </w:p>
    <w:p w14:paraId="2D815E41">
      <w:pPr>
        <w:pStyle w:val="19"/>
        <w:shd w:val="clear"/>
        <w:rPr>
          <w:rFonts w:eastAsia="黑体"/>
          <w:color w:val="auto"/>
          <w:highlight w:val="none"/>
        </w:rPr>
      </w:pPr>
      <w:r>
        <w:rPr>
          <w:rFonts w:hint="eastAsia" w:eastAsia="黑体"/>
          <w:color w:val="auto"/>
          <w:highlight w:val="none"/>
        </w:rPr>
        <w:t>资格性审查表</w:t>
      </w:r>
    </w:p>
    <w:tbl>
      <w:tblPr>
        <w:tblStyle w:val="24"/>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4D8D2D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B9A3318">
            <w:pPr>
              <w:shd w:val="clear"/>
              <w:rPr>
                <w:color w:val="auto"/>
                <w:highlight w:val="none"/>
              </w:rPr>
            </w:pPr>
            <w:r>
              <w:rPr>
                <w:rFonts w:hint="eastAsia" w:eastAsia="宋体"/>
                <w:color w:val="auto"/>
                <w:highlight w:val="none"/>
              </w:rPr>
              <w:t>序</w:t>
            </w:r>
            <w:r>
              <w:rPr>
                <w:rFonts w:hint="eastAsia" w:ascii="宋体" w:hAnsi="宋体" w:eastAsia="宋体" w:cs="宋体"/>
                <w:color w:val="auto"/>
                <w:highlight w:val="none"/>
              </w:rPr>
              <w:t>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11CDCE2A">
            <w:pPr>
              <w:shd w:val="clear"/>
              <w:rPr>
                <w:color w:val="auto"/>
                <w:highlight w:val="none"/>
              </w:rPr>
            </w:pPr>
            <w:r>
              <w:rPr>
                <w:rFonts w:hint="eastAsia" w:eastAsia="宋体"/>
                <w:color w:val="auto"/>
                <w:highlight w:val="none"/>
              </w:rPr>
              <w:t>内</w:t>
            </w:r>
            <w:r>
              <w:rPr>
                <w:rFonts w:hint="eastAsia" w:ascii="宋体" w:hAnsi="宋体" w:eastAsia="宋体" w:cs="宋体"/>
                <w:color w:val="auto"/>
                <w:highlight w:val="none"/>
              </w:rPr>
              <w:t>容</w:t>
            </w:r>
          </w:p>
        </w:tc>
      </w:tr>
      <w:tr w14:paraId="3AE193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960E5ED">
            <w:pPr>
              <w:shd w:val="clear"/>
              <w:rPr>
                <w:rFonts w:ascii="宋体" w:hAnsi="宋体" w:cs="宋体"/>
                <w:color w:val="auto"/>
                <w:highlight w:val="none"/>
              </w:rPr>
            </w:pPr>
            <w:r>
              <w:rPr>
                <w:color w:val="auto"/>
                <w:highlight w:val="none"/>
              </w:rPr>
              <w:t>1</w:t>
            </w:r>
          </w:p>
        </w:tc>
        <w:tc>
          <w:tcPr>
            <w:tcW w:w="8278" w:type="dxa"/>
            <w:tcBorders>
              <w:top w:val="single" w:color="000000" w:sz="8" w:space="0"/>
              <w:left w:val="single" w:color="000000" w:sz="8" w:space="0"/>
              <w:bottom w:val="single" w:color="000000" w:sz="8" w:space="0"/>
              <w:right w:val="single" w:color="000000" w:sz="8" w:space="0"/>
            </w:tcBorders>
          </w:tcPr>
          <w:p w14:paraId="6EE115DC">
            <w:pPr>
              <w:shd w:val="clear"/>
              <w:rPr>
                <w:color w:val="auto"/>
                <w:highlight w:val="none"/>
              </w:rPr>
            </w:pPr>
            <w:r>
              <w:rPr>
                <w:rFonts w:hint="eastAsia" w:eastAsia="宋体"/>
                <w:color w:val="auto"/>
                <w:highlight w:val="none"/>
              </w:rPr>
              <w:t>投标人不符合资格要求，或未提交相应的资格证明资料（详见招标公告投标人资格要求，即申请人的资格要求）</w:t>
            </w:r>
          </w:p>
        </w:tc>
      </w:tr>
    </w:tbl>
    <w:p w14:paraId="085A7A7D">
      <w:pPr>
        <w:pStyle w:val="19"/>
        <w:shd w:val="clear"/>
        <w:rPr>
          <w:rFonts w:eastAsia="黑体"/>
          <w:color w:val="auto"/>
          <w:highlight w:val="none"/>
        </w:rPr>
      </w:pPr>
      <w:bookmarkStart w:id="0" w:name="OLE_LINK1"/>
      <w:bookmarkStart w:id="1" w:name="OLE_LINK2"/>
      <w:r>
        <w:rPr>
          <w:rFonts w:hint="eastAsia" w:eastAsia="黑体"/>
          <w:color w:val="auto"/>
          <w:highlight w:val="none"/>
        </w:rPr>
        <w:t>符合性审查表</w:t>
      </w:r>
    </w:p>
    <w:tbl>
      <w:tblPr>
        <w:tblStyle w:val="24"/>
        <w:tblW w:w="9072"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20" w:type="dxa"/>
          <w:left w:w="108" w:type="dxa"/>
          <w:bottom w:w="20" w:type="dxa"/>
          <w:right w:w="108" w:type="dxa"/>
        </w:tblCellMar>
      </w:tblPr>
      <w:tblGrid>
        <w:gridCol w:w="794"/>
        <w:gridCol w:w="8278"/>
      </w:tblGrid>
      <w:tr w14:paraId="7F831F8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jc w:val="center"/>
        </w:trPr>
        <w:tc>
          <w:tcPr>
            <w:tcW w:w="9072" w:type="dxa"/>
            <w:gridSpan w:val="2"/>
            <w:tcBorders>
              <w:top w:val="single" w:color="000000" w:sz="8" w:space="0"/>
              <w:left w:val="single" w:color="000000" w:sz="8" w:space="0"/>
              <w:bottom w:val="single" w:color="000000" w:sz="8" w:space="0"/>
              <w:right w:val="single" w:color="000000" w:sz="8" w:space="0"/>
            </w:tcBorders>
            <w:shd w:val="clear" w:color="auto" w:fill="E6EFFA"/>
            <w:vAlign w:val="center"/>
          </w:tcPr>
          <w:p w14:paraId="70D7628D">
            <w:pPr>
              <w:shd w:val="clear"/>
              <w:rPr>
                <w:rFonts w:eastAsia="宋体"/>
                <w:color w:val="auto"/>
                <w:highlight w:val="none"/>
              </w:rPr>
            </w:pPr>
            <w:r>
              <w:rPr>
                <w:rFonts w:hint="eastAsia" w:eastAsia="宋体"/>
                <w:color w:val="auto"/>
                <w:highlight w:val="none"/>
              </w:rPr>
              <w:t>有以下条款之一的废标</w:t>
            </w:r>
          </w:p>
        </w:tc>
      </w:tr>
      <w:bookmarkEnd w:id="0"/>
      <w:bookmarkEnd w:id="1"/>
      <w:tr w14:paraId="2BD5E04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4ED5349C">
            <w:pPr>
              <w:shd w:val="clear"/>
              <w:rPr>
                <w:color w:val="auto"/>
                <w:highlight w:val="none"/>
              </w:rPr>
            </w:pPr>
            <w:r>
              <w:rPr>
                <w:rFonts w:hint="eastAsia" w:eastAsia="宋体"/>
                <w:color w:val="auto"/>
                <w:highlight w:val="none"/>
              </w:rPr>
              <w:t>序</w:t>
            </w:r>
            <w:r>
              <w:rPr>
                <w:rFonts w:hint="eastAsia" w:ascii="宋体" w:hAnsi="宋体" w:eastAsia="宋体" w:cs="宋体"/>
                <w:color w:val="auto"/>
                <w:highlight w:val="none"/>
              </w:rPr>
              <w:t>号</w:t>
            </w:r>
          </w:p>
        </w:tc>
        <w:tc>
          <w:tcPr>
            <w:tcW w:w="8278" w:type="dxa"/>
            <w:tcBorders>
              <w:top w:val="single" w:color="000000" w:sz="8" w:space="0"/>
              <w:left w:val="single" w:color="000000" w:sz="8" w:space="0"/>
              <w:bottom w:val="single" w:color="000000" w:sz="8" w:space="0"/>
              <w:right w:val="single" w:color="000000" w:sz="8" w:space="0"/>
            </w:tcBorders>
            <w:shd w:val="clear" w:color="auto" w:fill="E6EFFA"/>
            <w:vAlign w:val="center"/>
          </w:tcPr>
          <w:p w14:paraId="5D352557">
            <w:pPr>
              <w:shd w:val="clear"/>
              <w:rPr>
                <w:color w:val="auto"/>
                <w:highlight w:val="none"/>
              </w:rPr>
            </w:pPr>
            <w:r>
              <w:rPr>
                <w:rFonts w:hint="eastAsia" w:eastAsia="宋体"/>
                <w:color w:val="auto"/>
                <w:highlight w:val="none"/>
              </w:rPr>
              <w:t>内</w:t>
            </w:r>
            <w:r>
              <w:rPr>
                <w:rFonts w:hint="eastAsia" w:ascii="宋体" w:hAnsi="宋体" w:eastAsia="宋体" w:cs="宋体"/>
                <w:color w:val="auto"/>
                <w:highlight w:val="none"/>
              </w:rPr>
              <w:t>容</w:t>
            </w:r>
          </w:p>
        </w:tc>
      </w:tr>
      <w:tr w14:paraId="0C2152D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9BBA33A">
            <w:pPr>
              <w:shd w:val="clear"/>
              <w:rPr>
                <w:rFonts w:ascii="宋体" w:hAnsi="宋体" w:cs="宋体"/>
                <w:color w:val="auto"/>
                <w:highlight w:val="none"/>
              </w:rPr>
            </w:pPr>
            <w:r>
              <w:rPr>
                <w:color w:val="auto"/>
                <w:highlight w:val="none"/>
              </w:rPr>
              <w:t>1</w:t>
            </w:r>
          </w:p>
        </w:tc>
        <w:tc>
          <w:tcPr>
            <w:tcW w:w="8278" w:type="dxa"/>
            <w:tcBorders>
              <w:top w:val="single" w:color="000000" w:sz="8" w:space="0"/>
              <w:left w:val="single" w:color="000000" w:sz="8" w:space="0"/>
              <w:bottom w:val="single" w:color="000000" w:sz="8" w:space="0"/>
              <w:right w:val="single" w:color="000000" w:sz="8" w:space="0"/>
            </w:tcBorders>
          </w:tcPr>
          <w:p w14:paraId="30281E2F">
            <w:pPr>
              <w:shd w:val="clear"/>
              <w:jc w:val="both"/>
              <w:rPr>
                <w:color w:val="auto"/>
                <w:szCs w:val="21"/>
                <w:highlight w:val="none"/>
              </w:rPr>
            </w:pPr>
            <w:r>
              <w:rPr>
                <w:rFonts w:hint="eastAsia" w:eastAsia="宋体"/>
                <w:color w:val="auto"/>
                <w:highlight w:val="none"/>
              </w:rPr>
              <w:t>将一个包或一个标段的内容拆开投标；</w:t>
            </w:r>
          </w:p>
        </w:tc>
      </w:tr>
      <w:tr w14:paraId="4ABA03A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2625F0B9">
            <w:pPr>
              <w:shd w:val="clear"/>
              <w:rPr>
                <w:rFonts w:ascii="宋体" w:hAnsi="宋体" w:cs="宋体"/>
                <w:color w:val="auto"/>
                <w:highlight w:val="none"/>
              </w:rPr>
            </w:pPr>
            <w:r>
              <w:rPr>
                <w:color w:val="auto"/>
                <w:highlight w:val="none"/>
              </w:rPr>
              <w:t>2</w:t>
            </w:r>
          </w:p>
        </w:tc>
        <w:tc>
          <w:tcPr>
            <w:tcW w:w="8278" w:type="dxa"/>
            <w:tcBorders>
              <w:top w:val="single" w:color="000000" w:sz="8" w:space="0"/>
              <w:left w:val="single" w:color="000000" w:sz="8" w:space="0"/>
              <w:bottom w:val="single" w:color="000000" w:sz="8" w:space="0"/>
              <w:right w:val="single" w:color="000000" w:sz="8" w:space="0"/>
            </w:tcBorders>
          </w:tcPr>
          <w:p w14:paraId="027183D7">
            <w:pPr>
              <w:shd w:val="clear"/>
              <w:jc w:val="both"/>
              <w:rPr>
                <w:color w:val="auto"/>
                <w:highlight w:val="none"/>
              </w:rPr>
            </w:pPr>
            <w:r>
              <w:rPr>
                <w:rFonts w:hint="eastAsia" w:eastAsia="宋体"/>
                <w:color w:val="auto"/>
                <w:highlight w:val="none"/>
              </w:rPr>
              <w:t>对同一项目投标时，提供两套以上的投标方案（招标文件另有规定的除外）；</w:t>
            </w:r>
          </w:p>
        </w:tc>
      </w:tr>
      <w:tr w14:paraId="749FC4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42B1D245">
            <w:pPr>
              <w:shd w:val="clear"/>
              <w:rPr>
                <w:rFonts w:ascii="宋体" w:hAnsi="宋体" w:cs="宋体"/>
                <w:color w:val="auto"/>
                <w:highlight w:val="none"/>
              </w:rPr>
            </w:pPr>
            <w:r>
              <w:rPr>
                <w:color w:val="auto"/>
                <w:highlight w:val="none"/>
              </w:rPr>
              <w:t>3</w:t>
            </w:r>
          </w:p>
        </w:tc>
        <w:tc>
          <w:tcPr>
            <w:tcW w:w="8278" w:type="dxa"/>
            <w:tcBorders>
              <w:top w:val="single" w:color="000000" w:sz="8" w:space="0"/>
              <w:left w:val="single" w:color="000000" w:sz="8" w:space="0"/>
              <w:bottom w:val="single" w:color="000000" w:sz="8" w:space="0"/>
              <w:right w:val="single" w:color="000000" w:sz="8" w:space="0"/>
            </w:tcBorders>
          </w:tcPr>
          <w:p w14:paraId="4E6E8263">
            <w:pPr>
              <w:shd w:val="clear"/>
              <w:jc w:val="both"/>
              <w:rPr>
                <w:color w:val="auto"/>
                <w:highlight w:val="none"/>
              </w:rPr>
            </w:pPr>
            <w:r>
              <w:rPr>
                <w:rFonts w:hint="eastAsia" w:eastAsia="宋体"/>
                <w:color w:val="auto"/>
                <w:highlight w:val="none"/>
              </w:rPr>
              <w:t>分项报价或投标总价高于相应财政预算金额（或设定的财政预算金额下的最高限价）；</w:t>
            </w:r>
          </w:p>
        </w:tc>
      </w:tr>
      <w:tr w14:paraId="43B7391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44799794">
            <w:pPr>
              <w:shd w:val="clear"/>
              <w:rPr>
                <w:rFonts w:ascii="宋体" w:hAnsi="宋体" w:cs="宋体"/>
                <w:color w:val="auto"/>
                <w:highlight w:val="none"/>
              </w:rPr>
            </w:pPr>
            <w:r>
              <w:rPr>
                <w:color w:val="auto"/>
                <w:highlight w:val="none"/>
              </w:rPr>
              <w:t>4</w:t>
            </w:r>
          </w:p>
        </w:tc>
        <w:tc>
          <w:tcPr>
            <w:tcW w:w="8278" w:type="dxa"/>
            <w:tcBorders>
              <w:top w:val="single" w:color="000000" w:sz="8" w:space="0"/>
              <w:left w:val="single" w:color="000000" w:sz="8" w:space="0"/>
              <w:bottom w:val="single" w:color="000000" w:sz="8" w:space="0"/>
              <w:right w:val="single" w:color="000000" w:sz="8" w:space="0"/>
            </w:tcBorders>
          </w:tcPr>
          <w:p w14:paraId="1A83DAB8">
            <w:pPr>
              <w:shd w:val="clear"/>
              <w:jc w:val="both"/>
              <w:rPr>
                <w:color w:val="auto"/>
                <w:highlight w:val="none"/>
              </w:rPr>
            </w:pPr>
            <w:bookmarkStart w:id="2" w:name="OLE_LINK72"/>
            <w:r>
              <w:rPr>
                <w:rFonts w:hint="eastAsia"/>
                <w:color w:val="auto"/>
                <w:highlight w:val="none"/>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bookmarkEnd w:id="2"/>
          </w:p>
        </w:tc>
      </w:tr>
      <w:tr w14:paraId="02011D3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1A23D097">
            <w:pPr>
              <w:shd w:val="clear"/>
              <w:rPr>
                <w:rFonts w:ascii="宋体" w:hAnsi="宋体" w:cs="宋体"/>
                <w:color w:val="auto"/>
                <w:highlight w:val="none"/>
              </w:rPr>
            </w:pPr>
            <w:r>
              <w:rPr>
                <w:color w:val="auto"/>
                <w:highlight w:val="none"/>
              </w:rPr>
              <w:t>5</w:t>
            </w:r>
          </w:p>
        </w:tc>
        <w:tc>
          <w:tcPr>
            <w:tcW w:w="8278" w:type="dxa"/>
            <w:tcBorders>
              <w:top w:val="single" w:color="000000" w:sz="8" w:space="0"/>
              <w:left w:val="single" w:color="000000" w:sz="8" w:space="0"/>
              <w:bottom w:val="single" w:color="000000" w:sz="8" w:space="0"/>
              <w:right w:val="single" w:color="000000" w:sz="8" w:space="0"/>
            </w:tcBorders>
          </w:tcPr>
          <w:p w14:paraId="17741AE8">
            <w:pPr>
              <w:shd w:val="clear"/>
              <w:jc w:val="both"/>
              <w:rPr>
                <w:color w:val="auto"/>
                <w:highlight w:val="none"/>
              </w:rPr>
            </w:pPr>
            <w:bookmarkStart w:id="3" w:name="OLE_LINK73"/>
            <w:r>
              <w:rPr>
                <w:rFonts w:hint="eastAsia"/>
                <w:color w:val="auto"/>
                <w:highlight w:val="none"/>
              </w:rPr>
              <w:t>所投货物、服务在技术、商务等方面没有实质性满足招标文件要求的（是否实质性满足招标文件要求，由评审委员会根据实质性条款响应情况做出评判；若招标文件未设置实质性条款，不得据此做投标无效处理）；</w:t>
            </w:r>
            <w:bookmarkEnd w:id="3"/>
          </w:p>
        </w:tc>
      </w:tr>
      <w:tr w14:paraId="3AD47E6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563788EB">
            <w:pPr>
              <w:shd w:val="clear"/>
              <w:rPr>
                <w:rFonts w:ascii="宋体" w:hAnsi="宋体" w:cs="宋体"/>
                <w:color w:val="auto"/>
                <w:highlight w:val="none"/>
              </w:rPr>
            </w:pPr>
            <w:r>
              <w:rPr>
                <w:color w:val="auto"/>
                <w:highlight w:val="none"/>
              </w:rPr>
              <w:t>6</w:t>
            </w:r>
          </w:p>
        </w:tc>
        <w:tc>
          <w:tcPr>
            <w:tcW w:w="8278" w:type="dxa"/>
            <w:tcBorders>
              <w:top w:val="single" w:color="000000" w:sz="8" w:space="0"/>
              <w:left w:val="single" w:color="000000" w:sz="8" w:space="0"/>
              <w:bottom w:val="single" w:color="000000" w:sz="8" w:space="0"/>
              <w:right w:val="single" w:color="000000" w:sz="8" w:space="0"/>
            </w:tcBorders>
          </w:tcPr>
          <w:p w14:paraId="3E4C01BF">
            <w:pPr>
              <w:shd w:val="clear"/>
              <w:jc w:val="both"/>
              <w:rPr>
                <w:color w:val="auto"/>
                <w:highlight w:val="none"/>
              </w:rPr>
            </w:pPr>
            <w:bookmarkStart w:id="4" w:name="OLE_LINK74"/>
            <w:r>
              <w:rPr>
                <w:rFonts w:hint="eastAsia"/>
                <w:color w:val="auto"/>
                <w:highlight w:val="none"/>
              </w:rPr>
              <w:t>未按招标文件所提供的样式填写《投标函》；未按招标文件所提供的《政府采购投标及履约承诺函》进行承诺；未按招标文件对投标文件组成的要求提供投标文件；</w:t>
            </w:r>
            <w:bookmarkEnd w:id="4"/>
          </w:p>
        </w:tc>
      </w:tr>
      <w:tr w14:paraId="3E60E4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6A433DB8">
            <w:pPr>
              <w:shd w:val="clear"/>
              <w:rPr>
                <w:rFonts w:ascii="宋体" w:hAnsi="宋体" w:cs="宋体"/>
                <w:color w:val="auto"/>
                <w:highlight w:val="none"/>
              </w:rPr>
            </w:pPr>
            <w:r>
              <w:rPr>
                <w:color w:val="auto"/>
                <w:highlight w:val="none"/>
              </w:rPr>
              <w:t>7</w:t>
            </w:r>
          </w:p>
        </w:tc>
        <w:tc>
          <w:tcPr>
            <w:tcW w:w="8278" w:type="dxa"/>
            <w:tcBorders>
              <w:top w:val="single" w:color="000000" w:sz="8" w:space="0"/>
              <w:left w:val="single" w:color="000000" w:sz="8" w:space="0"/>
              <w:bottom w:val="single" w:color="000000" w:sz="8" w:space="0"/>
              <w:right w:val="single" w:color="000000" w:sz="8" w:space="0"/>
            </w:tcBorders>
          </w:tcPr>
          <w:p w14:paraId="23552AB1">
            <w:pPr>
              <w:shd w:val="clear"/>
              <w:jc w:val="both"/>
              <w:rPr>
                <w:color w:val="auto"/>
                <w:highlight w:val="none"/>
              </w:rPr>
            </w:pPr>
            <w:r>
              <w:rPr>
                <w:rFonts w:hint="eastAsia" w:eastAsia="宋体"/>
                <w:color w:val="auto"/>
                <w:highlight w:val="none"/>
              </w:rPr>
              <w:t>投标报价有缺漏项目</w:t>
            </w:r>
            <w:r>
              <w:rPr>
                <w:rFonts w:hint="eastAsia"/>
                <w:color w:val="auto"/>
                <w:highlight w:val="none"/>
              </w:rPr>
              <w:t>,</w:t>
            </w:r>
            <w:r>
              <w:rPr>
                <w:rFonts w:hint="eastAsia" w:eastAsia="宋体"/>
                <w:color w:val="auto"/>
                <w:highlight w:val="none"/>
              </w:rPr>
              <w:t>或者对招标文件规定的项目需求内容或者需求数量进行修改，评审委员会判定投标响应不满足采购需求；</w:t>
            </w:r>
          </w:p>
        </w:tc>
      </w:tr>
      <w:tr w14:paraId="63C9BE9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20" w:type="dxa"/>
            <w:left w:w="108" w:type="dxa"/>
            <w:bottom w:w="20" w:type="dxa"/>
            <w:right w:w="108" w:type="dxa"/>
          </w:tblCellMar>
        </w:tblPrEx>
        <w:trPr>
          <w:jc w:val="center"/>
        </w:trPr>
        <w:tc>
          <w:tcPr>
            <w:tcW w:w="794" w:type="dxa"/>
            <w:tcBorders>
              <w:top w:val="single" w:color="000000" w:sz="8" w:space="0"/>
              <w:left w:val="single" w:color="000000" w:sz="8" w:space="0"/>
              <w:bottom w:val="single" w:color="000000" w:sz="8" w:space="0"/>
              <w:right w:val="single" w:color="000000" w:sz="8" w:space="0"/>
            </w:tcBorders>
          </w:tcPr>
          <w:p w14:paraId="471002F1">
            <w:pPr>
              <w:shd w:val="clear"/>
              <w:rPr>
                <w:rFonts w:ascii="宋体" w:hAnsi="宋体" w:eastAsia="宋体" w:cs="宋体"/>
                <w:color w:val="auto"/>
                <w:highlight w:val="none"/>
              </w:rPr>
            </w:pPr>
            <w:bookmarkStart w:id="5" w:name="_Hlk107480239"/>
            <w:r>
              <w:rPr>
                <w:rFonts w:hint="eastAsia" w:eastAsia="宋体"/>
                <w:color w:val="auto"/>
                <w:highlight w:val="none"/>
              </w:rPr>
              <w:t>8</w:t>
            </w:r>
          </w:p>
        </w:tc>
        <w:tc>
          <w:tcPr>
            <w:tcW w:w="8278" w:type="dxa"/>
            <w:tcBorders>
              <w:top w:val="single" w:color="000000" w:sz="8" w:space="0"/>
              <w:left w:val="single" w:color="000000" w:sz="8" w:space="0"/>
              <w:bottom w:val="single" w:color="000000" w:sz="8" w:space="0"/>
              <w:right w:val="single" w:color="000000" w:sz="8" w:space="0"/>
            </w:tcBorders>
          </w:tcPr>
          <w:p w14:paraId="1C575017">
            <w:pPr>
              <w:shd w:val="clear"/>
              <w:jc w:val="both"/>
              <w:rPr>
                <w:color w:val="auto"/>
                <w:szCs w:val="21"/>
                <w:highlight w:val="none"/>
              </w:rPr>
            </w:pPr>
            <w:r>
              <w:rPr>
                <w:rFonts w:hint="eastAsia" w:eastAsia="宋体"/>
                <w:color w:val="auto"/>
                <w:highlight w:val="none"/>
              </w:rPr>
              <w:t>法律、法规、规章、规范性文件规定的其他情形。</w:t>
            </w:r>
          </w:p>
        </w:tc>
      </w:tr>
      <w:bookmarkEnd w:id="5"/>
    </w:tbl>
    <w:p w14:paraId="1E7AC823">
      <w:pPr>
        <w:pStyle w:val="8"/>
        <w:shd w:val="clear"/>
        <w:rPr>
          <w:color w:val="auto"/>
          <w:highlight w:val="none"/>
        </w:rPr>
      </w:pPr>
    </w:p>
    <w:p w14:paraId="4B28DB68">
      <w:pPr>
        <w:shd w:val="clear"/>
        <w:rPr>
          <w:rFonts w:eastAsia="黑体"/>
          <w:color w:val="auto"/>
          <w:highlight w:val="none"/>
        </w:rPr>
      </w:pPr>
      <w:r>
        <w:rPr>
          <w:rFonts w:hint="eastAsia" w:eastAsia="黑体"/>
          <w:color w:val="auto"/>
          <w:highlight w:val="none"/>
        </w:rPr>
        <w:br w:type="page"/>
      </w:r>
    </w:p>
    <w:p w14:paraId="503ED4BE">
      <w:pPr>
        <w:pStyle w:val="19"/>
        <w:shd w:val="clear"/>
        <w:rPr>
          <w:rFonts w:eastAsia="黑体"/>
          <w:color w:val="auto"/>
          <w:highlight w:val="none"/>
        </w:rPr>
      </w:pPr>
      <w:r>
        <w:rPr>
          <w:rFonts w:hint="eastAsia" w:eastAsia="黑体"/>
          <w:color w:val="auto"/>
          <w:highlight w:val="none"/>
        </w:rPr>
        <w:t>评标信息</w:t>
      </w:r>
    </w:p>
    <w:tbl>
      <w:tblPr>
        <w:tblStyle w:val="24"/>
        <w:tblW w:w="90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9"/>
        <w:gridCol w:w="1507"/>
        <w:gridCol w:w="1817"/>
        <w:gridCol w:w="1800"/>
        <w:gridCol w:w="2118"/>
      </w:tblGrid>
      <w:tr w14:paraId="5C0E3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1769" w:type="dxa"/>
            <w:tcBorders>
              <w:top w:val="single" w:color="auto" w:sz="4" w:space="0"/>
              <w:left w:val="single" w:color="auto" w:sz="4" w:space="0"/>
              <w:bottom w:val="single" w:color="auto" w:sz="4" w:space="0"/>
              <w:right w:val="single" w:color="auto" w:sz="4" w:space="0"/>
            </w:tcBorders>
            <w:vAlign w:val="center"/>
          </w:tcPr>
          <w:p w14:paraId="1863598A">
            <w:pPr>
              <w:shd w:val="clear"/>
              <w:jc w:val="center"/>
              <w:rPr>
                <w:color w:val="auto"/>
                <w:highlight w:val="none"/>
              </w:rPr>
            </w:pPr>
            <w:r>
              <w:rPr>
                <w:rStyle w:val="56"/>
                <w:rFonts w:hint="eastAsia"/>
                <w:color w:val="auto"/>
                <w:sz w:val="22"/>
                <w:szCs w:val="16"/>
                <w:highlight w:val="none"/>
              </w:rPr>
              <w:t>本项目采用评标办法</w:t>
            </w:r>
          </w:p>
        </w:tc>
        <w:tc>
          <w:tcPr>
            <w:tcW w:w="7242" w:type="dxa"/>
            <w:gridSpan w:val="4"/>
            <w:tcBorders>
              <w:top w:val="single" w:color="auto" w:sz="4" w:space="0"/>
              <w:left w:val="single" w:color="auto" w:sz="4" w:space="0"/>
              <w:bottom w:val="single" w:color="auto" w:sz="4" w:space="0"/>
              <w:right w:val="single" w:color="auto" w:sz="4" w:space="0"/>
            </w:tcBorders>
            <w:vAlign w:val="center"/>
          </w:tcPr>
          <w:p w14:paraId="28E55DA8">
            <w:pPr>
              <w:shd w:val="clear"/>
              <w:spacing w:before="0" w:line="360" w:lineRule="auto"/>
              <w:jc w:val="both"/>
              <w:rPr>
                <w:rFonts w:ascii="宋体" w:hAnsi="宋体" w:eastAsia="Times New Roman" w:cs="Times New Roman"/>
                <w:color w:val="auto"/>
                <w:sz w:val="22"/>
                <w:highlight w:val="none"/>
              </w:rPr>
            </w:pPr>
            <w:r>
              <w:rPr>
                <w:rFonts w:hint="eastAsia" w:eastAsia="宋体"/>
                <w:color w:val="auto"/>
                <w:highlight w:val="none"/>
              </w:rPr>
              <w:t xml:space="preserve">  </w:t>
            </w:r>
            <w:r>
              <w:rPr>
                <w:rFonts w:ascii="宋体" w:hAnsi="宋体" w:eastAsia="Times New Roman" w:cs="Times New Roman"/>
                <w:color w:val="auto"/>
                <w:sz w:val="22"/>
                <w:highlight w:val="none"/>
              </w:rPr>
              <w:t>综合评分法，是指</w:t>
            </w:r>
            <w:r>
              <w:rPr>
                <w:rFonts w:hint="eastAsia" w:ascii="宋体" w:hAnsi="宋体" w:eastAsia="Times New Roman" w:cs="Times New Roman"/>
                <w:color w:val="auto"/>
                <w:sz w:val="22"/>
                <w:highlight w:val="none"/>
              </w:rPr>
              <w:t>投标文件</w:t>
            </w:r>
            <w:r>
              <w:rPr>
                <w:rFonts w:ascii="宋体" w:hAnsi="宋体" w:eastAsia="Times New Roman" w:cs="Times New Roman"/>
                <w:color w:val="auto"/>
                <w:sz w:val="22"/>
                <w:highlight w:val="none"/>
              </w:rPr>
              <w:t>满足</w:t>
            </w:r>
            <w:r>
              <w:rPr>
                <w:rFonts w:hint="eastAsia" w:ascii="宋体" w:hAnsi="宋体" w:eastAsia="Times New Roman" w:cs="Times New Roman"/>
                <w:color w:val="auto"/>
                <w:sz w:val="22"/>
                <w:highlight w:val="none"/>
              </w:rPr>
              <w:t>招标文件</w:t>
            </w:r>
            <w:r>
              <w:rPr>
                <w:rFonts w:ascii="宋体" w:hAnsi="宋体" w:eastAsia="Times New Roman" w:cs="Times New Roman"/>
                <w:color w:val="auto"/>
                <w:sz w:val="22"/>
                <w:highlight w:val="none"/>
              </w:rPr>
              <w:t xml:space="preserve">全部实质性要求，且按照评审因素的量化指标评审得分最高的投标人为中标候选人的评标方法。 </w:t>
            </w:r>
          </w:p>
          <w:p w14:paraId="2DC92298">
            <w:pPr>
              <w:shd w:val="clear"/>
              <w:spacing w:before="0" w:line="360" w:lineRule="auto"/>
              <w:jc w:val="both"/>
              <w:rPr>
                <w:rFonts w:ascii="宋体" w:hAnsi="宋体" w:eastAsia="Times New Roman" w:cs="Times New Roman"/>
                <w:color w:val="auto"/>
                <w:sz w:val="22"/>
                <w:highlight w:val="none"/>
              </w:rPr>
            </w:pP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价格分计算方法：</w:t>
            </w:r>
          </w:p>
          <w:p w14:paraId="78DA5CF8">
            <w:pPr>
              <w:shd w:val="clear"/>
              <w:spacing w:before="0" w:line="360" w:lineRule="auto"/>
              <w:jc w:val="both"/>
              <w:rPr>
                <w:rFonts w:eastAsia="宋体"/>
                <w:color w:val="auto"/>
                <w:highlight w:val="none"/>
              </w:rPr>
            </w:pP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采用低价优先法计算，即满足</w:t>
            </w:r>
            <w:r>
              <w:rPr>
                <w:rFonts w:hint="eastAsia" w:ascii="宋体" w:hAnsi="宋体" w:eastAsia="Times New Roman" w:cs="Times New Roman"/>
                <w:color w:val="auto"/>
                <w:sz w:val="22"/>
                <w:highlight w:val="none"/>
              </w:rPr>
              <w:t>招标文件</w:t>
            </w:r>
            <w:r>
              <w:rPr>
                <w:rFonts w:ascii="宋体" w:hAnsi="宋体" w:eastAsia="Times New Roman" w:cs="Times New Roman"/>
                <w:color w:val="auto"/>
                <w:sz w:val="22"/>
                <w:highlight w:val="none"/>
              </w:rPr>
              <w:t xml:space="preserve">要求且投标价格最低的投标报价为评标基准价，其价格分为满分。其他投标人的价格分统一按照下列公式计算：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投标报价得分=(评标基准价／投标报价)×100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评标总得分＝F1×A1＋F2×A2＋……＋Fn×An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F1、F2……Fn分别为各项评审因素的得分；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A1、A2、……An 分别为各项评审因素所占的权重(A1＋A2＋……＋An＝1)。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评标过程中，不得去掉报价中的最高报价和最低报价。 </w:t>
            </w:r>
            <w:r>
              <w:rPr>
                <w:rFonts w:ascii="宋体" w:hAnsi="宋体" w:eastAsia="Times New Roman" w:cs="Times New Roman"/>
                <w:color w:val="auto"/>
                <w:sz w:val="22"/>
                <w:highlight w:val="none"/>
              </w:rPr>
              <w:br w:type="textWrapping"/>
            </w:r>
            <w:r>
              <w:rPr>
                <w:rFonts w:hint="eastAsia" w:ascii="宋体" w:hAnsi="宋体" w:eastAsia="Times New Roman" w:cs="Times New Roman"/>
                <w:color w:val="auto"/>
                <w:sz w:val="22"/>
                <w:highlight w:val="none"/>
              </w:rPr>
              <w:t xml:space="preserve">    </w:t>
            </w:r>
            <w:r>
              <w:rPr>
                <w:rFonts w:ascii="宋体" w:hAnsi="宋体" w:eastAsia="Times New Roman" w:cs="Times New Roman"/>
                <w:color w:val="auto"/>
                <w:sz w:val="22"/>
                <w:highlight w:val="none"/>
              </w:rPr>
              <w:t xml:space="preserve">此方法适用于货物类、服务类、工程类项目。 </w:t>
            </w:r>
          </w:p>
        </w:tc>
      </w:tr>
      <w:tr w14:paraId="6ED0E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jc w:val="center"/>
        </w:trPr>
        <w:tc>
          <w:tcPr>
            <w:tcW w:w="1769" w:type="dxa"/>
            <w:tcBorders>
              <w:top w:val="single" w:color="auto" w:sz="4" w:space="0"/>
              <w:left w:val="single" w:color="auto" w:sz="4" w:space="0"/>
              <w:bottom w:val="single" w:color="auto" w:sz="4" w:space="0"/>
              <w:right w:val="single" w:color="auto" w:sz="4" w:space="0"/>
            </w:tcBorders>
            <w:vAlign w:val="center"/>
          </w:tcPr>
          <w:p w14:paraId="3667CF47">
            <w:pPr>
              <w:shd w:val="clear"/>
              <w:jc w:val="center"/>
              <w:rPr>
                <w:color w:val="auto"/>
                <w:highlight w:val="none"/>
              </w:rPr>
            </w:pPr>
            <w:r>
              <w:rPr>
                <w:rStyle w:val="56"/>
                <w:rFonts w:hint="eastAsia"/>
                <w:color w:val="auto"/>
                <w:sz w:val="22"/>
                <w:szCs w:val="16"/>
                <w:highlight w:val="none"/>
              </w:rPr>
              <w:t>评标办法</w:t>
            </w:r>
          </w:p>
        </w:tc>
        <w:tc>
          <w:tcPr>
            <w:tcW w:w="7242" w:type="dxa"/>
            <w:gridSpan w:val="4"/>
            <w:tcBorders>
              <w:top w:val="single" w:color="auto" w:sz="4" w:space="0"/>
              <w:left w:val="single" w:color="auto" w:sz="4" w:space="0"/>
              <w:bottom w:val="single" w:color="auto" w:sz="4" w:space="0"/>
              <w:right w:val="single" w:color="auto" w:sz="4" w:space="0"/>
            </w:tcBorders>
            <w:vAlign w:val="center"/>
          </w:tcPr>
          <w:p w14:paraId="08CD719D">
            <w:pPr>
              <w:shd w:val="clear"/>
              <w:spacing w:before="0" w:line="360" w:lineRule="auto"/>
              <w:jc w:val="both"/>
              <w:rPr>
                <w:rFonts w:ascii="宋体" w:hAnsi="宋体"/>
                <w:color w:val="auto"/>
                <w:sz w:val="22"/>
                <w:highlight w:val="none"/>
              </w:rPr>
            </w:pPr>
            <w:r>
              <w:rPr>
                <w:rFonts w:hint="eastAsia" w:ascii="宋体" w:hAnsi="宋体"/>
                <w:color w:val="auto"/>
                <w:sz w:val="22"/>
                <w:highlight w:val="none"/>
              </w:rPr>
              <w:t>①</w:t>
            </w:r>
            <w:r>
              <w:rPr>
                <w:rFonts w:ascii="宋体" w:hAnsi="宋体"/>
                <w:color w:val="auto"/>
                <w:sz w:val="22"/>
                <w:highlight w:val="none"/>
              </w:rPr>
              <w:t>对每个投标人进行资格审查，内容包括：投标书、开标一览表、投标分项报价表、法人授权书、资格证明文件、技术文件、商务文件、招标文件规定的其他商务条款。</w:t>
            </w:r>
          </w:p>
          <w:p w14:paraId="46ACC271">
            <w:pPr>
              <w:shd w:val="clear"/>
              <w:spacing w:before="105" w:line="360" w:lineRule="auto"/>
              <w:jc w:val="left"/>
              <w:rPr>
                <w:color w:val="auto"/>
                <w:highlight w:val="none"/>
              </w:rPr>
            </w:pPr>
            <w:r>
              <w:rPr>
                <w:rFonts w:hint="eastAsia" w:ascii="宋体" w:hAnsi="宋体"/>
                <w:color w:val="auto"/>
                <w:sz w:val="22"/>
                <w:highlight w:val="none"/>
              </w:rPr>
              <w:t>②对通过符合性检查的投标人进行综合评审；</w:t>
            </w:r>
          </w:p>
        </w:tc>
      </w:tr>
      <w:tr w14:paraId="38950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9" w:hRule="atLeast"/>
          <w:jc w:val="center"/>
        </w:trPr>
        <w:tc>
          <w:tcPr>
            <w:tcW w:w="1769" w:type="dxa"/>
            <w:tcBorders>
              <w:top w:val="single" w:color="auto" w:sz="4" w:space="0"/>
              <w:left w:val="single" w:color="auto" w:sz="4" w:space="0"/>
              <w:bottom w:val="single" w:color="auto" w:sz="4" w:space="0"/>
              <w:right w:val="single" w:color="auto" w:sz="4" w:space="0"/>
            </w:tcBorders>
            <w:vAlign w:val="center"/>
          </w:tcPr>
          <w:p w14:paraId="3D0879F5">
            <w:pPr>
              <w:shd w:val="clear"/>
              <w:jc w:val="center"/>
              <w:rPr>
                <w:color w:val="auto"/>
                <w:highlight w:val="none"/>
              </w:rPr>
            </w:pPr>
            <w:r>
              <w:rPr>
                <w:rStyle w:val="56"/>
                <w:rFonts w:hint="eastAsia"/>
                <w:color w:val="auto"/>
                <w:sz w:val="22"/>
                <w:szCs w:val="16"/>
                <w:highlight w:val="none"/>
              </w:rPr>
              <w:t>评标方法说明</w:t>
            </w:r>
          </w:p>
        </w:tc>
        <w:tc>
          <w:tcPr>
            <w:tcW w:w="7242" w:type="dxa"/>
            <w:gridSpan w:val="4"/>
            <w:tcBorders>
              <w:top w:val="single" w:color="auto" w:sz="4" w:space="0"/>
              <w:left w:val="single" w:color="auto" w:sz="4" w:space="0"/>
              <w:bottom w:val="single" w:color="auto" w:sz="4" w:space="0"/>
              <w:right w:val="single" w:color="auto" w:sz="4" w:space="0"/>
            </w:tcBorders>
            <w:vAlign w:val="center"/>
          </w:tcPr>
          <w:p w14:paraId="7945D208">
            <w:pPr>
              <w:shd w:val="clear"/>
              <w:spacing w:line="360" w:lineRule="auto"/>
              <w:ind w:left="0" w:leftChars="0"/>
              <w:jc w:val="both"/>
              <w:rPr>
                <w:color w:val="auto"/>
                <w:highlight w:val="none"/>
              </w:rPr>
            </w:pPr>
            <w:r>
              <w:rPr>
                <w:rFonts w:hint="eastAsia" w:ascii="宋体" w:hAnsi="宋体"/>
                <w:color w:val="auto"/>
                <w:sz w:val="22"/>
                <w:highlight w:val="none"/>
              </w:rPr>
              <w:t>评委会将按照招标文件规定的评分各项因素对各投标文件的商务标和技术标进行评审打分，取算数平均值得到投标人的商务标和技术标得分。评标总得分=商务标得分+技术标得分+价格得分。评标总得分最高者将被推荐为第一中标候选人，并作出评标结论。</w:t>
            </w:r>
          </w:p>
        </w:tc>
      </w:tr>
      <w:tr w14:paraId="7E737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1769" w:type="dxa"/>
            <w:tcBorders>
              <w:top w:val="single" w:color="auto" w:sz="4" w:space="0"/>
              <w:left w:val="single" w:color="auto" w:sz="4" w:space="0"/>
              <w:bottom w:val="single" w:color="auto" w:sz="4" w:space="0"/>
              <w:right w:val="single" w:color="auto" w:sz="4" w:space="0"/>
              <w:tl2br w:val="single" w:color="auto" w:sz="4" w:space="0"/>
            </w:tcBorders>
            <w:vAlign w:val="center"/>
          </w:tcPr>
          <w:p w14:paraId="094F0BA7">
            <w:pPr>
              <w:shd w:val="clear"/>
              <w:rPr>
                <w:color w:val="auto"/>
                <w:highlight w:val="none"/>
              </w:rPr>
            </w:pPr>
            <w:r>
              <w:rPr>
                <w:rFonts w:hint="eastAsia"/>
                <w:color w:val="auto"/>
                <w:highlight w:val="none"/>
              </w:rPr>
              <w:t xml:space="preserve">     </w:t>
            </w:r>
            <w:r>
              <w:rPr>
                <w:rFonts w:hint="eastAsia" w:ascii="宋体" w:hAnsi="宋体" w:eastAsia="宋体" w:cs="宋体"/>
                <w:color w:val="auto"/>
                <w:highlight w:val="none"/>
              </w:rPr>
              <w:t>评审项目</w:t>
            </w:r>
          </w:p>
          <w:p w14:paraId="191F3851">
            <w:pPr>
              <w:shd w:val="clear"/>
              <w:rPr>
                <w:color w:val="auto"/>
                <w:highlight w:val="none"/>
              </w:rPr>
            </w:pPr>
          </w:p>
          <w:p w14:paraId="6DF541C4">
            <w:pPr>
              <w:shd w:val="clear"/>
              <w:rPr>
                <w:color w:val="auto"/>
                <w:highlight w:val="none"/>
              </w:rPr>
            </w:pPr>
            <w:r>
              <w:rPr>
                <w:rFonts w:hint="eastAsia" w:eastAsia="宋体"/>
                <w:color w:val="auto"/>
                <w:highlight w:val="none"/>
              </w:rPr>
              <w:t>序号</w:t>
            </w:r>
          </w:p>
        </w:tc>
        <w:tc>
          <w:tcPr>
            <w:tcW w:w="1507" w:type="dxa"/>
            <w:tcBorders>
              <w:top w:val="single" w:color="auto" w:sz="4" w:space="0"/>
              <w:left w:val="single" w:color="auto" w:sz="4" w:space="0"/>
              <w:bottom w:val="single" w:color="auto" w:sz="4" w:space="0"/>
              <w:right w:val="single" w:color="auto" w:sz="4" w:space="0"/>
            </w:tcBorders>
            <w:vAlign w:val="center"/>
          </w:tcPr>
          <w:p w14:paraId="7CE8C060">
            <w:pPr>
              <w:shd w:val="clear"/>
              <w:rPr>
                <w:color w:val="auto"/>
                <w:highlight w:val="none"/>
              </w:rPr>
            </w:pPr>
            <w:r>
              <w:rPr>
                <w:rFonts w:hint="eastAsia" w:eastAsia="宋体"/>
                <w:color w:val="auto"/>
                <w:highlight w:val="none"/>
              </w:rPr>
              <w:t>价格</w:t>
            </w:r>
          </w:p>
        </w:tc>
        <w:tc>
          <w:tcPr>
            <w:tcW w:w="1817" w:type="dxa"/>
            <w:tcBorders>
              <w:top w:val="single" w:color="auto" w:sz="4" w:space="0"/>
              <w:left w:val="single" w:color="auto" w:sz="4" w:space="0"/>
              <w:bottom w:val="single" w:color="auto" w:sz="4" w:space="0"/>
              <w:right w:val="single" w:color="auto" w:sz="4" w:space="0"/>
            </w:tcBorders>
            <w:vAlign w:val="center"/>
          </w:tcPr>
          <w:p w14:paraId="655F103C">
            <w:pPr>
              <w:shd w:val="clear"/>
              <w:rPr>
                <w:rFonts w:hint="eastAsia" w:eastAsia="宋体"/>
                <w:color w:val="auto"/>
                <w:highlight w:val="none"/>
                <w:lang w:eastAsia="zh-CN"/>
              </w:rPr>
            </w:pPr>
            <w:r>
              <w:rPr>
                <w:rFonts w:hint="eastAsia" w:eastAsia="宋体"/>
                <w:color w:val="auto"/>
                <w:highlight w:val="none"/>
              </w:rPr>
              <w:t>技术部分</w:t>
            </w:r>
          </w:p>
        </w:tc>
        <w:tc>
          <w:tcPr>
            <w:tcW w:w="1800" w:type="dxa"/>
            <w:tcBorders>
              <w:top w:val="single" w:color="auto" w:sz="4" w:space="0"/>
              <w:left w:val="single" w:color="auto" w:sz="4" w:space="0"/>
              <w:bottom w:val="single" w:color="auto" w:sz="4" w:space="0"/>
              <w:right w:val="single" w:color="auto" w:sz="4" w:space="0"/>
            </w:tcBorders>
            <w:vAlign w:val="center"/>
          </w:tcPr>
          <w:p w14:paraId="7B6BAC9F">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综合实力部分</w:t>
            </w:r>
          </w:p>
        </w:tc>
        <w:tc>
          <w:tcPr>
            <w:tcW w:w="2118" w:type="dxa"/>
            <w:tcBorders>
              <w:top w:val="single" w:color="auto" w:sz="4" w:space="0"/>
              <w:left w:val="single" w:color="auto" w:sz="4" w:space="0"/>
              <w:bottom w:val="single" w:color="auto" w:sz="4" w:space="0"/>
              <w:right w:val="single" w:color="auto" w:sz="4" w:space="0"/>
            </w:tcBorders>
            <w:vAlign w:val="center"/>
          </w:tcPr>
          <w:p w14:paraId="47F3375A">
            <w:pPr>
              <w:shd w:val="clear"/>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rPr>
              <w:t>供应商社会责任</w:t>
            </w:r>
          </w:p>
        </w:tc>
      </w:tr>
      <w:tr w14:paraId="1A985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769" w:type="dxa"/>
            <w:tcBorders>
              <w:top w:val="single" w:color="auto" w:sz="4" w:space="0"/>
              <w:left w:val="single" w:color="auto" w:sz="4" w:space="0"/>
              <w:bottom w:val="single" w:color="auto" w:sz="4" w:space="0"/>
              <w:right w:val="single" w:color="auto" w:sz="4" w:space="0"/>
            </w:tcBorders>
            <w:vAlign w:val="center"/>
          </w:tcPr>
          <w:p w14:paraId="1CBD8531">
            <w:pPr>
              <w:shd w:val="clear"/>
              <w:rPr>
                <w:rFonts w:hint="eastAsia" w:eastAsia="宋体"/>
                <w:color w:val="auto"/>
                <w:highlight w:val="none"/>
                <w:lang w:eastAsia="zh-CN"/>
              </w:rPr>
            </w:pPr>
            <w:r>
              <w:rPr>
                <w:rFonts w:hint="eastAsia" w:eastAsia="宋体"/>
                <w:color w:val="auto"/>
                <w:highlight w:val="none"/>
                <w:lang w:val="en-US" w:eastAsia="zh-CN"/>
              </w:rPr>
              <w:t>权重（%）</w:t>
            </w:r>
          </w:p>
        </w:tc>
        <w:tc>
          <w:tcPr>
            <w:tcW w:w="1507" w:type="dxa"/>
            <w:tcBorders>
              <w:top w:val="single" w:color="auto" w:sz="4" w:space="0"/>
              <w:left w:val="single" w:color="auto" w:sz="4" w:space="0"/>
              <w:bottom w:val="single" w:color="auto" w:sz="4" w:space="0"/>
              <w:right w:val="single" w:color="auto" w:sz="4" w:space="0"/>
            </w:tcBorders>
            <w:vAlign w:val="center"/>
          </w:tcPr>
          <w:p w14:paraId="1F4E44BD">
            <w:pPr>
              <w:shd w:val="clear"/>
              <w:rPr>
                <w:rFonts w:hint="default" w:eastAsia="宋体"/>
                <w:color w:val="auto"/>
                <w:highlight w:val="none"/>
                <w:lang w:val="en-US" w:eastAsia="zh-CN"/>
              </w:rPr>
            </w:pPr>
            <w:r>
              <w:rPr>
                <w:rFonts w:hint="eastAsia" w:eastAsia="宋体"/>
                <w:color w:val="auto"/>
                <w:highlight w:val="none"/>
                <w:lang w:val="en-US" w:eastAsia="zh-CN"/>
              </w:rPr>
              <w:t>40</w:t>
            </w:r>
          </w:p>
        </w:tc>
        <w:tc>
          <w:tcPr>
            <w:tcW w:w="1817" w:type="dxa"/>
            <w:tcBorders>
              <w:top w:val="single" w:color="auto" w:sz="4" w:space="0"/>
              <w:left w:val="single" w:color="auto" w:sz="4" w:space="0"/>
              <w:bottom w:val="single" w:color="auto" w:sz="4" w:space="0"/>
              <w:right w:val="single" w:color="auto" w:sz="4" w:space="0"/>
            </w:tcBorders>
            <w:vAlign w:val="center"/>
          </w:tcPr>
          <w:p w14:paraId="015F14A7">
            <w:pPr>
              <w:shd w:val="clear"/>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30</w:t>
            </w:r>
          </w:p>
        </w:tc>
        <w:tc>
          <w:tcPr>
            <w:tcW w:w="1800" w:type="dxa"/>
            <w:tcBorders>
              <w:top w:val="single" w:color="auto" w:sz="4" w:space="0"/>
              <w:left w:val="single" w:color="auto" w:sz="4" w:space="0"/>
              <w:bottom w:val="single" w:color="auto" w:sz="4" w:space="0"/>
              <w:right w:val="single" w:color="auto" w:sz="4" w:space="0"/>
            </w:tcBorders>
            <w:vAlign w:val="center"/>
          </w:tcPr>
          <w:p w14:paraId="5E3B0DD6">
            <w:pPr>
              <w:shd w:val="clear"/>
              <w:rPr>
                <w:rFonts w:hint="default" w:ascii="Times New Roman" w:hAnsi="Times New Roman" w:eastAsia="宋体" w:cs="Times New Roman"/>
                <w:color w:val="auto"/>
                <w:highlight w:val="none"/>
                <w:lang w:val="en-US"/>
              </w:rPr>
            </w:pPr>
            <w:r>
              <w:rPr>
                <w:rFonts w:hint="eastAsia" w:eastAsia="宋体" w:cs="Times New Roman"/>
                <w:color w:val="auto"/>
                <w:highlight w:val="none"/>
                <w:lang w:val="en-US" w:eastAsia="zh-CN"/>
              </w:rPr>
              <w:t>25</w:t>
            </w:r>
          </w:p>
        </w:tc>
        <w:tc>
          <w:tcPr>
            <w:tcW w:w="2118" w:type="dxa"/>
            <w:tcBorders>
              <w:top w:val="single" w:color="auto" w:sz="4" w:space="0"/>
              <w:left w:val="single" w:color="auto" w:sz="4" w:space="0"/>
              <w:bottom w:val="single" w:color="auto" w:sz="4" w:space="0"/>
              <w:right w:val="single" w:color="auto" w:sz="4" w:space="0"/>
            </w:tcBorders>
            <w:vAlign w:val="center"/>
          </w:tcPr>
          <w:p w14:paraId="40953660">
            <w:pPr>
              <w:shd w:val="clear"/>
              <w:rPr>
                <w:rFonts w:hint="default"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rPr>
              <w:t>5</w:t>
            </w:r>
          </w:p>
        </w:tc>
      </w:tr>
    </w:tbl>
    <w:p w14:paraId="1388B6CC">
      <w:pPr>
        <w:pStyle w:val="8"/>
        <w:shd w:val="clear"/>
        <w:rPr>
          <w:color w:val="auto"/>
          <w:highlight w:val="none"/>
        </w:rPr>
      </w:pPr>
    </w:p>
    <w:p w14:paraId="1FFA5D9C">
      <w:pPr>
        <w:shd w:val="clear"/>
        <w:adjustRightInd/>
        <w:snapToGrid/>
        <w:spacing w:line="360" w:lineRule="auto"/>
        <w:ind w:firstLine="480" w:firstLineChars="200"/>
        <w:jc w:val="left"/>
        <w:outlineLvl w:val="9"/>
        <w:rPr>
          <w:rFonts w:hint="eastAsia" w:ascii="新宋体" w:hAnsi="新宋体"/>
          <w:b/>
          <w:color w:val="auto"/>
          <w:highlight w:val="none"/>
        </w:rPr>
      </w:pPr>
      <w:r>
        <w:rPr>
          <w:rFonts w:hint="eastAsia" w:ascii="新宋体" w:hAnsi="新宋体"/>
          <w:b/>
          <w:color w:val="auto"/>
          <w:highlight w:val="none"/>
        </w:rPr>
        <w:t>“评标信息”的内容必须与本表一致。如评分内容不一致，以本表的评分内容为准。</w:t>
      </w:r>
    </w:p>
    <w:p w14:paraId="5BBAB2AF">
      <w:pPr>
        <w:shd w:val="clear"/>
        <w:adjustRightInd/>
        <w:snapToGrid/>
        <w:spacing w:line="360" w:lineRule="auto"/>
        <w:ind w:firstLine="480" w:firstLineChars="200"/>
        <w:jc w:val="left"/>
        <w:outlineLvl w:val="9"/>
        <w:rPr>
          <w:rFonts w:hint="eastAsia" w:ascii="新宋体" w:hAnsi="新宋体"/>
          <w:b/>
          <w:color w:val="auto"/>
          <w:highlight w:val="none"/>
        </w:rPr>
      </w:pPr>
    </w:p>
    <w:p w14:paraId="349ABFA2">
      <w:pPr>
        <w:shd w:val="clear"/>
        <w:adjustRightInd/>
        <w:snapToGrid/>
        <w:spacing w:line="360" w:lineRule="auto"/>
        <w:ind w:firstLine="480" w:firstLineChars="200"/>
        <w:jc w:val="left"/>
        <w:outlineLvl w:val="9"/>
        <w:rPr>
          <w:rFonts w:hint="eastAsia" w:ascii="新宋体" w:hAnsi="新宋体"/>
          <w:b/>
          <w:color w:val="auto"/>
          <w:highlight w:val="none"/>
        </w:rPr>
      </w:pPr>
    </w:p>
    <w:p w14:paraId="0257FF73">
      <w:pPr>
        <w:shd w:val="clear"/>
        <w:adjustRightInd/>
        <w:snapToGrid/>
        <w:spacing w:line="360" w:lineRule="auto"/>
        <w:ind w:firstLine="480" w:firstLineChars="200"/>
        <w:jc w:val="left"/>
        <w:outlineLvl w:val="9"/>
        <w:rPr>
          <w:rFonts w:hint="eastAsia" w:ascii="新宋体" w:hAnsi="新宋体"/>
          <w:b/>
          <w:color w:val="auto"/>
          <w:highlight w:val="none"/>
        </w:rPr>
      </w:pPr>
    </w:p>
    <w:tbl>
      <w:tblPr>
        <w:tblStyle w:val="24"/>
        <w:tblW w:w="10194"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Layout w:type="fixed"/>
        <w:tblCellMar>
          <w:top w:w="20" w:type="dxa"/>
          <w:left w:w="108" w:type="dxa"/>
          <w:bottom w:w="20" w:type="dxa"/>
          <w:right w:w="108" w:type="dxa"/>
        </w:tblCellMar>
      </w:tblPr>
      <w:tblGrid>
        <w:gridCol w:w="1366"/>
        <w:gridCol w:w="819"/>
        <w:gridCol w:w="446"/>
        <w:gridCol w:w="1265"/>
        <w:gridCol w:w="380"/>
        <w:gridCol w:w="885"/>
        <w:gridCol w:w="5033"/>
      </w:tblGrid>
      <w:tr w14:paraId="06A56AE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95" w:hRule="atLeast"/>
          <w:jc w:val="center"/>
        </w:trPr>
        <w:tc>
          <w:tcPr>
            <w:tcW w:w="1366" w:type="dxa"/>
            <w:shd w:val="clear" w:color="auto" w:fill="FFFFFF"/>
            <w:noWrap w:val="0"/>
            <w:vAlign w:val="center"/>
          </w:tcPr>
          <w:p w14:paraId="08C2338A">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序号</w:t>
            </w:r>
          </w:p>
        </w:tc>
        <w:tc>
          <w:tcPr>
            <w:tcW w:w="3795" w:type="dxa"/>
            <w:gridSpan w:val="5"/>
            <w:shd w:val="clear" w:color="auto" w:fill="FFFFFF"/>
            <w:noWrap w:val="0"/>
            <w:vAlign w:val="center"/>
          </w:tcPr>
          <w:p w14:paraId="3410AEEC">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评分项</w:t>
            </w:r>
          </w:p>
        </w:tc>
        <w:tc>
          <w:tcPr>
            <w:tcW w:w="5033" w:type="dxa"/>
            <w:shd w:val="clear" w:color="auto" w:fill="FFFFFF"/>
            <w:noWrap w:val="0"/>
            <w:vAlign w:val="center"/>
          </w:tcPr>
          <w:p w14:paraId="6DDC9CCE">
            <w:pPr>
              <w:kinsoku/>
              <w:wordWrap w:val="0"/>
              <w:spacing w:line="240" w:lineRule="exact"/>
              <w:jc w:val="center"/>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权重</w:t>
            </w:r>
            <w:r>
              <w:rPr>
                <w:rFonts w:hint="eastAsia" w:ascii="宋体" w:hAnsi="宋体" w:eastAsia="宋体" w:cs="宋体"/>
                <w:color w:val="auto"/>
                <w:highlight w:val="none"/>
                <w:lang w:eastAsia="zh-CN"/>
              </w:rPr>
              <w:t>（%）</w:t>
            </w:r>
          </w:p>
        </w:tc>
      </w:tr>
      <w:tr w14:paraId="069C21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32" w:hRule="atLeast"/>
          <w:jc w:val="center"/>
        </w:trPr>
        <w:tc>
          <w:tcPr>
            <w:tcW w:w="1366" w:type="dxa"/>
            <w:shd w:val="clear" w:color="auto" w:fill="FFFFFF"/>
            <w:noWrap w:val="0"/>
            <w:vAlign w:val="center"/>
          </w:tcPr>
          <w:p w14:paraId="6B4B7950">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1</w:t>
            </w:r>
          </w:p>
        </w:tc>
        <w:tc>
          <w:tcPr>
            <w:tcW w:w="3795" w:type="dxa"/>
            <w:gridSpan w:val="5"/>
            <w:shd w:val="clear" w:color="auto" w:fill="FFFFFF"/>
            <w:noWrap w:val="0"/>
            <w:vAlign w:val="center"/>
          </w:tcPr>
          <w:p w14:paraId="03B6610D">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价格</w:t>
            </w:r>
          </w:p>
        </w:tc>
        <w:tc>
          <w:tcPr>
            <w:tcW w:w="5033" w:type="dxa"/>
            <w:shd w:val="clear" w:color="auto" w:fill="FFFFFF"/>
            <w:noWrap w:val="0"/>
            <w:vAlign w:val="center"/>
          </w:tcPr>
          <w:p w14:paraId="4C21979B">
            <w:pPr>
              <w:kinsoku/>
              <w:wordWrap w:val="0"/>
              <w:spacing w:line="240" w:lineRule="exact"/>
              <w:jc w:val="center"/>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40</w:t>
            </w:r>
          </w:p>
        </w:tc>
      </w:tr>
      <w:tr w14:paraId="59CA35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32" w:hRule="atLeast"/>
          <w:jc w:val="center"/>
        </w:trPr>
        <w:tc>
          <w:tcPr>
            <w:tcW w:w="1366" w:type="dxa"/>
            <w:vMerge w:val="restart"/>
            <w:shd w:val="clear" w:color="auto" w:fill="FFFFFF"/>
            <w:noWrap w:val="0"/>
            <w:vAlign w:val="center"/>
          </w:tcPr>
          <w:p w14:paraId="13BF9A4D">
            <w:pPr>
              <w:kinsoku/>
              <w:wordWrap w:val="0"/>
              <w:spacing w:line="240" w:lineRule="exact"/>
              <w:jc w:val="center"/>
              <w:rPr>
                <w:rFonts w:hint="eastAsia" w:ascii="宋体" w:hAnsi="宋体" w:eastAsia="宋体" w:cs="宋体"/>
                <w:b/>
                <w:bCs/>
                <w:color w:val="auto"/>
                <w:highlight w:val="none"/>
              </w:rPr>
            </w:pPr>
          </w:p>
        </w:tc>
        <w:tc>
          <w:tcPr>
            <w:tcW w:w="819" w:type="dxa"/>
            <w:shd w:val="clear" w:color="auto" w:fill="FFFFFF"/>
            <w:noWrap w:val="0"/>
            <w:vAlign w:val="center"/>
          </w:tcPr>
          <w:p w14:paraId="174947BD">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color w:val="auto"/>
                <w:highlight w:val="none"/>
              </w:rPr>
              <w:t>序号</w:t>
            </w:r>
          </w:p>
        </w:tc>
        <w:tc>
          <w:tcPr>
            <w:tcW w:w="2091" w:type="dxa"/>
            <w:gridSpan w:val="3"/>
            <w:shd w:val="clear" w:color="auto" w:fill="FFFFFF"/>
            <w:noWrap w:val="0"/>
            <w:vAlign w:val="center"/>
          </w:tcPr>
          <w:p w14:paraId="380EEF18">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w:t>
            </w:r>
            <w:r>
              <w:rPr>
                <w:rFonts w:hint="eastAsia" w:ascii="宋体" w:hAnsi="宋体" w:eastAsia="宋体" w:cs="宋体"/>
                <w:color w:val="auto"/>
                <w:highlight w:val="none"/>
                <w:lang w:eastAsia="zh-CN"/>
              </w:rPr>
              <w:t>分</w:t>
            </w:r>
            <w:r>
              <w:rPr>
                <w:rFonts w:hint="eastAsia" w:ascii="宋体" w:hAnsi="宋体" w:eastAsia="宋体" w:cs="宋体"/>
                <w:color w:val="auto"/>
                <w:highlight w:val="none"/>
              </w:rPr>
              <w:t>因素</w:t>
            </w:r>
          </w:p>
        </w:tc>
        <w:tc>
          <w:tcPr>
            <w:tcW w:w="885" w:type="dxa"/>
            <w:shd w:val="clear" w:color="auto" w:fill="FFFFFF"/>
            <w:noWrap w:val="0"/>
            <w:vAlign w:val="center"/>
          </w:tcPr>
          <w:p w14:paraId="264D79C6">
            <w:pPr>
              <w:kinsoku/>
              <w:wordWrap w:val="0"/>
              <w:spacing w:line="240" w:lineRule="exact"/>
              <w:jc w:val="center"/>
              <w:rPr>
                <w:rFonts w:hint="eastAsia" w:ascii="宋体" w:hAnsi="宋体" w:eastAsia="宋体" w:cs="宋体"/>
                <w:b/>
                <w:bCs/>
                <w:color w:val="auto"/>
                <w:highlight w:val="none"/>
                <w:lang w:eastAsia="zh-CN"/>
              </w:rPr>
            </w:pPr>
            <w:r>
              <w:rPr>
                <w:rFonts w:hint="eastAsia" w:ascii="宋体" w:hAnsi="宋体" w:eastAsia="宋体" w:cs="宋体"/>
                <w:color w:val="auto"/>
                <w:highlight w:val="none"/>
              </w:rPr>
              <w:t>权重</w:t>
            </w:r>
            <w:r>
              <w:rPr>
                <w:rFonts w:hint="eastAsia" w:ascii="宋体" w:hAnsi="宋体" w:eastAsia="宋体" w:cs="宋体"/>
                <w:color w:val="auto"/>
                <w:highlight w:val="none"/>
                <w:lang w:eastAsia="zh-CN"/>
              </w:rPr>
              <w:t>（%）</w:t>
            </w:r>
          </w:p>
        </w:tc>
        <w:tc>
          <w:tcPr>
            <w:tcW w:w="5033" w:type="dxa"/>
            <w:shd w:val="clear" w:color="auto" w:fill="FFFFFF"/>
            <w:noWrap w:val="0"/>
            <w:vAlign w:val="center"/>
          </w:tcPr>
          <w:p w14:paraId="180DE099">
            <w:pPr>
              <w:kinsoku/>
              <w:wordWrap w:val="0"/>
              <w:spacing w:line="240" w:lineRule="exact"/>
              <w:jc w:val="center"/>
              <w:rPr>
                <w:rFonts w:hint="eastAsia" w:ascii="宋体" w:hAnsi="宋体" w:eastAsia="宋体" w:cs="宋体"/>
                <w:b/>
                <w:bCs/>
                <w:color w:val="auto"/>
                <w:highlight w:val="none"/>
                <w:lang w:eastAsia="zh-CN"/>
              </w:rPr>
            </w:pPr>
            <w:r>
              <w:rPr>
                <w:rFonts w:hint="eastAsia" w:ascii="宋体" w:hAnsi="宋体" w:eastAsia="宋体" w:cs="宋体"/>
                <w:color w:val="auto"/>
                <w:highlight w:val="none"/>
              </w:rPr>
              <w:t>评分准则</w:t>
            </w:r>
          </w:p>
        </w:tc>
      </w:tr>
      <w:tr w14:paraId="6E4317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1705" w:hRule="atLeast"/>
          <w:jc w:val="center"/>
        </w:trPr>
        <w:tc>
          <w:tcPr>
            <w:tcW w:w="1366" w:type="dxa"/>
            <w:vMerge w:val="continue"/>
            <w:shd w:val="clear" w:color="auto" w:fill="FFFFFF"/>
            <w:noWrap w:val="0"/>
            <w:vAlign w:val="center"/>
          </w:tcPr>
          <w:p w14:paraId="5BC9099B">
            <w:pPr>
              <w:kinsoku/>
              <w:wordWrap w:val="0"/>
              <w:spacing w:line="240" w:lineRule="exact"/>
              <w:jc w:val="center"/>
              <w:rPr>
                <w:rFonts w:hint="eastAsia" w:ascii="宋体" w:hAnsi="宋体" w:eastAsia="宋体" w:cs="宋体"/>
                <w:b/>
                <w:bCs/>
                <w:color w:val="auto"/>
                <w:highlight w:val="none"/>
              </w:rPr>
            </w:pPr>
          </w:p>
        </w:tc>
        <w:tc>
          <w:tcPr>
            <w:tcW w:w="819" w:type="dxa"/>
            <w:shd w:val="clear" w:color="auto" w:fill="FFFFFF"/>
            <w:noWrap w:val="0"/>
            <w:vAlign w:val="center"/>
          </w:tcPr>
          <w:p w14:paraId="593654E9">
            <w:pPr>
              <w:kinsoku/>
              <w:wordWrap w:val="0"/>
              <w:spacing w:line="240" w:lineRule="exact"/>
              <w:jc w:val="center"/>
              <w:rPr>
                <w:rFonts w:hint="eastAsia" w:ascii="宋体" w:hAnsi="宋体" w:eastAsia="宋体" w:cs="宋体"/>
                <w:b/>
                <w:bCs/>
                <w:color w:val="auto"/>
                <w:highlight w:val="none"/>
                <w:lang w:eastAsia="zh-CN"/>
              </w:rPr>
            </w:pPr>
            <w:r>
              <w:rPr>
                <w:rFonts w:hint="eastAsia" w:ascii="宋体" w:hAnsi="宋体" w:eastAsia="宋体" w:cs="宋体"/>
                <w:color w:val="auto"/>
                <w:highlight w:val="none"/>
              </w:rPr>
              <w:t>1</w:t>
            </w:r>
          </w:p>
        </w:tc>
        <w:tc>
          <w:tcPr>
            <w:tcW w:w="2091" w:type="dxa"/>
            <w:gridSpan w:val="3"/>
            <w:shd w:val="clear" w:color="auto" w:fill="FFFFFF"/>
            <w:noWrap w:val="0"/>
            <w:vAlign w:val="center"/>
          </w:tcPr>
          <w:p w14:paraId="72860D46">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价格</w:t>
            </w:r>
          </w:p>
        </w:tc>
        <w:tc>
          <w:tcPr>
            <w:tcW w:w="885" w:type="dxa"/>
            <w:shd w:val="clear" w:color="auto" w:fill="FFFFFF"/>
            <w:noWrap w:val="0"/>
            <w:vAlign w:val="center"/>
          </w:tcPr>
          <w:p w14:paraId="25537530">
            <w:pPr>
              <w:kinsoku/>
              <w:wordWrap w:val="0"/>
              <w:spacing w:line="240" w:lineRule="exact"/>
              <w:jc w:val="center"/>
              <w:rPr>
                <w:rFonts w:hint="default" w:ascii="宋体" w:hAnsi="宋体" w:eastAsia="宋体" w:cs="宋体"/>
                <w:b/>
                <w:bCs/>
                <w:color w:val="auto"/>
                <w:highlight w:val="none"/>
                <w:lang w:val="en-US" w:eastAsia="zh-CN"/>
              </w:rPr>
            </w:pPr>
            <w:r>
              <w:rPr>
                <w:rFonts w:hint="eastAsia" w:ascii="宋体" w:hAnsi="宋体" w:eastAsia="宋体" w:cs="宋体"/>
                <w:color w:val="auto"/>
                <w:highlight w:val="none"/>
                <w:lang w:val="en-US" w:eastAsia="zh-CN"/>
              </w:rPr>
              <w:t>40</w:t>
            </w:r>
          </w:p>
        </w:tc>
        <w:tc>
          <w:tcPr>
            <w:tcW w:w="5033" w:type="dxa"/>
            <w:shd w:val="clear" w:color="auto" w:fill="FFFFFF"/>
            <w:noWrap w:val="0"/>
            <w:vAlign w:val="center"/>
          </w:tcPr>
          <w:p w14:paraId="052914B4">
            <w:pPr>
              <w:kinsoku/>
              <w:spacing w:line="240" w:lineRule="exact"/>
              <w:jc w:val="both"/>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采用低价优先法计算，即满足招标文件要求且投标价格最低的投标报价为评标基准价，其价格分为满分。其他投标人的价格分统一按照下列公式计算：</w:t>
            </w:r>
          </w:p>
          <w:p w14:paraId="6ED33BD0">
            <w:pPr>
              <w:kinsoku/>
              <w:spacing w:line="240" w:lineRule="exact"/>
              <w:jc w:val="both"/>
              <w:rPr>
                <w:rFonts w:hint="eastAsia" w:ascii="宋体" w:hAnsi="宋体" w:eastAsia="宋体" w:cs="宋体"/>
                <w:b/>
                <w:bCs/>
                <w:color w:val="auto"/>
                <w:highlight w:val="none"/>
                <w:lang w:eastAsia="zh-CN"/>
              </w:rPr>
            </w:pPr>
            <w:r>
              <w:rPr>
                <w:rFonts w:hint="eastAsia" w:ascii="宋体" w:hAnsi="宋体" w:eastAsia="宋体" w:cs="宋体"/>
                <w:color w:val="auto"/>
                <w:highlight w:val="none"/>
                <w:lang w:eastAsia="zh-CN"/>
              </w:rPr>
              <w:t>投标报价得分=(评标基准价／投标报价)×价格权重</w:t>
            </w:r>
          </w:p>
        </w:tc>
      </w:tr>
      <w:tr w14:paraId="223B67C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379" w:hRule="atLeast"/>
          <w:jc w:val="center"/>
        </w:trPr>
        <w:tc>
          <w:tcPr>
            <w:tcW w:w="1366" w:type="dxa"/>
            <w:vMerge w:val="restart"/>
            <w:shd w:val="clear" w:color="auto" w:fill="FFFFFF"/>
            <w:noWrap w:val="0"/>
            <w:vAlign w:val="center"/>
          </w:tcPr>
          <w:p w14:paraId="71240A01">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2</w:t>
            </w:r>
          </w:p>
        </w:tc>
        <w:tc>
          <w:tcPr>
            <w:tcW w:w="3795" w:type="dxa"/>
            <w:gridSpan w:val="5"/>
            <w:shd w:val="clear" w:color="auto" w:fill="FFFFFF"/>
            <w:noWrap w:val="0"/>
            <w:vAlign w:val="top"/>
          </w:tcPr>
          <w:p w14:paraId="1F8E606A">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技术部分</w:t>
            </w:r>
          </w:p>
        </w:tc>
        <w:tc>
          <w:tcPr>
            <w:tcW w:w="5033" w:type="dxa"/>
            <w:shd w:val="clear" w:color="auto" w:fill="FFFFFF"/>
            <w:noWrap w:val="0"/>
            <w:vAlign w:val="top"/>
          </w:tcPr>
          <w:p w14:paraId="493DB0B8">
            <w:pPr>
              <w:kinsoku/>
              <w:wordWrap w:val="0"/>
              <w:spacing w:line="240" w:lineRule="exact"/>
              <w:jc w:val="center"/>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30</w:t>
            </w:r>
          </w:p>
        </w:tc>
      </w:tr>
      <w:tr w14:paraId="0DADA4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70" w:hRule="atLeast"/>
          <w:jc w:val="center"/>
        </w:trPr>
        <w:tc>
          <w:tcPr>
            <w:tcW w:w="1366" w:type="dxa"/>
            <w:vMerge w:val="continue"/>
            <w:shd w:val="clear" w:color="auto" w:fill="FFFFFF"/>
            <w:noWrap w:val="0"/>
            <w:vAlign w:val="center"/>
          </w:tcPr>
          <w:p w14:paraId="7562BB1E">
            <w:pPr>
              <w:kinsoku/>
              <w:spacing w:line="240" w:lineRule="exact"/>
              <w:jc w:val="center"/>
              <w:rPr>
                <w:rFonts w:hint="eastAsia" w:ascii="宋体" w:hAnsi="宋体" w:eastAsia="宋体" w:cs="宋体"/>
                <w:b/>
                <w:bCs/>
                <w:color w:val="auto"/>
                <w:highlight w:val="none"/>
              </w:rPr>
            </w:pPr>
          </w:p>
        </w:tc>
        <w:tc>
          <w:tcPr>
            <w:tcW w:w="819" w:type="dxa"/>
            <w:shd w:val="clear" w:color="auto" w:fill="FFFFFF"/>
            <w:noWrap w:val="0"/>
            <w:vAlign w:val="center"/>
          </w:tcPr>
          <w:p w14:paraId="360537D9">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091" w:type="dxa"/>
            <w:gridSpan w:val="3"/>
            <w:shd w:val="clear" w:color="auto" w:fill="FFFFFF"/>
            <w:noWrap w:val="0"/>
            <w:vAlign w:val="center"/>
          </w:tcPr>
          <w:p w14:paraId="44030F2C">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评分因素</w:t>
            </w:r>
          </w:p>
        </w:tc>
        <w:tc>
          <w:tcPr>
            <w:tcW w:w="885" w:type="dxa"/>
            <w:shd w:val="clear" w:color="auto" w:fill="FFFFFF"/>
            <w:noWrap w:val="0"/>
            <w:vAlign w:val="center"/>
          </w:tcPr>
          <w:p w14:paraId="16789DBA">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权重</w:t>
            </w:r>
            <w:r>
              <w:rPr>
                <w:rFonts w:hint="eastAsia" w:ascii="宋体" w:hAnsi="宋体" w:eastAsia="宋体" w:cs="宋体"/>
                <w:color w:val="auto"/>
                <w:highlight w:val="none"/>
                <w:lang w:eastAsia="zh-CN"/>
              </w:rPr>
              <w:t>（%）</w:t>
            </w:r>
          </w:p>
        </w:tc>
        <w:tc>
          <w:tcPr>
            <w:tcW w:w="5033" w:type="dxa"/>
            <w:shd w:val="clear" w:color="auto" w:fill="FFFFFF"/>
            <w:noWrap w:val="0"/>
            <w:vAlign w:val="center"/>
          </w:tcPr>
          <w:p w14:paraId="70598129">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评分准则</w:t>
            </w:r>
          </w:p>
        </w:tc>
      </w:tr>
      <w:tr w14:paraId="0AAB1D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09" w:hRule="atLeast"/>
          <w:jc w:val="center"/>
        </w:trPr>
        <w:tc>
          <w:tcPr>
            <w:tcW w:w="1366" w:type="dxa"/>
            <w:vMerge w:val="continue"/>
            <w:shd w:val="clear" w:color="auto" w:fill="FFFFFF"/>
            <w:noWrap w:val="0"/>
            <w:vAlign w:val="center"/>
          </w:tcPr>
          <w:p w14:paraId="3219C0AB">
            <w:pPr>
              <w:kinsoku/>
              <w:spacing w:line="240" w:lineRule="exact"/>
              <w:jc w:val="center"/>
              <w:rPr>
                <w:rFonts w:hint="eastAsia" w:ascii="宋体" w:hAnsi="宋体" w:eastAsia="宋体" w:cs="宋体"/>
                <w:b/>
                <w:bCs/>
                <w:color w:val="auto"/>
                <w:highlight w:val="none"/>
              </w:rPr>
            </w:pPr>
          </w:p>
        </w:tc>
        <w:tc>
          <w:tcPr>
            <w:tcW w:w="819" w:type="dxa"/>
            <w:tcBorders>
              <w:bottom w:val="single" w:color="auto" w:sz="4" w:space="0"/>
            </w:tcBorders>
            <w:shd w:val="clear" w:color="auto" w:fill="FFFFFF"/>
            <w:noWrap w:val="0"/>
            <w:vAlign w:val="center"/>
          </w:tcPr>
          <w:p w14:paraId="378E1CED">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rPr>
            </w:pPr>
            <w:r>
              <w:rPr>
                <w:rFonts w:hint="eastAsia" w:ascii="宋体" w:hAnsi="宋体" w:eastAsia="宋体" w:cs="宋体"/>
                <w:color w:val="000000"/>
                <w:kern w:val="0"/>
                <w:sz w:val="21"/>
                <w:szCs w:val="21"/>
                <w:highlight w:val="none"/>
              </w:rPr>
              <w:t>1</w:t>
            </w:r>
          </w:p>
        </w:tc>
        <w:tc>
          <w:tcPr>
            <w:tcW w:w="2091" w:type="dxa"/>
            <w:gridSpan w:val="3"/>
            <w:tcBorders>
              <w:bottom w:val="single" w:color="auto" w:sz="4" w:space="0"/>
            </w:tcBorders>
            <w:shd w:val="clear" w:color="auto" w:fill="FFFFFF"/>
            <w:noWrap w:val="0"/>
            <w:vAlign w:val="center"/>
          </w:tcPr>
          <w:p w14:paraId="7FF65C1E">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rPr>
            </w:pPr>
            <w:r>
              <w:rPr>
                <w:rFonts w:ascii="宋体" w:hAnsi="宋体" w:eastAsia="宋体" w:cs="宋体"/>
                <w:b w:val="0"/>
                <w:bCs w:val="0"/>
                <w:i w:val="0"/>
                <w:iCs w:val="0"/>
                <w:smallCaps w:val="0"/>
                <w:color w:val="000000"/>
                <w:highlight w:val="none"/>
              </w:rPr>
              <w:t>施工资源需求计划</w:t>
            </w:r>
          </w:p>
        </w:tc>
        <w:tc>
          <w:tcPr>
            <w:tcW w:w="885" w:type="dxa"/>
            <w:tcBorders>
              <w:bottom w:val="single" w:color="auto" w:sz="4" w:space="0"/>
            </w:tcBorders>
            <w:shd w:val="clear" w:color="auto" w:fill="FFFFFF"/>
            <w:noWrap w:val="0"/>
            <w:vAlign w:val="center"/>
          </w:tcPr>
          <w:p w14:paraId="6668466A">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cs="宋体"/>
                <w:color w:val="000000"/>
                <w:sz w:val="21"/>
                <w:szCs w:val="21"/>
                <w:highlight w:val="none"/>
                <w:lang w:val="en-US" w:eastAsia="zh-CN"/>
              </w:rPr>
              <w:t>10</w:t>
            </w:r>
          </w:p>
        </w:tc>
        <w:tc>
          <w:tcPr>
            <w:tcW w:w="5033" w:type="dxa"/>
            <w:tcBorders>
              <w:bottom w:val="single" w:color="auto" w:sz="4" w:space="0"/>
            </w:tcBorders>
            <w:shd w:val="clear" w:color="auto" w:fill="FFFFFF"/>
            <w:noWrap w:val="0"/>
            <w:vAlign w:val="center"/>
          </w:tcPr>
          <w:p w14:paraId="2213D356">
            <w:pPr>
              <w:pStyle w:val="46"/>
              <w:ind w:firstLine="0" w:firstLineChars="0"/>
              <w:rPr>
                <w:rFonts w:hint="eastAsia" w:ascii="宋体" w:hAnsi="宋体" w:eastAsia="宋体" w:cs="宋体"/>
                <w:b/>
                <w:bCs/>
                <w:color w:val="000000"/>
                <w:sz w:val="21"/>
                <w:szCs w:val="21"/>
                <w:highlight w:val="none"/>
                <w:lang w:eastAsia="zh-CN"/>
              </w:rPr>
            </w:pPr>
            <w:r>
              <w:rPr>
                <w:rFonts w:hint="eastAsia" w:ascii="宋体" w:hAnsi="宋体" w:eastAsia="宋体" w:cs="宋体"/>
                <w:b/>
                <w:bCs/>
                <w:color w:val="000000"/>
                <w:sz w:val="21"/>
                <w:szCs w:val="21"/>
                <w:highlight w:val="none"/>
              </w:rPr>
              <w:t>（一）评</w:t>
            </w:r>
            <w:r>
              <w:rPr>
                <w:rFonts w:hint="eastAsia" w:ascii="宋体" w:hAnsi="宋体" w:eastAsia="宋体" w:cs="宋体"/>
                <w:b/>
                <w:bCs/>
                <w:color w:val="000000"/>
                <w:sz w:val="21"/>
                <w:szCs w:val="21"/>
                <w:highlight w:val="none"/>
                <w:lang w:val="en-US" w:eastAsia="zh-CN"/>
              </w:rPr>
              <w:t>分</w:t>
            </w:r>
            <w:r>
              <w:rPr>
                <w:rFonts w:hint="eastAsia" w:ascii="宋体" w:hAnsi="宋体" w:eastAsia="宋体" w:cs="宋体"/>
                <w:b/>
                <w:bCs/>
                <w:color w:val="000000"/>
                <w:sz w:val="21"/>
                <w:szCs w:val="21"/>
                <w:highlight w:val="none"/>
              </w:rPr>
              <w:t>内容</w:t>
            </w:r>
            <w:r>
              <w:rPr>
                <w:rFonts w:hint="eastAsia" w:ascii="宋体" w:hAnsi="宋体" w:eastAsia="宋体" w:cs="宋体"/>
                <w:b/>
                <w:bCs/>
                <w:color w:val="000000"/>
                <w:sz w:val="21"/>
                <w:szCs w:val="21"/>
                <w:highlight w:val="none"/>
                <w:lang w:eastAsia="zh-CN"/>
              </w:rPr>
              <w:t>：</w:t>
            </w:r>
          </w:p>
          <w:p w14:paraId="3612CBA9">
            <w:p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根据本项目招标文件的用户需求，制定符合本项目特点的项目实施方案，内容包括但不限于：</w:t>
            </w:r>
          </w:p>
          <w:p w14:paraId="7D15CA3C">
            <w:pPr>
              <w:numPr>
                <w:ilvl w:val="0"/>
                <w:numId w:val="1"/>
              </w:numPr>
              <w:jc w:val="both"/>
              <w:rPr>
                <w:rFonts w:hint="eastAsia" w:ascii="宋体" w:hAnsi="宋体" w:eastAsia="宋体" w:cs="宋体"/>
                <w:b w:val="0"/>
                <w:bCs w:val="0"/>
                <w:i w:val="0"/>
                <w:iCs w:val="0"/>
                <w:smallCap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rPr>
              <w:t>主要材料</w:t>
            </w:r>
          </w:p>
          <w:p w14:paraId="185439A9">
            <w:pPr>
              <w:numPr>
                <w:ilvl w:val="0"/>
                <w:numId w:val="1"/>
              </w:num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rPr>
              <w:t>机械设备</w:t>
            </w:r>
          </w:p>
          <w:p w14:paraId="2D78B959">
            <w:pPr>
              <w:numPr>
                <w:ilvl w:val="0"/>
                <w:numId w:val="1"/>
              </w:num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rPr>
              <w:t>工具</w:t>
            </w:r>
            <w:r>
              <w:rPr>
                <w:rFonts w:hint="eastAsia" w:ascii="宋体" w:hAnsi="宋体" w:eastAsia="宋体" w:cs="宋体"/>
                <w:b w:val="0"/>
                <w:bCs w:val="0"/>
                <w:i w:val="0"/>
                <w:iCs w:val="0"/>
                <w:smallCaps w:val="0"/>
                <w:color w:val="000000"/>
                <w:sz w:val="21"/>
                <w:szCs w:val="21"/>
                <w:highlight w:val="none"/>
                <w:lang w:eastAsia="zh-CN"/>
              </w:rPr>
              <w:t>、</w:t>
            </w:r>
            <w:r>
              <w:rPr>
                <w:rFonts w:hint="eastAsia" w:ascii="宋体" w:hAnsi="宋体" w:eastAsia="宋体" w:cs="宋体"/>
                <w:b w:val="0"/>
                <w:bCs w:val="0"/>
                <w:i w:val="0"/>
                <w:iCs w:val="0"/>
                <w:smallCaps w:val="0"/>
                <w:color w:val="000000"/>
                <w:sz w:val="21"/>
                <w:szCs w:val="21"/>
                <w:highlight w:val="none"/>
              </w:rPr>
              <w:t>工艺设备</w:t>
            </w:r>
          </w:p>
          <w:p w14:paraId="01EF705E">
            <w:pPr>
              <w:numPr>
                <w:ilvl w:val="0"/>
                <w:numId w:val="1"/>
              </w:num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rPr>
              <w:t>施工设施</w:t>
            </w:r>
          </w:p>
          <w:p w14:paraId="5E090069">
            <w:pPr>
              <w:numPr>
                <w:ilvl w:val="0"/>
                <w:numId w:val="1"/>
              </w:num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rPr>
              <w:t>劳动力组织的需求计划情况</w:t>
            </w:r>
            <w:r>
              <w:rPr>
                <w:rFonts w:hint="eastAsia" w:ascii="宋体" w:hAnsi="宋体" w:eastAsia="宋体" w:cs="宋体"/>
                <w:b w:val="0"/>
                <w:bCs w:val="0"/>
                <w:color w:val="000000"/>
                <w:sz w:val="21"/>
                <w:szCs w:val="21"/>
                <w:highlight w:val="none"/>
              </w:rPr>
              <w:t>；</w:t>
            </w:r>
          </w:p>
          <w:p w14:paraId="3C8F0B9D">
            <w:pPr>
              <w:jc w:val="both"/>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（二）评分</w:t>
            </w:r>
            <w:r>
              <w:rPr>
                <w:rFonts w:hint="eastAsia" w:ascii="宋体" w:hAnsi="宋体" w:eastAsia="宋体" w:cs="宋体"/>
                <w:b/>
                <w:bCs/>
                <w:color w:val="000000"/>
                <w:sz w:val="21"/>
                <w:szCs w:val="21"/>
                <w:highlight w:val="none"/>
                <w:lang w:val="en-US" w:eastAsia="zh-CN"/>
              </w:rPr>
              <w:t>依据</w:t>
            </w:r>
            <w:r>
              <w:rPr>
                <w:rFonts w:hint="eastAsia" w:ascii="宋体" w:hAnsi="宋体" w:eastAsia="宋体" w:cs="宋体"/>
                <w:b/>
                <w:bCs/>
                <w:color w:val="000000"/>
                <w:sz w:val="21"/>
                <w:szCs w:val="21"/>
                <w:highlight w:val="none"/>
              </w:rPr>
              <w:t>：</w:t>
            </w:r>
          </w:p>
          <w:p w14:paraId="5835F938">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1.每提供上述一项内容的，得</w:t>
            </w:r>
            <w:r>
              <w:rPr>
                <w:rFonts w:hint="eastAsia" w:ascii="宋体" w:hAnsi="宋体" w:eastAsia="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lang w:eastAsia="zh-CN"/>
              </w:rPr>
              <w:t>分，最高得</w:t>
            </w:r>
            <w:r>
              <w:rPr>
                <w:rFonts w:hint="eastAsia" w:ascii="宋体" w:hAnsi="宋体" w:eastAsia="宋体" w:cs="宋体"/>
                <w:color w:val="000000"/>
                <w:kern w:val="0"/>
                <w:sz w:val="21"/>
                <w:szCs w:val="21"/>
                <w:highlight w:val="none"/>
                <w:lang w:val="en-US" w:eastAsia="zh-CN"/>
              </w:rPr>
              <w:t>50</w:t>
            </w:r>
            <w:r>
              <w:rPr>
                <w:rFonts w:hint="eastAsia" w:ascii="宋体" w:hAnsi="宋体" w:eastAsia="宋体" w:cs="宋体"/>
                <w:color w:val="000000"/>
                <w:kern w:val="0"/>
                <w:sz w:val="21"/>
                <w:szCs w:val="21"/>
                <w:highlight w:val="none"/>
                <w:lang w:eastAsia="zh-CN"/>
              </w:rPr>
              <w:t>分。</w:t>
            </w:r>
          </w:p>
          <w:p w14:paraId="42C53ADA">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2.在此基础上，评审委员根据各供应商的具体响应内容按照量化的评审因素指标进一步评审：</w:t>
            </w:r>
          </w:p>
          <w:p w14:paraId="5DA7DA0C">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（1）评审为优（如响应内容全面、清晰、针对性强、科学合理、可操作性强）的，加</w:t>
            </w:r>
            <w:r>
              <w:rPr>
                <w:rFonts w:hint="eastAsia" w:ascii="宋体" w:hAnsi="宋体" w:eastAsia="宋体" w:cs="宋体"/>
                <w:color w:val="000000"/>
                <w:kern w:val="0"/>
                <w:sz w:val="21"/>
                <w:szCs w:val="21"/>
                <w:highlight w:val="none"/>
                <w:lang w:val="en-US" w:eastAsia="zh-CN"/>
              </w:rPr>
              <w:t>50</w:t>
            </w:r>
            <w:r>
              <w:rPr>
                <w:rFonts w:hint="eastAsia" w:ascii="宋体" w:hAnsi="宋体" w:eastAsia="宋体" w:cs="宋体"/>
                <w:color w:val="000000"/>
                <w:kern w:val="0"/>
                <w:sz w:val="21"/>
                <w:szCs w:val="21"/>
                <w:highlight w:val="none"/>
                <w:lang w:eastAsia="zh-CN"/>
              </w:rPr>
              <w:t>分；</w:t>
            </w:r>
          </w:p>
          <w:p w14:paraId="6C09E8F8">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（2）评审为良（如响应内容较全面、较清晰、针对性较强、较科学合理、可操作性较强）的，加</w:t>
            </w:r>
            <w:r>
              <w:rPr>
                <w:rFonts w:hint="eastAsia" w:ascii="宋体" w:hAnsi="宋体" w:eastAsia="宋体" w:cs="宋体"/>
                <w:color w:val="000000"/>
                <w:kern w:val="0"/>
                <w:sz w:val="21"/>
                <w:szCs w:val="21"/>
                <w:highlight w:val="none"/>
                <w:lang w:val="en-US" w:eastAsia="zh-CN"/>
              </w:rPr>
              <w:t>30</w:t>
            </w:r>
            <w:r>
              <w:rPr>
                <w:rFonts w:hint="eastAsia" w:ascii="宋体" w:hAnsi="宋体" w:eastAsia="宋体" w:cs="宋体"/>
                <w:color w:val="000000"/>
                <w:kern w:val="0"/>
                <w:sz w:val="21"/>
                <w:szCs w:val="21"/>
                <w:highlight w:val="none"/>
                <w:lang w:eastAsia="zh-CN"/>
              </w:rPr>
              <w:t>分；</w:t>
            </w:r>
          </w:p>
          <w:p w14:paraId="2ACC2496">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（3）评审为中（如响应内容基本完整，针对性一般，可操作性一般）的，加10分；</w:t>
            </w:r>
          </w:p>
          <w:p w14:paraId="13855581">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（4）评审为差（如响应内容缺失或与项目关联度不大）的，加0分。</w:t>
            </w:r>
          </w:p>
          <w:p w14:paraId="3E5C8F16">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lang w:eastAsia="zh-CN"/>
              </w:rPr>
            </w:pPr>
            <w:r>
              <w:rPr>
                <w:rFonts w:hint="eastAsia" w:ascii="宋体" w:hAnsi="宋体" w:eastAsia="宋体" w:cs="宋体"/>
                <w:color w:val="000000"/>
                <w:kern w:val="0"/>
                <w:sz w:val="21"/>
                <w:szCs w:val="21"/>
                <w:highlight w:val="none"/>
                <w:lang w:eastAsia="zh-CN"/>
              </w:rPr>
              <w:t>未提供不得分。</w:t>
            </w:r>
          </w:p>
          <w:p w14:paraId="412DB524">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left"/>
              <w:rPr>
                <w:rFonts w:hint="eastAsia" w:ascii="宋体" w:hAnsi="宋体" w:eastAsia="宋体" w:cs="宋体"/>
                <w:color w:val="auto"/>
                <w:sz w:val="21"/>
                <w:szCs w:val="21"/>
                <w:highlight w:val="none"/>
                <w:lang w:eastAsia="zh-CN"/>
              </w:rPr>
            </w:pPr>
            <w:r>
              <w:rPr>
                <w:rFonts w:hint="eastAsia" w:ascii="宋体" w:hAnsi="宋体" w:eastAsia="宋体" w:cs="宋体"/>
                <w:b/>
                <w:bCs/>
                <w:color w:val="000000"/>
                <w:kern w:val="0"/>
                <w:sz w:val="21"/>
                <w:szCs w:val="21"/>
                <w:highlight w:val="none"/>
                <w:lang w:eastAsia="zh-CN"/>
              </w:rPr>
              <w:t>以上1-2项累计最高得100分。</w:t>
            </w:r>
          </w:p>
        </w:tc>
      </w:tr>
      <w:tr w14:paraId="63B4BF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20" w:type="dxa"/>
            <w:left w:w="108" w:type="dxa"/>
            <w:bottom w:w="20" w:type="dxa"/>
            <w:right w:w="108" w:type="dxa"/>
          </w:tblCellMar>
        </w:tblPrEx>
        <w:trPr>
          <w:trHeight w:val="5157" w:hRule="atLeast"/>
          <w:jc w:val="center"/>
        </w:trPr>
        <w:tc>
          <w:tcPr>
            <w:tcW w:w="1366" w:type="dxa"/>
            <w:vMerge w:val="continue"/>
            <w:shd w:val="clear" w:color="auto" w:fill="FFFFFF"/>
            <w:noWrap w:val="0"/>
            <w:vAlign w:val="center"/>
          </w:tcPr>
          <w:p w14:paraId="2FD866A0">
            <w:pPr>
              <w:kinsoku/>
              <w:spacing w:line="240" w:lineRule="exact"/>
              <w:jc w:val="center"/>
              <w:rPr>
                <w:rFonts w:hint="eastAsia" w:ascii="宋体" w:hAnsi="宋体" w:eastAsia="宋体" w:cs="宋体"/>
                <w:b/>
                <w:bCs/>
                <w:color w:val="auto"/>
                <w:highlight w:val="none"/>
                <w:lang w:eastAsia="zh-CN"/>
              </w:rPr>
            </w:pPr>
          </w:p>
        </w:tc>
        <w:tc>
          <w:tcPr>
            <w:tcW w:w="819" w:type="dxa"/>
            <w:tcBorders>
              <w:top w:val="single" w:color="auto" w:sz="4" w:space="0"/>
            </w:tcBorders>
            <w:shd w:val="clear" w:color="auto" w:fill="FFFFFF"/>
            <w:noWrap w:val="0"/>
            <w:vAlign w:val="center"/>
          </w:tcPr>
          <w:p w14:paraId="4DAD8C82">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cs="宋体"/>
                <w:color w:val="000000"/>
                <w:kern w:val="0"/>
                <w:sz w:val="21"/>
                <w:szCs w:val="21"/>
                <w:highlight w:val="none"/>
                <w:lang w:val="en-US" w:eastAsia="zh-CN"/>
              </w:rPr>
              <w:t>2</w:t>
            </w:r>
          </w:p>
        </w:tc>
        <w:tc>
          <w:tcPr>
            <w:tcW w:w="2091" w:type="dxa"/>
            <w:gridSpan w:val="3"/>
            <w:tcBorders>
              <w:top w:val="single" w:color="auto" w:sz="4" w:space="0"/>
            </w:tcBorders>
            <w:shd w:val="clear" w:color="auto" w:fill="FFFFFF"/>
            <w:noWrap w:val="0"/>
            <w:vAlign w:val="center"/>
          </w:tcPr>
          <w:p w14:paraId="25847138">
            <w:pPr>
              <w:spacing w:line="240" w:lineRule="exact"/>
              <w:jc w:val="center"/>
              <w:rPr>
                <w:rFonts w:hint="eastAsia" w:ascii="宋体" w:hAnsi="宋体" w:eastAsia="宋体" w:cs="宋体"/>
                <w:color w:val="auto"/>
                <w:highlight w:val="none"/>
                <w:lang w:eastAsia="zh-CN"/>
              </w:rPr>
            </w:pPr>
            <w:r>
              <w:rPr>
                <w:rFonts w:ascii="宋体" w:hAnsi="宋体" w:eastAsia="宋体" w:cs="宋体"/>
                <w:b w:val="0"/>
                <w:bCs w:val="0"/>
                <w:i w:val="0"/>
                <w:iCs w:val="0"/>
                <w:smallCaps w:val="0"/>
                <w:color w:val="000000"/>
                <w:highlight w:val="none"/>
              </w:rPr>
              <w:t>施工工期管理策划</w:t>
            </w:r>
          </w:p>
        </w:tc>
        <w:tc>
          <w:tcPr>
            <w:tcW w:w="885" w:type="dxa"/>
            <w:tcBorders>
              <w:top w:val="single" w:color="auto" w:sz="4" w:space="0"/>
            </w:tcBorders>
            <w:shd w:val="clear" w:color="auto" w:fill="FFFFFF"/>
            <w:noWrap w:val="0"/>
            <w:vAlign w:val="center"/>
          </w:tcPr>
          <w:p w14:paraId="12556117">
            <w:pPr>
              <w:spacing w:line="240" w:lineRule="exact"/>
              <w:jc w:val="center"/>
              <w:rPr>
                <w:rFonts w:hint="eastAsia" w:ascii="宋体" w:hAnsi="宋体" w:eastAsia="宋体" w:cs="宋体"/>
                <w:color w:val="auto"/>
                <w:highlight w:val="none"/>
                <w:lang w:eastAsia="zh-CN"/>
              </w:rPr>
            </w:pPr>
            <w:r>
              <w:rPr>
                <w:rFonts w:hint="eastAsia" w:ascii="宋体" w:hAnsi="宋体" w:cs="宋体"/>
                <w:color w:val="000000"/>
                <w:sz w:val="21"/>
                <w:szCs w:val="21"/>
                <w:highlight w:val="none"/>
                <w:lang w:val="en-US" w:eastAsia="zh-CN"/>
              </w:rPr>
              <w:t>10</w:t>
            </w:r>
          </w:p>
        </w:tc>
        <w:tc>
          <w:tcPr>
            <w:tcW w:w="5033" w:type="dxa"/>
            <w:tcBorders>
              <w:top w:val="single" w:color="auto" w:sz="4" w:space="0"/>
            </w:tcBorders>
            <w:shd w:val="clear" w:color="auto" w:fill="FFFFFF"/>
            <w:noWrap w:val="0"/>
            <w:vAlign w:val="top"/>
          </w:tcPr>
          <w:p w14:paraId="6FD852C7">
            <w:pPr>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（一）评</w:t>
            </w:r>
            <w:r>
              <w:rPr>
                <w:rFonts w:hint="eastAsia" w:ascii="宋体" w:hAnsi="宋体" w:eastAsia="宋体" w:cs="宋体"/>
                <w:b/>
                <w:bCs/>
                <w:color w:val="000000"/>
                <w:sz w:val="21"/>
                <w:szCs w:val="21"/>
                <w:highlight w:val="none"/>
                <w:lang w:val="en-US" w:eastAsia="zh-CN"/>
              </w:rPr>
              <w:t>分</w:t>
            </w:r>
            <w:r>
              <w:rPr>
                <w:rFonts w:hint="eastAsia" w:ascii="宋体" w:hAnsi="宋体" w:eastAsia="宋体" w:cs="宋体"/>
                <w:b/>
                <w:bCs/>
                <w:color w:val="000000"/>
                <w:sz w:val="21"/>
                <w:szCs w:val="21"/>
                <w:highlight w:val="none"/>
              </w:rPr>
              <w:t>内容：</w:t>
            </w:r>
          </w:p>
          <w:p w14:paraId="72973EA4">
            <w:pPr>
              <w:keepNext w:val="0"/>
              <w:keepLines w:val="0"/>
              <w:pageBreakBefore w:val="0"/>
              <w:kinsoku/>
              <w:wordWrap w:val="0"/>
              <w:overflowPunct/>
              <w:topLinePunct w:val="0"/>
              <w:bidi w:val="0"/>
              <w:spacing w:line="320" w:lineRule="exact"/>
              <w:jc w:val="both"/>
              <w:textAlignment w:val="top"/>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根据本项目招标文件的用户需求，制定</w:t>
            </w:r>
            <w:r>
              <w:rPr>
                <w:rFonts w:hint="eastAsia" w:ascii="宋体" w:hAnsi="宋体" w:eastAsia="宋体" w:cs="宋体"/>
                <w:color w:val="000000"/>
                <w:sz w:val="21"/>
                <w:szCs w:val="21"/>
                <w:highlight w:val="none"/>
                <w:lang w:eastAsia="zh-CN"/>
              </w:rPr>
              <w:t>根据本项目招标文件的用户需求，</w:t>
            </w:r>
            <w:r>
              <w:rPr>
                <w:rFonts w:hint="eastAsia" w:ascii="宋体" w:hAnsi="宋体" w:eastAsia="宋体" w:cs="宋体"/>
                <w:b w:val="0"/>
                <w:bCs w:val="0"/>
                <w:i w:val="0"/>
                <w:iCs w:val="0"/>
                <w:smallCaps w:val="0"/>
                <w:color w:val="000000"/>
                <w:sz w:val="21"/>
                <w:szCs w:val="21"/>
                <w:highlight w:val="none"/>
              </w:rPr>
              <w:t>工期目标响应招标文件情况；工序安排、关键线路、进度纠偏的管理策划情况， 针对本项目工期的优化方案</w:t>
            </w:r>
            <w:r>
              <w:rPr>
                <w:rFonts w:hint="eastAsia" w:ascii="宋体" w:hAnsi="宋体" w:eastAsia="宋体" w:cs="宋体"/>
                <w:color w:val="000000"/>
                <w:sz w:val="21"/>
                <w:szCs w:val="21"/>
                <w:highlight w:val="none"/>
              </w:rPr>
              <w:t>，内容包括但不限于：</w:t>
            </w:r>
          </w:p>
          <w:p w14:paraId="2ED71A9E">
            <w:pPr>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1.</w:t>
            </w:r>
            <w:r>
              <w:rPr>
                <w:rFonts w:hint="eastAsia" w:ascii="宋体" w:hAnsi="宋体" w:eastAsia="宋体" w:cs="宋体"/>
                <w:b w:val="0"/>
                <w:bCs w:val="0"/>
                <w:i w:val="0"/>
                <w:iCs w:val="0"/>
                <w:smallCaps w:val="0"/>
                <w:color w:val="000000"/>
                <w:sz w:val="21"/>
                <w:szCs w:val="21"/>
                <w:highlight w:val="none"/>
              </w:rPr>
              <w:t>工序安排、关键线路、进度纠偏的管理策划情况</w:t>
            </w:r>
            <w:r>
              <w:rPr>
                <w:rFonts w:hint="eastAsia" w:ascii="宋体" w:hAnsi="宋体" w:eastAsia="宋体" w:cs="宋体"/>
                <w:color w:val="000000"/>
                <w:sz w:val="21"/>
                <w:szCs w:val="21"/>
                <w:highlight w:val="none"/>
              </w:rPr>
              <w:t>；</w:t>
            </w:r>
          </w:p>
          <w:p w14:paraId="0B19295F">
            <w:pPr>
              <w:jc w:val="both"/>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2.</w:t>
            </w:r>
            <w:r>
              <w:rPr>
                <w:rFonts w:hint="eastAsia" w:ascii="宋体" w:hAnsi="宋体" w:eastAsia="宋体" w:cs="宋体"/>
                <w:b w:val="0"/>
                <w:bCs w:val="0"/>
                <w:i w:val="0"/>
                <w:iCs w:val="0"/>
                <w:smallCaps w:val="0"/>
                <w:color w:val="000000"/>
                <w:sz w:val="21"/>
                <w:szCs w:val="21"/>
                <w:highlight w:val="none"/>
              </w:rPr>
              <w:t>针对本项目工期的优化方案</w:t>
            </w:r>
            <w:r>
              <w:rPr>
                <w:rFonts w:hint="eastAsia" w:ascii="宋体" w:hAnsi="宋体" w:eastAsia="宋体" w:cs="宋体"/>
                <w:color w:val="000000"/>
                <w:sz w:val="21"/>
                <w:szCs w:val="21"/>
                <w:highlight w:val="none"/>
              </w:rPr>
              <w:t>；</w:t>
            </w:r>
          </w:p>
          <w:p w14:paraId="047D18CB">
            <w:pPr>
              <w:jc w:val="both"/>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（二）评分</w:t>
            </w:r>
            <w:r>
              <w:rPr>
                <w:rFonts w:hint="eastAsia" w:ascii="宋体" w:hAnsi="宋体" w:eastAsia="宋体" w:cs="宋体"/>
                <w:b/>
                <w:bCs/>
                <w:color w:val="000000"/>
                <w:sz w:val="21"/>
                <w:szCs w:val="21"/>
                <w:highlight w:val="none"/>
                <w:lang w:val="en-US" w:eastAsia="zh-CN"/>
              </w:rPr>
              <w:t>依据</w:t>
            </w:r>
            <w:r>
              <w:rPr>
                <w:rFonts w:hint="eastAsia" w:ascii="宋体" w:hAnsi="宋体" w:eastAsia="宋体" w:cs="宋体"/>
                <w:b/>
                <w:bCs/>
                <w:color w:val="000000"/>
                <w:sz w:val="21"/>
                <w:szCs w:val="21"/>
                <w:highlight w:val="none"/>
              </w:rPr>
              <w:t>：</w:t>
            </w:r>
          </w:p>
          <w:p w14:paraId="29974E5F">
            <w:pPr>
              <w:wordWrap w:val="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1.每提供上述一项内容的，得</w:t>
            </w:r>
            <w:r>
              <w:rPr>
                <w:rFonts w:hint="eastAsia" w:ascii="宋体" w:hAnsi="宋体" w:eastAsia="宋体" w:cs="宋体"/>
                <w:color w:val="000000"/>
                <w:kern w:val="0"/>
                <w:sz w:val="21"/>
                <w:szCs w:val="21"/>
                <w:highlight w:val="none"/>
                <w:lang w:val="en-US" w:eastAsia="zh-CN"/>
              </w:rPr>
              <w:t>20</w:t>
            </w:r>
            <w:r>
              <w:rPr>
                <w:rFonts w:hint="eastAsia" w:ascii="宋体" w:hAnsi="宋体" w:eastAsia="宋体" w:cs="宋体"/>
                <w:color w:val="000000"/>
                <w:kern w:val="0"/>
                <w:sz w:val="21"/>
                <w:szCs w:val="21"/>
                <w:highlight w:val="none"/>
              </w:rPr>
              <w:t>分，最高得</w:t>
            </w:r>
            <w:r>
              <w:rPr>
                <w:rFonts w:hint="eastAsia" w:ascii="宋体" w:hAnsi="宋体" w:eastAsia="宋体" w:cs="宋体"/>
                <w:color w:val="000000"/>
                <w:kern w:val="0"/>
                <w:sz w:val="21"/>
                <w:szCs w:val="21"/>
                <w:highlight w:val="none"/>
                <w:lang w:val="en-US" w:eastAsia="zh-CN"/>
              </w:rPr>
              <w:t>40</w:t>
            </w:r>
            <w:r>
              <w:rPr>
                <w:rFonts w:hint="eastAsia" w:ascii="宋体" w:hAnsi="宋体" w:eastAsia="宋体" w:cs="宋体"/>
                <w:color w:val="000000"/>
                <w:kern w:val="0"/>
                <w:sz w:val="21"/>
                <w:szCs w:val="21"/>
                <w:highlight w:val="none"/>
              </w:rPr>
              <w:t>分。</w:t>
            </w:r>
          </w:p>
          <w:p w14:paraId="021E1646">
            <w:pPr>
              <w:wordWrap w:val="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2.在此基础上，评审委员根据各供应商的具体响应内容按照量化的评审因素指标进一步评审：</w:t>
            </w:r>
          </w:p>
          <w:p w14:paraId="7766032B">
            <w:pPr>
              <w:wordWrap w:val="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（1）评审为优（如响应内容全面、清晰、针对性强、科学合理、可操作性强）的，加</w:t>
            </w:r>
            <w:r>
              <w:rPr>
                <w:rFonts w:hint="eastAsia" w:ascii="宋体" w:hAnsi="宋体" w:eastAsia="宋体" w:cs="宋体"/>
                <w:color w:val="000000"/>
                <w:kern w:val="0"/>
                <w:sz w:val="21"/>
                <w:szCs w:val="21"/>
                <w:highlight w:val="none"/>
                <w:lang w:val="en-US" w:eastAsia="zh-CN"/>
              </w:rPr>
              <w:t>60</w:t>
            </w:r>
            <w:r>
              <w:rPr>
                <w:rFonts w:hint="eastAsia" w:ascii="宋体" w:hAnsi="宋体" w:eastAsia="宋体" w:cs="宋体"/>
                <w:color w:val="000000"/>
                <w:kern w:val="0"/>
                <w:sz w:val="21"/>
                <w:szCs w:val="21"/>
                <w:highlight w:val="none"/>
              </w:rPr>
              <w:t>分；</w:t>
            </w:r>
          </w:p>
          <w:p w14:paraId="5269A358">
            <w:pPr>
              <w:wordWrap w:val="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（2）评审为良（如响应内容较全面、较清晰、针对性较强、较科学合理、可操作性较强）的，加</w:t>
            </w:r>
            <w:r>
              <w:rPr>
                <w:rFonts w:hint="eastAsia" w:ascii="宋体" w:hAnsi="宋体" w:eastAsia="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rPr>
              <w:t>0分；</w:t>
            </w:r>
          </w:p>
          <w:p w14:paraId="0A666AA0">
            <w:pPr>
              <w:wordWrap w:val="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（3）评审为中（如响应内容基本完整，针对性一般，可操作性一般）的，加</w:t>
            </w:r>
            <w:r>
              <w:rPr>
                <w:rFonts w:hint="eastAsia" w:ascii="宋体" w:hAnsi="宋体" w:eastAsia="宋体" w:cs="宋体"/>
                <w:color w:val="000000"/>
                <w:kern w:val="0"/>
                <w:sz w:val="21"/>
                <w:szCs w:val="21"/>
                <w:highlight w:val="none"/>
                <w:lang w:val="en-US" w:eastAsia="zh-CN"/>
              </w:rPr>
              <w:t>10</w:t>
            </w:r>
            <w:r>
              <w:rPr>
                <w:rFonts w:hint="eastAsia" w:ascii="宋体" w:hAnsi="宋体" w:eastAsia="宋体" w:cs="宋体"/>
                <w:color w:val="000000"/>
                <w:kern w:val="0"/>
                <w:sz w:val="21"/>
                <w:szCs w:val="21"/>
                <w:highlight w:val="none"/>
              </w:rPr>
              <w:t>分；</w:t>
            </w:r>
          </w:p>
          <w:p w14:paraId="43202F19">
            <w:pPr>
              <w:wordWrap w:val="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（4）评审为差（如响应内容缺失或与项目关联度不大）的，加0分。</w:t>
            </w:r>
          </w:p>
          <w:p w14:paraId="0C293917">
            <w:pPr>
              <w:wordWrap w:val="0"/>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未提供不得分。</w:t>
            </w:r>
          </w:p>
          <w:p w14:paraId="0C757CEA">
            <w:pPr>
              <w:wordWrap w:val="0"/>
              <w:rPr>
                <w:rFonts w:hint="eastAsia" w:ascii="宋体" w:hAnsi="宋体" w:eastAsia="宋体" w:cs="宋体"/>
                <w:color w:val="auto"/>
                <w:sz w:val="21"/>
                <w:szCs w:val="21"/>
                <w:highlight w:val="none"/>
                <w:lang w:eastAsia="zh-CN"/>
              </w:rPr>
            </w:pPr>
            <w:r>
              <w:rPr>
                <w:rFonts w:hint="eastAsia" w:ascii="宋体" w:hAnsi="宋体" w:eastAsia="宋体" w:cs="宋体"/>
                <w:b/>
                <w:bCs/>
                <w:color w:val="000000"/>
                <w:kern w:val="0"/>
                <w:sz w:val="21"/>
                <w:szCs w:val="21"/>
                <w:highlight w:val="none"/>
              </w:rPr>
              <w:t>以上1-2项累计最高得100分。</w:t>
            </w:r>
          </w:p>
        </w:tc>
      </w:tr>
      <w:tr w14:paraId="33B011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continue"/>
            <w:shd w:val="clear" w:color="auto" w:fill="FFFFFF"/>
            <w:noWrap w:val="0"/>
            <w:vAlign w:val="center"/>
          </w:tcPr>
          <w:p w14:paraId="1EAC740A">
            <w:pPr>
              <w:kinsoku/>
              <w:spacing w:line="240" w:lineRule="exact"/>
              <w:jc w:val="center"/>
              <w:rPr>
                <w:rFonts w:hint="eastAsia" w:ascii="宋体" w:hAnsi="宋体" w:eastAsia="宋体" w:cs="宋体"/>
                <w:b/>
                <w:bCs/>
                <w:color w:val="auto"/>
                <w:highlight w:val="none"/>
                <w:lang w:eastAsia="zh-CN"/>
              </w:rPr>
            </w:pPr>
          </w:p>
        </w:tc>
        <w:tc>
          <w:tcPr>
            <w:tcW w:w="819" w:type="dxa"/>
            <w:shd w:val="clear" w:color="auto" w:fill="FFFFFF"/>
            <w:noWrap w:val="0"/>
            <w:vAlign w:val="center"/>
          </w:tcPr>
          <w:p w14:paraId="2965C11C">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000000"/>
                <w:kern w:val="0"/>
                <w:sz w:val="21"/>
                <w:szCs w:val="21"/>
                <w:highlight w:val="none"/>
              </w:rPr>
              <w:t>3</w:t>
            </w:r>
          </w:p>
        </w:tc>
        <w:tc>
          <w:tcPr>
            <w:tcW w:w="2091" w:type="dxa"/>
            <w:gridSpan w:val="3"/>
            <w:shd w:val="clear" w:color="auto" w:fill="FFFFFF"/>
            <w:noWrap w:val="0"/>
            <w:vAlign w:val="center"/>
          </w:tcPr>
          <w:p w14:paraId="7EC08A57">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ascii="宋体" w:hAnsi="宋体" w:eastAsia="宋体" w:cs="宋体"/>
                <w:b w:val="0"/>
                <w:bCs w:val="0"/>
                <w:i w:val="0"/>
                <w:iCs w:val="0"/>
                <w:smallCaps w:val="0"/>
                <w:color w:val="000000"/>
                <w:highlight w:val="none"/>
              </w:rPr>
              <w:t>施工方法及质量保证措施</w:t>
            </w:r>
          </w:p>
        </w:tc>
        <w:tc>
          <w:tcPr>
            <w:tcW w:w="885" w:type="dxa"/>
            <w:shd w:val="clear" w:color="auto" w:fill="FFFFFF"/>
            <w:noWrap w:val="0"/>
            <w:vAlign w:val="center"/>
          </w:tcPr>
          <w:p w14:paraId="44A7A019">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default" w:ascii="宋体" w:hAnsi="宋体" w:eastAsia="宋体" w:cs="宋体"/>
                <w:color w:val="auto"/>
                <w:highlight w:val="none"/>
                <w:lang w:val="en-US" w:eastAsia="zh-CN"/>
              </w:rPr>
            </w:pPr>
            <w:r>
              <w:rPr>
                <w:rFonts w:hint="eastAsia" w:ascii="宋体" w:hAnsi="宋体" w:cs="宋体"/>
                <w:color w:val="000000"/>
                <w:sz w:val="21"/>
                <w:szCs w:val="21"/>
                <w:highlight w:val="none"/>
                <w:lang w:val="en-US" w:eastAsia="zh-CN"/>
              </w:rPr>
              <w:t>10</w:t>
            </w:r>
          </w:p>
        </w:tc>
        <w:tc>
          <w:tcPr>
            <w:tcW w:w="5033" w:type="dxa"/>
            <w:shd w:val="clear" w:color="auto" w:fill="FFFFFF"/>
            <w:noWrap w:val="0"/>
            <w:vAlign w:val="center"/>
          </w:tcPr>
          <w:p w14:paraId="2E699435">
            <w:pPr>
              <w:keepNext w:val="0"/>
              <w:keepLines w:val="0"/>
              <w:pageBreakBefore w:val="0"/>
              <w:kinsoku/>
              <w:wordWrap w:val="0"/>
              <w:overflowPunct/>
              <w:topLinePunct w:val="0"/>
              <w:bidi w:val="0"/>
              <w:spacing w:line="320" w:lineRule="exact"/>
              <w:textAlignment w:val="top"/>
              <w:rPr>
                <w:rFonts w:hint="eastAsia" w:ascii="宋体" w:hAnsi="宋体" w:eastAsia="宋体" w:cs="宋体"/>
                <w:color w:val="000000"/>
                <w:sz w:val="21"/>
                <w:szCs w:val="21"/>
                <w:highlight w:val="none"/>
              </w:rPr>
            </w:pPr>
            <w:r>
              <w:rPr>
                <w:rFonts w:hint="eastAsia" w:ascii="宋体" w:hAnsi="宋体" w:eastAsia="宋体" w:cs="宋体"/>
                <w:b/>
                <w:bCs/>
                <w:color w:val="000000"/>
                <w:sz w:val="21"/>
                <w:szCs w:val="21"/>
                <w:highlight w:val="none"/>
              </w:rPr>
              <w:t>（一）评</w:t>
            </w:r>
            <w:r>
              <w:rPr>
                <w:rFonts w:hint="eastAsia" w:ascii="宋体" w:hAnsi="宋体" w:eastAsia="宋体" w:cs="宋体"/>
                <w:b/>
                <w:bCs/>
                <w:color w:val="000000"/>
                <w:sz w:val="21"/>
                <w:szCs w:val="21"/>
                <w:highlight w:val="none"/>
                <w:lang w:val="en-US" w:eastAsia="zh-CN"/>
              </w:rPr>
              <w:t>分</w:t>
            </w:r>
            <w:r>
              <w:rPr>
                <w:rFonts w:hint="eastAsia" w:ascii="宋体" w:hAnsi="宋体" w:eastAsia="宋体" w:cs="宋体"/>
                <w:b/>
                <w:bCs/>
                <w:color w:val="000000"/>
                <w:sz w:val="21"/>
                <w:szCs w:val="21"/>
                <w:highlight w:val="none"/>
              </w:rPr>
              <w:t>内容：</w:t>
            </w:r>
            <w:r>
              <w:rPr>
                <w:rFonts w:hint="eastAsia" w:ascii="宋体" w:hAnsi="宋体" w:eastAsia="宋体" w:cs="宋体"/>
                <w:color w:val="000000"/>
                <w:sz w:val="21"/>
                <w:szCs w:val="21"/>
                <w:highlight w:val="none"/>
              </w:rPr>
              <w:t xml:space="preserve"> </w:t>
            </w:r>
          </w:p>
          <w:p w14:paraId="28846648">
            <w:p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根据本项目招标文件的用户需求，</w:t>
            </w:r>
            <w:r>
              <w:rPr>
                <w:rFonts w:hint="eastAsia" w:ascii="宋体" w:hAnsi="宋体" w:eastAsia="宋体" w:cs="宋体"/>
                <w:b w:val="0"/>
                <w:bCs w:val="0"/>
                <w:i w:val="0"/>
                <w:iCs w:val="0"/>
                <w:smallCaps w:val="0"/>
                <w:color w:val="000000"/>
                <w:sz w:val="21"/>
                <w:szCs w:val="21"/>
                <w:highlight w:val="none"/>
              </w:rPr>
              <w:t>结合现场情况和施工图纸，对施工方法及质量保证措施情况</w:t>
            </w:r>
            <w:r>
              <w:rPr>
                <w:rFonts w:hint="eastAsia" w:ascii="宋体" w:hAnsi="宋体" w:eastAsia="宋体" w:cs="宋体"/>
                <w:b w:val="0"/>
                <w:bCs w:val="0"/>
                <w:i w:val="0"/>
                <w:iCs w:val="0"/>
                <w:smallCaps w:val="0"/>
                <w:color w:val="000000"/>
                <w:sz w:val="21"/>
                <w:szCs w:val="21"/>
                <w:highlight w:val="none"/>
                <w:lang w:val="en-US" w:eastAsia="zh-CN"/>
              </w:rPr>
              <w:t>进行阐述</w:t>
            </w:r>
            <w:r>
              <w:rPr>
                <w:rFonts w:hint="eastAsia" w:ascii="宋体" w:hAnsi="宋体" w:eastAsia="宋体" w:cs="宋体"/>
                <w:b w:val="0"/>
                <w:bCs w:val="0"/>
                <w:i w:val="0"/>
                <w:iCs w:val="0"/>
                <w:smallCaps w:val="0"/>
                <w:color w:val="000000"/>
                <w:sz w:val="21"/>
                <w:szCs w:val="21"/>
                <w:highlight w:val="none"/>
                <w:lang w:eastAsia="zh-CN"/>
              </w:rPr>
              <w:t>，</w:t>
            </w:r>
            <w:r>
              <w:rPr>
                <w:rFonts w:hint="eastAsia" w:ascii="宋体" w:hAnsi="宋体" w:eastAsia="宋体" w:cs="宋体"/>
                <w:b w:val="0"/>
                <w:bCs w:val="0"/>
                <w:color w:val="000000"/>
                <w:sz w:val="21"/>
                <w:szCs w:val="21"/>
                <w:highlight w:val="none"/>
              </w:rPr>
              <w:t>内容包括但不限于：</w:t>
            </w:r>
          </w:p>
          <w:p w14:paraId="00DDCD99">
            <w:p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1.项目</w:t>
            </w:r>
            <w:r>
              <w:rPr>
                <w:rFonts w:hint="eastAsia" w:ascii="宋体" w:hAnsi="宋体" w:eastAsia="宋体" w:cs="宋体"/>
                <w:b w:val="0"/>
                <w:bCs w:val="0"/>
                <w:i w:val="0"/>
                <w:iCs w:val="0"/>
                <w:smallCaps w:val="0"/>
                <w:color w:val="000000"/>
                <w:sz w:val="21"/>
                <w:szCs w:val="21"/>
                <w:highlight w:val="none"/>
              </w:rPr>
              <w:t>施工方法</w:t>
            </w:r>
            <w:r>
              <w:rPr>
                <w:rFonts w:hint="eastAsia" w:ascii="宋体" w:hAnsi="宋体" w:eastAsia="宋体" w:cs="宋体"/>
                <w:b w:val="0"/>
                <w:bCs w:val="0"/>
                <w:i w:val="0"/>
                <w:iCs w:val="0"/>
                <w:smallCaps w:val="0"/>
                <w:color w:val="000000"/>
                <w:sz w:val="21"/>
                <w:szCs w:val="21"/>
                <w:highlight w:val="none"/>
                <w:lang w:val="en-US" w:eastAsia="zh-CN"/>
              </w:rPr>
              <w:t>情况</w:t>
            </w:r>
            <w:r>
              <w:rPr>
                <w:rFonts w:hint="eastAsia" w:ascii="宋体" w:hAnsi="宋体" w:eastAsia="宋体" w:cs="宋体"/>
                <w:b w:val="0"/>
                <w:bCs w:val="0"/>
                <w:color w:val="000000"/>
                <w:sz w:val="21"/>
                <w:szCs w:val="21"/>
                <w:highlight w:val="none"/>
              </w:rPr>
              <w:t>；</w:t>
            </w:r>
          </w:p>
          <w:p w14:paraId="74DB708F">
            <w:pPr>
              <w:jc w:val="both"/>
              <w:rPr>
                <w:rFonts w:hint="eastAsia" w:ascii="宋体" w:hAnsi="宋体" w:eastAsia="宋体" w:cs="宋体"/>
                <w:b w:val="0"/>
                <w:bCs w:val="0"/>
                <w:color w:val="000000"/>
                <w:sz w:val="21"/>
                <w:szCs w:val="21"/>
                <w:highlight w:val="none"/>
              </w:rPr>
            </w:pPr>
            <w:r>
              <w:rPr>
                <w:rFonts w:hint="eastAsia" w:ascii="宋体" w:hAnsi="宋体" w:eastAsia="宋体" w:cs="宋体"/>
                <w:b w:val="0"/>
                <w:bCs w:val="0"/>
                <w:color w:val="000000"/>
                <w:sz w:val="21"/>
                <w:szCs w:val="21"/>
                <w:highlight w:val="none"/>
              </w:rPr>
              <w:t>2.</w:t>
            </w:r>
            <w:r>
              <w:rPr>
                <w:rFonts w:hint="eastAsia" w:ascii="宋体" w:hAnsi="宋体" w:eastAsia="宋体" w:cs="宋体"/>
                <w:b w:val="0"/>
                <w:bCs w:val="0"/>
                <w:i w:val="0"/>
                <w:iCs w:val="0"/>
                <w:smallCaps w:val="0"/>
                <w:color w:val="000000"/>
                <w:sz w:val="21"/>
                <w:szCs w:val="21"/>
                <w:highlight w:val="none"/>
              </w:rPr>
              <w:t>质量保证措施</w:t>
            </w:r>
            <w:r>
              <w:rPr>
                <w:rFonts w:hint="eastAsia" w:ascii="宋体" w:hAnsi="宋体" w:eastAsia="宋体" w:cs="宋体"/>
                <w:b w:val="0"/>
                <w:bCs w:val="0"/>
                <w:i w:val="0"/>
                <w:iCs w:val="0"/>
                <w:smallCaps w:val="0"/>
                <w:color w:val="000000"/>
                <w:sz w:val="21"/>
                <w:szCs w:val="21"/>
                <w:highlight w:val="none"/>
                <w:lang w:val="en-US" w:eastAsia="zh-CN"/>
              </w:rPr>
              <w:t>情况</w:t>
            </w:r>
            <w:r>
              <w:rPr>
                <w:rFonts w:hint="eastAsia" w:ascii="宋体" w:hAnsi="宋体" w:eastAsia="宋体" w:cs="宋体"/>
                <w:b w:val="0"/>
                <w:bCs w:val="0"/>
                <w:color w:val="000000"/>
                <w:sz w:val="21"/>
                <w:szCs w:val="21"/>
                <w:highlight w:val="none"/>
              </w:rPr>
              <w:t>。</w:t>
            </w:r>
          </w:p>
          <w:p w14:paraId="6CC3FD95">
            <w:pPr>
              <w:jc w:val="both"/>
              <w:rPr>
                <w:rFonts w:hint="eastAsia" w:ascii="宋体" w:hAnsi="宋体" w:eastAsia="宋体" w:cs="宋体"/>
                <w:b/>
                <w:bCs/>
                <w:color w:val="000000"/>
                <w:sz w:val="21"/>
                <w:szCs w:val="21"/>
                <w:highlight w:val="none"/>
              </w:rPr>
            </w:pPr>
            <w:r>
              <w:rPr>
                <w:rFonts w:hint="eastAsia" w:ascii="宋体" w:hAnsi="宋体" w:eastAsia="宋体" w:cs="宋体"/>
                <w:b/>
                <w:bCs/>
                <w:color w:val="000000"/>
                <w:sz w:val="21"/>
                <w:szCs w:val="21"/>
                <w:highlight w:val="none"/>
              </w:rPr>
              <w:t>（二）评分</w:t>
            </w:r>
            <w:r>
              <w:rPr>
                <w:rFonts w:hint="eastAsia" w:ascii="宋体" w:hAnsi="宋体" w:eastAsia="宋体" w:cs="宋体"/>
                <w:b/>
                <w:bCs/>
                <w:color w:val="000000"/>
                <w:sz w:val="21"/>
                <w:szCs w:val="21"/>
                <w:highlight w:val="none"/>
                <w:lang w:val="en-US" w:eastAsia="zh-CN"/>
              </w:rPr>
              <w:t>依据</w:t>
            </w:r>
            <w:r>
              <w:rPr>
                <w:rFonts w:hint="eastAsia" w:ascii="宋体" w:hAnsi="宋体" w:eastAsia="宋体" w:cs="宋体"/>
                <w:b/>
                <w:bCs/>
                <w:color w:val="000000"/>
                <w:sz w:val="21"/>
                <w:szCs w:val="21"/>
                <w:highlight w:val="none"/>
              </w:rPr>
              <w:t>：</w:t>
            </w:r>
          </w:p>
          <w:p w14:paraId="32F504ED">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1.每提供上述一项内容的，得</w:t>
            </w:r>
            <w:r>
              <w:rPr>
                <w:rFonts w:hint="eastAsia" w:ascii="宋体" w:hAnsi="宋体" w:eastAsia="宋体" w:cs="宋体"/>
                <w:color w:val="000000"/>
                <w:kern w:val="0"/>
                <w:sz w:val="21"/>
                <w:szCs w:val="21"/>
                <w:highlight w:val="none"/>
                <w:lang w:val="en-US" w:eastAsia="zh-CN"/>
              </w:rPr>
              <w:t>20</w:t>
            </w:r>
            <w:r>
              <w:rPr>
                <w:rFonts w:hint="eastAsia" w:ascii="宋体" w:hAnsi="宋体" w:eastAsia="宋体" w:cs="宋体"/>
                <w:color w:val="000000"/>
                <w:kern w:val="0"/>
                <w:sz w:val="21"/>
                <w:szCs w:val="21"/>
                <w:highlight w:val="none"/>
              </w:rPr>
              <w:t>分，最高得</w:t>
            </w:r>
            <w:r>
              <w:rPr>
                <w:rFonts w:hint="eastAsia" w:ascii="宋体" w:hAnsi="宋体" w:eastAsia="宋体" w:cs="宋体"/>
                <w:color w:val="000000"/>
                <w:kern w:val="0"/>
                <w:sz w:val="21"/>
                <w:szCs w:val="21"/>
                <w:highlight w:val="none"/>
                <w:lang w:val="en-US" w:eastAsia="zh-CN"/>
              </w:rPr>
              <w:t>40</w:t>
            </w:r>
            <w:r>
              <w:rPr>
                <w:rFonts w:hint="eastAsia" w:ascii="宋体" w:hAnsi="宋体" w:eastAsia="宋体" w:cs="宋体"/>
                <w:color w:val="000000"/>
                <w:kern w:val="0"/>
                <w:sz w:val="21"/>
                <w:szCs w:val="21"/>
                <w:highlight w:val="none"/>
              </w:rPr>
              <w:t>分。</w:t>
            </w:r>
          </w:p>
          <w:p w14:paraId="62C91C6A">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2.在此基础上，评审委员根据各供应商的具体响应内容按照量化的评审因素指标进一步评审：</w:t>
            </w:r>
          </w:p>
          <w:p w14:paraId="1172379B">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（1）评审为优（如响应内容全面、清晰、针对性强、科学合理、可操作性强）的，加</w:t>
            </w:r>
            <w:r>
              <w:rPr>
                <w:rFonts w:hint="eastAsia" w:ascii="宋体" w:hAnsi="宋体" w:eastAsia="宋体" w:cs="宋体"/>
                <w:color w:val="000000"/>
                <w:kern w:val="0"/>
                <w:sz w:val="21"/>
                <w:szCs w:val="21"/>
                <w:highlight w:val="none"/>
                <w:lang w:val="en-US" w:eastAsia="zh-CN"/>
              </w:rPr>
              <w:t>60</w:t>
            </w:r>
            <w:r>
              <w:rPr>
                <w:rFonts w:hint="eastAsia" w:ascii="宋体" w:hAnsi="宋体" w:eastAsia="宋体" w:cs="宋体"/>
                <w:color w:val="000000"/>
                <w:kern w:val="0"/>
                <w:sz w:val="21"/>
                <w:szCs w:val="21"/>
                <w:highlight w:val="none"/>
              </w:rPr>
              <w:t>分；</w:t>
            </w:r>
          </w:p>
          <w:p w14:paraId="38D61C7D">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（2）评审为良（如响应内容较全面、较清晰、针对性较强、较科学合理、可操作性较强）的，加</w:t>
            </w:r>
            <w:r>
              <w:rPr>
                <w:rFonts w:hint="eastAsia" w:ascii="宋体" w:hAnsi="宋体" w:eastAsia="宋体" w:cs="宋体"/>
                <w:color w:val="000000"/>
                <w:kern w:val="0"/>
                <w:sz w:val="21"/>
                <w:szCs w:val="21"/>
                <w:highlight w:val="none"/>
                <w:lang w:val="en-US" w:eastAsia="zh-CN"/>
              </w:rPr>
              <w:t>3</w:t>
            </w:r>
            <w:r>
              <w:rPr>
                <w:rFonts w:hint="eastAsia" w:ascii="宋体" w:hAnsi="宋体" w:eastAsia="宋体" w:cs="宋体"/>
                <w:color w:val="000000"/>
                <w:kern w:val="0"/>
                <w:sz w:val="21"/>
                <w:szCs w:val="21"/>
                <w:highlight w:val="none"/>
              </w:rPr>
              <w:t>0分；</w:t>
            </w:r>
          </w:p>
          <w:p w14:paraId="71C90940">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（3）评审为中（如响应内容基本完整，针对性一般，可操作性一般）的，加</w:t>
            </w:r>
            <w:r>
              <w:rPr>
                <w:rFonts w:hint="eastAsia" w:ascii="宋体" w:hAnsi="宋体" w:eastAsia="宋体" w:cs="宋体"/>
                <w:color w:val="000000"/>
                <w:kern w:val="0"/>
                <w:sz w:val="21"/>
                <w:szCs w:val="21"/>
                <w:highlight w:val="none"/>
                <w:lang w:val="en-US" w:eastAsia="zh-CN"/>
              </w:rPr>
              <w:t>1</w:t>
            </w:r>
            <w:r>
              <w:rPr>
                <w:rFonts w:hint="eastAsia" w:ascii="宋体" w:hAnsi="宋体" w:eastAsia="宋体" w:cs="宋体"/>
                <w:color w:val="000000"/>
                <w:kern w:val="0"/>
                <w:sz w:val="21"/>
                <w:szCs w:val="21"/>
                <w:highlight w:val="none"/>
              </w:rPr>
              <w:t>0分；</w:t>
            </w:r>
          </w:p>
          <w:p w14:paraId="04C2AC74">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（4）评审为差（如响应内容缺失或与项目关联度不大）的，加0分。</w:t>
            </w:r>
          </w:p>
          <w:p w14:paraId="665D7DEE">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未提供不得分。</w:t>
            </w:r>
          </w:p>
          <w:p w14:paraId="6C73BF2B">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left"/>
              <w:rPr>
                <w:rFonts w:hint="eastAsia" w:ascii="宋体" w:hAnsi="宋体" w:eastAsia="宋体" w:cs="宋体"/>
                <w:bCs/>
                <w:iCs/>
                <w:color w:val="auto"/>
                <w:sz w:val="21"/>
                <w:szCs w:val="21"/>
                <w:highlight w:val="none"/>
                <w:lang w:eastAsia="zh-CN"/>
              </w:rPr>
            </w:pPr>
            <w:r>
              <w:rPr>
                <w:rFonts w:hint="eastAsia" w:ascii="宋体" w:hAnsi="宋体" w:eastAsia="宋体" w:cs="宋体"/>
                <w:b/>
                <w:bCs/>
                <w:color w:val="000000"/>
                <w:kern w:val="0"/>
                <w:sz w:val="21"/>
                <w:szCs w:val="21"/>
                <w:highlight w:val="none"/>
              </w:rPr>
              <w:t>以上1-2项累计最高得100分。</w:t>
            </w:r>
          </w:p>
        </w:tc>
      </w:tr>
      <w:tr w14:paraId="093D24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restart"/>
            <w:shd w:val="clear" w:color="auto" w:fill="FFFFFF"/>
            <w:noWrap w:val="0"/>
            <w:vAlign w:val="center"/>
          </w:tcPr>
          <w:p w14:paraId="144C0D80">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3</w:t>
            </w:r>
          </w:p>
        </w:tc>
        <w:tc>
          <w:tcPr>
            <w:tcW w:w="3795" w:type="dxa"/>
            <w:gridSpan w:val="5"/>
            <w:shd w:val="clear" w:color="auto" w:fill="FFFFFF"/>
            <w:noWrap w:val="0"/>
            <w:vAlign w:val="top"/>
          </w:tcPr>
          <w:p w14:paraId="06D972C2">
            <w:pPr>
              <w:kinsoku/>
              <w:wordWrap w:val="0"/>
              <w:spacing w:line="240" w:lineRule="exact"/>
              <w:jc w:val="center"/>
              <w:rPr>
                <w:rFonts w:hint="eastAsia" w:ascii="宋体" w:hAnsi="宋体" w:eastAsia="宋体" w:cs="宋体"/>
                <w:b/>
                <w:bCs/>
                <w:color w:val="auto"/>
                <w:highlight w:val="none"/>
              </w:rPr>
            </w:pPr>
            <w:r>
              <w:rPr>
                <w:rFonts w:hint="eastAsia" w:ascii="宋体" w:hAnsi="宋体" w:eastAsia="宋体" w:cs="宋体"/>
                <w:b/>
                <w:bCs/>
                <w:color w:val="auto"/>
                <w:highlight w:val="none"/>
              </w:rPr>
              <w:t>商务部分</w:t>
            </w:r>
          </w:p>
        </w:tc>
        <w:tc>
          <w:tcPr>
            <w:tcW w:w="5033" w:type="dxa"/>
            <w:shd w:val="clear" w:color="auto" w:fill="FFFFFF"/>
            <w:noWrap w:val="0"/>
            <w:vAlign w:val="top"/>
          </w:tcPr>
          <w:p w14:paraId="3911F829">
            <w:pPr>
              <w:kinsoku/>
              <w:wordWrap w:val="0"/>
              <w:spacing w:line="240" w:lineRule="exact"/>
              <w:jc w:val="center"/>
              <w:rPr>
                <w:rFonts w:hint="default" w:ascii="宋体" w:hAnsi="宋体" w:eastAsia="宋体" w:cs="宋体"/>
                <w:b/>
                <w:bCs/>
                <w:color w:val="auto"/>
                <w:highlight w:val="none"/>
                <w:lang w:val="en-US" w:eastAsia="zh-CN"/>
              </w:rPr>
            </w:pPr>
            <w:r>
              <w:rPr>
                <w:rFonts w:hint="eastAsia" w:ascii="宋体" w:hAnsi="宋体" w:eastAsia="宋体" w:cs="宋体"/>
                <w:b/>
                <w:bCs/>
                <w:color w:val="auto"/>
                <w:highlight w:val="none"/>
                <w:lang w:val="en-US" w:eastAsia="zh-CN"/>
              </w:rPr>
              <w:t>25</w:t>
            </w:r>
          </w:p>
        </w:tc>
      </w:tr>
      <w:tr w14:paraId="5746C1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continue"/>
            <w:shd w:val="clear" w:color="auto" w:fill="FFFFFF"/>
            <w:noWrap w:val="0"/>
            <w:vAlign w:val="center"/>
          </w:tcPr>
          <w:p w14:paraId="5F81AF4B">
            <w:pPr>
              <w:kinsoku/>
              <w:spacing w:line="240" w:lineRule="exact"/>
              <w:jc w:val="center"/>
              <w:rPr>
                <w:rFonts w:hint="eastAsia" w:ascii="宋体" w:hAnsi="宋体" w:eastAsia="宋体" w:cs="宋体"/>
                <w:b/>
                <w:bCs/>
                <w:color w:val="auto"/>
                <w:highlight w:val="none"/>
              </w:rPr>
            </w:pPr>
          </w:p>
        </w:tc>
        <w:tc>
          <w:tcPr>
            <w:tcW w:w="819" w:type="dxa"/>
            <w:shd w:val="clear" w:color="auto" w:fill="FFFFFF"/>
            <w:noWrap w:val="0"/>
            <w:vAlign w:val="center"/>
          </w:tcPr>
          <w:p w14:paraId="4D9B3CC8">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序号</w:t>
            </w:r>
          </w:p>
        </w:tc>
        <w:tc>
          <w:tcPr>
            <w:tcW w:w="2091" w:type="dxa"/>
            <w:gridSpan w:val="3"/>
            <w:shd w:val="clear" w:color="auto" w:fill="FFFFFF"/>
            <w:noWrap w:val="0"/>
            <w:vAlign w:val="center"/>
          </w:tcPr>
          <w:p w14:paraId="060955C6">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评分因素</w:t>
            </w:r>
          </w:p>
        </w:tc>
        <w:tc>
          <w:tcPr>
            <w:tcW w:w="885" w:type="dxa"/>
            <w:shd w:val="clear" w:color="auto" w:fill="FFFFFF"/>
            <w:noWrap w:val="0"/>
            <w:vAlign w:val="center"/>
          </w:tcPr>
          <w:p w14:paraId="1FB8614D">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权重</w:t>
            </w:r>
            <w:r>
              <w:rPr>
                <w:rFonts w:hint="eastAsia" w:ascii="宋体" w:hAnsi="宋体" w:eastAsia="宋体" w:cs="宋体"/>
                <w:color w:val="auto"/>
                <w:highlight w:val="none"/>
                <w:lang w:eastAsia="zh-CN"/>
              </w:rPr>
              <w:t>（%）</w:t>
            </w:r>
          </w:p>
        </w:tc>
        <w:tc>
          <w:tcPr>
            <w:tcW w:w="5033" w:type="dxa"/>
            <w:shd w:val="clear" w:color="auto" w:fill="FFFFFF"/>
            <w:noWrap w:val="0"/>
            <w:vAlign w:val="center"/>
          </w:tcPr>
          <w:p w14:paraId="226B5C8C">
            <w:pPr>
              <w:kinsoku/>
              <w:wordWrap w:val="0"/>
              <w:spacing w:line="24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评分准则</w:t>
            </w:r>
          </w:p>
        </w:tc>
      </w:tr>
      <w:tr w14:paraId="0DAEBB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continue"/>
            <w:shd w:val="clear" w:color="auto" w:fill="FFFFFF"/>
            <w:noWrap w:val="0"/>
            <w:vAlign w:val="center"/>
          </w:tcPr>
          <w:p w14:paraId="20B03CD9">
            <w:pPr>
              <w:kinsoku/>
              <w:spacing w:line="240" w:lineRule="exact"/>
              <w:jc w:val="center"/>
              <w:rPr>
                <w:rFonts w:hint="eastAsia" w:ascii="宋体" w:hAnsi="宋体" w:eastAsia="宋体" w:cs="宋体"/>
                <w:b/>
                <w:bCs/>
                <w:color w:val="auto"/>
                <w:highlight w:val="none"/>
              </w:rPr>
            </w:pPr>
          </w:p>
        </w:tc>
        <w:tc>
          <w:tcPr>
            <w:tcW w:w="819" w:type="dxa"/>
            <w:shd w:val="clear" w:color="auto" w:fill="FFFFFF"/>
            <w:noWrap w:val="0"/>
            <w:vAlign w:val="center"/>
          </w:tcPr>
          <w:p w14:paraId="1AAA4811">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000000"/>
                <w:kern w:val="0"/>
                <w:sz w:val="21"/>
                <w:szCs w:val="21"/>
                <w:highlight w:val="none"/>
              </w:rPr>
              <w:t>1</w:t>
            </w:r>
          </w:p>
        </w:tc>
        <w:tc>
          <w:tcPr>
            <w:tcW w:w="2091" w:type="dxa"/>
            <w:gridSpan w:val="3"/>
            <w:shd w:val="clear" w:color="auto" w:fill="FFFFFF"/>
            <w:noWrap w:val="0"/>
            <w:vAlign w:val="center"/>
          </w:tcPr>
          <w:p w14:paraId="2497CBC5">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ascii="宋体" w:hAnsi="宋体" w:eastAsia="宋体" w:cs="宋体"/>
                <w:b w:val="0"/>
                <w:bCs w:val="0"/>
                <w:i w:val="0"/>
                <w:iCs w:val="0"/>
                <w:smallCaps w:val="0"/>
                <w:color w:val="000000"/>
                <w:highlight w:val="none"/>
              </w:rPr>
              <w:t>企业业绩</w:t>
            </w:r>
            <w:r>
              <w:rPr>
                <w:rFonts w:hint="eastAsia" w:ascii="宋体" w:hAnsi="宋体" w:eastAsia="宋体" w:cs="宋体"/>
                <w:color w:val="000000"/>
                <w:kern w:val="0"/>
                <w:sz w:val="21"/>
                <w:szCs w:val="21"/>
                <w:highlight w:val="none"/>
              </w:rPr>
              <w:t>情况</w:t>
            </w:r>
          </w:p>
        </w:tc>
        <w:tc>
          <w:tcPr>
            <w:tcW w:w="885" w:type="dxa"/>
            <w:shd w:val="clear" w:color="auto" w:fill="FFFFFF"/>
            <w:noWrap w:val="0"/>
            <w:vAlign w:val="center"/>
          </w:tcPr>
          <w:p w14:paraId="44A9AD4D">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cs="宋体"/>
                <w:color w:val="000000"/>
                <w:szCs w:val="21"/>
                <w:highlight w:val="none"/>
                <w:lang w:val="en-US" w:eastAsia="zh-CN"/>
              </w:rPr>
              <w:t>10</w:t>
            </w:r>
          </w:p>
        </w:tc>
        <w:tc>
          <w:tcPr>
            <w:tcW w:w="5033" w:type="dxa"/>
            <w:shd w:val="clear" w:color="auto" w:fill="FFFFFF"/>
            <w:noWrap w:val="0"/>
            <w:vAlign w:val="center"/>
          </w:tcPr>
          <w:p w14:paraId="2FDB9757">
            <w:pPr>
              <w:keepNext w:val="0"/>
              <w:keepLines w:val="0"/>
              <w:pageBreakBefore w:val="0"/>
              <w:widowControl/>
              <w:kinsoku/>
              <w:wordWrap w:val="0"/>
              <w:overflowPunct/>
              <w:topLinePunct w:val="0"/>
              <w:autoSpaceDE/>
              <w:autoSpaceDN/>
              <w:bidi w:val="0"/>
              <w:adjustRightInd w:val="0"/>
              <w:snapToGrid w:val="0"/>
              <w:spacing w:line="320" w:lineRule="exact"/>
              <w:ind w:left="0" w:leftChars="0" w:right="0"/>
              <w:jc w:val="left"/>
              <w:textAlignment w:val="top"/>
              <w:rPr>
                <w:rFonts w:hint="eastAsia" w:ascii="宋体" w:hAnsi="宋体" w:eastAsia="宋体" w:cs="宋体"/>
                <w:b/>
                <w:bCs w:val="0"/>
                <w:color w:val="000000"/>
                <w:kern w:val="0"/>
                <w:sz w:val="21"/>
                <w:szCs w:val="21"/>
                <w:highlight w:val="none"/>
              </w:rPr>
            </w:pPr>
            <w:r>
              <w:rPr>
                <w:rFonts w:hint="eastAsia" w:ascii="宋体" w:hAnsi="宋体" w:eastAsia="宋体" w:cs="宋体"/>
                <w:b/>
                <w:bCs w:val="0"/>
                <w:color w:val="000000"/>
                <w:kern w:val="0"/>
                <w:sz w:val="21"/>
                <w:szCs w:val="21"/>
                <w:highlight w:val="none"/>
              </w:rPr>
              <w:t>（一）评分内容：</w:t>
            </w:r>
          </w:p>
          <w:p w14:paraId="0B2C69AE">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bCs/>
                <w:color w:val="000000"/>
                <w:kern w:val="0"/>
                <w:sz w:val="21"/>
                <w:szCs w:val="21"/>
                <w:highlight w:val="none"/>
              </w:rPr>
            </w:pPr>
            <w:r>
              <w:rPr>
                <w:rFonts w:hint="eastAsia" w:ascii="宋体" w:hAnsi="宋体" w:eastAsia="宋体" w:cs="宋体"/>
                <w:b w:val="0"/>
                <w:bCs w:val="0"/>
                <w:i w:val="0"/>
                <w:iCs w:val="0"/>
                <w:smallCaps w:val="0"/>
                <w:color w:val="000000"/>
                <w:sz w:val="21"/>
                <w:szCs w:val="21"/>
                <w:highlight w:val="none"/>
              </w:rPr>
              <w:t>提供近五年投标人自认为最具代表性的同类在建或已完工工程业绩（不超过5项，超过5项的按顺序选择前5项）</w:t>
            </w:r>
            <w:r>
              <w:rPr>
                <w:rFonts w:hint="eastAsia" w:ascii="宋体" w:hAnsi="宋体" w:eastAsia="宋体" w:cs="宋体"/>
                <w:b w:val="0"/>
                <w:bCs w:val="0"/>
                <w:i w:val="0"/>
                <w:iCs w:val="0"/>
                <w:smallCaps w:val="0"/>
                <w:color w:val="000000"/>
                <w:sz w:val="21"/>
                <w:szCs w:val="21"/>
                <w:highlight w:val="none"/>
                <w:lang w:eastAsia="zh-CN"/>
              </w:rPr>
              <w:t>，</w:t>
            </w:r>
            <w:r>
              <w:rPr>
                <w:rFonts w:hint="eastAsia" w:ascii="宋体" w:hAnsi="宋体" w:eastAsia="宋体" w:cs="宋体"/>
                <w:b/>
                <w:bCs/>
                <w:i w:val="0"/>
                <w:iCs w:val="0"/>
                <w:smallCaps w:val="0"/>
                <w:color w:val="000000"/>
                <w:sz w:val="21"/>
                <w:szCs w:val="21"/>
                <w:highlight w:val="none"/>
                <w:lang w:val="en-US" w:eastAsia="zh-CN"/>
              </w:rPr>
              <w:t>每提供一个业绩得20分，</w:t>
            </w:r>
            <w:r>
              <w:rPr>
                <w:rFonts w:hint="eastAsia" w:ascii="宋体" w:hAnsi="宋体" w:eastAsia="宋体" w:cs="宋体"/>
                <w:b/>
                <w:bCs/>
                <w:color w:val="000000"/>
                <w:kern w:val="0"/>
                <w:sz w:val="21"/>
                <w:szCs w:val="21"/>
                <w:highlight w:val="none"/>
              </w:rPr>
              <w:t>最高得100分。</w:t>
            </w:r>
          </w:p>
          <w:p w14:paraId="0BD776F6">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（二）评分依据：</w:t>
            </w:r>
          </w:p>
          <w:p w14:paraId="44908161">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w:t>
            </w:r>
            <w:r>
              <w:rPr>
                <w:rFonts w:hint="eastAsia" w:ascii="宋体" w:hAnsi="宋体" w:eastAsia="宋体" w:cs="宋体"/>
                <w:b w:val="0"/>
                <w:bCs w:val="0"/>
                <w:i w:val="0"/>
                <w:iCs w:val="0"/>
                <w:smallCaps w:val="0"/>
                <w:color w:val="000000"/>
                <w:sz w:val="21"/>
                <w:szCs w:val="21"/>
                <w:highlight w:val="none"/>
              </w:rPr>
              <w:t>证明资料为施工合同（关键页）或施工许可证或竣工验收报告，原件备查。 注:近五年时间范围从本工程招标公告发布开始时间倒推，在建工程业绩以合同签订时间或施工许可发证日期为准，已完工工程业绩以竣工验收时间为准</w:t>
            </w:r>
            <w:r>
              <w:rPr>
                <w:rFonts w:hint="eastAsia" w:ascii="宋体" w:hAnsi="宋体" w:eastAsia="宋体" w:cs="宋体"/>
                <w:color w:val="000000"/>
                <w:kern w:val="0"/>
                <w:sz w:val="21"/>
                <w:szCs w:val="21"/>
                <w:highlight w:val="none"/>
              </w:rPr>
              <w:t>。</w:t>
            </w:r>
          </w:p>
          <w:p w14:paraId="4C107891">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000000"/>
                <w:kern w:val="0"/>
                <w:sz w:val="21"/>
                <w:szCs w:val="21"/>
                <w:highlight w:val="none"/>
                <w:lang w:val="en-US" w:eastAsia="zh-CN"/>
              </w:rPr>
              <w:t>2</w:t>
            </w:r>
            <w:r>
              <w:rPr>
                <w:rFonts w:hint="eastAsia" w:ascii="宋体" w:hAnsi="宋体" w:eastAsia="宋体" w:cs="宋体"/>
                <w:color w:val="000000"/>
                <w:kern w:val="0"/>
                <w:sz w:val="21"/>
                <w:szCs w:val="21"/>
                <w:highlight w:val="none"/>
              </w:rPr>
              <w:t>.以上资料均要求提供复印件，原件备查。评分中出现无证明资料或专家无法凭所提供资料判断是否得分的情况，一律作不得分处理。</w:t>
            </w:r>
          </w:p>
        </w:tc>
      </w:tr>
      <w:tr w14:paraId="708B70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345" w:hRule="atLeast"/>
          <w:jc w:val="center"/>
        </w:trPr>
        <w:tc>
          <w:tcPr>
            <w:tcW w:w="1366" w:type="dxa"/>
            <w:vMerge w:val="continue"/>
            <w:shd w:val="clear" w:color="auto" w:fill="FFFFFF"/>
            <w:noWrap w:val="0"/>
            <w:vAlign w:val="center"/>
          </w:tcPr>
          <w:p w14:paraId="78315709">
            <w:pPr>
              <w:kinsoku/>
              <w:spacing w:line="240" w:lineRule="exact"/>
              <w:jc w:val="center"/>
              <w:rPr>
                <w:rFonts w:hint="eastAsia" w:ascii="宋体" w:hAnsi="宋体" w:eastAsia="宋体" w:cs="宋体"/>
                <w:b/>
                <w:bCs/>
                <w:color w:val="auto"/>
                <w:highlight w:val="none"/>
                <w:lang w:eastAsia="zh-CN"/>
              </w:rPr>
            </w:pPr>
          </w:p>
        </w:tc>
        <w:tc>
          <w:tcPr>
            <w:tcW w:w="819" w:type="dxa"/>
            <w:shd w:val="clear" w:color="auto" w:fill="FFFFFF"/>
            <w:noWrap w:val="0"/>
            <w:vAlign w:val="center"/>
          </w:tcPr>
          <w:p w14:paraId="173506AB">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000000"/>
                <w:kern w:val="0"/>
                <w:sz w:val="21"/>
                <w:szCs w:val="21"/>
                <w:highlight w:val="none"/>
              </w:rPr>
              <w:t>2</w:t>
            </w:r>
          </w:p>
        </w:tc>
        <w:tc>
          <w:tcPr>
            <w:tcW w:w="2091" w:type="dxa"/>
            <w:gridSpan w:val="3"/>
            <w:shd w:val="clear" w:color="auto" w:fill="FFFFFF"/>
            <w:noWrap w:val="0"/>
            <w:vAlign w:val="center"/>
          </w:tcPr>
          <w:p w14:paraId="0C1AC810">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ascii="宋体" w:hAnsi="宋体" w:eastAsia="宋体" w:cs="宋体"/>
                <w:b w:val="0"/>
                <w:bCs w:val="0"/>
                <w:i w:val="0"/>
                <w:iCs w:val="0"/>
                <w:smallCaps w:val="0"/>
                <w:color w:val="000000"/>
                <w:highlight w:val="none"/>
              </w:rPr>
              <w:t>企业履约能力证明</w:t>
            </w:r>
          </w:p>
        </w:tc>
        <w:tc>
          <w:tcPr>
            <w:tcW w:w="885" w:type="dxa"/>
            <w:shd w:val="clear" w:color="auto" w:fill="FFFFFF"/>
            <w:noWrap w:val="0"/>
            <w:vAlign w:val="center"/>
          </w:tcPr>
          <w:p w14:paraId="7EF177AE">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cs="宋体"/>
                <w:color w:val="000000"/>
                <w:szCs w:val="21"/>
                <w:highlight w:val="none"/>
                <w:lang w:val="en-US" w:eastAsia="zh-CN"/>
              </w:rPr>
              <w:t>10</w:t>
            </w:r>
          </w:p>
        </w:tc>
        <w:tc>
          <w:tcPr>
            <w:tcW w:w="5033" w:type="dxa"/>
            <w:shd w:val="clear" w:color="auto" w:fill="FFFFFF"/>
            <w:noWrap w:val="0"/>
            <w:vAlign w:val="center"/>
          </w:tcPr>
          <w:p w14:paraId="73701A24">
            <w:pPr>
              <w:keepNext w:val="0"/>
              <w:keepLines w:val="0"/>
              <w:pageBreakBefore w:val="0"/>
              <w:widowControl/>
              <w:kinsoku/>
              <w:wordWrap w:val="0"/>
              <w:overflowPunct/>
              <w:topLinePunct w:val="0"/>
              <w:autoSpaceDE/>
              <w:autoSpaceDN/>
              <w:bidi w:val="0"/>
              <w:adjustRightInd w:val="0"/>
              <w:snapToGrid w:val="0"/>
              <w:spacing w:line="320" w:lineRule="exact"/>
              <w:ind w:left="0" w:leftChars="0" w:right="0"/>
              <w:jc w:val="left"/>
              <w:textAlignment w:val="top"/>
              <w:rPr>
                <w:rFonts w:hint="eastAsia" w:ascii="宋体" w:hAnsi="宋体" w:eastAsia="宋体" w:cs="宋体"/>
                <w:b/>
                <w:bCs w:val="0"/>
                <w:color w:val="000000"/>
                <w:kern w:val="0"/>
                <w:sz w:val="21"/>
                <w:szCs w:val="21"/>
                <w:highlight w:val="none"/>
              </w:rPr>
            </w:pPr>
            <w:r>
              <w:rPr>
                <w:rFonts w:hint="eastAsia" w:ascii="宋体" w:hAnsi="宋体" w:eastAsia="宋体" w:cs="宋体"/>
                <w:b/>
                <w:bCs w:val="0"/>
                <w:color w:val="000000"/>
                <w:kern w:val="0"/>
                <w:sz w:val="21"/>
                <w:szCs w:val="21"/>
                <w:highlight w:val="none"/>
              </w:rPr>
              <w:t>（一）评分内容：</w:t>
            </w:r>
          </w:p>
          <w:p w14:paraId="75C6919E">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i w:val="0"/>
                <w:iCs w:val="0"/>
                <w:smallCaps w:val="0"/>
                <w:color w:val="000000"/>
                <w:sz w:val="21"/>
                <w:szCs w:val="21"/>
                <w:highlight w:val="none"/>
                <w:lang w:val="en-US" w:eastAsia="zh-CN"/>
              </w:rPr>
            </w:pPr>
            <w:r>
              <w:rPr>
                <w:rFonts w:hint="eastAsia" w:ascii="宋体" w:hAnsi="宋体" w:eastAsia="宋体" w:cs="宋体"/>
                <w:b w:val="0"/>
                <w:bCs w:val="0"/>
                <w:i w:val="0"/>
                <w:iCs w:val="0"/>
                <w:smallCaps w:val="0"/>
                <w:color w:val="000000"/>
                <w:sz w:val="21"/>
                <w:szCs w:val="21"/>
                <w:highlight w:val="none"/>
              </w:rPr>
              <w:t>近五年项目履约评价情况（不超过5项，超过5项的按顺序选择前5项），原件备查</w:t>
            </w:r>
            <w:r>
              <w:rPr>
                <w:rFonts w:hint="eastAsia" w:ascii="宋体" w:hAnsi="宋体" w:eastAsia="宋体" w:cs="宋体"/>
                <w:b w:val="0"/>
                <w:bCs w:val="0"/>
                <w:i w:val="0"/>
                <w:iCs w:val="0"/>
                <w:smallCaps w:val="0"/>
                <w:color w:val="000000"/>
                <w:sz w:val="21"/>
                <w:szCs w:val="21"/>
                <w:highlight w:val="none"/>
                <w:lang w:eastAsia="zh-CN"/>
              </w:rPr>
              <w:t>，</w:t>
            </w:r>
            <w:r>
              <w:rPr>
                <w:rFonts w:hint="eastAsia" w:ascii="宋体" w:hAnsi="宋体" w:eastAsia="宋体" w:cs="宋体"/>
                <w:b w:val="0"/>
                <w:bCs w:val="0"/>
                <w:i w:val="0"/>
                <w:iCs w:val="0"/>
                <w:smallCaps w:val="0"/>
                <w:color w:val="000000"/>
                <w:sz w:val="21"/>
                <w:szCs w:val="21"/>
                <w:highlight w:val="none"/>
                <w:lang w:val="en-US" w:eastAsia="zh-CN"/>
              </w:rPr>
              <w:t>具体要求如下：</w:t>
            </w:r>
          </w:p>
          <w:p w14:paraId="41973295">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i w:val="0"/>
                <w:iCs w:val="0"/>
                <w:smallCaps w:val="0"/>
                <w:color w:val="000000"/>
                <w:sz w:val="21"/>
                <w:szCs w:val="21"/>
                <w:highlight w:val="none"/>
                <w:lang w:val="en-US" w:eastAsia="zh-CN"/>
              </w:rPr>
            </w:pPr>
            <w:r>
              <w:rPr>
                <w:rFonts w:hint="eastAsia" w:ascii="宋体" w:hAnsi="宋体" w:eastAsia="宋体" w:cs="宋体"/>
                <w:b w:val="0"/>
                <w:bCs w:val="0"/>
                <w:i w:val="0"/>
                <w:iCs w:val="0"/>
                <w:smallCaps w:val="0"/>
                <w:color w:val="000000"/>
                <w:sz w:val="21"/>
                <w:szCs w:val="21"/>
                <w:highlight w:val="none"/>
                <w:lang w:eastAsia="zh-CN"/>
              </w:rPr>
              <w:t>①</w:t>
            </w:r>
            <w:r>
              <w:rPr>
                <w:rFonts w:hint="eastAsia" w:ascii="宋体" w:hAnsi="宋体" w:eastAsia="宋体" w:cs="宋体"/>
                <w:b w:val="0"/>
                <w:bCs w:val="0"/>
                <w:i w:val="0"/>
                <w:iCs w:val="0"/>
                <w:smallCaps w:val="0"/>
                <w:color w:val="000000"/>
                <w:sz w:val="21"/>
                <w:szCs w:val="21"/>
                <w:highlight w:val="none"/>
                <w:lang w:val="en-US" w:eastAsia="zh-CN"/>
              </w:rPr>
              <w:t>每提供一个评价为优的，得20分，最高得100分；</w:t>
            </w:r>
          </w:p>
          <w:p w14:paraId="5C64B4C1">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color w:val="000000"/>
                <w:kern w:val="0"/>
                <w:sz w:val="21"/>
                <w:szCs w:val="21"/>
                <w:highlight w:val="none"/>
                <w:lang w:eastAsia="zh-CN"/>
              </w:rPr>
            </w:pPr>
            <w:r>
              <w:rPr>
                <w:rFonts w:hint="eastAsia" w:ascii="宋体" w:hAnsi="宋体" w:eastAsia="宋体" w:cs="宋体"/>
                <w:b w:val="0"/>
                <w:bCs w:val="0"/>
                <w:i w:val="0"/>
                <w:iCs w:val="0"/>
                <w:smallCaps w:val="0"/>
                <w:color w:val="000000"/>
                <w:sz w:val="21"/>
                <w:szCs w:val="21"/>
                <w:highlight w:val="none"/>
                <w:lang w:val="en-US" w:eastAsia="zh-CN"/>
              </w:rPr>
              <w:t>②每提供一个评价为良的，得15分，</w:t>
            </w:r>
            <w:r>
              <w:rPr>
                <w:rFonts w:hint="eastAsia" w:ascii="宋体" w:hAnsi="宋体" w:eastAsia="宋体" w:cs="宋体"/>
                <w:b w:val="0"/>
                <w:bCs w:val="0"/>
                <w:color w:val="000000"/>
                <w:kern w:val="0"/>
                <w:sz w:val="21"/>
                <w:szCs w:val="21"/>
                <w:highlight w:val="none"/>
              </w:rPr>
              <w:t>最高得</w:t>
            </w:r>
            <w:r>
              <w:rPr>
                <w:rFonts w:hint="eastAsia" w:ascii="宋体" w:hAnsi="宋体" w:eastAsia="宋体" w:cs="宋体"/>
                <w:b w:val="0"/>
                <w:bCs w:val="0"/>
                <w:color w:val="000000"/>
                <w:kern w:val="0"/>
                <w:sz w:val="21"/>
                <w:szCs w:val="21"/>
                <w:highlight w:val="none"/>
                <w:lang w:val="en-US" w:eastAsia="zh-CN"/>
              </w:rPr>
              <w:t>75</w:t>
            </w:r>
            <w:r>
              <w:rPr>
                <w:rFonts w:hint="eastAsia" w:ascii="宋体" w:hAnsi="宋体" w:eastAsia="宋体" w:cs="宋体"/>
                <w:b w:val="0"/>
                <w:bCs w:val="0"/>
                <w:color w:val="000000"/>
                <w:kern w:val="0"/>
                <w:sz w:val="21"/>
                <w:szCs w:val="21"/>
                <w:highlight w:val="none"/>
              </w:rPr>
              <w:t>分</w:t>
            </w:r>
            <w:r>
              <w:rPr>
                <w:rFonts w:hint="eastAsia" w:ascii="宋体" w:hAnsi="宋体" w:eastAsia="宋体" w:cs="宋体"/>
                <w:b w:val="0"/>
                <w:bCs w:val="0"/>
                <w:color w:val="000000"/>
                <w:kern w:val="0"/>
                <w:sz w:val="21"/>
                <w:szCs w:val="21"/>
                <w:highlight w:val="none"/>
                <w:lang w:eastAsia="zh-CN"/>
              </w:rPr>
              <w:t>；</w:t>
            </w:r>
          </w:p>
          <w:p w14:paraId="67639E45">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color w:val="000000"/>
                <w:kern w:val="0"/>
                <w:sz w:val="21"/>
                <w:szCs w:val="21"/>
                <w:highlight w:val="none"/>
              </w:rPr>
            </w:pPr>
            <w:r>
              <w:rPr>
                <w:rFonts w:hint="eastAsia" w:ascii="宋体" w:hAnsi="宋体" w:eastAsia="宋体" w:cs="宋体"/>
                <w:b w:val="0"/>
                <w:bCs w:val="0"/>
                <w:color w:val="000000"/>
                <w:kern w:val="0"/>
                <w:sz w:val="21"/>
                <w:szCs w:val="21"/>
                <w:highlight w:val="none"/>
                <w:lang w:val="en-US" w:eastAsia="zh-CN"/>
              </w:rPr>
              <w:t>③</w:t>
            </w:r>
            <w:r>
              <w:rPr>
                <w:rFonts w:hint="eastAsia" w:ascii="宋体" w:hAnsi="宋体" w:eastAsia="宋体" w:cs="宋体"/>
                <w:b w:val="0"/>
                <w:bCs w:val="0"/>
                <w:i w:val="0"/>
                <w:iCs w:val="0"/>
                <w:smallCaps w:val="0"/>
                <w:color w:val="000000"/>
                <w:sz w:val="21"/>
                <w:szCs w:val="21"/>
                <w:highlight w:val="none"/>
                <w:lang w:val="en-US" w:eastAsia="zh-CN"/>
              </w:rPr>
              <w:t>每提供一个评价为合格的，得10分，</w:t>
            </w:r>
            <w:r>
              <w:rPr>
                <w:rFonts w:hint="eastAsia" w:ascii="宋体" w:hAnsi="宋体" w:eastAsia="宋体" w:cs="宋体"/>
                <w:b w:val="0"/>
                <w:bCs w:val="0"/>
                <w:color w:val="000000"/>
                <w:kern w:val="0"/>
                <w:sz w:val="21"/>
                <w:szCs w:val="21"/>
                <w:highlight w:val="none"/>
              </w:rPr>
              <w:t>最高得</w:t>
            </w:r>
            <w:r>
              <w:rPr>
                <w:rFonts w:hint="eastAsia" w:ascii="宋体" w:hAnsi="宋体" w:eastAsia="宋体" w:cs="宋体"/>
                <w:b w:val="0"/>
                <w:bCs w:val="0"/>
                <w:color w:val="000000"/>
                <w:kern w:val="0"/>
                <w:sz w:val="21"/>
                <w:szCs w:val="21"/>
                <w:highlight w:val="none"/>
                <w:lang w:val="en-US" w:eastAsia="zh-CN"/>
              </w:rPr>
              <w:t>50</w:t>
            </w:r>
            <w:r>
              <w:rPr>
                <w:rFonts w:hint="eastAsia" w:ascii="宋体" w:hAnsi="宋体" w:eastAsia="宋体" w:cs="宋体"/>
                <w:b w:val="0"/>
                <w:bCs w:val="0"/>
                <w:color w:val="000000"/>
                <w:kern w:val="0"/>
                <w:sz w:val="21"/>
                <w:szCs w:val="21"/>
                <w:highlight w:val="none"/>
              </w:rPr>
              <w:t>分。</w:t>
            </w:r>
          </w:p>
          <w:p w14:paraId="1EA51357">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color w:val="000000"/>
                <w:kern w:val="0"/>
                <w:sz w:val="21"/>
                <w:szCs w:val="21"/>
                <w:highlight w:val="none"/>
                <w:lang w:val="en-US" w:eastAsia="zh-CN"/>
              </w:rPr>
            </w:pPr>
            <w:r>
              <w:rPr>
                <w:rFonts w:hint="eastAsia" w:ascii="宋体" w:hAnsi="宋体" w:eastAsia="宋体" w:cs="宋体"/>
                <w:b w:val="0"/>
                <w:bCs w:val="0"/>
                <w:color w:val="000000"/>
                <w:kern w:val="0"/>
                <w:sz w:val="21"/>
                <w:szCs w:val="21"/>
                <w:highlight w:val="none"/>
                <w:lang w:val="en-US" w:eastAsia="zh-CN"/>
              </w:rPr>
              <w:t>以上点</w:t>
            </w:r>
            <w:r>
              <w:rPr>
                <w:rFonts w:hint="eastAsia" w:ascii="宋体" w:hAnsi="宋体" w:eastAsia="宋体" w:cs="宋体"/>
                <w:b w:val="0"/>
                <w:bCs w:val="0"/>
                <w:i w:val="0"/>
                <w:iCs w:val="0"/>
                <w:smallCaps w:val="0"/>
                <w:color w:val="000000"/>
                <w:sz w:val="21"/>
                <w:szCs w:val="21"/>
                <w:highlight w:val="none"/>
                <w:lang w:eastAsia="zh-CN"/>
              </w:rPr>
              <w:t>①</w:t>
            </w:r>
            <w:r>
              <w:rPr>
                <w:rFonts w:hint="eastAsia" w:ascii="宋体" w:hAnsi="宋体" w:eastAsia="宋体" w:cs="宋体"/>
                <w:b w:val="0"/>
                <w:bCs w:val="0"/>
                <w:i w:val="0"/>
                <w:iCs w:val="0"/>
                <w:smallCaps w:val="0"/>
                <w:color w:val="000000"/>
                <w:sz w:val="21"/>
                <w:szCs w:val="21"/>
                <w:highlight w:val="none"/>
                <w:lang w:val="en-US" w:eastAsia="zh-CN"/>
              </w:rPr>
              <w:t>②</w:t>
            </w:r>
            <w:r>
              <w:rPr>
                <w:rFonts w:hint="eastAsia" w:ascii="宋体" w:hAnsi="宋体" w:eastAsia="宋体" w:cs="宋体"/>
                <w:b w:val="0"/>
                <w:bCs w:val="0"/>
                <w:color w:val="000000"/>
                <w:kern w:val="0"/>
                <w:sz w:val="21"/>
                <w:szCs w:val="21"/>
                <w:highlight w:val="none"/>
                <w:lang w:val="en-US" w:eastAsia="zh-CN"/>
              </w:rPr>
              <w:t>③合计最高得分100分。</w:t>
            </w:r>
          </w:p>
          <w:p w14:paraId="74ABA06B">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（二）评分依据：</w:t>
            </w:r>
          </w:p>
          <w:p w14:paraId="42CEBD8F">
            <w:pPr>
              <w:keepNext w:val="0"/>
              <w:keepLines w:val="0"/>
              <w:pageBreakBefore w:val="0"/>
              <w:widowControl/>
              <w:kinsoku/>
              <w:overflowPunct/>
              <w:topLinePunct w:val="0"/>
              <w:autoSpaceDE/>
              <w:autoSpaceDN/>
              <w:bidi w:val="0"/>
              <w:adjustRightInd w:val="0"/>
              <w:snapToGrid w:val="0"/>
              <w:spacing w:line="320" w:lineRule="exact"/>
              <w:ind w:left="0" w:leftChars="0" w:right="0"/>
              <w:jc w:val="left"/>
              <w:rPr>
                <w:rFonts w:hint="eastAsia" w:ascii="宋体" w:hAnsi="宋体" w:eastAsia="宋体" w:cs="宋体"/>
                <w:b w:val="0"/>
                <w:bCs w:val="0"/>
                <w:i w:val="0"/>
                <w:iCs w:val="0"/>
                <w:smallCaps w:val="0"/>
                <w:color w:val="000000"/>
                <w:sz w:val="21"/>
                <w:szCs w:val="21"/>
                <w:highlight w:val="none"/>
              </w:rPr>
            </w:pPr>
            <w:r>
              <w:rPr>
                <w:rFonts w:hint="eastAsia" w:ascii="宋体" w:hAnsi="宋体" w:eastAsia="宋体" w:cs="宋体"/>
                <w:b w:val="0"/>
                <w:bCs w:val="0"/>
                <w:i w:val="0"/>
                <w:iCs w:val="0"/>
                <w:smallCaps w:val="0"/>
                <w:color w:val="000000"/>
                <w:sz w:val="21"/>
                <w:szCs w:val="21"/>
                <w:highlight w:val="none"/>
                <w:lang w:val="en-US" w:eastAsia="zh-CN"/>
              </w:rPr>
              <w:t>1.</w:t>
            </w:r>
            <w:r>
              <w:rPr>
                <w:rFonts w:hint="eastAsia" w:ascii="宋体" w:hAnsi="宋体" w:eastAsia="宋体" w:cs="宋体"/>
                <w:b w:val="0"/>
                <w:bCs w:val="0"/>
                <w:i w:val="0"/>
                <w:iCs w:val="0"/>
                <w:smallCaps w:val="0"/>
                <w:color w:val="000000"/>
                <w:sz w:val="21"/>
                <w:szCs w:val="21"/>
                <w:highlight w:val="none"/>
              </w:rPr>
              <w:t>近五年时间范围从本工程招标公告发布开始时间倒推，以履约评价出具之日为准</w:t>
            </w:r>
          </w:p>
          <w:p w14:paraId="22164EDE">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left"/>
              <w:rPr>
                <w:rFonts w:hint="eastAsia" w:ascii="宋体" w:hAnsi="宋体" w:eastAsia="宋体" w:cs="宋体"/>
                <w:color w:val="auto"/>
                <w:sz w:val="21"/>
                <w:szCs w:val="21"/>
                <w:highlight w:val="none"/>
                <w:lang w:eastAsia="zh-CN"/>
              </w:rPr>
            </w:pPr>
            <w:r>
              <w:rPr>
                <w:rFonts w:hint="eastAsia" w:ascii="宋体" w:hAnsi="宋体" w:eastAsia="宋体" w:cs="宋体"/>
                <w:b w:val="0"/>
                <w:bCs w:val="0"/>
                <w:i w:val="0"/>
                <w:iCs w:val="0"/>
                <w:smallCaps w:val="0"/>
                <w:color w:val="000000"/>
                <w:sz w:val="21"/>
                <w:szCs w:val="21"/>
                <w:highlight w:val="none"/>
                <w:lang w:val="en-US" w:eastAsia="zh-CN"/>
              </w:rPr>
              <w:t>2</w:t>
            </w:r>
            <w:r>
              <w:rPr>
                <w:rFonts w:hint="eastAsia" w:ascii="宋体" w:hAnsi="宋体" w:eastAsia="宋体" w:cs="宋体"/>
                <w:color w:val="000000"/>
                <w:kern w:val="0"/>
                <w:sz w:val="21"/>
                <w:szCs w:val="21"/>
                <w:highlight w:val="none"/>
              </w:rPr>
              <w:t>.以上资料均要求提供复印件，原件备查。评分中出现无证明资料或专家无法凭所提供资料判断是否得分的情况，一律作不得分处理。</w:t>
            </w:r>
          </w:p>
        </w:tc>
      </w:tr>
      <w:tr w14:paraId="580C2E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1724" w:hRule="atLeast"/>
          <w:jc w:val="center"/>
        </w:trPr>
        <w:tc>
          <w:tcPr>
            <w:tcW w:w="1366" w:type="dxa"/>
            <w:vMerge w:val="continue"/>
            <w:shd w:val="clear" w:color="auto" w:fill="FFFFFF"/>
            <w:noWrap w:val="0"/>
            <w:vAlign w:val="center"/>
          </w:tcPr>
          <w:p w14:paraId="5F1D356E">
            <w:pPr>
              <w:kinsoku/>
              <w:spacing w:line="240" w:lineRule="exact"/>
              <w:jc w:val="center"/>
              <w:rPr>
                <w:rFonts w:hint="eastAsia" w:ascii="宋体" w:hAnsi="宋体" w:eastAsia="宋体" w:cs="宋体"/>
                <w:b/>
                <w:bCs/>
                <w:color w:val="auto"/>
                <w:highlight w:val="none"/>
                <w:lang w:eastAsia="zh-CN"/>
              </w:rPr>
            </w:pPr>
          </w:p>
        </w:tc>
        <w:tc>
          <w:tcPr>
            <w:tcW w:w="819" w:type="dxa"/>
            <w:shd w:val="clear" w:color="auto" w:fill="FFFFFF"/>
            <w:noWrap w:val="0"/>
            <w:vAlign w:val="center"/>
          </w:tcPr>
          <w:p w14:paraId="6AA13CD3">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3</w:t>
            </w:r>
          </w:p>
        </w:tc>
        <w:tc>
          <w:tcPr>
            <w:tcW w:w="2091" w:type="dxa"/>
            <w:gridSpan w:val="3"/>
            <w:shd w:val="clear" w:color="auto" w:fill="FFFFFF"/>
            <w:noWrap w:val="0"/>
            <w:vAlign w:val="center"/>
          </w:tcPr>
          <w:p w14:paraId="51818503">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default" w:ascii="宋体" w:hAnsi="宋体" w:eastAsia="宋体" w:cs="宋体"/>
                <w:b w:val="0"/>
                <w:bCs w:val="0"/>
                <w:i w:val="0"/>
                <w:iCs w:val="0"/>
                <w:smallCaps w:val="0"/>
                <w:color w:val="000000"/>
                <w:highlight w:val="none"/>
                <w:lang w:val="en-US" w:eastAsia="zh-CN"/>
              </w:rPr>
            </w:pPr>
            <w:r>
              <w:rPr>
                <w:rFonts w:hint="eastAsia" w:ascii="宋体" w:hAnsi="宋体" w:eastAsia="宋体" w:cs="宋体"/>
                <w:b w:val="0"/>
                <w:bCs w:val="0"/>
                <w:i w:val="0"/>
                <w:iCs w:val="0"/>
                <w:smallCaps w:val="0"/>
                <w:color w:val="000000"/>
                <w:highlight w:val="none"/>
                <w:lang w:val="en-US" w:eastAsia="zh-CN"/>
              </w:rPr>
              <w:t>拟派项目负责人情况（项目负责人仅一人）</w:t>
            </w:r>
          </w:p>
        </w:tc>
        <w:tc>
          <w:tcPr>
            <w:tcW w:w="885" w:type="dxa"/>
            <w:shd w:val="clear" w:color="auto" w:fill="FFFFFF"/>
            <w:noWrap w:val="0"/>
            <w:vAlign w:val="center"/>
          </w:tcPr>
          <w:p w14:paraId="056123C2">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default" w:ascii="宋体" w:hAnsi="宋体" w:cs="宋体"/>
                <w:color w:val="000000"/>
                <w:szCs w:val="21"/>
                <w:highlight w:val="none"/>
                <w:lang w:val="en-US" w:eastAsia="zh-CN"/>
              </w:rPr>
            </w:pPr>
            <w:r>
              <w:rPr>
                <w:rFonts w:hint="eastAsia" w:ascii="宋体" w:hAnsi="宋体" w:cs="宋体"/>
                <w:color w:val="000000"/>
                <w:szCs w:val="21"/>
                <w:highlight w:val="none"/>
                <w:lang w:val="en-US" w:eastAsia="zh-CN"/>
              </w:rPr>
              <w:t>5</w:t>
            </w:r>
          </w:p>
        </w:tc>
        <w:tc>
          <w:tcPr>
            <w:tcW w:w="5033" w:type="dxa"/>
            <w:shd w:val="clear" w:color="auto" w:fill="FFFFFF"/>
            <w:noWrap w:val="0"/>
            <w:vAlign w:val="center"/>
          </w:tcPr>
          <w:p w14:paraId="6DEB31B1">
            <w:pPr>
              <w:pStyle w:val="14"/>
              <w:pBdr>
                <w:bottom w:val="none" w:color="auto" w:sz="0" w:space="0"/>
              </w:pBdr>
              <w:tabs>
                <w:tab w:val="clear" w:pos="4153"/>
                <w:tab w:val="clear" w:pos="8306"/>
              </w:tabs>
              <w:kinsoku/>
              <w:spacing w:line="240" w:lineRule="exact"/>
              <w:jc w:val="left"/>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（一）评分内容：</w:t>
            </w:r>
          </w:p>
          <w:p w14:paraId="1C0A3CB9">
            <w:pPr>
              <w:pStyle w:val="14"/>
              <w:pBdr>
                <w:bottom w:val="none" w:color="auto" w:sz="0" w:space="0"/>
              </w:pBdr>
              <w:tabs>
                <w:tab w:val="clear" w:pos="4153"/>
                <w:tab w:val="clear" w:pos="8306"/>
              </w:tabs>
              <w:kinsoku/>
              <w:spacing w:line="240" w:lineRule="exact"/>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拟安排项目负责人为投标单位员工（以社保为准），否则本项不得分。在此基础上：</w:t>
            </w:r>
          </w:p>
          <w:p w14:paraId="2017995D">
            <w:pPr>
              <w:pStyle w:val="14"/>
              <w:keepNext w:val="0"/>
              <w:keepLines w:val="0"/>
              <w:pageBreakBefore w:val="0"/>
              <w:widowControl/>
              <w:numPr>
                <w:ilvl w:val="0"/>
                <w:numId w:val="0"/>
              </w:numPr>
              <w:pBdr>
                <w:bottom w:val="none" w:color="auto" w:sz="0" w:space="0"/>
              </w:pBdr>
              <w:tabs>
                <w:tab w:val="left" w:pos="405"/>
                <w:tab w:val="clear" w:pos="4153"/>
                <w:tab w:val="clear" w:pos="8306"/>
              </w:tabs>
              <w:kinsoku/>
              <w:overflowPunct/>
              <w:topLinePunct w:val="0"/>
              <w:autoSpaceDE w:val="0"/>
              <w:autoSpaceDN w:val="0"/>
              <w:bidi w:val="0"/>
              <w:adjustRightInd w:val="0"/>
              <w:snapToGrid w:val="0"/>
              <w:spacing w:line="240" w:lineRule="exact"/>
              <w:ind w:right="0" w:rightChars="0"/>
              <w:jc w:val="left"/>
              <w:textAlignment w:val="baseline"/>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lang w:eastAsia="zh-CN"/>
              </w:rPr>
              <w:t>具有</w:t>
            </w:r>
            <w:r>
              <w:rPr>
                <w:rFonts w:hint="eastAsia" w:ascii="宋体" w:hAnsi="宋体" w:eastAsia="宋体" w:cs="宋体"/>
                <w:color w:val="auto"/>
                <w:sz w:val="21"/>
                <w:szCs w:val="21"/>
                <w:highlight w:val="none"/>
                <w:lang w:val="en-US" w:eastAsia="zh-CN"/>
              </w:rPr>
              <w:t>二级建造师（机电工程专业或通信与广电工程专业）或</w:t>
            </w:r>
            <w:r>
              <w:rPr>
                <w:rFonts w:hint="eastAsia" w:ascii="宋体" w:hAnsi="宋体" w:eastAsia="宋体" w:cs="宋体"/>
                <w:color w:val="auto"/>
                <w:sz w:val="21"/>
                <w:szCs w:val="21"/>
                <w:highlight w:val="none"/>
                <w:lang w:eastAsia="zh-CN"/>
              </w:rPr>
              <w:t>中级工程师（工程</w:t>
            </w:r>
            <w:r>
              <w:rPr>
                <w:rFonts w:hint="eastAsia" w:ascii="宋体" w:hAnsi="宋体" w:eastAsia="宋体" w:cs="宋体"/>
                <w:color w:val="auto"/>
                <w:sz w:val="21"/>
                <w:szCs w:val="21"/>
                <w:highlight w:val="none"/>
                <w:lang w:val="en-US" w:eastAsia="zh-CN"/>
              </w:rPr>
              <w:t>类</w:t>
            </w:r>
            <w:r>
              <w:rPr>
                <w:rFonts w:hint="eastAsia" w:ascii="宋体" w:hAnsi="宋体" w:eastAsia="宋体" w:cs="宋体"/>
                <w:color w:val="auto"/>
                <w:sz w:val="21"/>
                <w:szCs w:val="21"/>
                <w:highlight w:val="none"/>
                <w:lang w:eastAsia="zh-CN"/>
              </w:rPr>
              <w:t>相关专业）或以上职称</w:t>
            </w:r>
            <w:r>
              <w:rPr>
                <w:rFonts w:hint="eastAsia" w:ascii="宋体" w:hAnsi="宋体" w:eastAsia="宋体" w:cs="宋体"/>
                <w:color w:val="auto"/>
                <w:sz w:val="21"/>
                <w:szCs w:val="21"/>
                <w:highlight w:val="none"/>
                <w:lang w:val="en-US" w:eastAsia="zh-CN"/>
              </w:rPr>
              <w:t>的，得100分。</w:t>
            </w:r>
          </w:p>
          <w:p w14:paraId="2B0D1F94">
            <w:pPr>
              <w:pStyle w:val="14"/>
              <w:pBdr>
                <w:bottom w:val="none" w:color="auto" w:sz="0" w:space="0"/>
              </w:pBdr>
              <w:tabs>
                <w:tab w:val="clear" w:pos="4153"/>
                <w:tab w:val="clear" w:pos="8306"/>
              </w:tabs>
              <w:kinsoku/>
              <w:spacing w:line="240" w:lineRule="exact"/>
              <w:jc w:val="left"/>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以上累计最高得100分。</w:t>
            </w:r>
          </w:p>
          <w:p w14:paraId="6D48CE15">
            <w:pPr>
              <w:pStyle w:val="14"/>
              <w:pBdr>
                <w:bottom w:val="none" w:color="auto" w:sz="0" w:space="0"/>
              </w:pBdr>
              <w:tabs>
                <w:tab w:val="clear" w:pos="4153"/>
                <w:tab w:val="clear" w:pos="8306"/>
              </w:tabs>
              <w:kinsoku/>
              <w:spacing w:line="240" w:lineRule="exact"/>
              <w:jc w:val="left"/>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（二）评分依据：</w:t>
            </w:r>
          </w:p>
          <w:p w14:paraId="1191E2F6">
            <w:pPr>
              <w:pStyle w:val="14"/>
              <w:pBdr>
                <w:bottom w:val="none" w:color="auto" w:sz="0" w:space="0"/>
              </w:pBdr>
              <w:tabs>
                <w:tab w:val="clear" w:pos="4153"/>
                <w:tab w:val="clear" w:pos="8306"/>
              </w:tabs>
              <w:kinsoku/>
              <w:spacing w:line="240" w:lineRule="exact"/>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1.要求提供相关证明资料职称证书等作为得分依据。</w:t>
            </w:r>
          </w:p>
          <w:p w14:paraId="41F7D95D">
            <w:pPr>
              <w:pStyle w:val="14"/>
              <w:pBdr>
                <w:bottom w:val="none" w:color="auto" w:sz="0" w:space="0"/>
              </w:pBdr>
              <w:tabs>
                <w:tab w:val="clear" w:pos="4153"/>
                <w:tab w:val="clear" w:pos="8306"/>
              </w:tabs>
              <w:kinsoku/>
              <w:spacing w:line="240" w:lineRule="exact"/>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2.社保：要求提供通过投标人缴纳的近三个月的社保证明作为本单位</w:t>
            </w:r>
            <w:bookmarkStart w:id="119" w:name="_GoBack"/>
            <w:bookmarkEnd w:id="119"/>
            <w:r>
              <w:rPr>
                <w:rFonts w:hint="eastAsia" w:ascii="宋体" w:hAnsi="宋体" w:eastAsia="宋体" w:cs="宋体"/>
                <w:color w:val="auto"/>
                <w:sz w:val="21"/>
                <w:szCs w:val="21"/>
                <w:highlight w:val="none"/>
                <w:lang w:eastAsia="zh-CN"/>
              </w:rPr>
              <w:t>员工的证明依据。如截标日前近一个月的社保证明因社保部门原因暂时无法提供，可往前顺延一个月。若供应商成立不足三个月的，需提供成立情况说明函(格式自拟)，无需提供相关人员社保，亦可得分。</w:t>
            </w:r>
          </w:p>
          <w:p w14:paraId="20EC67EC">
            <w:pPr>
              <w:pStyle w:val="14"/>
              <w:pBdr>
                <w:bottom w:val="none" w:color="auto" w:sz="0" w:space="0"/>
              </w:pBdr>
              <w:tabs>
                <w:tab w:val="clear" w:pos="4153"/>
                <w:tab w:val="clear" w:pos="8306"/>
              </w:tabs>
              <w:kinsoku/>
              <w:spacing w:line="240" w:lineRule="exact"/>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3.</w:t>
            </w:r>
            <w:r>
              <w:rPr>
                <w:rFonts w:hint="eastAsia" w:ascii="宋体" w:hAnsi="宋体" w:eastAsia="宋体" w:cs="宋体"/>
                <w:color w:val="auto"/>
                <w:sz w:val="21"/>
                <w:szCs w:val="21"/>
                <w:highlight w:val="none"/>
                <w:lang w:val="en-US" w:eastAsia="zh-CN"/>
              </w:rPr>
              <w:t>涉及证书</w:t>
            </w:r>
            <w:r>
              <w:rPr>
                <w:rFonts w:hint="eastAsia" w:ascii="宋体" w:hAnsi="宋体" w:eastAsia="宋体" w:cs="宋体"/>
                <w:color w:val="auto"/>
                <w:sz w:val="21"/>
                <w:szCs w:val="21"/>
                <w:highlight w:val="none"/>
                <w:lang w:eastAsia="zh-CN"/>
              </w:rPr>
              <w:t>证明材料均提供复印件，原件备查；</w:t>
            </w:r>
          </w:p>
          <w:p w14:paraId="414ECF12">
            <w:pPr>
              <w:pStyle w:val="14"/>
              <w:pBdr>
                <w:bottom w:val="none" w:color="auto" w:sz="0" w:space="0"/>
              </w:pBdr>
              <w:tabs>
                <w:tab w:val="clear" w:pos="4153"/>
                <w:tab w:val="clear" w:pos="8306"/>
              </w:tabs>
              <w:kinsoku/>
              <w:spacing w:line="240" w:lineRule="exact"/>
              <w:jc w:val="left"/>
              <w:rPr>
                <w:rFonts w:hint="eastAsia" w:ascii="宋体" w:hAnsi="宋体" w:eastAsia="宋体" w:cs="宋体"/>
                <w:snapToGrid w:val="0"/>
                <w:color w:val="auto"/>
                <w:sz w:val="21"/>
                <w:szCs w:val="21"/>
                <w:highlight w:val="none"/>
                <w:lang w:val="en-US" w:eastAsia="zh-CN" w:bidi="ar-SA"/>
              </w:rPr>
            </w:pPr>
            <w:r>
              <w:rPr>
                <w:rFonts w:hint="eastAsia" w:ascii="宋体" w:hAnsi="宋体" w:eastAsia="宋体" w:cs="宋体"/>
                <w:color w:val="auto"/>
                <w:sz w:val="21"/>
                <w:szCs w:val="21"/>
                <w:highlight w:val="none"/>
                <w:lang w:eastAsia="zh-CN"/>
              </w:rPr>
              <w:t>4.以上资料均原件备查。未按要求提供或提供不清晰导致专家无法判断的不得分。</w:t>
            </w:r>
          </w:p>
        </w:tc>
      </w:tr>
      <w:tr w14:paraId="3D32FA1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395" w:hRule="atLeast"/>
          <w:jc w:val="center"/>
        </w:trPr>
        <w:tc>
          <w:tcPr>
            <w:tcW w:w="1366" w:type="dxa"/>
            <w:vMerge w:val="restart"/>
            <w:shd w:val="clear" w:color="auto" w:fill="FFFFFF"/>
            <w:noWrap w:val="0"/>
            <w:vAlign w:val="center"/>
          </w:tcPr>
          <w:p w14:paraId="5C5045EF">
            <w:pPr>
              <w:kinsoku/>
              <w:spacing w:line="240" w:lineRule="exact"/>
              <w:jc w:val="center"/>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lang w:eastAsia="zh-CN"/>
              </w:rPr>
              <w:t>4</w:t>
            </w:r>
          </w:p>
        </w:tc>
        <w:tc>
          <w:tcPr>
            <w:tcW w:w="3795" w:type="dxa"/>
            <w:gridSpan w:val="5"/>
            <w:shd w:val="clear" w:color="auto" w:fill="FFFFFF"/>
            <w:noWrap w:val="0"/>
            <w:vAlign w:val="center"/>
          </w:tcPr>
          <w:p w14:paraId="47B583C0">
            <w:pPr>
              <w:kinsoku/>
              <w:wordWrap w:val="0"/>
              <w:spacing w:line="240" w:lineRule="exact"/>
              <w:jc w:val="center"/>
              <w:rPr>
                <w:rFonts w:hint="eastAsia" w:ascii="宋体" w:hAnsi="宋体" w:eastAsia="宋体" w:cs="宋体"/>
                <w:bCs/>
                <w:color w:val="auto"/>
                <w:highlight w:val="none"/>
                <w:lang w:eastAsia="zh-CN"/>
              </w:rPr>
            </w:pPr>
            <w:r>
              <w:rPr>
                <w:rFonts w:hint="eastAsia" w:ascii="宋体" w:hAnsi="宋体" w:eastAsia="宋体" w:cs="宋体"/>
                <w:b/>
                <w:color w:val="auto"/>
                <w:highlight w:val="none"/>
                <w:lang w:eastAsia="zh-CN"/>
              </w:rPr>
              <w:t>诚信情况</w:t>
            </w:r>
          </w:p>
        </w:tc>
        <w:tc>
          <w:tcPr>
            <w:tcW w:w="5033" w:type="dxa"/>
            <w:shd w:val="clear" w:color="auto" w:fill="FFFFFF"/>
            <w:noWrap w:val="0"/>
            <w:vAlign w:val="center"/>
          </w:tcPr>
          <w:p w14:paraId="43A07FB5">
            <w:pPr>
              <w:kinsoku/>
              <w:spacing w:line="240" w:lineRule="exact"/>
              <w:jc w:val="center"/>
              <w:rPr>
                <w:rFonts w:hint="eastAsia" w:ascii="宋体" w:hAnsi="宋体" w:eastAsia="宋体" w:cs="宋体"/>
                <w:color w:val="auto"/>
                <w:highlight w:val="none"/>
                <w:lang w:eastAsia="zh-CN"/>
              </w:rPr>
            </w:pPr>
            <w:r>
              <w:rPr>
                <w:rFonts w:hint="eastAsia" w:ascii="宋体" w:hAnsi="宋体" w:eastAsia="宋体" w:cs="宋体"/>
                <w:b/>
                <w:bCs/>
                <w:color w:val="auto"/>
                <w:highlight w:val="none"/>
                <w:lang w:eastAsia="zh-CN"/>
              </w:rPr>
              <w:t>5</w:t>
            </w:r>
          </w:p>
        </w:tc>
      </w:tr>
      <w:tr w14:paraId="478533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trHeight w:val="470" w:hRule="atLeast"/>
          <w:jc w:val="center"/>
        </w:trPr>
        <w:tc>
          <w:tcPr>
            <w:tcW w:w="1366" w:type="dxa"/>
            <w:vMerge w:val="continue"/>
            <w:shd w:val="clear" w:color="auto" w:fill="FFFFFF"/>
            <w:noWrap w:val="0"/>
            <w:vAlign w:val="center"/>
          </w:tcPr>
          <w:p w14:paraId="50D73326">
            <w:pPr>
              <w:kinsoku/>
              <w:spacing w:line="240" w:lineRule="exact"/>
              <w:rPr>
                <w:rFonts w:hint="eastAsia" w:ascii="宋体" w:hAnsi="宋体" w:eastAsia="宋体" w:cs="宋体"/>
                <w:b/>
                <w:bCs/>
                <w:color w:val="auto"/>
                <w:highlight w:val="none"/>
                <w:lang w:eastAsia="zh-CN"/>
              </w:rPr>
            </w:pPr>
          </w:p>
        </w:tc>
        <w:tc>
          <w:tcPr>
            <w:tcW w:w="1265" w:type="dxa"/>
            <w:gridSpan w:val="2"/>
            <w:shd w:val="clear" w:color="auto" w:fill="FFFFFF"/>
            <w:noWrap w:val="0"/>
            <w:vAlign w:val="center"/>
          </w:tcPr>
          <w:p w14:paraId="1EA8F4EC">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序号</w:t>
            </w:r>
          </w:p>
        </w:tc>
        <w:tc>
          <w:tcPr>
            <w:tcW w:w="1265" w:type="dxa"/>
            <w:shd w:val="clear" w:color="auto" w:fill="FFFFFF"/>
            <w:noWrap w:val="0"/>
            <w:vAlign w:val="center"/>
          </w:tcPr>
          <w:p w14:paraId="631CA36F">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评分因素</w:t>
            </w:r>
          </w:p>
        </w:tc>
        <w:tc>
          <w:tcPr>
            <w:tcW w:w="1265" w:type="dxa"/>
            <w:gridSpan w:val="2"/>
            <w:shd w:val="clear" w:color="auto" w:fill="FFFFFF"/>
            <w:noWrap w:val="0"/>
            <w:vAlign w:val="center"/>
          </w:tcPr>
          <w:p w14:paraId="6675C9B4">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权重</w:t>
            </w:r>
            <w:r>
              <w:rPr>
                <w:rFonts w:hint="eastAsia" w:ascii="宋体" w:hAnsi="宋体" w:eastAsia="宋体" w:cs="宋体"/>
                <w:color w:val="auto"/>
                <w:highlight w:val="none"/>
                <w:lang w:eastAsia="zh-CN"/>
              </w:rPr>
              <w:t>（%）</w:t>
            </w:r>
          </w:p>
        </w:tc>
        <w:tc>
          <w:tcPr>
            <w:tcW w:w="5033" w:type="dxa"/>
            <w:shd w:val="clear" w:color="auto" w:fill="FFFFFF"/>
            <w:noWrap w:val="0"/>
            <w:vAlign w:val="center"/>
          </w:tcPr>
          <w:p w14:paraId="243D3760">
            <w:pPr>
              <w:kinsoku/>
              <w:wordWrap w:val="0"/>
              <w:spacing w:line="240" w:lineRule="exact"/>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rPr>
              <w:t>评分准则</w:t>
            </w:r>
          </w:p>
        </w:tc>
      </w:tr>
      <w:tr w14:paraId="4BB0BEB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continue"/>
            <w:shd w:val="clear" w:color="auto" w:fill="FFFFFF"/>
            <w:noWrap w:val="0"/>
            <w:vAlign w:val="center"/>
          </w:tcPr>
          <w:p w14:paraId="60036ABE">
            <w:pPr>
              <w:kinsoku/>
              <w:spacing w:line="240" w:lineRule="exact"/>
              <w:rPr>
                <w:rFonts w:hint="eastAsia" w:ascii="宋体" w:hAnsi="宋体" w:eastAsia="宋体" w:cs="宋体"/>
                <w:b/>
                <w:bCs/>
                <w:color w:val="auto"/>
                <w:highlight w:val="none"/>
                <w:lang w:eastAsia="zh-CN"/>
              </w:rPr>
            </w:pPr>
          </w:p>
        </w:tc>
        <w:tc>
          <w:tcPr>
            <w:tcW w:w="1265" w:type="dxa"/>
            <w:gridSpan w:val="2"/>
            <w:shd w:val="clear" w:color="auto" w:fill="FFFFFF"/>
            <w:noWrap w:val="0"/>
            <w:vAlign w:val="center"/>
          </w:tcPr>
          <w:p w14:paraId="51D700E0">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rPr>
              <w:t>1</w:t>
            </w:r>
          </w:p>
        </w:tc>
        <w:tc>
          <w:tcPr>
            <w:tcW w:w="1265" w:type="dxa"/>
            <w:shd w:val="clear" w:color="auto" w:fill="FFFFFF"/>
            <w:noWrap w:val="0"/>
            <w:vAlign w:val="center"/>
          </w:tcPr>
          <w:p w14:paraId="31488DD5">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rPr>
              <w:t>诚信</w:t>
            </w:r>
            <w:r>
              <w:rPr>
                <w:rFonts w:hint="eastAsia" w:ascii="宋体" w:hAnsi="宋体" w:eastAsia="宋体" w:cs="宋体"/>
                <w:color w:val="auto"/>
                <w:kern w:val="0"/>
                <w:sz w:val="21"/>
                <w:szCs w:val="21"/>
                <w:highlight w:val="none"/>
                <w:lang w:val="en-US" w:eastAsia="zh-CN"/>
              </w:rPr>
              <w:t>情况</w:t>
            </w:r>
          </w:p>
        </w:tc>
        <w:tc>
          <w:tcPr>
            <w:tcW w:w="1265" w:type="dxa"/>
            <w:gridSpan w:val="2"/>
            <w:shd w:val="clear" w:color="auto" w:fill="FFFFFF"/>
            <w:noWrap w:val="0"/>
            <w:vAlign w:val="center"/>
          </w:tcPr>
          <w:p w14:paraId="27618D41">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lang w:val="en-US" w:eastAsia="zh-CN"/>
              </w:rPr>
              <w:t>3</w:t>
            </w:r>
          </w:p>
        </w:tc>
        <w:tc>
          <w:tcPr>
            <w:tcW w:w="5033" w:type="dxa"/>
            <w:shd w:val="clear" w:color="auto" w:fill="FFFFFF"/>
            <w:noWrap w:val="0"/>
            <w:vAlign w:val="center"/>
          </w:tcPr>
          <w:p w14:paraId="620BEDC4">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（一）评分内容：</w:t>
            </w:r>
          </w:p>
          <w:p w14:paraId="1B37211F">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供应商存在《深圳市财政局政府采购供应商信用信息管理办法》（深财规〔2023〕3号）列明的一般行政处罚信息、一般违法失信记录信息的，本项不得分，不存在上述情形的本项得100分。供应商无需提供任何证明材料，评标过程中由工作人员向评审委员会提供有关供应商诚信查询结果。</w:t>
            </w:r>
          </w:p>
          <w:p w14:paraId="270F1592">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（二）评分依据：</w:t>
            </w:r>
          </w:p>
          <w:p w14:paraId="09FA9901">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both"/>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lang w:eastAsia="zh-CN"/>
              </w:rPr>
              <w:t>查询渠道：通过“中国政府采购网-政府采购严重违法失信行为记录名单”[ 网址：http://www.ccgp.gov.cn/search/cr/]、“信用中国”[ 网址：https://www.creditchina.gov.cn/]、“全国法院失信被执行人名单信息查询系统”[ 网址：http://zxgk.court.gov.cn/shixin/]以及国家企业信用信息公示平台[ 网址：http://www.gsxt.gov.cn/index.html]”网站平台查询供应商信用信息，信用信息以开标当日的查询结果为准。</w:t>
            </w:r>
          </w:p>
        </w:tc>
      </w:tr>
      <w:tr w14:paraId="083826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shd w:val="clear" w:color="auto" w:fill="FFFFFF"/>
          <w:tblCellMar>
            <w:top w:w="20" w:type="dxa"/>
            <w:left w:w="108" w:type="dxa"/>
            <w:bottom w:w="20" w:type="dxa"/>
            <w:right w:w="108" w:type="dxa"/>
          </w:tblCellMar>
        </w:tblPrEx>
        <w:trPr>
          <w:jc w:val="center"/>
        </w:trPr>
        <w:tc>
          <w:tcPr>
            <w:tcW w:w="1366" w:type="dxa"/>
            <w:vMerge w:val="continue"/>
            <w:shd w:val="clear" w:color="auto" w:fill="FFFFFF"/>
            <w:noWrap w:val="0"/>
            <w:vAlign w:val="center"/>
          </w:tcPr>
          <w:p w14:paraId="378D0447">
            <w:pPr>
              <w:kinsoku/>
              <w:spacing w:line="240" w:lineRule="exact"/>
              <w:rPr>
                <w:rFonts w:hint="eastAsia" w:ascii="宋体" w:hAnsi="宋体" w:eastAsia="宋体" w:cs="宋体"/>
                <w:b/>
                <w:bCs/>
                <w:color w:val="auto"/>
                <w:highlight w:val="none"/>
                <w:lang w:eastAsia="zh-CN"/>
              </w:rPr>
            </w:pPr>
          </w:p>
        </w:tc>
        <w:tc>
          <w:tcPr>
            <w:tcW w:w="1265" w:type="dxa"/>
            <w:gridSpan w:val="2"/>
            <w:shd w:val="clear" w:color="auto" w:fill="FFFFFF"/>
            <w:noWrap w:val="0"/>
            <w:vAlign w:val="center"/>
          </w:tcPr>
          <w:p w14:paraId="3273F069">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lang w:val="en-US" w:eastAsia="zh-CN"/>
              </w:rPr>
              <w:t>2</w:t>
            </w:r>
          </w:p>
        </w:tc>
        <w:tc>
          <w:tcPr>
            <w:tcW w:w="1265" w:type="dxa"/>
            <w:shd w:val="clear" w:color="auto" w:fill="FFFFFF"/>
            <w:noWrap w:val="0"/>
            <w:vAlign w:val="center"/>
          </w:tcPr>
          <w:p w14:paraId="0735E772">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rPr>
              <w:t>投标人廉政责任承诺书</w:t>
            </w:r>
          </w:p>
        </w:tc>
        <w:tc>
          <w:tcPr>
            <w:tcW w:w="1265" w:type="dxa"/>
            <w:gridSpan w:val="2"/>
            <w:shd w:val="clear" w:color="auto" w:fill="FFFFFF"/>
            <w:noWrap w:val="0"/>
            <w:vAlign w:val="center"/>
          </w:tcPr>
          <w:p w14:paraId="5F9FE886">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center"/>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lang w:val="en-US" w:eastAsia="zh-CN"/>
              </w:rPr>
              <w:t>2</w:t>
            </w:r>
          </w:p>
        </w:tc>
        <w:tc>
          <w:tcPr>
            <w:tcW w:w="5033" w:type="dxa"/>
            <w:shd w:val="clear" w:color="auto" w:fill="FFFFFF"/>
            <w:noWrap w:val="0"/>
            <w:vAlign w:val="center"/>
          </w:tcPr>
          <w:p w14:paraId="4751B3E0">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（一）评分内容：</w:t>
            </w:r>
          </w:p>
          <w:p w14:paraId="3CD348B6">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lang w:val="en-US" w:eastAsia="zh-CN"/>
              </w:rPr>
              <w:t>提供《</w:t>
            </w:r>
            <w:r>
              <w:rPr>
                <w:rFonts w:hint="eastAsia" w:ascii="宋体" w:hAnsi="宋体" w:eastAsia="宋体" w:cs="宋体"/>
                <w:color w:val="auto"/>
                <w:kern w:val="0"/>
                <w:sz w:val="21"/>
                <w:szCs w:val="21"/>
                <w:highlight w:val="none"/>
                <w:lang w:eastAsia="zh-CN"/>
              </w:rPr>
              <w:t>廉政责任承诺书》</w:t>
            </w:r>
            <w:r>
              <w:rPr>
                <w:rFonts w:hint="eastAsia" w:ascii="宋体" w:hAnsi="宋体" w:eastAsia="宋体" w:cs="宋体"/>
                <w:color w:val="auto"/>
                <w:kern w:val="0"/>
                <w:sz w:val="21"/>
                <w:szCs w:val="21"/>
                <w:highlight w:val="none"/>
                <w:lang w:val="en-US" w:eastAsia="zh-CN"/>
              </w:rPr>
              <w:t>原件。</w:t>
            </w:r>
          </w:p>
          <w:p w14:paraId="0D5D134D">
            <w:pPr>
              <w:keepNext w:val="0"/>
              <w:keepLines w:val="0"/>
              <w:pageBreakBefore w:val="0"/>
              <w:widowControl/>
              <w:kinsoku/>
              <w:overflowPunct/>
              <w:topLinePunct w:val="0"/>
              <w:autoSpaceDE/>
              <w:autoSpaceDN/>
              <w:bidi w:val="0"/>
              <w:adjustRightInd w:val="0"/>
              <w:snapToGrid w:val="0"/>
              <w:spacing w:line="320" w:lineRule="exact"/>
              <w:ind w:left="0" w:leftChars="0" w:right="0"/>
              <w:jc w:val="both"/>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（二）评分依据：</w:t>
            </w:r>
          </w:p>
          <w:p w14:paraId="142AA1F1">
            <w:pPr>
              <w:keepNext w:val="0"/>
              <w:keepLines w:val="0"/>
              <w:pageBreakBefore w:val="0"/>
              <w:widowControl/>
              <w:kinsoku/>
              <w:overflowPunct/>
              <w:topLinePunct w:val="0"/>
              <w:autoSpaceDE/>
              <w:autoSpaceDN/>
              <w:bidi w:val="0"/>
              <w:adjustRightInd w:val="0"/>
              <w:snapToGrid w:val="0"/>
              <w:spacing w:line="320" w:lineRule="exact"/>
              <w:ind w:left="0" w:leftChars="0" w:right="0" w:rightChars="0"/>
              <w:jc w:val="both"/>
              <w:rPr>
                <w:rFonts w:hint="eastAsia" w:ascii="宋体" w:hAnsi="宋体" w:eastAsia="宋体" w:cs="宋体"/>
                <w:color w:val="auto"/>
                <w:highlight w:val="none"/>
                <w:lang w:eastAsia="zh-CN"/>
              </w:rPr>
            </w:pPr>
            <w:r>
              <w:rPr>
                <w:rFonts w:hint="eastAsia" w:ascii="宋体" w:hAnsi="宋体" w:eastAsia="宋体" w:cs="宋体"/>
                <w:color w:val="auto"/>
                <w:kern w:val="0"/>
                <w:sz w:val="21"/>
                <w:szCs w:val="21"/>
                <w:highlight w:val="none"/>
                <w:lang w:eastAsia="zh-CN"/>
              </w:rPr>
              <w:t>投标人</w:t>
            </w:r>
            <w:r>
              <w:rPr>
                <w:rFonts w:hint="eastAsia" w:ascii="宋体" w:hAnsi="宋体" w:eastAsia="宋体" w:cs="宋体"/>
                <w:color w:val="auto"/>
                <w:kern w:val="0"/>
                <w:sz w:val="21"/>
                <w:szCs w:val="21"/>
                <w:highlight w:val="none"/>
                <w:lang w:val="en-US" w:eastAsia="zh-CN"/>
              </w:rPr>
              <w:t>提供以上承诺书</w:t>
            </w:r>
            <w:r>
              <w:rPr>
                <w:rFonts w:hint="eastAsia" w:ascii="宋体" w:hAnsi="宋体" w:eastAsia="宋体" w:cs="宋体"/>
                <w:color w:val="auto"/>
                <w:kern w:val="0"/>
                <w:sz w:val="21"/>
                <w:szCs w:val="21"/>
                <w:highlight w:val="none"/>
                <w:lang w:eastAsia="zh-CN"/>
              </w:rPr>
              <w:t>得100分，要求提供承诺（格式</w:t>
            </w:r>
            <w:r>
              <w:rPr>
                <w:rFonts w:hint="eastAsia" w:ascii="宋体" w:hAnsi="宋体" w:eastAsia="宋体" w:cs="宋体"/>
                <w:color w:val="auto"/>
                <w:kern w:val="0"/>
                <w:sz w:val="21"/>
                <w:szCs w:val="21"/>
                <w:highlight w:val="none"/>
                <w:lang w:val="en-US" w:eastAsia="zh-CN"/>
              </w:rPr>
              <w:t>详见投标文件格式要求</w:t>
            </w:r>
            <w:r>
              <w:rPr>
                <w:rFonts w:hint="eastAsia" w:ascii="宋体" w:hAnsi="宋体" w:eastAsia="宋体" w:cs="宋体"/>
                <w:color w:val="auto"/>
                <w:kern w:val="0"/>
                <w:sz w:val="21"/>
                <w:szCs w:val="21"/>
                <w:highlight w:val="none"/>
                <w:lang w:eastAsia="zh-CN"/>
              </w:rPr>
              <w:t>）作为得分依据，未提供承诺或承诺内容不满足要求不得分。</w:t>
            </w:r>
          </w:p>
        </w:tc>
      </w:tr>
    </w:tbl>
    <w:p w14:paraId="1F6FD764">
      <w:pPr>
        <w:pStyle w:val="8"/>
        <w:shd w:val="clear"/>
        <w:rPr>
          <w:color w:val="auto"/>
          <w:highlight w:val="none"/>
        </w:rPr>
      </w:pPr>
    </w:p>
    <w:p w14:paraId="52B3890A">
      <w:pPr>
        <w:shd w:val="clear"/>
        <w:rPr>
          <w:rFonts w:hint="eastAsia" w:eastAsia="黑体"/>
          <w:color w:val="auto"/>
          <w:highlight w:val="none"/>
          <w:lang w:val="en-US" w:eastAsia="zh-CN"/>
        </w:rPr>
      </w:pPr>
    </w:p>
    <w:p w14:paraId="78DB4CE3">
      <w:pPr>
        <w:shd w:val="clear"/>
        <w:rPr>
          <w:rFonts w:hint="eastAsia" w:eastAsia="黑体"/>
          <w:color w:val="auto"/>
          <w:highlight w:val="none"/>
          <w:lang w:val="en-US" w:eastAsia="zh-CN"/>
        </w:rPr>
      </w:pPr>
    </w:p>
    <w:p w14:paraId="08072C82">
      <w:pPr>
        <w:shd w:val="clear"/>
        <w:rPr>
          <w:rFonts w:hint="eastAsia" w:eastAsia="黑体"/>
          <w:color w:val="auto"/>
          <w:highlight w:val="none"/>
          <w:lang w:val="en-US" w:eastAsia="zh-CN"/>
        </w:rPr>
      </w:pPr>
    </w:p>
    <w:p w14:paraId="39DDF687">
      <w:pPr>
        <w:shd w:val="clear"/>
        <w:rPr>
          <w:rFonts w:hint="eastAsia" w:eastAsia="黑体"/>
          <w:color w:val="auto"/>
          <w:highlight w:val="none"/>
          <w:lang w:val="en-US" w:eastAsia="zh-CN"/>
        </w:rPr>
      </w:pPr>
    </w:p>
    <w:p w14:paraId="1EDA62D1">
      <w:pPr>
        <w:shd w:val="clear"/>
        <w:rPr>
          <w:rFonts w:hint="eastAsia" w:eastAsia="黑体"/>
          <w:color w:val="auto"/>
          <w:highlight w:val="none"/>
          <w:lang w:val="en-US" w:eastAsia="zh-CN"/>
        </w:rPr>
      </w:pPr>
    </w:p>
    <w:p w14:paraId="3F6859CF">
      <w:pPr>
        <w:shd w:val="clear"/>
        <w:rPr>
          <w:rFonts w:hint="eastAsia" w:eastAsia="黑体"/>
          <w:color w:val="auto"/>
          <w:highlight w:val="none"/>
          <w:lang w:val="en-US" w:eastAsia="zh-CN"/>
        </w:rPr>
      </w:pPr>
    </w:p>
    <w:p w14:paraId="60E7DE23">
      <w:pPr>
        <w:shd w:val="clear"/>
        <w:rPr>
          <w:rFonts w:hint="eastAsia" w:eastAsia="黑体"/>
          <w:color w:val="auto"/>
          <w:highlight w:val="none"/>
          <w:lang w:val="en-US" w:eastAsia="zh-CN"/>
        </w:rPr>
      </w:pPr>
    </w:p>
    <w:p w14:paraId="5B21B18F">
      <w:pPr>
        <w:shd w:val="clear"/>
        <w:rPr>
          <w:rFonts w:hint="eastAsia" w:eastAsia="黑体"/>
          <w:color w:val="auto"/>
          <w:highlight w:val="none"/>
          <w:lang w:val="en-US" w:eastAsia="zh-CN"/>
        </w:rPr>
      </w:pPr>
    </w:p>
    <w:p w14:paraId="1ECC736C">
      <w:pPr>
        <w:shd w:val="clear"/>
        <w:spacing w:line="360" w:lineRule="auto"/>
        <w:rPr>
          <w:color w:val="auto"/>
          <w:sz w:val="32"/>
          <w:highlight w:val="none"/>
        </w:rPr>
      </w:pPr>
      <w:r>
        <w:rPr>
          <w:rFonts w:hint="eastAsia" w:eastAsia="黑体"/>
          <w:color w:val="auto"/>
          <w:sz w:val="32"/>
          <w:szCs w:val="32"/>
          <w:highlight w:val="none"/>
        </w:rPr>
        <w:t>警示条款</w:t>
      </w:r>
    </w:p>
    <w:p w14:paraId="76372831">
      <w:pPr>
        <w:shd w:val="clear"/>
        <w:rPr>
          <w:color w:val="auto"/>
          <w:highlight w:val="none"/>
        </w:rPr>
      </w:pPr>
      <w:r>
        <w:rPr>
          <w:rFonts w:hint="eastAsia" w:eastAsia="宋体"/>
          <w:b/>
          <w:bCs/>
          <w:color w:val="auto"/>
          <w:highlight w:val="none"/>
        </w:rPr>
        <w:t>一、《深圳经济特区政府采购条例》第五十七条</w:t>
      </w:r>
    </w:p>
    <w:p w14:paraId="4C8FEE63">
      <w:pPr>
        <w:shd w:val="clear"/>
        <w:ind w:firstLine="480" w:firstLineChars="200"/>
        <w:jc w:val="both"/>
        <w:rPr>
          <w:color w:val="auto"/>
          <w:highlight w:val="none"/>
        </w:rPr>
      </w:pPr>
      <w:r>
        <w:rPr>
          <w:rFonts w:hint="eastAsia" w:eastAsia="宋体"/>
          <w:color w:val="auto"/>
          <w:highlight w:val="none"/>
        </w:rPr>
        <w:t>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5E273435">
      <w:pPr>
        <w:shd w:val="clear"/>
        <w:ind w:firstLine="480" w:firstLineChars="200"/>
        <w:jc w:val="both"/>
        <w:rPr>
          <w:color w:val="auto"/>
          <w:highlight w:val="none"/>
        </w:rPr>
      </w:pPr>
      <w:r>
        <w:rPr>
          <w:rFonts w:hint="eastAsia" w:eastAsia="宋体"/>
          <w:color w:val="auto"/>
          <w:highlight w:val="none"/>
        </w:rPr>
        <w:t>（一）在采购活动中应当回避而未回避的；</w:t>
      </w:r>
    </w:p>
    <w:p w14:paraId="251456D9">
      <w:pPr>
        <w:shd w:val="clear"/>
        <w:ind w:firstLine="480" w:firstLineChars="200"/>
        <w:jc w:val="both"/>
        <w:rPr>
          <w:color w:val="auto"/>
          <w:highlight w:val="none"/>
        </w:rPr>
      </w:pPr>
      <w:r>
        <w:rPr>
          <w:rFonts w:hint="eastAsia" w:eastAsia="宋体"/>
          <w:color w:val="auto"/>
          <w:highlight w:val="none"/>
        </w:rPr>
        <w:t>（二）未按本条例规定签订、履行采购合同，造成严重后果的；</w:t>
      </w:r>
    </w:p>
    <w:p w14:paraId="6AE6314C">
      <w:pPr>
        <w:shd w:val="clear"/>
        <w:ind w:firstLine="480" w:firstLineChars="200"/>
        <w:jc w:val="both"/>
        <w:rPr>
          <w:rFonts w:eastAsia="宋体"/>
          <w:color w:val="auto"/>
          <w:highlight w:val="none"/>
        </w:rPr>
      </w:pPr>
      <w:r>
        <w:rPr>
          <w:rFonts w:hint="eastAsia" w:eastAsia="宋体"/>
          <w:color w:val="auto"/>
          <w:highlight w:val="none"/>
        </w:rPr>
        <w:t>（三）隐瞒真实情况，提供虚假资料的；</w:t>
      </w:r>
    </w:p>
    <w:p w14:paraId="64927DEA">
      <w:pPr>
        <w:shd w:val="clear"/>
        <w:ind w:firstLine="480" w:firstLineChars="200"/>
        <w:jc w:val="both"/>
        <w:rPr>
          <w:rFonts w:eastAsia="宋体"/>
          <w:color w:val="auto"/>
          <w:highlight w:val="none"/>
        </w:rPr>
      </w:pPr>
      <w:r>
        <w:rPr>
          <w:rFonts w:hint="eastAsia" w:eastAsia="宋体"/>
          <w:color w:val="auto"/>
          <w:highlight w:val="none"/>
        </w:rPr>
        <w:t>（四）以非法手段排斥其他供应商参与竞争的；</w:t>
      </w:r>
    </w:p>
    <w:p w14:paraId="25DF8FAE">
      <w:pPr>
        <w:shd w:val="clear"/>
        <w:ind w:firstLine="480" w:firstLineChars="200"/>
        <w:jc w:val="both"/>
        <w:rPr>
          <w:rFonts w:eastAsia="宋体"/>
          <w:color w:val="auto"/>
          <w:highlight w:val="none"/>
        </w:rPr>
      </w:pPr>
      <w:r>
        <w:rPr>
          <w:rFonts w:hint="eastAsia" w:eastAsia="宋体"/>
          <w:color w:val="auto"/>
          <w:highlight w:val="none"/>
        </w:rPr>
        <w:t>（五）与其他采购参加人串通投标的；</w:t>
      </w:r>
    </w:p>
    <w:p w14:paraId="3EC32286">
      <w:pPr>
        <w:shd w:val="clear"/>
        <w:ind w:firstLine="480" w:firstLineChars="200"/>
        <w:jc w:val="both"/>
        <w:rPr>
          <w:rFonts w:eastAsia="宋体"/>
          <w:color w:val="auto"/>
          <w:highlight w:val="none"/>
        </w:rPr>
      </w:pPr>
      <w:r>
        <w:rPr>
          <w:rFonts w:hint="eastAsia" w:eastAsia="宋体"/>
          <w:color w:val="auto"/>
          <w:highlight w:val="none"/>
        </w:rPr>
        <w:t>（六）恶意投诉的；</w:t>
      </w:r>
    </w:p>
    <w:p w14:paraId="2445B9E0">
      <w:pPr>
        <w:shd w:val="clear"/>
        <w:ind w:firstLine="480" w:firstLineChars="200"/>
        <w:jc w:val="both"/>
        <w:rPr>
          <w:rFonts w:eastAsia="宋体"/>
          <w:color w:val="auto"/>
          <w:highlight w:val="none"/>
        </w:rPr>
      </w:pPr>
      <w:r>
        <w:rPr>
          <w:rFonts w:hint="eastAsia" w:eastAsia="宋体"/>
          <w:color w:val="auto"/>
          <w:highlight w:val="none"/>
        </w:rPr>
        <w:t>（七）向采购项目相关人行贿或者提供其他不当利益的；</w:t>
      </w:r>
    </w:p>
    <w:p w14:paraId="3A9FC237">
      <w:pPr>
        <w:shd w:val="clear"/>
        <w:ind w:firstLine="480" w:firstLineChars="200"/>
        <w:jc w:val="both"/>
        <w:rPr>
          <w:rFonts w:eastAsia="宋体"/>
          <w:color w:val="auto"/>
          <w:highlight w:val="none"/>
        </w:rPr>
      </w:pPr>
      <w:r>
        <w:rPr>
          <w:rFonts w:hint="eastAsia" w:eastAsia="宋体"/>
          <w:color w:val="auto"/>
          <w:highlight w:val="none"/>
        </w:rPr>
        <w:t>（八）阻碍、抗拒主管部门监督检查的；</w:t>
      </w:r>
    </w:p>
    <w:p w14:paraId="1FC85B83">
      <w:pPr>
        <w:shd w:val="clear"/>
        <w:ind w:firstLine="480" w:firstLineChars="200"/>
        <w:jc w:val="both"/>
        <w:rPr>
          <w:rFonts w:eastAsia="宋体"/>
          <w:color w:val="auto"/>
          <w:highlight w:val="none"/>
        </w:rPr>
      </w:pPr>
      <w:r>
        <w:rPr>
          <w:rFonts w:hint="eastAsia" w:eastAsia="宋体"/>
          <w:color w:val="auto"/>
          <w:highlight w:val="none"/>
        </w:rPr>
        <w:t>（九）其他违反本条例规定的行为。</w:t>
      </w:r>
    </w:p>
    <w:p w14:paraId="6B6BF734">
      <w:pPr>
        <w:shd w:val="clear"/>
        <w:spacing w:before="120" w:beforeLines="50" w:after="120" w:afterLines="50"/>
        <w:rPr>
          <w:rFonts w:eastAsia="宋体"/>
          <w:b/>
          <w:bCs/>
          <w:color w:val="auto"/>
          <w:highlight w:val="none"/>
        </w:rPr>
      </w:pPr>
      <w:r>
        <w:rPr>
          <w:rFonts w:hint="eastAsia" w:eastAsia="宋体"/>
          <w:b/>
          <w:bCs/>
          <w:color w:val="auto"/>
          <w:highlight w:val="none"/>
        </w:rPr>
        <w:t>二、《深圳经济特区政府采购条例实施细则》第七十五条</w:t>
      </w:r>
    </w:p>
    <w:p w14:paraId="30F006AB">
      <w:pPr>
        <w:shd w:val="clear"/>
        <w:ind w:firstLine="480" w:firstLineChars="200"/>
        <w:jc w:val="both"/>
        <w:rPr>
          <w:rFonts w:eastAsia="宋体"/>
          <w:color w:val="auto"/>
          <w:highlight w:val="none"/>
        </w:rPr>
      </w:pPr>
      <w:r>
        <w:rPr>
          <w:rFonts w:hint="eastAsia" w:eastAsia="宋体"/>
          <w:color w:val="auto"/>
          <w:highlight w:val="none"/>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14:paraId="3B614135">
      <w:pPr>
        <w:shd w:val="clear"/>
        <w:spacing w:before="120" w:beforeLines="50" w:after="120" w:afterLines="50"/>
        <w:rPr>
          <w:rFonts w:eastAsia="宋体"/>
          <w:b/>
          <w:bCs/>
          <w:color w:val="auto"/>
          <w:highlight w:val="none"/>
        </w:rPr>
      </w:pPr>
      <w:r>
        <w:rPr>
          <w:rFonts w:hint="eastAsia" w:eastAsia="宋体"/>
          <w:b/>
          <w:bCs/>
          <w:color w:val="auto"/>
          <w:highlight w:val="none"/>
        </w:rPr>
        <w:t>三、《深圳经济特区政府采购条例实施细则》第七十七条</w:t>
      </w:r>
    </w:p>
    <w:p w14:paraId="66B6E617">
      <w:pPr>
        <w:shd w:val="clear"/>
        <w:ind w:firstLine="480" w:firstLineChars="200"/>
        <w:jc w:val="both"/>
        <w:rPr>
          <w:rFonts w:eastAsia="宋体"/>
          <w:color w:val="auto"/>
          <w:highlight w:val="none"/>
        </w:rPr>
      </w:pPr>
      <w:r>
        <w:rPr>
          <w:rFonts w:hint="eastAsia" w:eastAsia="宋体"/>
          <w:color w:val="auto"/>
          <w:highlight w:val="none"/>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14:paraId="3BA78BD6">
      <w:pPr>
        <w:shd w:val="clear"/>
        <w:ind w:firstLine="480" w:firstLineChars="200"/>
        <w:jc w:val="both"/>
        <w:rPr>
          <w:rFonts w:eastAsia="宋体"/>
          <w:color w:val="auto"/>
          <w:highlight w:val="none"/>
        </w:rPr>
      </w:pPr>
      <w:r>
        <w:rPr>
          <w:rFonts w:hint="eastAsia" w:eastAsia="宋体"/>
          <w:color w:val="auto"/>
          <w:highlight w:val="none"/>
        </w:rPr>
        <w:t>投标供应商不能提供项目负责人或者主要技术人员的劳动合同、社会保险等劳动关系证明材料的，视为存在前款第（三）项规定的情形。</w:t>
      </w:r>
    </w:p>
    <w:p w14:paraId="659A8126">
      <w:pPr>
        <w:shd w:val="clear"/>
        <w:rPr>
          <w:color w:val="auto"/>
          <w:highlight w:val="none"/>
        </w:rPr>
      </w:pPr>
    </w:p>
    <w:p w14:paraId="6BE7297B">
      <w:pPr>
        <w:shd w:val="clear"/>
        <w:rPr>
          <w:color w:val="auto"/>
          <w:highlight w:val="none"/>
        </w:rPr>
      </w:pPr>
      <w:r>
        <w:rPr>
          <w:rFonts w:hint="eastAsia"/>
          <w:color w:val="auto"/>
          <w:highlight w:val="none"/>
        </w:rPr>
        <w:br w:type="page"/>
      </w:r>
    </w:p>
    <w:p w14:paraId="676D3EA9">
      <w:pPr>
        <w:pStyle w:val="2"/>
        <w:shd w:val="clear"/>
        <w:rPr>
          <w:color w:val="auto"/>
          <w:highlight w:val="none"/>
        </w:rPr>
      </w:pPr>
      <w:r>
        <w:rPr>
          <w:rFonts w:hint="eastAsia"/>
          <w:color w:val="auto"/>
          <w:highlight w:val="none"/>
        </w:rPr>
        <w:t>目   录</w:t>
      </w:r>
    </w:p>
    <w:p w14:paraId="049B2EFB">
      <w:pPr>
        <w:shd w:val="clear"/>
        <w:jc w:val="left"/>
        <w:rPr>
          <w:color w:val="auto"/>
          <w:highlight w:val="none"/>
        </w:rPr>
      </w:pPr>
      <w:r>
        <w:rPr>
          <w:rFonts w:hint="eastAsia" w:eastAsia="宋体"/>
          <w:color w:val="auto"/>
          <w:highlight w:val="none"/>
        </w:rPr>
        <w:t>第一册</w:t>
      </w:r>
      <w:r>
        <w:rPr>
          <w:rFonts w:hint="eastAsia"/>
          <w:color w:val="auto"/>
          <w:highlight w:val="none"/>
        </w:rPr>
        <w:t xml:space="preserve">  </w:t>
      </w:r>
      <w:r>
        <w:rPr>
          <w:rFonts w:hint="eastAsia" w:eastAsia="宋体"/>
          <w:color w:val="auto"/>
          <w:highlight w:val="none"/>
        </w:rPr>
        <w:t>专用条款</w:t>
      </w:r>
    </w:p>
    <w:p w14:paraId="17D79405">
      <w:pPr>
        <w:shd w:val="clear"/>
        <w:jc w:val="left"/>
        <w:rPr>
          <w:color w:val="auto"/>
          <w:highlight w:val="none"/>
        </w:rPr>
      </w:pPr>
      <w:r>
        <w:rPr>
          <w:rFonts w:hint="eastAsia"/>
          <w:color w:val="auto"/>
          <w:highlight w:val="none"/>
        </w:rPr>
        <w:t xml:space="preserve">          </w:t>
      </w:r>
      <w:r>
        <w:rPr>
          <w:rFonts w:hint="eastAsia" w:ascii="宋体" w:hAnsi="宋体" w:eastAsia="宋体" w:cs="宋体"/>
          <w:color w:val="auto"/>
          <w:highlight w:val="none"/>
        </w:rPr>
        <w:t>关键信息</w:t>
      </w:r>
    </w:p>
    <w:p w14:paraId="73FE360D">
      <w:pPr>
        <w:shd w:val="clear"/>
        <w:jc w:val="left"/>
        <w:rPr>
          <w:color w:val="auto"/>
          <w:highlight w:val="none"/>
        </w:rPr>
      </w:pPr>
      <w:r>
        <w:rPr>
          <w:rFonts w:hint="eastAsia" w:eastAsia="宋体"/>
          <w:color w:val="auto"/>
          <w:highlight w:val="none"/>
        </w:rPr>
        <w:t>第一章</w:t>
      </w:r>
      <w:r>
        <w:rPr>
          <w:rFonts w:hint="eastAsia"/>
          <w:color w:val="auto"/>
          <w:highlight w:val="none"/>
        </w:rPr>
        <w:t xml:space="preserve">  </w:t>
      </w:r>
      <w:r>
        <w:rPr>
          <w:rFonts w:hint="eastAsia" w:eastAsia="宋体"/>
          <w:color w:val="auto"/>
          <w:highlight w:val="none"/>
        </w:rPr>
        <w:t>招标公告</w:t>
      </w:r>
    </w:p>
    <w:p w14:paraId="0C360A25">
      <w:pPr>
        <w:shd w:val="clear"/>
        <w:jc w:val="left"/>
        <w:rPr>
          <w:color w:val="auto"/>
          <w:highlight w:val="none"/>
        </w:rPr>
      </w:pPr>
      <w:r>
        <w:rPr>
          <w:rFonts w:hint="eastAsia" w:eastAsia="宋体"/>
          <w:color w:val="auto"/>
          <w:highlight w:val="none"/>
        </w:rPr>
        <w:t>第二章</w:t>
      </w:r>
      <w:r>
        <w:rPr>
          <w:rFonts w:hint="eastAsia"/>
          <w:color w:val="auto"/>
          <w:highlight w:val="none"/>
        </w:rPr>
        <w:t xml:space="preserve">  </w:t>
      </w:r>
      <w:bookmarkStart w:id="6" w:name="_Hlk71994379"/>
      <w:r>
        <w:rPr>
          <w:rFonts w:hint="eastAsia" w:eastAsia="宋体"/>
          <w:color w:val="auto"/>
          <w:highlight w:val="none"/>
        </w:rPr>
        <w:t>对通用条款的补充内容及其他关键信息</w:t>
      </w:r>
      <w:bookmarkEnd w:id="6"/>
    </w:p>
    <w:p w14:paraId="0FA9331B">
      <w:pPr>
        <w:shd w:val="clear"/>
        <w:jc w:val="left"/>
        <w:rPr>
          <w:color w:val="auto"/>
          <w:highlight w:val="none"/>
        </w:rPr>
      </w:pPr>
      <w:r>
        <w:rPr>
          <w:rFonts w:hint="eastAsia" w:eastAsia="宋体"/>
          <w:color w:val="auto"/>
          <w:highlight w:val="none"/>
        </w:rPr>
        <w:t>第三章</w:t>
      </w:r>
      <w:r>
        <w:rPr>
          <w:rFonts w:hint="eastAsia"/>
          <w:color w:val="auto"/>
          <w:highlight w:val="none"/>
        </w:rPr>
        <w:t xml:space="preserve"> </w:t>
      </w:r>
      <w:r>
        <w:rPr>
          <w:color w:val="auto"/>
          <w:highlight w:val="none"/>
        </w:rPr>
        <w:t xml:space="preserve"> </w:t>
      </w:r>
      <w:r>
        <w:rPr>
          <w:rFonts w:hint="eastAsia" w:eastAsia="宋体"/>
          <w:color w:val="auto"/>
          <w:highlight w:val="none"/>
        </w:rPr>
        <w:t>用户需求书</w:t>
      </w:r>
    </w:p>
    <w:p w14:paraId="262024F9">
      <w:pPr>
        <w:shd w:val="clear"/>
        <w:jc w:val="left"/>
        <w:rPr>
          <w:color w:val="auto"/>
          <w:highlight w:val="none"/>
        </w:rPr>
      </w:pPr>
      <w:r>
        <w:rPr>
          <w:rFonts w:hint="eastAsia" w:eastAsia="宋体"/>
          <w:color w:val="auto"/>
          <w:highlight w:val="none"/>
        </w:rPr>
        <w:t>第四章</w:t>
      </w:r>
      <w:r>
        <w:rPr>
          <w:rFonts w:hint="eastAsia"/>
          <w:color w:val="auto"/>
          <w:highlight w:val="none"/>
        </w:rPr>
        <w:t xml:space="preserve"> </w:t>
      </w:r>
      <w:r>
        <w:rPr>
          <w:color w:val="auto"/>
          <w:highlight w:val="none"/>
        </w:rPr>
        <w:t xml:space="preserve"> </w:t>
      </w:r>
      <w:r>
        <w:rPr>
          <w:rFonts w:hint="eastAsia" w:eastAsia="宋体"/>
          <w:color w:val="auto"/>
          <w:highlight w:val="none"/>
        </w:rPr>
        <w:t>投标文件组成要求及格式</w:t>
      </w:r>
    </w:p>
    <w:p w14:paraId="173DA5B1">
      <w:pPr>
        <w:shd w:val="clear"/>
        <w:jc w:val="left"/>
        <w:rPr>
          <w:color w:val="auto"/>
          <w:highlight w:val="none"/>
        </w:rPr>
      </w:pPr>
      <w:r>
        <w:rPr>
          <w:rFonts w:hint="eastAsia" w:eastAsia="宋体"/>
          <w:color w:val="auto"/>
          <w:highlight w:val="none"/>
        </w:rPr>
        <w:t>第五章</w:t>
      </w:r>
      <w:r>
        <w:rPr>
          <w:rFonts w:hint="eastAsia"/>
          <w:color w:val="auto"/>
          <w:highlight w:val="none"/>
        </w:rPr>
        <w:t xml:space="preserve">  </w:t>
      </w:r>
      <w:r>
        <w:rPr>
          <w:rFonts w:hint="eastAsia" w:eastAsia="宋体"/>
          <w:color w:val="auto"/>
          <w:highlight w:val="none"/>
        </w:rPr>
        <w:t>合同条款及格式</w:t>
      </w:r>
    </w:p>
    <w:p w14:paraId="15A5F3AD">
      <w:pPr>
        <w:shd w:val="clear"/>
        <w:jc w:val="left"/>
        <w:rPr>
          <w:color w:val="auto"/>
          <w:highlight w:val="none"/>
        </w:rPr>
      </w:pPr>
    </w:p>
    <w:p w14:paraId="55757F6C">
      <w:pPr>
        <w:shd w:val="clear"/>
        <w:jc w:val="left"/>
        <w:rPr>
          <w:color w:val="auto"/>
          <w:highlight w:val="none"/>
        </w:rPr>
      </w:pPr>
      <w:r>
        <w:rPr>
          <w:rFonts w:hint="eastAsia" w:eastAsia="宋体"/>
          <w:color w:val="auto"/>
          <w:highlight w:val="none"/>
        </w:rPr>
        <w:t>第二册</w:t>
      </w:r>
      <w:r>
        <w:rPr>
          <w:rFonts w:hint="eastAsia"/>
          <w:color w:val="auto"/>
          <w:highlight w:val="none"/>
        </w:rPr>
        <w:t xml:space="preserve">  </w:t>
      </w:r>
      <w:r>
        <w:rPr>
          <w:rFonts w:hint="eastAsia" w:eastAsia="宋体"/>
          <w:color w:val="auto"/>
          <w:highlight w:val="none"/>
        </w:rPr>
        <w:t>通用条款</w:t>
      </w:r>
    </w:p>
    <w:p w14:paraId="728501D7">
      <w:pPr>
        <w:shd w:val="clear"/>
        <w:jc w:val="left"/>
        <w:rPr>
          <w:color w:val="auto"/>
          <w:highlight w:val="none"/>
        </w:rPr>
      </w:pPr>
      <w:r>
        <w:rPr>
          <w:rFonts w:hint="eastAsia" w:eastAsia="宋体"/>
          <w:color w:val="auto"/>
          <w:highlight w:val="none"/>
        </w:rPr>
        <w:t>第一章</w:t>
      </w:r>
      <w:r>
        <w:rPr>
          <w:rFonts w:hint="eastAsia"/>
          <w:color w:val="auto"/>
          <w:highlight w:val="none"/>
        </w:rPr>
        <w:t xml:space="preserve">  </w:t>
      </w:r>
      <w:r>
        <w:rPr>
          <w:rFonts w:hint="eastAsia" w:eastAsia="宋体"/>
          <w:color w:val="auto"/>
          <w:highlight w:val="none"/>
        </w:rPr>
        <w:t>总则</w:t>
      </w:r>
    </w:p>
    <w:p w14:paraId="045D0A9D">
      <w:pPr>
        <w:shd w:val="clear"/>
        <w:jc w:val="left"/>
        <w:rPr>
          <w:color w:val="auto"/>
          <w:highlight w:val="none"/>
        </w:rPr>
      </w:pPr>
      <w:r>
        <w:rPr>
          <w:rFonts w:hint="eastAsia" w:eastAsia="宋体"/>
          <w:color w:val="auto"/>
          <w:highlight w:val="none"/>
        </w:rPr>
        <w:t>第二章</w:t>
      </w:r>
      <w:r>
        <w:rPr>
          <w:rFonts w:hint="eastAsia"/>
          <w:color w:val="auto"/>
          <w:highlight w:val="none"/>
        </w:rPr>
        <w:t xml:space="preserve">  </w:t>
      </w:r>
      <w:r>
        <w:rPr>
          <w:rFonts w:hint="eastAsia" w:eastAsia="宋体"/>
          <w:color w:val="auto"/>
          <w:highlight w:val="none"/>
        </w:rPr>
        <w:t>招标文件</w:t>
      </w:r>
    </w:p>
    <w:p w14:paraId="78ABB3C7">
      <w:pPr>
        <w:shd w:val="clear"/>
        <w:jc w:val="left"/>
        <w:rPr>
          <w:color w:val="auto"/>
          <w:highlight w:val="none"/>
        </w:rPr>
      </w:pPr>
      <w:r>
        <w:rPr>
          <w:rFonts w:hint="eastAsia" w:eastAsia="宋体"/>
          <w:color w:val="auto"/>
          <w:highlight w:val="none"/>
        </w:rPr>
        <w:t>第三章</w:t>
      </w:r>
      <w:r>
        <w:rPr>
          <w:rFonts w:hint="eastAsia"/>
          <w:color w:val="auto"/>
          <w:highlight w:val="none"/>
        </w:rPr>
        <w:t xml:space="preserve">  </w:t>
      </w:r>
      <w:r>
        <w:rPr>
          <w:rFonts w:hint="eastAsia" w:eastAsia="宋体"/>
          <w:color w:val="auto"/>
          <w:highlight w:val="none"/>
        </w:rPr>
        <w:t>投标文件的编制</w:t>
      </w:r>
    </w:p>
    <w:p w14:paraId="24D98209">
      <w:pPr>
        <w:shd w:val="clear"/>
        <w:jc w:val="left"/>
        <w:rPr>
          <w:color w:val="auto"/>
          <w:highlight w:val="none"/>
        </w:rPr>
      </w:pPr>
      <w:r>
        <w:rPr>
          <w:rFonts w:hint="eastAsia" w:eastAsia="宋体"/>
          <w:color w:val="auto"/>
          <w:highlight w:val="none"/>
        </w:rPr>
        <w:t>第四章</w:t>
      </w:r>
      <w:r>
        <w:rPr>
          <w:rFonts w:hint="eastAsia"/>
          <w:color w:val="auto"/>
          <w:highlight w:val="none"/>
        </w:rPr>
        <w:t xml:space="preserve">  </w:t>
      </w:r>
      <w:r>
        <w:rPr>
          <w:rFonts w:hint="eastAsia" w:eastAsia="宋体"/>
          <w:color w:val="auto"/>
          <w:highlight w:val="none"/>
        </w:rPr>
        <w:t>投标文件的递交</w:t>
      </w:r>
    </w:p>
    <w:p w14:paraId="2F745A3C">
      <w:pPr>
        <w:shd w:val="clear"/>
        <w:jc w:val="left"/>
        <w:rPr>
          <w:color w:val="auto"/>
          <w:highlight w:val="none"/>
        </w:rPr>
      </w:pPr>
      <w:r>
        <w:rPr>
          <w:rFonts w:hint="eastAsia" w:eastAsia="宋体"/>
          <w:color w:val="auto"/>
          <w:highlight w:val="none"/>
        </w:rPr>
        <w:t>第五章</w:t>
      </w:r>
      <w:r>
        <w:rPr>
          <w:rFonts w:hint="eastAsia"/>
          <w:color w:val="auto"/>
          <w:highlight w:val="none"/>
        </w:rPr>
        <w:t xml:space="preserve">  </w:t>
      </w:r>
      <w:r>
        <w:rPr>
          <w:rFonts w:hint="eastAsia" w:eastAsia="宋体"/>
          <w:color w:val="auto"/>
          <w:highlight w:val="none"/>
        </w:rPr>
        <w:t>开标</w:t>
      </w:r>
    </w:p>
    <w:p w14:paraId="1E78D3EF">
      <w:pPr>
        <w:shd w:val="clear"/>
        <w:jc w:val="left"/>
        <w:rPr>
          <w:color w:val="auto"/>
          <w:highlight w:val="none"/>
        </w:rPr>
      </w:pPr>
      <w:r>
        <w:rPr>
          <w:rFonts w:hint="eastAsia" w:eastAsia="宋体"/>
          <w:color w:val="auto"/>
          <w:highlight w:val="none"/>
        </w:rPr>
        <w:t>第六章</w:t>
      </w:r>
      <w:r>
        <w:rPr>
          <w:rFonts w:hint="eastAsia"/>
          <w:color w:val="auto"/>
          <w:highlight w:val="none"/>
        </w:rPr>
        <w:t xml:space="preserve">  </w:t>
      </w:r>
      <w:r>
        <w:rPr>
          <w:rFonts w:hint="eastAsia" w:eastAsia="宋体"/>
          <w:color w:val="auto"/>
          <w:highlight w:val="none"/>
        </w:rPr>
        <w:t>评审要求</w:t>
      </w:r>
    </w:p>
    <w:p w14:paraId="067F1CCF">
      <w:pPr>
        <w:shd w:val="clear"/>
        <w:jc w:val="left"/>
        <w:rPr>
          <w:color w:val="auto"/>
          <w:highlight w:val="none"/>
        </w:rPr>
      </w:pPr>
      <w:r>
        <w:rPr>
          <w:rFonts w:hint="eastAsia" w:eastAsia="宋体"/>
          <w:color w:val="auto"/>
          <w:highlight w:val="none"/>
        </w:rPr>
        <w:t>第七章</w:t>
      </w:r>
      <w:r>
        <w:rPr>
          <w:rFonts w:hint="eastAsia"/>
          <w:color w:val="auto"/>
          <w:highlight w:val="none"/>
        </w:rPr>
        <w:t xml:space="preserve">  </w:t>
      </w:r>
      <w:r>
        <w:rPr>
          <w:rFonts w:hint="eastAsia" w:eastAsia="宋体"/>
          <w:color w:val="auto"/>
          <w:highlight w:val="none"/>
        </w:rPr>
        <w:t>评审程序及评审方法</w:t>
      </w:r>
    </w:p>
    <w:p w14:paraId="4ECA3FA5">
      <w:pPr>
        <w:shd w:val="clear"/>
        <w:jc w:val="left"/>
        <w:rPr>
          <w:color w:val="auto"/>
          <w:highlight w:val="none"/>
        </w:rPr>
      </w:pPr>
      <w:r>
        <w:rPr>
          <w:rFonts w:hint="eastAsia" w:eastAsia="宋体"/>
          <w:color w:val="auto"/>
          <w:highlight w:val="none"/>
        </w:rPr>
        <w:t>第八章</w:t>
      </w:r>
      <w:r>
        <w:rPr>
          <w:rFonts w:hint="eastAsia"/>
          <w:color w:val="auto"/>
          <w:highlight w:val="none"/>
        </w:rPr>
        <w:t xml:space="preserve">  </w:t>
      </w:r>
      <w:r>
        <w:rPr>
          <w:rFonts w:hint="eastAsia" w:eastAsia="宋体"/>
          <w:color w:val="auto"/>
          <w:highlight w:val="none"/>
        </w:rPr>
        <w:t>定标及公示</w:t>
      </w:r>
    </w:p>
    <w:p w14:paraId="3740D572">
      <w:pPr>
        <w:shd w:val="clear"/>
        <w:jc w:val="left"/>
        <w:rPr>
          <w:color w:val="auto"/>
          <w:highlight w:val="none"/>
        </w:rPr>
      </w:pPr>
      <w:r>
        <w:rPr>
          <w:rFonts w:hint="eastAsia" w:eastAsia="宋体"/>
          <w:color w:val="auto"/>
          <w:highlight w:val="none"/>
        </w:rPr>
        <w:t>第九章</w:t>
      </w:r>
      <w:r>
        <w:rPr>
          <w:rFonts w:hint="eastAsia"/>
          <w:color w:val="auto"/>
          <w:highlight w:val="none"/>
        </w:rPr>
        <w:t xml:space="preserve">  </w:t>
      </w:r>
      <w:r>
        <w:rPr>
          <w:rFonts w:hint="eastAsia" w:eastAsia="宋体"/>
          <w:color w:val="auto"/>
          <w:highlight w:val="none"/>
        </w:rPr>
        <w:t>公开招标失败的后续处理</w:t>
      </w:r>
    </w:p>
    <w:p w14:paraId="5502E77C">
      <w:pPr>
        <w:shd w:val="clear"/>
        <w:jc w:val="left"/>
        <w:rPr>
          <w:color w:val="auto"/>
          <w:highlight w:val="none"/>
        </w:rPr>
      </w:pPr>
      <w:r>
        <w:rPr>
          <w:rFonts w:hint="eastAsia" w:eastAsia="宋体"/>
          <w:color w:val="auto"/>
          <w:highlight w:val="none"/>
        </w:rPr>
        <w:t>第十章</w:t>
      </w:r>
      <w:r>
        <w:rPr>
          <w:rFonts w:hint="eastAsia"/>
          <w:color w:val="auto"/>
          <w:highlight w:val="none"/>
        </w:rPr>
        <w:t xml:space="preserve">  </w:t>
      </w:r>
      <w:r>
        <w:rPr>
          <w:rFonts w:hint="eastAsia" w:eastAsia="宋体"/>
          <w:color w:val="auto"/>
          <w:highlight w:val="none"/>
        </w:rPr>
        <w:t>合同的授予与备案</w:t>
      </w:r>
    </w:p>
    <w:p w14:paraId="1D45F059">
      <w:pPr>
        <w:shd w:val="clear"/>
        <w:jc w:val="left"/>
        <w:rPr>
          <w:color w:val="auto"/>
          <w:highlight w:val="none"/>
        </w:rPr>
      </w:pPr>
      <w:r>
        <w:rPr>
          <w:rFonts w:hint="eastAsia" w:eastAsia="宋体"/>
          <w:color w:val="auto"/>
          <w:highlight w:val="none"/>
        </w:rPr>
        <w:t>第十一章</w:t>
      </w:r>
      <w:r>
        <w:rPr>
          <w:rFonts w:hint="eastAsia"/>
          <w:color w:val="auto"/>
          <w:highlight w:val="none"/>
        </w:rPr>
        <w:t xml:space="preserve">  </w:t>
      </w:r>
      <w:r>
        <w:rPr>
          <w:rFonts w:hint="eastAsia" w:eastAsia="宋体"/>
          <w:color w:val="auto"/>
          <w:highlight w:val="none"/>
        </w:rPr>
        <w:t>质疑处理</w:t>
      </w:r>
    </w:p>
    <w:p w14:paraId="28B7BA10">
      <w:pPr>
        <w:shd w:val="clear"/>
        <w:jc w:val="left"/>
        <w:rPr>
          <w:rFonts w:hint="eastAsia" w:eastAsia="宋体"/>
          <w:color w:val="auto"/>
          <w:highlight w:val="none"/>
        </w:rPr>
      </w:pPr>
      <w:r>
        <w:rPr>
          <w:rFonts w:hint="eastAsia" w:eastAsia="宋体"/>
          <w:color w:val="auto"/>
          <w:highlight w:val="none"/>
        </w:rPr>
        <w:t>第十二章</w:t>
      </w:r>
      <w:r>
        <w:rPr>
          <w:rFonts w:hint="eastAsia"/>
          <w:color w:val="auto"/>
          <w:highlight w:val="none"/>
        </w:rPr>
        <w:t xml:space="preserve">  </w:t>
      </w:r>
      <w:r>
        <w:rPr>
          <w:rFonts w:hint="eastAsia" w:eastAsia="宋体"/>
          <w:color w:val="auto"/>
          <w:highlight w:val="none"/>
        </w:rPr>
        <w:t>招标代理服务费（可选项）</w:t>
      </w:r>
    </w:p>
    <w:p w14:paraId="06021771">
      <w:pPr>
        <w:pStyle w:val="22"/>
        <w:shd w:val="clear"/>
        <w:rPr>
          <w:rFonts w:hint="eastAsia" w:eastAsia="宋体"/>
          <w:color w:val="auto"/>
          <w:highlight w:val="none"/>
        </w:rPr>
      </w:pPr>
    </w:p>
    <w:p w14:paraId="5D09B9FE">
      <w:pPr>
        <w:pStyle w:val="22"/>
        <w:shd w:val="clear"/>
        <w:rPr>
          <w:rFonts w:hint="eastAsia" w:eastAsia="宋体"/>
          <w:color w:val="auto"/>
          <w:highlight w:val="none"/>
        </w:rPr>
      </w:pPr>
    </w:p>
    <w:p w14:paraId="773D2D98">
      <w:pPr>
        <w:pStyle w:val="22"/>
        <w:shd w:val="clear"/>
        <w:rPr>
          <w:rFonts w:hint="eastAsia" w:eastAsia="宋体"/>
          <w:color w:val="auto"/>
          <w:highlight w:val="none"/>
        </w:rPr>
      </w:pPr>
    </w:p>
    <w:p w14:paraId="0417827B">
      <w:pPr>
        <w:pStyle w:val="22"/>
        <w:shd w:val="clear"/>
        <w:rPr>
          <w:rFonts w:hint="eastAsia" w:eastAsia="宋体"/>
          <w:color w:val="auto"/>
          <w:highlight w:val="none"/>
        </w:rPr>
      </w:pPr>
    </w:p>
    <w:p w14:paraId="0E25B837">
      <w:pPr>
        <w:pStyle w:val="22"/>
        <w:shd w:val="clear"/>
        <w:rPr>
          <w:rFonts w:hint="eastAsia" w:eastAsia="宋体"/>
          <w:color w:val="auto"/>
          <w:highlight w:val="none"/>
        </w:rPr>
      </w:pPr>
    </w:p>
    <w:p w14:paraId="56A94843">
      <w:pPr>
        <w:pStyle w:val="22"/>
        <w:shd w:val="clear"/>
        <w:rPr>
          <w:rFonts w:hint="eastAsia" w:eastAsia="宋体"/>
          <w:color w:val="auto"/>
          <w:highlight w:val="none"/>
        </w:rPr>
      </w:pPr>
    </w:p>
    <w:p w14:paraId="20F9A755">
      <w:pPr>
        <w:pStyle w:val="22"/>
        <w:shd w:val="clear"/>
        <w:rPr>
          <w:rFonts w:hint="eastAsia" w:eastAsia="宋体"/>
          <w:color w:val="auto"/>
          <w:highlight w:val="none"/>
        </w:rPr>
      </w:pPr>
    </w:p>
    <w:p w14:paraId="47BEF474">
      <w:pPr>
        <w:pStyle w:val="22"/>
        <w:shd w:val="clear"/>
        <w:rPr>
          <w:rFonts w:hint="eastAsia" w:eastAsia="宋体"/>
          <w:color w:val="auto"/>
          <w:highlight w:val="none"/>
        </w:rPr>
      </w:pPr>
    </w:p>
    <w:p w14:paraId="47D58018">
      <w:pPr>
        <w:pStyle w:val="22"/>
        <w:shd w:val="clear"/>
        <w:rPr>
          <w:rFonts w:hint="eastAsia" w:eastAsia="宋体"/>
          <w:color w:val="auto"/>
          <w:highlight w:val="none"/>
        </w:rPr>
      </w:pPr>
    </w:p>
    <w:p w14:paraId="7AF1F1DB">
      <w:pPr>
        <w:pStyle w:val="22"/>
        <w:shd w:val="clear"/>
        <w:rPr>
          <w:rFonts w:hint="eastAsia" w:eastAsia="宋体"/>
          <w:color w:val="auto"/>
          <w:highlight w:val="none"/>
        </w:rPr>
      </w:pPr>
    </w:p>
    <w:p w14:paraId="6B063D12">
      <w:pPr>
        <w:pStyle w:val="22"/>
        <w:shd w:val="clear"/>
        <w:rPr>
          <w:rFonts w:hint="eastAsia" w:eastAsia="宋体"/>
          <w:color w:val="auto"/>
          <w:highlight w:val="none"/>
        </w:rPr>
      </w:pPr>
    </w:p>
    <w:p w14:paraId="3BCF9938">
      <w:pPr>
        <w:pStyle w:val="22"/>
        <w:shd w:val="clear"/>
        <w:rPr>
          <w:rFonts w:hint="eastAsia" w:eastAsia="宋体"/>
          <w:color w:val="auto"/>
          <w:highlight w:val="none"/>
        </w:rPr>
      </w:pPr>
    </w:p>
    <w:p w14:paraId="5FF477BD">
      <w:pPr>
        <w:pStyle w:val="22"/>
        <w:shd w:val="clear"/>
        <w:rPr>
          <w:rFonts w:hint="eastAsia" w:eastAsia="宋体"/>
          <w:color w:val="auto"/>
          <w:highlight w:val="none"/>
        </w:rPr>
      </w:pPr>
    </w:p>
    <w:p w14:paraId="202C9C1D">
      <w:pPr>
        <w:pStyle w:val="22"/>
        <w:shd w:val="clear"/>
        <w:rPr>
          <w:rFonts w:hint="eastAsia" w:eastAsia="宋体"/>
          <w:color w:val="auto"/>
          <w:highlight w:val="none"/>
        </w:rPr>
      </w:pPr>
    </w:p>
    <w:p w14:paraId="396AC2C1">
      <w:pPr>
        <w:pStyle w:val="22"/>
        <w:shd w:val="clear"/>
        <w:rPr>
          <w:rFonts w:hint="eastAsia" w:eastAsia="宋体"/>
          <w:color w:val="auto"/>
          <w:highlight w:val="none"/>
        </w:rPr>
      </w:pPr>
    </w:p>
    <w:p w14:paraId="227575C6">
      <w:pPr>
        <w:pStyle w:val="3"/>
        <w:numPr>
          <w:ilvl w:val="0"/>
          <w:numId w:val="2"/>
        </w:numPr>
        <w:shd w:val="clear"/>
        <w:rPr>
          <w:color w:val="auto"/>
          <w:highlight w:val="none"/>
        </w:rPr>
      </w:pPr>
      <w:r>
        <w:rPr>
          <w:rFonts w:hint="eastAsia"/>
          <w:color w:val="auto"/>
          <w:highlight w:val="none"/>
        </w:rPr>
        <w:t xml:space="preserve"> </w:t>
      </w:r>
      <w:r>
        <w:rPr>
          <w:rFonts w:hint="eastAsia" w:eastAsia="宋体"/>
          <w:color w:val="auto"/>
          <w:highlight w:val="none"/>
          <w:lang w:val="en-US" w:eastAsia="zh-CN"/>
        </w:rPr>
        <w:t>采购</w:t>
      </w:r>
      <w:r>
        <w:rPr>
          <w:rFonts w:hint="eastAsia"/>
          <w:color w:val="auto"/>
          <w:highlight w:val="none"/>
        </w:rPr>
        <w:t xml:space="preserve">公告  </w:t>
      </w:r>
    </w:p>
    <w:p w14:paraId="711C664B">
      <w:pPr>
        <w:shd w:val="clear"/>
        <w:spacing w:line="360" w:lineRule="auto"/>
        <w:ind w:left="0" w:leftChars="0"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深圳市城投全过程工程咨询有限公司（以下简称“采购代理机构”）受采购人委托，就盐田区人民医院发热门诊大楼及配套设施项目手机信号覆盖工程（重新招标第1次）项目采购接受合格的国内投标人提交密封投标。有关事项如下：</w:t>
      </w:r>
    </w:p>
    <w:p w14:paraId="4F3C9CC3">
      <w:pPr>
        <w:shd w:val="clear"/>
        <w:spacing w:line="360" w:lineRule="auto"/>
        <w:ind w:firstLine="0"/>
        <w:jc w:val="both"/>
        <w:rPr>
          <w:rFonts w:hint="eastAsia" w:eastAsia="宋体"/>
          <w:b/>
          <w:bCs/>
          <w:color w:val="auto"/>
          <w:highlight w:val="none"/>
          <w:lang w:val="en-US" w:eastAsia="zh-CN"/>
        </w:rPr>
      </w:pPr>
      <w:r>
        <w:rPr>
          <w:rFonts w:hint="eastAsia" w:eastAsia="宋体"/>
          <w:b/>
          <w:bCs/>
          <w:color w:val="auto"/>
          <w:highlight w:val="none"/>
          <w:lang w:val="en-US" w:eastAsia="zh-CN"/>
        </w:rPr>
        <w:t>一、 项目编号：YTGWS-2026-0116</w:t>
      </w:r>
    </w:p>
    <w:p w14:paraId="103A56E1">
      <w:pPr>
        <w:shd w:val="clear"/>
        <w:spacing w:line="360" w:lineRule="auto"/>
        <w:ind w:firstLine="0"/>
        <w:jc w:val="both"/>
        <w:rPr>
          <w:rFonts w:hint="eastAsia" w:eastAsia="宋体"/>
          <w:b/>
          <w:bCs/>
          <w:color w:val="auto"/>
          <w:highlight w:val="none"/>
          <w:lang w:val="en-US" w:eastAsia="zh-CN"/>
        </w:rPr>
      </w:pPr>
      <w:r>
        <w:rPr>
          <w:rFonts w:hint="eastAsia" w:eastAsia="宋体"/>
          <w:b/>
          <w:bCs/>
          <w:color w:val="auto"/>
          <w:highlight w:val="none"/>
          <w:lang w:val="en-US" w:eastAsia="zh-CN"/>
        </w:rPr>
        <w:t>二、 采购项目名称：盐田区人民医院发热门诊大楼及配套设施项目手机信号覆盖工程（重新招标第1次）</w:t>
      </w:r>
    </w:p>
    <w:p w14:paraId="0A1B1A4A">
      <w:pPr>
        <w:shd w:val="clear"/>
        <w:spacing w:line="360" w:lineRule="auto"/>
        <w:ind w:firstLine="0"/>
        <w:jc w:val="both"/>
        <w:rPr>
          <w:rFonts w:hint="eastAsia" w:eastAsia="宋体"/>
          <w:b/>
          <w:bCs/>
          <w:color w:val="auto"/>
          <w:highlight w:val="none"/>
          <w:lang w:val="en-US" w:eastAsia="zh-CN"/>
        </w:rPr>
      </w:pPr>
      <w:r>
        <w:rPr>
          <w:rFonts w:hint="eastAsia" w:eastAsia="宋体"/>
          <w:b/>
          <w:bCs/>
          <w:color w:val="auto"/>
          <w:highlight w:val="none"/>
          <w:lang w:val="en-US" w:eastAsia="zh-CN"/>
        </w:rPr>
        <w:t>三、 采购项目内容及需求 ：</w:t>
      </w:r>
    </w:p>
    <w:p w14:paraId="712A004A">
      <w:pPr>
        <w:shd w:val="clear"/>
        <w:spacing w:line="360" w:lineRule="auto"/>
        <w:ind w:firstLine="0"/>
        <w:jc w:val="both"/>
        <w:rPr>
          <w:rFonts w:hint="eastAsia" w:eastAsia="宋体"/>
          <w:b w:val="0"/>
          <w:bCs w:val="0"/>
          <w:color w:val="auto"/>
          <w:highlight w:val="none"/>
          <w:lang w:val="en-US" w:eastAsia="zh-CN"/>
        </w:rPr>
      </w:pPr>
      <w:r>
        <w:rPr>
          <w:rFonts w:hint="eastAsia" w:eastAsia="宋体"/>
          <w:b w:val="0"/>
          <w:bCs w:val="0"/>
          <w:color w:val="auto"/>
          <w:highlight w:val="none"/>
          <w:lang w:val="en-US" w:eastAsia="zh-CN"/>
        </w:rPr>
        <w:t>1. 采购项目内容及预算金额：</w:t>
      </w:r>
    </w:p>
    <w:tbl>
      <w:tblPr>
        <w:tblStyle w:val="25"/>
        <w:tblW w:w="86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8"/>
        <w:gridCol w:w="1150"/>
        <w:gridCol w:w="3100"/>
        <w:gridCol w:w="1866"/>
      </w:tblGrid>
      <w:tr w14:paraId="0CB21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558" w:type="dxa"/>
            <w:tcBorders>
              <w:top w:val="single" w:color="auto" w:sz="12" w:space="0"/>
              <w:left w:val="single" w:color="auto" w:sz="12" w:space="0"/>
            </w:tcBorders>
            <w:shd w:val="clear" w:color="auto" w:fill="E7E6E6"/>
            <w:noWrap w:val="0"/>
            <w:vAlign w:val="center"/>
          </w:tcPr>
          <w:p w14:paraId="6F57587E">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采购内容</w:t>
            </w:r>
          </w:p>
        </w:tc>
        <w:tc>
          <w:tcPr>
            <w:tcW w:w="1150" w:type="dxa"/>
            <w:tcBorders>
              <w:top w:val="single" w:color="auto" w:sz="12" w:space="0"/>
            </w:tcBorders>
            <w:shd w:val="clear" w:color="auto" w:fill="E7E6E6"/>
            <w:noWrap w:val="0"/>
            <w:vAlign w:val="center"/>
          </w:tcPr>
          <w:p w14:paraId="647B80D3">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数量</w:t>
            </w:r>
          </w:p>
        </w:tc>
        <w:tc>
          <w:tcPr>
            <w:tcW w:w="3100" w:type="dxa"/>
            <w:tcBorders>
              <w:top w:val="single" w:color="auto" w:sz="12" w:space="0"/>
            </w:tcBorders>
            <w:shd w:val="clear" w:color="auto" w:fill="E7E6E6"/>
            <w:noWrap w:val="0"/>
            <w:vAlign w:val="center"/>
          </w:tcPr>
          <w:p w14:paraId="5E4D4091">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服务期</w:t>
            </w:r>
          </w:p>
        </w:tc>
        <w:tc>
          <w:tcPr>
            <w:tcW w:w="1866" w:type="dxa"/>
            <w:tcBorders>
              <w:top w:val="single" w:color="auto" w:sz="12" w:space="0"/>
              <w:right w:val="single" w:color="auto" w:sz="12" w:space="0"/>
            </w:tcBorders>
            <w:shd w:val="clear" w:color="auto" w:fill="E7E6E6"/>
            <w:noWrap w:val="0"/>
            <w:vAlign w:val="center"/>
          </w:tcPr>
          <w:p w14:paraId="22D78D60">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预算金额</w:t>
            </w:r>
          </w:p>
        </w:tc>
      </w:tr>
      <w:tr w14:paraId="6D792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2558" w:type="dxa"/>
            <w:tcBorders>
              <w:left w:val="single" w:color="auto" w:sz="12" w:space="0"/>
              <w:bottom w:val="single" w:color="auto" w:sz="12" w:space="0"/>
            </w:tcBorders>
            <w:noWrap w:val="0"/>
            <w:vAlign w:val="center"/>
          </w:tcPr>
          <w:p w14:paraId="64F2FE91">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盐田区人民医院发热门诊大楼及配套设施项目手机信号覆盖工程（重新招标第1次）</w:t>
            </w:r>
          </w:p>
        </w:tc>
        <w:tc>
          <w:tcPr>
            <w:tcW w:w="1150" w:type="dxa"/>
            <w:tcBorders>
              <w:bottom w:val="single" w:color="auto" w:sz="12" w:space="0"/>
            </w:tcBorders>
            <w:noWrap w:val="0"/>
            <w:vAlign w:val="center"/>
          </w:tcPr>
          <w:p w14:paraId="514BFD6B">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1项</w:t>
            </w:r>
          </w:p>
        </w:tc>
        <w:tc>
          <w:tcPr>
            <w:tcW w:w="3100" w:type="dxa"/>
            <w:tcBorders>
              <w:bottom w:val="single" w:color="auto" w:sz="12" w:space="0"/>
            </w:tcBorders>
            <w:noWrap w:val="0"/>
            <w:vAlign w:val="center"/>
          </w:tcPr>
          <w:p w14:paraId="4055BFC3">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总工期为30个日历日，具体开工时间以采购单位通知为准；</w:t>
            </w:r>
          </w:p>
        </w:tc>
        <w:tc>
          <w:tcPr>
            <w:tcW w:w="1866" w:type="dxa"/>
            <w:tcBorders>
              <w:bottom w:val="single" w:color="auto" w:sz="12" w:space="0"/>
              <w:right w:val="single" w:color="auto" w:sz="12" w:space="0"/>
            </w:tcBorders>
            <w:noWrap w:val="0"/>
            <w:vAlign w:val="center"/>
          </w:tcPr>
          <w:p w14:paraId="06E13BA5">
            <w:pPr>
              <w:widowControl w:val="0"/>
              <w:shd w:val="clear"/>
              <w:spacing w:line="360" w:lineRule="auto"/>
              <w:ind w:firstLine="0"/>
              <w:jc w:val="center"/>
              <w:rPr>
                <w:rFonts w:hint="eastAsia" w:eastAsia="宋体"/>
                <w:b w:val="0"/>
                <w:bCs w:val="0"/>
                <w:color w:val="auto"/>
                <w:highlight w:val="none"/>
                <w:lang w:val="en-US" w:eastAsia="zh-CN"/>
              </w:rPr>
            </w:pPr>
            <w:r>
              <w:rPr>
                <w:rFonts w:hint="eastAsia" w:eastAsia="宋体"/>
                <w:b w:val="0"/>
                <w:bCs w:val="0"/>
                <w:color w:val="auto"/>
                <w:highlight w:val="none"/>
                <w:lang w:val="en-US" w:eastAsia="zh-CN"/>
              </w:rPr>
              <w:t>人民币523,835.01元</w:t>
            </w:r>
          </w:p>
        </w:tc>
      </w:tr>
    </w:tbl>
    <w:p w14:paraId="0C1AAD89">
      <w:pPr>
        <w:shd w:val="clear"/>
        <w:spacing w:line="360" w:lineRule="auto"/>
        <w:ind w:firstLine="0"/>
        <w:jc w:val="both"/>
        <w:rPr>
          <w:rFonts w:hint="eastAsia" w:eastAsia="宋体"/>
          <w:b w:val="0"/>
          <w:bCs w:val="0"/>
          <w:color w:val="auto"/>
          <w:highlight w:val="none"/>
          <w:lang w:val="en-US" w:eastAsia="zh-CN"/>
        </w:rPr>
      </w:pPr>
      <w:r>
        <w:rPr>
          <w:rFonts w:hint="eastAsia" w:eastAsia="宋体"/>
          <w:b w:val="0"/>
          <w:bCs w:val="0"/>
          <w:color w:val="auto"/>
          <w:highlight w:val="none"/>
          <w:lang w:val="en-US" w:eastAsia="zh-CN"/>
        </w:rPr>
        <w:t>招标控制价：523,835.01元，投标上限价: 523,835.01元；其中：安全文明施工措施费7,455.21元，不可竞争费合计：7,455.21元；</w:t>
      </w:r>
    </w:p>
    <w:p w14:paraId="2DC417E8">
      <w:pPr>
        <w:shd w:val="clear"/>
        <w:spacing w:line="360" w:lineRule="auto"/>
        <w:ind w:firstLine="0"/>
        <w:jc w:val="both"/>
        <w:rPr>
          <w:rFonts w:hint="eastAsia" w:eastAsia="宋体"/>
          <w:b w:val="0"/>
          <w:bCs w:val="0"/>
          <w:color w:val="auto"/>
          <w:highlight w:val="none"/>
          <w:lang w:val="en-US" w:eastAsia="zh-CN"/>
        </w:rPr>
      </w:pPr>
      <w:r>
        <w:rPr>
          <w:rFonts w:hint="eastAsia" w:eastAsia="宋体"/>
          <w:b w:val="0"/>
          <w:bCs w:val="0"/>
          <w:color w:val="auto"/>
          <w:highlight w:val="none"/>
          <w:lang w:val="en-US" w:eastAsia="zh-CN"/>
        </w:rPr>
        <w:t>2. 采购人的具体采购需求:详见招标文件中的“用户需求书”。</w:t>
      </w:r>
    </w:p>
    <w:p w14:paraId="6C870A90">
      <w:pPr>
        <w:shd w:val="clear"/>
        <w:spacing w:line="360" w:lineRule="auto"/>
        <w:ind w:firstLine="0"/>
        <w:jc w:val="both"/>
        <w:rPr>
          <w:rFonts w:eastAsia="宋体"/>
          <w:b/>
          <w:bCs/>
          <w:color w:val="auto"/>
          <w:highlight w:val="none"/>
        </w:rPr>
      </w:pPr>
      <w:r>
        <w:rPr>
          <w:rFonts w:hint="eastAsia" w:eastAsia="宋体"/>
          <w:b/>
          <w:bCs/>
          <w:color w:val="auto"/>
          <w:highlight w:val="none"/>
          <w:lang w:val="en-US" w:eastAsia="zh-CN"/>
        </w:rPr>
        <w:t>四</w:t>
      </w:r>
      <w:r>
        <w:rPr>
          <w:rFonts w:hint="eastAsia" w:eastAsia="宋体"/>
          <w:b/>
          <w:bCs/>
          <w:color w:val="auto"/>
          <w:highlight w:val="none"/>
        </w:rPr>
        <w:t>、申请人的资格要求：</w:t>
      </w:r>
    </w:p>
    <w:p w14:paraId="6F039055">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bookmarkStart w:id="7" w:name="_Toc31055"/>
      <w:bookmarkStart w:id="8" w:name="_Toc19779"/>
      <w:bookmarkStart w:id="9" w:name="_Toc14983"/>
      <w:r>
        <w:rPr>
          <w:rFonts w:hint="default" w:ascii="宋体" w:hAnsi="宋体" w:eastAsia="宋体" w:cs="宋体"/>
          <w:color w:val="auto"/>
          <w:sz w:val="24"/>
          <w:szCs w:val="24"/>
          <w:highlight w:val="none"/>
          <w:lang w:val="en-US" w:eastAsia="zh-CN"/>
        </w:rPr>
        <w:t>1.具有独立承担民事责任的能力（提供营业执照或事业单位法人证书等证明资料扫描件，分支机构参与投标的，须同时提供总公司授权文件且授权书载明其民事责任由总公司承担）；</w:t>
      </w:r>
    </w:p>
    <w:p w14:paraId="49562E92">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2.本项目不接受联合体投标，不接受投标人选用进口产品参与投标，详见采购文件“第三章 用户需求书”；</w:t>
      </w:r>
    </w:p>
    <w:p w14:paraId="1EE2DE8A">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3.参与本项目政府采购活动时不存在被有关部门禁止参与政府采购活动且在有效期内的情况（由供应商在《政府采购投标及履约承诺函》中作出声明）；</w:t>
      </w:r>
    </w:p>
    <w:p w14:paraId="405179E6">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4.具备《中华人民共和国政府采购法》第二十二条第一款的条件（由供应商在《政府采购投标及履约承诺函》中作出声明）；</w:t>
      </w:r>
    </w:p>
    <w:p w14:paraId="3E9BC3D7">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5.未被列入失信被执行人、重大税收违法案件当事人名单、政府采购严重违法失信行为记录名单（由供应商在《政府采购投标及履约承诺函》中作出声明）；</w:t>
      </w:r>
    </w:p>
    <w:p w14:paraId="4BDB9AEF">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6.不存在《深圳市财政局政府采购供应商信用信息管理办法》（深财规〔2023〕3号）列明的严重违法失信行为（由供应商在《政府采购投标及履约承诺函》中作出声明）；</w:t>
      </w:r>
    </w:p>
    <w:p w14:paraId="3420C798">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7.为采购项目提供整体设计、规范编制或者项目管理、监理、检测等服务的供应商，不得再参加该采购项目的其他采购活动（由供应商在《政府采购投标及履约承诺函》中作出声明）；</w:t>
      </w:r>
    </w:p>
    <w:p w14:paraId="19A44DEB">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不同供应商的法定代表人、主要经营负责人、项目投标授权代表人、项目负责人、主要技术人员不得为同一人、属同一单位或者在同一单位缴纳社会保险；不同投标供应商的投标文件不得由同一单位或者同一人编制；单位负责人为同一人或者存在直接控股、管理关系的不同供应商，不得参加本项目政府采购活动（由供应商填写《供应商基本情况表》相关信息）；</w:t>
      </w:r>
    </w:p>
    <w:p w14:paraId="3D9B0CA3">
      <w:pPr>
        <w:shd w:val="clear"/>
        <w:spacing w:line="360" w:lineRule="auto"/>
        <w:ind w:left="0" w:leftChars="0"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本项目是（否）专门面向中小企业采购：是，本项目的承接单位为符合政策要求的中小微企业、残疾人福利性单位或监狱企业（由供应商在《中小企业声明函、残疾人福利性单位声明函及监狱企业声明函》中作出声明；未提供声明函或声明函不符合“填写指引”的，按资格审查不通过处理）。</w:t>
      </w:r>
    </w:p>
    <w:p w14:paraId="259E389D">
      <w:pPr>
        <w:shd w:val="clear"/>
        <w:spacing w:line="360" w:lineRule="auto"/>
        <w:ind w:left="0" w:leftChars="0" w:firstLine="480" w:firstLineChars="200"/>
        <w:jc w:val="both"/>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10.投标人须具有电子与智能化工程专业承包二级及以上资质或通信工程施工总承包三级及以上资质。</w:t>
      </w:r>
    </w:p>
    <w:p w14:paraId="166553DD">
      <w:pPr>
        <w:shd w:val="clear"/>
        <w:spacing w:line="360" w:lineRule="auto"/>
        <w:ind w:left="0" w:leftChars="0" w:firstLine="480" w:firstLineChars="200"/>
        <w:jc w:val="both"/>
        <w:rPr>
          <w:rFonts w:hint="default" w:ascii="宋体" w:hAnsi="宋体" w:eastAsia="宋体" w:cs="宋体"/>
          <w:color w:val="auto"/>
          <w:sz w:val="24"/>
          <w:szCs w:val="24"/>
          <w:highlight w:val="none"/>
          <w:lang w:val="en-US" w:eastAsia="zh-CN"/>
        </w:rPr>
      </w:pPr>
      <w:r>
        <w:rPr>
          <w:rFonts w:hint="default" w:ascii="宋体" w:hAnsi="宋体" w:eastAsia="宋体" w:cs="宋体"/>
          <w:color w:val="auto"/>
          <w:sz w:val="24"/>
          <w:szCs w:val="24"/>
          <w:highlight w:val="none"/>
          <w:lang w:val="en-US" w:eastAsia="zh-CN"/>
        </w:rPr>
        <w:t>通过“中国政府采购网-政府采购严重违法失信行为记录名单”、“信用中国”、“全国法院失信被执行人名单信息查询系统”、“全国律师执业诚信信息公示平台”以及国家企业信用信息公示平台”网站平台查询供应商信用信息，信用信息以开标当日的查询结果为准。</w:t>
      </w:r>
    </w:p>
    <w:p w14:paraId="47853FC9">
      <w:pPr>
        <w:shd w:val="clear"/>
        <w:spacing w:line="360" w:lineRule="auto"/>
        <w:ind w:left="0" w:leftChars="0" w:firstLine="480" w:firstLineChars="200"/>
        <w:jc w:val="both"/>
        <w:rPr>
          <w:rFonts w:hint="default" w:ascii="宋体" w:hAnsi="宋体" w:eastAsia="宋体" w:cs="宋体"/>
          <w:color w:val="auto"/>
          <w:sz w:val="24"/>
          <w:szCs w:val="24"/>
          <w:highlight w:val="none"/>
        </w:rPr>
      </w:pPr>
    </w:p>
    <w:bookmarkEnd w:id="7"/>
    <w:bookmarkEnd w:id="8"/>
    <w:bookmarkEnd w:id="9"/>
    <w:p w14:paraId="4B2B131F">
      <w:pPr>
        <w:pageBreakBefore w:val="0"/>
        <w:shd w:val="clear"/>
        <w:kinsoku/>
        <w:wordWrap/>
        <w:overflowPunct/>
        <w:topLinePunct w:val="0"/>
        <w:autoSpaceDE/>
        <w:autoSpaceDN/>
        <w:bidi w:val="0"/>
        <w:adjustRightInd/>
        <w:snapToGrid/>
        <w:spacing w:line="312" w:lineRule="auto"/>
        <w:ind w:firstLine="440" w:firstLineChars="200"/>
        <w:jc w:val="left"/>
        <w:textAlignment w:val="auto"/>
        <w:rPr>
          <w:rFonts w:hint="eastAsia"/>
          <w:b/>
          <w:color w:val="auto"/>
          <w:sz w:val="22"/>
          <w:szCs w:val="18"/>
          <w:highlight w:val="none"/>
        </w:rPr>
      </w:pPr>
    </w:p>
    <w:p w14:paraId="18F64B5A">
      <w:pPr>
        <w:pageBreakBefore w:val="0"/>
        <w:shd w:val="clear"/>
        <w:kinsoku/>
        <w:wordWrap/>
        <w:overflowPunct/>
        <w:topLinePunct w:val="0"/>
        <w:autoSpaceDE/>
        <w:autoSpaceDN/>
        <w:bidi w:val="0"/>
        <w:adjustRightInd/>
        <w:snapToGrid/>
        <w:spacing w:line="312" w:lineRule="auto"/>
        <w:ind w:firstLine="440" w:firstLineChars="200"/>
        <w:jc w:val="both"/>
        <w:textAlignment w:val="auto"/>
        <w:rPr>
          <w:rFonts w:hint="eastAsia" w:ascii="宋体" w:hAnsi="宋体" w:eastAsia="宋体" w:cs="宋体"/>
          <w:color w:val="auto"/>
          <w:szCs w:val="21"/>
          <w:highlight w:val="none"/>
          <w:lang w:eastAsia="zh-CN"/>
        </w:rPr>
      </w:pPr>
      <w:r>
        <w:rPr>
          <w:rFonts w:hint="eastAsia"/>
          <w:b/>
          <w:color w:val="auto"/>
          <w:sz w:val="22"/>
          <w:szCs w:val="18"/>
          <w:highlight w:val="none"/>
        </w:rPr>
        <w:t>完整公告内容详见：深圳公共资源交易网政府采购业务分公司（https://zfcg.szexgrp.com/）、深圳市城投全过程工程咨询有限公司（https://www.szctqgc.cn/）、深圳盐田政府在线（www.yantian.gov.cn）。</w:t>
      </w:r>
    </w:p>
    <w:p w14:paraId="35FAAF21">
      <w:pPr>
        <w:pStyle w:val="2"/>
        <w:shd w:val="clear"/>
        <w:spacing w:line="240" w:lineRule="auto"/>
        <w:rPr>
          <w:color w:val="auto"/>
          <w:sz w:val="24"/>
          <w:highlight w:val="none"/>
        </w:rPr>
      </w:pPr>
      <w:r>
        <w:rPr>
          <w:color w:val="auto"/>
          <w:highlight w:val="none"/>
        </w:rPr>
        <w:br w:type="page"/>
      </w:r>
      <w:bookmarkStart w:id="10" w:name="bt项目管理班子配备情况"/>
      <w:bookmarkEnd w:id="10"/>
      <w:bookmarkStart w:id="11" w:name="bt投标人须知"/>
      <w:bookmarkEnd w:id="11"/>
      <w:bookmarkStart w:id="12" w:name="bt投标报价汇总表"/>
      <w:bookmarkEnd w:id="12"/>
      <w:bookmarkStart w:id="13" w:name="合同格式"/>
      <w:bookmarkEnd w:id="13"/>
      <w:bookmarkStart w:id="14" w:name="bt投标人情况介绍"/>
      <w:bookmarkEnd w:id="14"/>
      <w:bookmarkStart w:id="15" w:name="bt其他资料由投标人自定"/>
      <w:bookmarkEnd w:id="15"/>
      <w:bookmarkStart w:id="16" w:name="bt开标一览表"/>
      <w:bookmarkEnd w:id="16"/>
      <w:bookmarkStart w:id="17" w:name="bt说明"/>
      <w:bookmarkEnd w:id="17"/>
      <w:bookmarkStart w:id="18" w:name="bt合同条款"/>
      <w:bookmarkEnd w:id="18"/>
      <w:bookmarkStart w:id="19" w:name="bt技术标投标文件格式"/>
      <w:bookmarkEnd w:id="19"/>
      <w:bookmarkStart w:id="20" w:name="bt商务标投标文件格式"/>
      <w:bookmarkEnd w:id="20"/>
      <w:bookmarkStart w:id="21" w:name="bt其他资料2"/>
      <w:bookmarkEnd w:id="21"/>
      <w:bookmarkStart w:id="22" w:name="bt本工程承诺书"/>
      <w:bookmarkEnd w:id="22"/>
      <w:bookmarkStart w:id="23" w:name="bt投标文件签署授权委托书"/>
      <w:bookmarkEnd w:id="23"/>
      <w:bookmarkStart w:id="24" w:name="bt合同条款及格式"/>
      <w:bookmarkEnd w:id="24"/>
      <w:bookmarkStart w:id="25" w:name="bt合同格式"/>
      <w:bookmarkEnd w:id="25"/>
      <w:bookmarkStart w:id="26" w:name="bt投标函"/>
      <w:bookmarkEnd w:id="26"/>
      <w:r>
        <w:rPr>
          <w:rFonts w:hint="eastAsia"/>
          <w:color w:val="auto"/>
          <w:highlight w:val="none"/>
        </w:rPr>
        <w:t>第一册专用条款</w:t>
      </w:r>
    </w:p>
    <w:p w14:paraId="7BEE1270">
      <w:pPr>
        <w:pStyle w:val="3"/>
        <w:numPr>
          <w:ilvl w:val="-1"/>
          <w:numId w:val="0"/>
        </w:numPr>
        <w:shd w:val="clear"/>
        <w:rPr>
          <w:rFonts w:hint="eastAsia"/>
          <w:color w:val="auto"/>
          <w:highlight w:val="none"/>
        </w:rPr>
      </w:pPr>
      <w:r>
        <w:rPr>
          <w:rFonts w:hint="eastAsia"/>
          <w:color w:val="auto"/>
          <w:highlight w:val="none"/>
        </w:rPr>
        <w:t>第二章 对通用条款的补充内容及其他关键信息</w:t>
      </w:r>
    </w:p>
    <w:p w14:paraId="3D99701D">
      <w:pPr>
        <w:pStyle w:val="4"/>
        <w:shd w:val="clear"/>
        <w:rPr>
          <w:color w:val="auto"/>
          <w:highlight w:val="none"/>
        </w:rPr>
      </w:pPr>
      <w:bookmarkStart w:id="27" w:name="_Toc101074876"/>
      <w:bookmarkStart w:id="28" w:name="_Toc60560625"/>
      <w:bookmarkStart w:id="29" w:name="_Toc100052364"/>
      <w:bookmarkStart w:id="30" w:name="_Toc73521547"/>
      <w:bookmarkStart w:id="31" w:name="_Toc73518117"/>
      <w:bookmarkStart w:id="32" w:name="_Toc73517639"/>
      <w:bookmarkStart w:id="33" w:name="_Toc60631620"/>
      <w:bookmarkStart w:id="34" w:name="_Toc73521635"/>
      <w:r>
        <w:rPr>
          <w:rFonts w:hint="eastAsia"/>
          <w:color w:val="auto"/>
          <w:highlight w:val="none"/>
        </w:rPr>
        <w:t>一、对通用条款的补充内容</w:t>
      </w:r>
    </w:p>
    <w:bookmarkEnd w:id="27"/>
    <w:bookmarkEnd w:id="28"/>
    <w:bookmarkEnd w:id="29"/>
    <w:bookmarkEnd w:id="30"/>
    <w:bookmarkEnd w:id="31"/>
    <w:bookmarkEnd w:id="32"/>
    <w:bookmarkEnd w:id="33"/>
    <w:bookmarkEnd w:id="34"/>
    <w:tbl>
      <w:tblPr>
        <w:tblStyle w:val="24"/>
        <w:tblW w:w="836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78"/>
        <w:gridCol w:w="2145"/>
        <w:gridCol w:w="5244"/>
      </w:tblGrid>
      <w:tr w14:paraId="335841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69FC15A">
            <w:pPr>
              <w:shd w:val="clear"/>
              <w:rPr>
                <w:color w:val="auto"/>
                <w:highlight w:val="none"/>
              </w:rPr>
            </w:pPr>
            <w:r>
              <w:rPr>
                <w:rFonts w:hint="eastAsia" w:eastAsia="宋体"/>
                <w:color w:val="auto"/>
                <w:highlight w:val="none"/>
              </w:rPr>
              <w:t>通用条款序号</w:t>
            </w:r>
          </w:p>
        </w:tc>
        <w:tc>
          <w:tcPr>
            <w:tcW w:w="2145" w:type="dxa"/>
            <w:vAlign w:val="center"/>
          </w:tcPr>
          <w:p w14:paraId="5297D2BE">
            <w:pPr>
              <w:shd w:val="clear"/>
              <w:rPr>
                <w:color w:val="auto"/>
                <w:highlight w:val="none"/>
              </w:rPr>
            </w:pPr>
            <w:r>
              <w:rPr>
                <w:rFonts w:hint="eastAsia" w:eastAsia="宋体"/>
                <w:color w:val="auto"/>
                <w:highlight w:val="none"/>
              </w:rPr>
              <w:t>涉及事项</w:t>
            </w:r>
          </w:p>
        </w:tc>
        <w:tc>
          <w:tcPr>
            <w:tcW w:w="5244" w:type="dxa"/>
            <w:vAlign w:val="center"/>
          </w:tcPr>
          <w:p w14:paraId="21ACE6CC">
            <w:pPr>
              <w:shd w:val="clear"/>
              <w:rPr>
                <w:color w:val="auto"/>
                <w:highlight w:val="none"/>
              </w:rPr>
            </w:pPr>
            <w:r>
              <w:rPr>
                <w:rFonts w:hint="eastAsia" w:ascii="宋体" w:hAnsi="宋体" w:eastAsia="宋体" w:cs="宋体"/>
                <w:color w:val="auto"/>
                <w:highlight w:val="none"/>
              </w:rPr>
              <w:t>具</w:t>
            </w:r>
            <w:r>
              <w:rPr>
                <w:rFonts w:hint="eastAsia"/>
                <w:color w:val="auto"/>
                <w:highlight w:val="none"/>
              </w:rPr>
              <w:t xml:space="preserve"> </w:t>
            </w:r>
            <w:r>
              <w:rPr>
                <w:color w:val="auto"/>
                <w:highlight w:val="none"/>
              </w:rPr>
              <w:t xml:space="preserve"> </w:t>
            </w:r>
            <w:r>
              <w:rPr>
                <w:rFonts w:hint="eastAsia" w:ascii="宋体" w:hAnsi="宋体" w:eastAsia="宋体" w:cs="宋体"/>
                <w:color w:val="auto"/>
                <w:highlight w:val="none"/>
              </w:rPr>
              <w:t>体</w:t>
            </w:r>
            <w:r>
              <w:rPr>
                <w:rFonts w:hint="eastAsia"/>
                <w:color w:val="auto"/>
                <w:highlight w:val="none"/>
              </w:rPr>
              <w:t xml:space="preserve"> </w:t>
            </w:r>
            <w:r>
              <w:rPr>
                <w:color w:val="auto"/>
                <w:highlight w:val="none"/>
              </w:rPr>
              <w:t xml:space="preserve"> </w:t>
            </w:r>
            <w:r>
              <w:rPr>
                <w:rFonts w:hint="eastAsia" w:ascii="宋体" w:hAnsi="宋体" w:eastAsia="宋体" w:cs="宋体"/>
                <w:color w:val="auto"/>
                <w:highlight w:val="none"/>
              </w:rPr>
              <w:t>补</w:t>
            </w:r>
            <w:r>
              <w:rPr>
                <w:rFonts w:hint="eastAsia"/>
                <w:color w:val="auto"/>
                <w:highlight w:val="none"/>
              </w:rPr>
              <w:t xml:space="preserve"> </w:t>
            </w:r>
            <w:r>
              <w:rPr>
                <w:color w:val="auto"/>
                <w:highlight w:val="none"/>
              </w:rPr>
              <w:t xml:space="preserve"> </w:t>
            </w:r>
            <w:r>
              <w:rPr>
                <w:rFonts w:hint="eastAsia" w:ascii="宋体" w:hAnsi="宋体" w:eastAsia="宋体" w:cs="宋体"/>
                <w:color w:val="auto"/>
                <w:highlight w:val="none"/>
              </w:rPr>
              <w:t>充</w:t>
            </w:r>
            <w:r>
              <w:rPr>
                <w:rFonts w:hint="eastAsia"/>
                <w:color w:val="auto"/>
                <w:highlight w:val="none"/>
              </w:rPr>
              <w:t xml:space="preserve"> </w:t>
            </w:r>
            <w:r>
              <w:rPr>
                <w:color w:val="auto"/>
                <w:highlight w:val="none"/>
              </w:rPr>
              <w:t xml:space="preserve"> </w:t>
            </w:r>
            <w:r>
              <w:rPr>
                <w:rFonts w:hint="eastAsia" w:ascii="宋体" w:hAnsi="宋体" w:eastAsia="宋体" w:cs="宋体"/>
                <w:color w:val="auto"/>
                <w:highlight w:val="none"/>
              </w:rPr>
              <w:t>内</w:t>
            </w:r>
            <w:r>
              <w:rPr>
                <w:rFonts w:hint="eastAsia"/>
                <w:color w:val="auto"/>
                <w:highlight w:val="none"/>
              </w:rPr>
              <w:t xml:space="preserve"> </w:t>
            </w:r>
            <w:r>
              <w:rPr>
                <w:color w:val="auto"/>
                <w:highlight w:val="none"/>
              </w:rPr>
              <w:t xml:space="preserve"> </w:t>
            </w:r>
            <w:r>
              <w:rPr>
                <w:rFonts w:hint="eastAsia" w:ascii="宋体" w:hAnsi="宋体" w:eastAsia="宋体" w:cs="宋体"/>
                <w:color w:val="auto"/>
                <w:highlight w:val="none"/>
              </w:rPr>
              <w:t>容</w:t>
            </w:r>
          </w:p>
        </w:tc>
      </w:tr>
      <w:tr w14:paraId="7B2259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83207D3">
            <w:pPr>
              <w:shd w:val="clear"/>
              <w:rPr>
                <w:rFonts w:hint="eastAsia" w:eastAsia="宋体"/>
                <w:color w:val="auto"/>
                <w:highlight w:val="none"/>
                <w:lang w:eastAsia="zh-CN"/>
              </w:rPr>
            </w:pPr>
            <w:r>
              <w:rPr>
                <w:rFonts w:hint="eastAsia" w:eastAsia="宋体"/>
                <w:color w:val="auto"/>
                <w:highlight w:val="none"/>
                <w:lang w:val="en-US" w:eastAsia="zh-CN"/>
              </w:rPr>
              <w:t>1</w:t>
            </w:r>
          </w:p>
        </w:tc>
        <w:tc>
          <w:tcPr>
            <w:tcW w:w="2145" w:type="dxa"/>
            <w:vAlign w:val="center"/>
          </w:tcPr>
          <w:p w14:paraId="5840BEA7">
            <w:pPr>
              <w:shd w:val="clear"/>
              <w:rPr>
                <w:color w:val="auto"/>
                <w:highlight w:val="none"/>
              </w:rPr>
            </w:pPr>
            <w:r>
              <w:rPr>
                <w:rFonts w:hint="eastAsia" w:eastAsia="宋体"/>
                <w:color w:val="auto"/>
                <w:highlight w:val="none"/>
              </w:rPr>
              <w:t>采购人</w:t>
            </w:r>
          </w:p>
        </w:tc>
        <w:tc>
          <w:tcPr>
            <w:tcW w:w="5244" w:type="dxa"/>
            <w:vAlign w:val="center"/>
          </w:tcPr>
          <w:p w14:paraId="6D80B417">
            <w:pPr>
              <w:shd w:val="clear"/>
              <w:rPr>
                <w:rFonts w:hint="eastAsia" w:eastAsia="宋体"/>
                <w:color w:val="auto"/>
                <w:highlight w:val="none"/>
                <w:lang w:eastAsia="zh-CN"/>
              </w:rPr>
            </w:pPr>
            <w:r>
              <w:rPr>
                <w:rFonts w:hint="eastAsia" w:eastAsia="宋体"/>
                <w:color w:val="auto"/>
                <w:highlight w:val="none"/>
                <w:lang w:eastAsia="zh-CN"/>
              </w:rPr>
              <w:t>深圳市盐田区建筑工程事务署</w:t>
            </w:r>
          </w:p>
        </w:tc>
      </w:tr>
      <w:tr w14:paraId="01B7C12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C5FA4A1">
            <w:pPr>
              <w:shd w:val="clear"/>
              <w:rPr>
                <w:rFonts w:hint="eastAsia" w:eastAsia="宋体"/>
                <w:color w:val="auto"/>
                <w:highlight w:val="none"/>
                <w:lang w:eastAsia="zh-CN"/>
              </w:rPr>
            </w:pPr>
            <w:r>
              <w:rPr>
                <w:rFonts w:hint="eastAsia" w:eastAsia="宋体"/>
                <w:color w:val="auto"/>
                <w:highlight w:val="none"/>
                <w:lang w:val="en-US" w:eastAsia="zh-CN"/>
              </w:rPr>
              <w:t>2</w:t>
            </w:r>
          </w:p>
        </w:tc>
        <w:tc>
          <w:tcPr>
            <w:tcW w:w="2145" w:type="dxa"/>
            <w:vAlign w:val="center"/>
          </w:tcPr>
          <w:p w14:paraId="13215946">
            <w:pPr>
              <w:shd w:val="clear"/>
              <w:rPr>
                <w:color w:val="auto"/>
                <w:highlight w:val="none"/>
              </w:rPr>
            </w:pPr>
            <w:r>
              <w:rPr>
                <w:rFonts w:hint="eastAsia" w:eastAsia="宋体"/>
                <w:color w:val="auto"/>
                <w:highlight w:val="none"/>
              </w:rPr>
              <w:t>招标代理</w:t>
            </w:r>
            <w:r>
              <w:rPr>
                <w:rFonts w:hint="eastAsia" w:ascii="宋体" w:hAnsi="宋体" w:eastAsia="宋体" w:cs="宋体"/>
                <w:color w:val="auto"/>
                <w:highlight w:val="none"/>
              </w:rPr>
              <w:t>机构</w:t>
            </w:r>
          </w:p>
        </w:tc>
        <w:tc>
          <w:tcPr>
            <w:tcW w:w="5244" w:type="dxa"/>
            <w:vAlign w:val="center"/>
          </w:tcPr>
          <w:p w14:paraId="1813129D">
            <w:pPr>
              <w:shd w:val="clear"/>
              <w:rPr>
                <w:rFonts w:eastAsia="宋体"/>
                <w:color w:val="auto"/>
                <w:highlight w:val="none"/>
              </w:rPr>
            </w:pPr>
            <w:r>
              <w:rPr>
                <w:rFonts w:hint="eastAsia" w:eastAsia="宋体"/>
                <w:color w:val="auto"/>
                <w:highlight w:val="none"/>
              </w:rPr>
              <w:t>深圳市城投全过程工程咨询有限公司</w:t>
            </w:r>
          </w:p>
        </w:tc>
      </w:tr>
      <w:tr w14:paraId="6285FB1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C14894D">
            <w:pPr>
              <w:shd w:val="clear"/>
              <w:rPr>
                <w:rFonts w:hint="eastAsia" w:eastAsia="宋体"/>
                <w:color w:val="auto"/>
                <w:highlight w:val="none"/>
                <w:lang w:eastAsia="zh-CN"/>
              </w:rPr>
            </w:pPr>
            <w:r>
              <w:rPr>
                <w:rFonts w:hint="eastAsia" w:eastAsia="宋体"/>
                <w:color w:val="auto"/>
                <w:highlight w:val="none"/>
                <w:lang w:val="en-US" w:eastAsia="zh-CN"/>
              </w:rPr>
              <w:t>3</w:t>
            </w:r>
          </w:p>
        </w:tc>
        <w:tc>
          <w:tcPr>
            <w:tcW w:w="2145" w:type="dxa"/>
            <w:vAlign w:val="center"/>
          </w:tcPr>
          <w:p w14:paraId="074280E2">
            <w:pPr>
              <w:shd w:val="clear"/>
              <w:rPr>
                <w:color w:val="auto"/>
                <w:highlight w:val="none"/>
              </w:rPr>
            </w:pPr>
            <w:r>
              <w:rPr>
                <w:rFonts w:hint="eastAsia" w:eastAsia="宋体"/>
                <w:color w:val="auto"/>
                <w:highlight w:val="none"/>
              </w:rPr>
              <w:t>联合体投标</w:t>
            </w:r>
          </w:p>
        </w:tc>
        <w:tc>
          <w:tcPr>
            <w:tcW w:w="5244" w:type="dxa"/>
            <w:vAlign w:val="center"/>
          </w:tcPr>
          <w:p w14:paraId="51508AE9">
            <w:pPr>
              <w:shd w:val="clear"/>
              <w:rPr>
                <w:color w:val="auto"/>
                <w:highlight w:val="none"/>
              </w:rPr>
            </w:pPr>
            <w:r>
              <w:rPr>
                <w:rFonts w:hint="eastAsia" w:eastAsia="宋体"/>
                <w:color w:val="auto"/>
                <w:highlight w:val="none"/>
              </w:rPr>
              <w:t>不接受</w:t>
            </w:r>
          </w:p>
        </w:tc>
      </w:tr>
      <w:tr w14:paraId="1AEA59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5C58AFF">
            <w:pPr>
              <w:shd w:val="clear"/>
              <w:rPr>
                <w:rFonts w:hint="eastAsia" w:eastAsia="宋体"/>
                <w:color w:val="auto"/>
                <w:highlight w:val="none"/>
                <w:lang w:eastAsia="zh-CN"/>
              </w:rPr>
            </w:pPr>
            <w:r>
              <w:rPr>
                <w:rFonts w:hint="eastAsia" w:eastAsia="宋体"/>
                <w:color w:val="auto"/>
                <w:highlight w:val="none"/>
                <w:lang w:val="en-US" w:eastAsia="zh-CN"/>
              </w:rPr>
              <w:t>4</w:t>
            </w:r>
          </w:p>
        </w:tc>
        <w:tc>
          <w:tcPr>
            <w:tcW w:w="2145" w:type="dxa"/>
            <w:vAlign w:val="center"/>
          </w:tcPr>
          <w:p w14:paraId="41FD06BE">
            <w:pPr>
              <w:shd w:val="clear"/>
              <w:rPr>
                <w:color w:val="auto"/>
                <w:highlight w:val="none"/>
              </w:rPr>
            </w:pPr>
            <w:r>
              <w:rPr>
                <w:rFonts w:hint="eastAsia" w:eastAsia="宋体"/>
                <w:color w:val="auto"/>
                <w:highlight w:val="none"/>
              </w:rPr>
              <w:t>踏勘现场</w:t>
            </w:r>
          </w:p>
        </w:tc>
        <w:tc>
          <w:tcPr>
            <w:tcW w:w="5244" w:type="dxa"/>
            <w:vAlign w:val="center"/>
          </w:tcPr>
          <w:p w14:paraId="5EBC96AF">
            <w:pPr>
              <w:shd w:val="clear"/>
              <w:rPr>
                <w:color w:val="auto"/>
                <w:highlight w:val="none"/>
              </w:rPr>
            </w:pPr>
            <w:r>
              <w:rPr>
                <w:rFonts w:hint="eastAsia" w:eastAsia="宋体"/>
                <w:color w:val="auto"/>
                <w:highlight w:val="none"/>
              </w:rPr>
              <w:t>不组织</w:t>
            </w:r>
          </w:p>
        </w:tc>
      </w:tr>
      <w:tr w14:paraId="50BE4A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1048F9AB">
            <w:pPr>
              <w:shd w:val="clear"/>
              <w:rPr>
                <w:rFonts w:hint="eastAsia" w:eastAsia="宋体"/>
                <w:color w:val="auto"/>
                <w:highlight w:val="none"/>
                <w:lang w:eastAsia="zh-CN"/>
              </w:rPr>
            </w:pPr>
            <w:r>
              <w:rPr>
                <w:rFonts w:hint="eastAsia" w:eastAsia="宋体"/>
                <w:color w:val="auto"/>
                <w:highlight w:val="none"/>
                <w:lang w:val="en-US" w:eastAsia="zh-CN"/>
              </w:rPr>
              <w:t>5</w:t>
            </w:r>
          </w:p>
        </w:tc>
        <w:tc>
          <w:tcPr>
            <w:tcW w:w="2145" w:type="dxa"/>
            <w:vAlign w:val="center"/>
          </w:tcPr>
          <w:p w14:paraId="0265CCFA">
            <w:pPr>
              <w:shd w:val="clear"/>
              <w:rPr>
                <w:color w:val="auto"/>
                <w:highlight w:val="none"/>
              </w:rPr>
            </w:pPr>
            <w:r>
              <w:rPr>
                <w:rFonts w:hint="eastAsia" w:eastAsia="宋体"/>
                <w:color w:val="auto"/>
                <w:highlight w:val="none"/>
              </w:rPr>
              <w:t>标前会议</w:t>
            </w:r>
          </w:p>
        </w:tc>
        <w:tc>
          <w:tcPr>
            <w:tcW w:w="5244" w:type="dxa"/>
            <w:vAlign w:val="center"/>
          </w:tcPr>
          <w:p w14:paraId="11DCEF28">
            <w:pPr>
              <w:shd w:val="clear"/>
              <w:rPr>
                <w:color w:val="auto"/>
                <w:highlight w:val="none"/>
              </w:rPr>
            </w:pPr>
            <w:r>
              <w:rPr>
                <w:rFonts w:hint="eastAsia" w:eastAsia="宋体"/>
                <w:color w:val="auto"/>
                <w:highlight w:val="none"/>
              </w:rPr>
              <w:t>不组织</w:t>
            </w:r>
          </w:p>
        </w:tc>
      </w:tr>
      <w:tr w14:paraId="4ED18A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F7E3F3B">
            <w:pPr>
              <w:shd w:val="clear"/>
              <w:rPr>
                <w:rFonts w:hint="eastAsia" w:eastAsia="宋体"/>
                <w:color w:val="auto"/>
                <w:highlight w:val="none"/>
                <w:lang w:eastAsia="zh-CN"/>
              </w:rPr>
            </w:pPr>
            <w:r>
              <w:rPr>
                <w:rFonts w:hint="eastAsia" w:eastAsia="宋体"/>
                <w:color w:val="auto"/>
                <w:highlight w:val="none"/>
                <w:lang w:val="en-US" w:eastAsia="zh-CN"/>
              </w:rPr>
              <w:t>6</w:t>
            </w:r>
          </w:p>
        </w:tc>
        <w:tc>
          <w:tcPr>
            <w:tcW w:w="2145" w:type="dxa"/>
            <w:vAlign w:val="center"/>
          </w:tcPr>
          <w:p w14:paraId="5DF45A97">
            <w:pPr>
              <w:shd w:val="clear"/>
              <w:rPr>
                <w:color w:val="auto"/>
                <w:highlight w:val="none"/>
              </w:rPr>
            </w:pPr>
            <w:r>
              <w:rPr>
                <w:rFonts w:hint="eastAsia" w:eastAsia="宋体"/>
                <w:color w:val="auto"/>
                <w:highlight w:val="none"/>
              </w:rPr>
              <w:t>招标文件的澄清和修改</w:t>
            </w:r>
          </w:p>
        </w:tc>
        <w:tc>
          <w:tcPr>
            <w:tcW w:w="5244" w:type="dxa"/>
            <w:vAlign w:val="center"/>
          </w:tcPr>
          <w:p w14:paraId="5E43D55F">
            <w:pPr>
              <w:shd w:val="clear"/>
              <w:jc w:val="both"/>
              <w:rPr>
                <w:color w:val="auto"/>
                <w:highlight w:val="none"/>
              </w:rPr>
            </w:pPr>
            <w:r>
              <w:rPr>
                <w:rFonts w:hint="eastAsia"/>
                <w:color w:val="auto"/>
                <w:highlight w:val="none"/>
              </w:rPr>
              <w:t>深圳公共资源交易网政府采购业务分公司（https://zfcg.szexgrp.com/）、</w:t>
            </w:r>
            <w:r>
              <w:rPr>
                <w:rFonts w:hint="eastAsia"/>
                <w:color w:val="auto"/>
                <w:highlight w:val="none"/>
                <w:lang w:eastAsia="zh-CN"/>
              </w:rPr>
              <w:t>深圳市城投全过程工程咨询有限公司</w:t>
            </w:r>
            <w:r>
              <w:rPr>
                <w:rFonts w:hint="eastAsia"/>
                <w:color w:val="auto"/>
                <w:highlight w:val="none"/>
              </w:rPr>
              <w:t>（https://www.szctqgc.cn/）</w:t>
            </w:r>
            <w:r>
              <w:rPr>
                <w:rFonts w:hint="eastAsia"/>
                <w:color w:val="auto"/>
                <w:highlight w:val="none"/>
                <w:lang w:eastAsia="zh-CN"/>
              </w:rPr>
              <w:t>、</w:t>
            </w:r>
            <w:r>
              <w:rPr>
                <w:rFonts w:hint="eastAsia"/>
                <w:color w:val="auto"/>
                <w:highlight w:val="none"/>
              </w:rPr>
              <w:t>深圳盐田政府在线（www.yantian.gov.cn）</w:t>
            </w:r>
            <w:r>
              <w:rPr>
                <w:rFonts w:hint="eastAsia"/>
                <w:color w:val="auto"/>
                <w:highlight w:val="none"/>
                <w:lang w:eastAsia="zh-CN"/>
              </w:rPr>
              <w:t>。</w:t>
            </w:r>
          </w:p>
        </w:tc>
      </w:tr>
      <w:tr w14:paraId="1D6830A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5E5F5D6">
            <w:pPr>
              <w:shd w:val="clear"/>
              <w:rPr>
                <w:rFonts w:hint="eastAsia" w:eastAsia="宋体"/>
                <w:color w:val="auto"/>
                <w:highlight w:val="none"/>
                <w:lang w:eastAsia="zh-CN"/>
              </w:rPr>
            </w:pPr>
            <w:r>
              <w:rPr>
                <w:rFonts w:hint="eastAsia" w:eastAsia="宋体"/>
                <w:color w:val="auto"/>
                <w:highlight w:val="none"/>
                <w:lang w:val="en-US" w:eastAsia="zh-CN"/>
              </w:rPr>
              <w:t>7</w:t>
            </w:r>
          </w:p>
        </w:tc>
        <w:tc>
          <w:tcPr>
            <w:tcW w:w="2145" w:type="dxa"/>
            <w:vAlign w:val="center"/>
          </w:tcPr>
          <w:p w14:paraId="01E3C3A2">
            <w:pPr>
              <w:shd w:val="clear"/>
              <w:rPr>
                <w:color w:val="auto"/>
                <w:highlight w:val="none"/>
              </w:rPr>
            </w:pPr>
            <w:r>
              <w:rPr>
                <w:rFonts w:hint="eastAsia" w:eastAsia="宋体"/>
                <w:color w:val="auto"/>
                <w:highlight w:val="none"/>
              </w:rPr>
              <w:t>投标有效期</w:t>
            </w:r>
          </w:p>
        </w:tc>
        <w:tc>
          <w:tcPr>
            <w:tcW w:w="5244" w:type="dxa"/>
            <w:vAlign w:val="center"/>
          </w:tcPr>
          <w:p w14:paraId="1653D5FB">
            <w:pPr>
              <w:shd w:val="clear"/>
              <w:rPr>
                <w:rFonts w:eastAsia="宋体"/>
                <w:color w:val="auto"/>
                <w:highlight w:val="none"/>
              </w:rPr>
            </w:pPr>
            <w:r>
              <w:rPr>
                <w:rFonts w:hint="eastAsia"/>
                <w:color w:val="auto"/>
                <w:highlight w:val="none"/>
              </w:rPr>
              <w:t>120</w:t>
            </w:r>
            <w:r>
              <w:rPr>
                <w:rFonts w:hint="eastAsia" w:ascii="宋体" w:hAnsi="宋体" w:eastAsia="宋体" w:cs="宋体"/>
                <w:color w:val="auto"/>
                <w:highlight w:val="none"/>
              </w:rPr>
              <w:t>个日历日</w:t>
            </w:r>
          </w:p>
        </w:tc>
      </w:tr>
      <w:tr w14:paraId="545926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8A00600">
            <w:pPr>
              <w:shd w:val="clear"/>
              <w:rPr>
                <w:rFonts w:hint="eastAsia" w:eastAsia="宋体"/>
                <w:color w:val="auto"/>
                <w:highlight w:val="none"/>
                <w:lang w:eastAsia="zh-CN"/>
              </w:rPr>
            </w:pPr>
            <w:r>
              <w:rPr>
                <w:rFonts w:hint="eastAsia" w:eastAsia="宋体"/>
                <w:color w:val="auto"/>
                <w:highlight w:val="none"/>
                <w:lang w:val="en-US" w:eastAsia="zh-CN"/>
              </w:rPr>
              <w:t>8</w:t>
            </w:r>
          </w:p>
        </w:tc>
        <w:tc>
          <w:tcPr>
            <w:tcW w:w="2145" w:type="dxa"/>
            <w:vAlign w:val="center"/>
          </w:tcPr>
          <w:p w14:paraId="687B7192">
            <w:pPr>
              <w:shd w:val="clear"/>
              <w:rPr>
                <w:color w:val="auto"/>
                <w:highlight w:val="none"/>
              </w:rPr>
            </w:pPr>
            <w:r>
              <w:rPr>
                <w:rFonts w:hint="eastAsia" w:eastAsia="宋体"/>
                <w:color w:val="auto"/>
                <w:highlight w:val="none"/>
              </w:rPr>
              <w:t>投标人的替代方案</w:t>
            </w:r>
          </w:p>
        </w:tc>
        <w:tc>
          <w:tcPr>
            <w:tcW w:w="5244" w:type="dxa"/>
            <w:vAlign w:val="center"/>
          </w:tcPr>
          <w:p w14:paraId="36446F32">
            <w:pPr>
              <w:shd w:val="clear"/>
              <w:rPr>
                <w:color w:val="auto"/>
                <w:highlight w:val="none"/>
              </w:rPr>
            </w:pPr>
            <w:r>
              <w:rPr>
                <w:rFonts w:hint="eastAsia" w:eastAsia="宋体"/>
                <w:color w:val="auto"/>
                <w:highlight w:val="none"/>
              </w:rPr>
              <w:t>不接受</w:t>
            </w:r>
          </w:p>
        </w:tc>
      </w:tr>
      <w:tr w14:paraId="4849CDC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2B63563">
            <w:pPr>
              <w:shd w:val="clear"/>
              <w:rPr>
                <w:rFonts w:hint="eastAsia" w:eastAsia="宋体"/>
                <w:color w:val="auto"/>
                <w:highlight w:val="none"/>
                <w:lang w:eastAsia="zh-CN"/>
              </w:rPr>
            </w:pPr>
            <w:r>
              <w:rPr>
                <w:rFonts w:hint="eastAsia" w:eastAsia="宋体"/>
                <w:color w:val="auto"/>
                <w:highlight w:val="none"/>
                <w:lang w:val="en-US" w:eastAsia="zh-CN"/>
              </w:rPr>
              <w:t>9</w:t>
            </w:r>
          </w:p>
        </w:tc>
        <w:tc>
          <w:tcPr>
            <w:tcW w:w="2145" w:type="dxa"/>
            <w:vAlign w:val="center"/>
          </w:tcPr>
          <w:p w14:paraId="76219E08">
            <w:pPr>
              <w:shd w:val="clear"/>
              <w:rPr>
                <w:color w:val="auto"/>
                <w:highlight w:val="none"/>
              </w:rPr>
            </w:pPr>
            <w:r>
              <w:rPr>
                <w:rFonts w:hint="eastAsia" w:ascii="宋体" w:hAnsi="宋体"/>
                <w:b/>
                <w:bCs/>
                <w:color w:val="auto"/>
                <w:szCs w:val="21"/>
                <w:highlight w:val="none"/>
              </w:rPr>
              <w:t>投标文件份数</w:t>
            </w:r>
            <w:r>
              <w:rPr>
                <w:rFonts w:hint="eastAsia" w:ascii="宋体" w:hAnsi="宋体" w:eastAsia="宋体"/>
                <w:b/>
                <w:bCs/>
                <w:color w:val="auto"/>
                <w:szCs w:val="21"/>
                <w:highlight w:val="none"/>
                <w:lang w:val="en-US" w:eastAsia="zh-CN"/>
              </w:rPr>
              <w:t>要求</w:t>
            </w:r>
          </w:p>
        </w:tc>
        <w:tc>
          <w:tcPr>
            <w:tcW w:w="5244" w:type="dxa"/>
            <w:vAlign w:val="center"/>
          </w:tcPr>
          <w:p w14:paraId="24A52708">
            <w:pPr>
              <w:shd w:val="clear"/>
              <w:rPr>
                <w:rFonts w:eastAsia="宋体"/>
                <w:color w:val="auto"/>
                <w:highlight w:val="none"/>
              </w:rPr>
            </w:pPr>
            <w:r>
              <w:rPr>
                <w:b/>
                <w:bCs/>
                <w:color w:val="auto"/>
                <w:highlight w:val="none"/>
              </w:rPr>
              <w:t>正本一份，副本</w:t>
            </w:r>
            <w:r>
              <w:rPr>
                <w:rFonts w:hint="eastAsia" w:eastAsia="宋体"/>
                <w:b/>
                <w:bCs/>
                <w:color w:val="auto"/>
                <w:highlight w:val="none"/>
                <w:lang w:val="en-US" w:eastAsia="zh-CN"/>
              </w:rPr>
              <w:t>三</w:t>
            </w:r>
            <w:r>
              <w:rPr>
                <w:b/>
                <w:bCs/>
                <w:color w:val="auto"/>
                <w:highlight w:val="none"/>
              </w:rPr>
              <w:t>份，电子文件一份。</w:t>
            </w:r>
          </w:p>
        </w:tc>
      </w:tr>
      <w:tr w14:paraId="7EDE45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23F219C5">
            <w:pPr>
              <w:shd w:val="clear"/>
              <w:rPr>
                <w:rFonts w:hint="default" w:eastAsia="宋体"/>
                <w:color w:val="auto"/>
                <w:highlight w:val="none"/>
                <w:lang w:val="en-US" w:eastAsia="zh-CN"/>
              </w:rPr>
            </w:pPr>
            <w:r>
              <w:rPr>
                <w:rFonts w:hint="eastAsia" w:eastAsia="宋体"/>
                <w:color w:val="auto"/>
                <w:highlight w:val="none"/>
                <w:lang w:val="en-US" w:eastAsia="zh-CN"/>
              </w:rPr>
              <w:t>10</w:t>
            </w:r>
          </w:p>
        </w:tc>
        <w:tc>
          <w:tcPr>
            <w:tcW w:w="2145" w:type="dxa"/>
            <w:vAlign w:val="center"/>
          </w:tcPr>
          <w:p w14:paraId="7E6BD099">
            <w:pPr>
              <w:shd w:val="clear"/>
              <w:rPr>
                <w:rFonts w:hint="eastAsia" w:eastAsia="宋体"/>
                <w:color w:val="auto"/>
                <w:highlight w:val="none"/>
                <w:lang w:val="en-US" w:eastAsia="zh-CN"/>
              </w:rPr>
            </w:pPr>
            <w:r>
              <w:rPr>
                <w:rFonts w:hint="eastAsia" w:ascii="宋体" w:hAnsi="宋体"/>
                <w:b/>
                <w:bCs/>
                <w:color w:val="auto"/>
                <w:szCs w:val="21"/>
                <w:highlight w:val="none"/>
              </w:rPr>
              <w:t>电子文件</w:t>
            </w:r>
            <w:r>
              <w:rPr>
                <w:rFonts w:hint="eastAsia" w:ascii="宋体" w:hAnsi="宋体" w:eastAsia="宋体"/>
                <w:b/>
                <w:bCs/>
                <w:color w:val="auto"/>
                <w:szCs w:val="21"/>
                <w:highlight w:val="none"/>
                <w:lang w:val="en-US" w:eastAsia="zh-CN"/>
              </w:rPr>
              <w:t>要求</w:t>
            </w:r>
          </w:p>
        </w:tc>
        <w:tc>
          <w:tcPr>
            <w:tcW w:w="5244" w:type="dxa"/>
            <w:vAlign w:val="center"/>
          </w:tcPr>
          <w:p w14:paraId="6C22D4E5">
            <w:pPr>
              <w:shd w:val="clear"/>
              <w:jc w:val="left"/>
              <w:rPr>
                <w:rFonts w:hint="eastAsia" w:eastAsia="宋体"/>
                <w:color w:val="auto"/>
                <w:highlight w:val="none"/>
              </w:rPr>
            </w:pPr>
            <w:r>
              <w:rPr>
                <w:rFonts w:hint="eastAsia" w:ascii="宋体" w:hAnsi="宋体" w:cs="宋体"/>
                <w:b/>
                <w:bCs/>
                <w:color w:val="auto"/>
                <w:szCs w:val="21"/>
                <w:highlight w:val="none"/>
                <w:u w:val="single"/>
                <w:lang w:eastAsia="zh-TW"/>
              </w:rPr>
              <w:t>电子文件是指将按招标文件要求签署、盖章后的正本投标文件扫描成PDF格式后拷贝至无病毒无密码的U盘或光盘</w:t>
            </w:r>
            <w:r>
              <w:rPr>
                <w:rFonts w:hint="eastAsia" w:ascii="宋体" w:hAnsi="宋体" w:cs="宋体"/>
                <w:b/>
                <w:bCs/>
                <w:color w:val="auto"/>
                <w:szCs w:val="21"/>
                <w:highlight w:val="none"/>
                <w:u w:val="single"/>
              </w:rPr>
              <w:t>。</w:t>
            </w:r>
          </w:p>
        </w:tc>
      </w:tr>
      <w:tr w14:paraId="5B0E71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79050496">
            <w:pPr>
              <w:shd w:val="clear"/>
              <w:rPr>
                <w:rFonts w:hint="default" w:eastAsia="宋体"/>
                <w:color w:val="auto"/>
                <w:highlight w:val="none"/>
                <w:lang w:val="en-US" w:eastAsia="zh-CN"/>
              </w:rPr>
            </w:pPr>
            <w:r>
              <w:rPr>
                <w:rFonts w:hint="eastAsia" w:eastAsia="宋体"/>
                <w:color w:val="auto"/>
                <w:highlight w:val="none"/>
                <w:lang w:val="en-US" w:eastAsia="zh-CN"/>
              </w:rPr>
              <w:t>11</w:t>
            </w:r>
          </w:p>
        </w:tc>
        <w:tc>
          <w:tcPr>
            <w:tcW w:w="2145" w:type="dxa"/>
            <w:vAlign w:val="center"/>
          </w:tcPr>
          <w:p w14:paraId="530954A1">
            <w:pPr>
              <w:shd w:val="clear"/>
              <w:rPr>
                <w:rFonts w:hint="eastAsia" w:eastAsia="宋体"/>
                <w:color w:val="auto"/>
                <w:highlight w:val="none"/>
                <w:lang w:val="en-US" w:eastAsia="zh-CN"/>
              </w:rPr>
            </w:pPr>
            <w:r>
              <w:rPr>
                <w:rFonts w:hint="eastAsia" w:ascii="宋体" w:hAnsi="宋体"/>
                <w:b/>
                <w:color w:val="auto"/>
                <w:highlight w:val="none"/>
              </w:rPr>
              <w:t>密封资料</w:t>
            </w:r>
            <w:r>
              <w:rPr>
                <w:rFonts w:hint="eastAsia" w:ascii="宋体" w:hAnsi="宋体" w:eastAsia="宋体"/>
                <w:b/>
                <w:color w:val="auto"/>
                <w:highlight w:val="none"/>
                <w:lang w:val="en-US" w:eastAsia="zh-CN"/>
              </w:rPr>
              <w:t>要求</w:t>
            </w:r>
          </w:p>
        </w:tc>
        <w:tc>
          <w:tcPr>
            <w:tcW w:w="5244" w:type="dxa"/>
            <w:vAlign w:val="center"/>
          </w:tcPr>
          <w:p w14:paraId="5F4BF871">
            <w:pPr>
              <w:shd w:val="clear"/>
              <w:jc w:val="left"/>
              <w:rPr>
                <w:rFonts w:hint="eastAsia" w:ascii="宋体" w:hAnsi="宋体" w:eastAsia="Times New Roman"/>
                <w:b/>
                <w:color w:val="auto"/>
                <w:highlight w:val="none"/>
              </w:rPr>
            </w:pPr>
            <w:r>
              <w:rPr>
                <w:rFonts w:hint="eastAsia" w:ascii="宋体" w:hAnsi="宋体" w:eastAsia="Times New Roman"/>
                <w:b/>
                <w:color w:val="auto"/>
                <w:highlight w:val="none"/>
              </w:rPr>
              <w:t>电子</w:t>
            </w:r>
            <w:r>
              <w:rPr>
                <w:rFonts w:hint="eastAsia" w:ascii="宋体" w:hAnsi="宋体" w:eastAsia="Times New Roman"/>
                <w:b/>
                <w:color w:val="auto"/>
                <w:highlight w:val="none"/>
                <w:lang w:val="en-US" w:eastAsia="zh-CN"/>
              </w:rPr>
              <w:t>投标</w:t>
            </w:r>
            <w:r>
              <w:rPr>
                <w:rFonts w:hint="eastAsia" w:ascii="宋体" w:hAnsi="宋体" w:eastAsia="Times New Roman"/>
                <w:b/>
                <w:color w:val="auto"/>
                <w:highlight w:val="none"/>
              </w:rPr>
              <w:t>文件：</w:t>
            </w:r>
          </w:p>
          <w:p w14:paraId="4B1BC6EE">
            <w:pPr>
              <w:shd w:val="clear"/>
              <w:jc w:val="both"/>
              <w:rPr>
                <w:rFonts w:hint="eastAsia" w:eastAsia="宋体"/>
                <w:color w:val="auto"/>
                <w:highlight w:val="none"/>
              </w:rPr>
            </w:pPr>
            <w:r>
              <w:rPr>
                <w:rFonts w:hint="eastAsia" w:ascii="宋体" w:hAnsi="宋体" w:eastAsia="Times New Roman"/>
                <w:b/>
                <w:color w:val="auto"/>
                <w:highlight w:val="none"/>
              </w:rPr>
              <w:t>将项目电子文件一并单独密封提交，并在信封上标明“电子</w:t>
            </w:r>
            <w:r>
              <w:rPr>
                <w:rFonts w:hint="eastAsia" w:ascii="宋体" w:hAnsi="宋体" w:eastAsia="Times New Roman"/>
                <w:b/>
                <w:color w:val="auto"/>
                <w:highlight w:val="none"/>
                <w:lang w:val="en-US" w:eastAsia="zh-CN"/>
              </w:rPr>
              <w:t>投标</w:t>
            </w:r>
            <w:r>
              <w:rPr>
                <w:rFonts w:hint="eastAsia" w:ascii="宋体" w:hAnsi="宋体" w:eastAsia="Times New Roman"/>
                <w:b/>
                <w:color w:val="auto"/>
                <w:highlight w:val="none"/>
              </w:rPr>
              <w:t>文件”字样。</w:t>
            </w:r>
          </w:p>
        </w:tc>
      </w:tr>
      <w:tr w14:paraId="3B5B65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58ADC595">
            <w:pPr>
              <w:shd w:val="clear"/>
              <w:rPr>
                <w:rFonts w:hint="default" w:eastAsia="宋体"/>
                <w:color w:val="auto"/>
                <w:highlight w:val="none"/>
                <w:lang w:val="en-US" w:eastAsia="zh-CN"/>
              </w:rPr>
            </w:pPr>
            <w:r>
              <w:rPr>
                <w:rFonts w:hint="eastAsia" w:eastAsia="宋体"/>
                <w:color w:val="auto"/>
                <w:highlight w:val="none"/>
                <w:lang w:val="en-US" w:eastAsia="zh-CN"/>
              </w:rPr>
              <w:t>12</w:t>
            </w:r>
          </w:p>
        </w:tc>
        <w:tc>
          <w:tcPr>
            <w:tcW w:w="2145" w:type="dxa"/>
            <w:vAlign w:val="center"/>
          </w:tcPr>
          <w:p w14:paraId="127101E9">
            <w:pPr>
              <w:shd w:val="clear"/>
              <w:rPr>
                <w:color w:val="auto"/>
                <w:highlight w:val="none"/>
              </w:rPr>
            </w:pPr>
            <w:bookmarkStart w:id="35" w:name="_Hlk71664860"/>
            <w:r>
              <w:rPr>
                <w:rFonts w:hint="eastAsia" w:eastAsia="宋体"/>
                <w:color w:val="auto"/>
                <w:highlight w:val="none"/>
              </w:rPr>
              <w:t>样品、现场演示、方案讲解</w:t>
            </w:r>
            <w:bookmarkEnd w:id="35"/>
          </w:p>
        </w:tc>
        <w:tc>
          <w:tcPr>
            <w:tcW w:w="5244" w:type="dxa"/>
            <w:vAlign w:val="center"/>
          </w:tcPr>
          <w:p w14:paraId="1F17E24E">
            <w:pPr>
              <w:shd w:val="clear"/>
              <w:rPr>
                <w:color w:val="auto"/>
                <w:highlight w:val="none"/>
              </w:rPr>
            </w:pPr>
            <w:r>
              <w:rPr>
                <w:rFonts w:hint="eastAsia" w:eastAsia="宋体"/>
                <w:color w:val="auto"/>
                <w:highlight w:val="none"/>
              </w:rPr>
              <w:t>无</w:t>
            </w:r>
          </w:p>
        </w:tc>
      </w:tr>
      <w:tr w14:paraId="61DF6A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6B7E20DB">
            <w:pPr>
              <w:shd w:val="clear"/>
              <w:rPr>
                <w:rFonts w:hint="default" w:eastAsia="宋体"/>
                <w:color w:val="auto"/>
                <w:highlight w:val="none"/>
                <w:lang w:val="en-US" w:eastAsia="zh-CN"/>
              </w:rPr>
            </w:pPr>
            <w:r>
              <w:rPr>
                <w:rFonts w:hint="eastAsia" w:eastAsia="宋体"/>
                <w:color w:val="auto"/>
                <w:highlight w:val="none"/>
                <w:lang w:val="en-US" w:eastAsia="zh-CN"/>
              </w:rPr>
              <w:t>13</w:t>
            </w:r>
          </w:p>
        </w:tc>
        <w:tc>
          <w:tcPr>
            <w:tcW w:w="2145" w:type="dxa"/>
            <w:vAlign w:val="center"/>
          </w:tcPr>
          <w:p w14:paraId="2321361D">
            <w:pPr>
              <w:shd w:val="clear"/>
              <w:rPr>
                <w:color w:val="auto"/>
                <w:highlight w:val="none"/>
              </w:rPr>
            </w:pPr>
            <w:r>
              <w:rPr>
                <w:rFonts w:hint="eastAsia" w:eastAsia="宋体"/>
                <w:color w:val="auto"/>
                <w:highlight w:val="none"/>
              </w:rPr>
              <w:t>评审方法</w:t>
            </w:r>
          </w:p>
        </w:tc>
        <w:tc>
          <w:tcPr>
            <w:tcW w:w="5244" w:type="dxa"/>
            <w:vAlign w:val="center"/>
          </w:tcPr>
          <w:p w14:paraId="580B2E8A">
            <w:pPr>
              <w:shd w:val="clear"/>
              <w:rPr>
                <w:color w:val="auto"/>
                <w:highlight w:val="none"/>
              </w:rPr>
            </w:pPr>
            <w:r>
              <w:rPr>
                <w:rFonts w:hint="eastAsia" w:eastAsia="宋体"/>
                <w:color w:val="auto"/>
                <w:highlight w:val="none"/>
              </w:rPr>
              <w:t>综合评分法</w:t>
            </w:r>
          </w:p>
        </w:tc>
      </w:tr>
      <w:tr w14:paraId="75C12D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0A4A0DAB">
            <w:pPr>
              <w:shd w:val="clear"/>
              <w:rPr>
                <w:rFonts w:hint="default" w:eastAsia="宋体"/>
                <w:color w:val="auto"/>
                <w:highlight w:val="none"/>
                <w:lang w:val="en-US" w:eastAsia="zh-CN"/>
              </w:rPr>
            </w:pPr>
            <w:r>
              <w:rPr>
                <w:rFonts w:hint="eastAsia" w:eastAsia="宋体"/>
                <w:color w:val="auto"/>
                <w:highlight w:val="none"/>
                <w:lang w:val="en-US" w:eastAsia="zh-CN"/>
              </w:rPr>
              <w:t>14</w:t>
            </w:r>
          </w:p>
        </w:tc>
        <w:tc>
          <w:tcPr>
            <w:tcW w:w="2145" w:type="dxa"/>
            <w:vAlign w:val="center"/>
          </w:tcPr>
          <w:p w14:paraId="15B08030">
            <w:pPr>
              <w:shd w:val="clear"/>
              <w:rPr>
                <w:color w:val="auto"/>
                <w:highlight w:val="none"/>
              </w:rPr>
            </w:pPr>
            <w:r>
              <w:rPr>
                <w:rFonts w:hint="eastAsia" w:eastAsia="宋体"/>
                <w:color w:val="auto"/>
                <w:highlight w:val="none"/>
              </w:rPr>
              <w:t>定标方法</w:t>
            </w:r>
          </w:p>
        </w:tc>
        <w:tc>
          <w:tcPr>
            <w:tcW w:w="5244" w:type="dxa"/>
            <w:vAlign w:val="center"/>
          </w:tcPr>
          <w:p w14:paraId="5932F73A">
            <w:pPr>
              <w:shd w:val="clear"/>
              <w:rPr>
                <w:color w:val="auto"/>
                <w:highlight w:val="none"/>
              </w:rPr>
            </w:pPr>
            <w:r>
              <w:rPr>
                <w:rFonts w:hint="eastAsia" w:eastAsia="宋体"/>
                <w:color w:val="auto"/>
                <w:highlight w:val="none"/>
              </w:rPr>
              <w:t>非评定分离</w:t>
            </w:r>
          </w:p>
        </w:tc>
      </w:tr>
      <w:tr w14:paraId="04C7E9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 w:hRule="atLeast"/>
          <w:jc w:val="center"/>
        </w:trPr>
        <w:tc>
          <w:tcPr>
            <w:tcW w:w="978" w:type="dxa"/>
            <w:vAlign w:val="center"/>
          </w:tcPr>
          <w:p w14:paraId="3B51EA58">
            <w:pPr>
              <w:shd w:val="clear"/>
              <w:rPr>
                <w:rFonts w:hint="default" w:eastAsia="宋体"/>
                <w:color w:val="auto"/>
                <w:highlight w:val="none"/>
                <w:lang w:val="en-US" w:eastAsia="zh-CN"/>
              </w:rPr>
            </w:pPr>
            <w:r>
              <w:rPr>
                <w:rFonts w:hint="eastAsia" w:eastAsia="宋体"/>
                <w:color w:val="auto"/>
                <w:highlight w:val="none"/>
                <w:lang w:val="en-US" w:eastAsia="zh-CN"/>
              </w:rPr>
              <w:t>15</w:t>
            </w:r>
          </w:p>
        </w:tc>
        <w:tc>
          <w:tcPr>
            <w:tcW w:w="2145" w:type="dxa"/>
            <w:vAlign w:val="center"/>
          </w:tcPr>
          <w:p w14:paraId="498E9C75">
            <w:pPr>
              <w:shd w:val="clear"/>
              <w:rPr>
                <w:color w:val="auto"/>
                <w:highlight w:val="none"/>
              </w:rPr>
            </w:pPr>
            <w:r>
              <w:rPr>
                <w:rFonts w:hint="eastAsia" w:eastAsia="宋体"/>
                <w:color w:val="auto"/>
                <w:highlight w:val="none"/>
              </w:rPr>
              <w:t>履约担保</w:t>
            </w:r>
          </w:p>
        </w:tc>
        <w:tc>
          <w:tcPr>
            <w:tcW w:w="5244" w:type="dxa"/>
            <w:vAlign w:val="center"/>
          </w:tcPr>
          <w:p w14:paraId="2D34DA40">
            <w:pPr>
              <w:shd w:val="clear"/>
              <w:rPr>
                <w:color w:val="auto"/>
                <w:highlight w:val="none"/>
              </w:rPr>
            </w:pPr>
            <w:r>
              <w:rPr>
                <w:rFonts w:hint="eastAsia" w:eastAsia="宋体"/>
                <w:color w:val="auto"/>
                <w:highlight w:val="none"/>
              </w:rPr>
              <w:t>本项目无需提供</w:t>
            </w:r>
            <w:bookmarkStart w:id="36" w:name="OLE_LINK158"/>
            <w:bookmarkStart w:id="37" w:name="OLE_LINK157"/>
            <w:r>
              <w:rPr>
                <w:rFonts w:hint="eastAsia" w:eastAsia="宋体"/>
                <w:color w:val="auto"/>
                <w:highlight w:val="none"/>
              </w:rPr>
              <w:t>履约保证金</w:t>
            </w:r>
            <w:bookmarkEnd w:id="36"/>
            <w:bookmarkEnd w:id="37"/>
          </w:p>
        </w:tc>
      </w:tr>
    </w:tbl>
    <w:p w14:paraId="00EBBC0F">
      <w:pPr>
        <w:shd w:val="clear"/>
        <w:ind w:firstLine="720"/>
        <w:jc w:val="both"/>
        <w:rPr>
          <w:rFonts w:hint="eastAsia" w:eastAsia="宋体"/>
          <w:color w:val="auto"/>
          <w:highlight w:val="none"/>
        </w:rPr>
      </w:pPr>
      <w:r>
        <w:rPr>
          <w:rFonts w:hint="eastAsia" w:eastAsia="宋体"/>
          <w:color w:val="auto"/>
          <w:highlight w:val="none"/>
        </w:rPr>
        <w:t>备注：本表是通用条款相关条款的补充和明确，如与通用条款内容相冲突的，以本表为准。</w:t>
      </w:r>
    </w:p>
    <w:p w14:paraId="3DE36482">
      <w:pPr>
        <w:pStyle w:val="4"/>
        <w:shd w:val="clear"/>
        <w:rPr>
          <w:color w:val="auto"/>
          <w:highlight w:val="none"/>
        </w:rPr>
      </w:pPr>
      <w:r>
        <w:rPr>
          <w:rFonts w:hint="eastAsia"/>
          <w:color w:val="auto"/>
          <w:highlight w:val="none"/>
        </w:rPr>
        <w:t>二、其他关键信息</w:t>
      </w:r>
    </w:p>
    <w:p w14:paraId="40A81422">
      <w:pPr>
        <w:shd w:val="clear"/>
        <w:rPr>
          <w:rFonts w:hint="eastAsia" w:eastAsia="宋体"/>
          <w:color w:val="auto"/>
          <w:highlight w:val="none"/>
        </w:rPr>
      </w:pPr>
      <w:r>
        <w:rPr>
          <w:rFonts w:hint="eastAsia" w:eastAsia="宋体"/>
          <w:color w:val="auto"/>
          <w:highlight w:val="none"/>
        </w:rPr>
        <w:t>（一）与</w:t>
      </w:r>
      <w:r>
        <w:rPr>
          <w:color w:val="auto"/>
          <w:highlight w:val="none"/>
        </w:rPr>
        <w:t>“</w:t>
      </w:r>
      <w:r>
        <w:rPr>
          <w:rFonts w:hint="eastAsia" w:eastAsia="宋体"/>
          <w:color w:val="auto"/>
          <w:highlight w:val="none"/>
        </w:rPr>
        <w:t>对通用条款的补充内容</w:t>
      </w:r>
      <w:r>
        <w:rPr>
          <w:color w:val="auto"/>
          <w:highlight w:val="none"/>
        </w:rPr>
        <w:t>”</w:t>
      </w:r>
      <w:r>
        <w:rPr>
          <w:rFonts w:hint="eastAsia" w:eastAsia="宋体"/>
          <w:color w:val="auto"/>
          <w:highlight w:val="none"/>
        </w:rPr>
        <w:t>章节相关的事项</w:t>
      </w:r>
    </w:p>
    <w:p w14:paraId="212C0146">
      <w:pPr>
        <w:pStyle w:val="8"/>
        <w:shd w:val="clear"/>
        <w:rPr>
          <w:color w:val="auto"/>
          <w:highlight w:val="none"/>
        </w:rPr>
      </w:pPr>
    </w:p>
    <w:tbl>
      <w:tblPr>
        <w:tblStyle w:val="24"/>
        <w:tblW w:w="88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32"/>
        <w:gridCol w:w="3317"/>
      </w:tblGrid>
      <w:tr w14:paraId="5A874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5532" w:type="dxa"/>
            <w:vAlign w:val="center"/>
          </w:tcPr>
          <w:p w14:paraId="3597F4F9">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评标方法</w:t>
            </w:r>
          </w:p>
        </w:tc>
        <w:tc>
          <w:tcPr>
            <w:tcW w:w="3317" w:type="dxa"/>
            <w:vAlign w:val="center"/>
          </w:tcPr>
          <w:p w14:paraId="1D44DEFE">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综合评分法</w:t>
            </w:r>
          </w:p>
        </w:tc>
      </w:tr>
      <w:tr w14:paraId="11013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5532" w:type="dxa"/>
            <w:vAlign w:val="center"/>
          </w:tcPr>
          <w:p w14:paraId="727E861B">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是否为评定分离项目</w:t>
            </w:r>
          </w:p>
        </w:tc>
        <w:tc>
          <w:tcPr>
            <w:tcW w:w="3317" w:type="dxa"/>
            <w:vAlign w:val="center"/>
          </w:tcPr>
          <w:p w14:paraId="2F3C2B21">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否</w:t>
            </w:r>
          </w:p>
        </w:tc>
      </w:tr>
      <w:tr w14:paraId="08FA0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5532" w:type="dxa"/>
            <w:vAlign w:val="center"/>
          </w:tcPr>
          <w:p w14:paraId="4E98E720">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中标供应商家数</w:t>
            </w:r>
          </w:p>
        </w:tc>
        <w:tc>
          <w:tcPr>
            <w:tcW w:w="3317" w:type="dxa"/>
            <w:vAlign w:val="center"/>
          </w:tcPr>
          <w:p w14:paraId="6112CB44">
            <w:pPr>
              <w:shd w:val="clear"/>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1</w:t>
            </w:r>
          </w:p>
        </w:tc>
      </w:tr>
    </w:tbl>
    <w:p w14:paraId="1689DFA6">
      <w:pPr>
        <w:shd w:val="clear"/>
        <w:rPr>
          <w:color w:val="auto"/>
          <w:highlight w:val="none"/>
        </w:rPr>
      </w:pPr>
      <w:r>
        <w:rPr>
          <w:rFonts w:hint="eastAsia" w:eastAsia="宋体"/>
          <w:color w:val="auto"/>
          <w:highlight w:val="none"/>
        </w:rPr>
        <w:t>（二）其他事项</w:t>
      </w:r>
    </w:p>
    <w:p w14:paraId="097E74FA">
      <w:pPr>
        <w:shd w:val="clear"/>
        <w:spacing w:line="360" w:lineRule="auto"/>
        <w:ind w:firstLine="480" w:firstLineChars="200"/>
        <w:jc w:val="both"/>
        <w:rPr>
          <w:rFonts w:hint="eastAsia" w:ascii="宋体" w:hAnsi="宋体" w:eastAsia="宋体" w:cs="宋体"/>
          <w:bCs/>
          <w:color w:val="auto"/>
          <w:sz w:val="24"/>
          <w:szCs w:val="24"/>
          <w:highlight w:val="none"/>
        </w:rPr>
      </w:pPr>
      <w:r>
        <w:rPr>
          <w:rFonts w:hint="eastAsia" w:eastAsia="宋体"/>
          <w:color w:val="auto"/>
          <w:highlight w:val="none"/>
        </w:rPr>
        <w:t>本项目为代理服务项目，将向中标供应商收取招标代理服务费（详见招标文件第十二</w:t>
      </w:r>
      <w:r>
        <w:rPr>
          <w:rFonts w:hint="eastAsia" w:ascii="宋体" w:hAnsi="宋体" w:eastAsia="宋体" w:cs="宋体"/>
          <w:bCs/>
          <w:color w:val="auto"/>
          <w:sz w:val="24"/>
          <w:szCs w:val="24"/>
          <w:highlight w:val="none"/>
        </w:rPr>
        <w:t>章）。</w:t>
      </w:r>
    </w:p>
    <w:p w14:paraId="459D8095">
      <w:pPr>
        <w:pStyle w:val="3"/>
        <w:shd w:val="clear"/>
        <w:rPr>
          <w:color w:val="auto"/>
          <w:highlight w:val="none"/>
        </w:rPr>
      </w:pPr>
      <w:bookmarkStart w:id="38" w:name="_Toc128884461"/>
      <w:r>
        <w:rPr>
          <w:rFonts w:hint="eastAsia"/>
          <w:color w:val="auto"/>
          <w:highlight w:val="none"/>
        </w:rPr>
        <w:t>第三章 用户需求书</w:t>
      </w:r>
    </w:p>
    <w:p w14:paraId="5A97E71F">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一、项目基本信息</w:t>
      </w:r>
    </w:p>
    <w:tbl>
      <w:tblPr>
        <w:tblStyle w:val="24"/>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2376"/>
        <w:gridCol w:w="3118"/>
        <w:gridCol w:w="2566"/>
      </w:tblGrid>
      <w:tr w14:paraId="4228D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1083" w:type="dxa"/>
            <w:vAlign w:val="center"/>
          </w:tcPr>
          <w:p w14:paraId="6D9A12CB">
            <w:pPr>
              <w:shd w:val="clear"/>
              <w:rPr>
                <w:color w:val="auto"/>
                <w:highlight w:val="none"/>
              </w:rPr>
            </w:pPr>
            <w:r>
              <w:rPr>
                <w:rFonts w:hint="eastAsia" w:eastAsia="宋体"/>
                <w:color w:val="auto"/>
                <w:highlight w:val="none"/>
              </w:rPr>
              <w:t>序号</w:t>
            </w:r>
          </w:p>
        </w:tc>
        <w:tc>
          <w:tcPr>
            <w:tcW w:w="2376" w:type="dxa"/>
            <w:vAlign w:val="center"/>
          </w:tcPr>
          <w:p w14:paraId="6B2F108D">
            <w:pPr>
              <w:shd w:val="clear"/>
              <w:rPr>
                <w:bCs/>
                <w:color w:val="auto"/>
                <w:highlight w:val="none"/>
              </w:rPr>
            </w:pPr>
            <w:r>
              <w:rPr>
                <w:rFonts w:hint="eastAsia" w:eastAsia="宋体"/>
                <w:color w:val="auto"/>
                <w:highlight w:val="none"/>
              </w:rPr>
              <w:t>采购计划编号</w:t>
            </w:r>
          </w:p>
        </w:tc>
        <w:tc>
          <w:tcPr>
            <w:tcW w:w="3118" w:type="dxa"/>
            <w:vAlign w:val="center"/>
          </w:tcPr>
          <w:p w14:paraId="21EDD783">
            <w:pPr>
              <w:shd w:val="clear"/>
              <w:rPr>
                <w:color w:val="auto"/>
                <w:highlight w:val="none"/>
              </w:rPr>
            </w:pPr>
            <w:r>
              <w:rPr>
                <w:rFonts w:hint="eastAsia" w:eastAsia="宋体"/>
                <w:color w:val="auto"/>
                <w:highlight w:val="none"/>
              </w:rPr>
              <w:t>采购项目名称</w:t>
            </w:r>
          </w:p>
        </w:tc>
        <w:tc>
          <w:tcPr>
            <w:tcW w:w="2566" w:type="dxa"/>
            <w:vAlign w:val="center"/>
          </w:tcPr>
          <w:p w14:paraId="1B22A3C3">
            <w:pPr>
              <w:shd w:val="clear"/>
              <w:rPr>
                <w:color w:val="auto"/>
                <w:highlight w:val="none"/>
              </w:rPr>
            </w:pPr>
            <w:r>
              <w:rPr>
                <w:rFonts w:hint="eastAsia" w:eastAsia="宋体"/>
                <w:color w:val="auto"/>
                <w:highlight w:val="none"/>
              </w:rPr>
              <w:t>财政预算限额（元）</w:t>
            </w:r>
          </w:p>
        </w:tc>
      </w:tr>
      <w:tr w14:paraId="0FC3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1083" w:type="dxa"/>
            <w:vAlign w:val="center"/>
          </w:tcPr>
          <w:p w14:paraId="57E36D78">
            <w:pPr>
              <w:shd w:val="clear"/>
              <w:rPr>
                <w:color w:val="auto"/>
                <w:highlight w:val="none"/>
              </w:rPr>
            </w:pPr>
            <w:r>
              <w:rPr>
                <w:rFonts w:hint="eastAsia"/>
                <w:color w:val="auto"/>
                <w:highlight w:val="none"/>
              </w:rPr>
              <w:t>1</w:t>
            </w:r>
          </w:p>
        </w:tc>
        <w:tc>
          <w:tcPr>
            <w:tcW w:w="2376" w:type="dxa"/>
            <w:vAlign w:val="center"/>
          </w:tcPr>
          <w:p w14:paraId="4211E40E">
            <w:pPr>
              <w:shd w:val="clear"/>
              <w:rPr>
                <w:rFonts w:hint="eastAsia" w:eastAsia="宋体"/>
                <w:color w:val="auto"/>
                <w:highlight w:val="none"/>
                <w:lang w:eastAsia="zh-CN"/>
              </w:rPr>
            </w:pPr>
            <w:r>
              <w:rPr>
                <w:rFonts w:hint="eastAsia" w:eastAsia="宋体"/>
                <w:color w:val="auto"/>
                <w:highlight w:val="none"/>
                <w:lang w:eastAsia="zh-CN"/>
              </w:rPr>
              <w:t>YTGWS-2026-0116</w:t>
            </w:r>
          </w:p>
        </w:tc>
        <w:tc>
          <w:tcPr>
            <w:tcW w:w="3118" w:type="dxa"/>
            <w:vAlign w:val="center"/>
          </w:tcPr>
          <w:p w14:paraId="2130E197">
            <w:pPr>
              <w:shd w:val="clear"/>
              <w:rPr>
                <w:rFonts w:hint="eastAsia" w:eastAsia="宋体"/>
                <w:color w:val="auto"/>
                <w:highlight w:val="none"/>
                <w:lang w:eastAsia="zh-CN"/>
              </w:rPr>
            </w:pPr>
            <w:r>
              <w:rPr>
                <w:rFonts w:hint="eastAsia" w:ascii="宋体" w:hAnsi="宋体" w:eastAsia="宋体" w:cs="宋体"/>
                <w:color w:val="auto"/>
                <w:highlight w:val="none"/>
                <w:lang w:eastAsia="zh-CN"/>
              </w:rPr>
              <w:t>盐田区人民医院发热门诊大楼及配套设施项目手机信号覆盖工程（重新招标第1次）</w:t>
            </w:r>
          </w:p>
        </w:tc>
        <w:tc>
          <w:tcPr>
            <w:tcW w:w="2566" w:type="dxa"/>
            <w:vAlign w:val="center"/>
          </w:tcPr>
          <w:p w14:paraId="207CC703">
            <w:pPr>
              <w:shd w:val="clear"/>
              <w:rPr>
                <w:rFonts w:hint="default" w:eastAsia="宋体"/>
                <w:color w:val="auto"/>
                <w:highlight w:val="none"/>
                <w:lang w:val="en-US" w:eastAsia="zh-CN"/>
              </w:rPr>
            </w:pPr>
            <w:r>
              <w:rPr>
                <w:rFonts w:hint="eastAsia" w:eastAsia="宋体"/>
                <w:b w:val="0"/>
                <w:bCs w:val="0"/>
                <w:color w:val="auto"/>
                <w:highlight w:val="none"/>
                <w:lang w:val="en-US" w:eastAsia="zh-CN"/>
              </w:rPr>
              <w:t>523,835.01</w:t>
            </w:r>
          </w:p>
        </w:tc>
      </w:tr>
      <w:tr w14:paraId="1DB793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6577" w:type="dxa"/>
            <w:gridSpan w:val="3"/>
            <w:vAlign w:val="center"/>
          </w:tcPr>
          <w:p w14:paraId="5CA9B9AB">
            <w:pPr>
              <w:shd w:val="clear"/>
              <w:rPr>
                <w:color w:val="auto"/>
                <w:highlight w:val="none"/>
              </w:rPr>
            </w:pPr>
            <w:r>
              <w:rPr>
                <w:rFonts w:hint="eastAsia" w:eastAsia="宋体"/>
                <w:color w:val="auto"/>
                <w:highlight w:val="none"/>
              </w:rPr>
              <w:t>合计</w:t>
            </w:r>
          </w:p>
        </w:tc>
        <w:tc>
          <w:tcPr>
            <w:tcW w:w="2566" w:type="dxa"/>
            <w:vAlign w:val="center"/>
          </w:tcPr>
          <w:p w14:paraId="356CD80B">
            <w:pPr>
              <w:shd w:val="clear"/>
              <w:rPr>
                <w:rFonts w:hint="eastAsia" w:eastAsia="宋体"/>
                <w:color w:val="auto"/>
                <w:highlight w:val="none"/>
                <w:lang w:eastAsia="zh-CN"/>
              </w:rPr>
            </w:pPr>
            <w:r>
              <w:rPr>
                <w:rFonts w:hint="eastAsia" w:eastAsia="宋体"/>
                <w:b w:val="0"/>
                <w:bCs w:val="0"/>
                <w:color w:val="auto"/>
                <w:highlight w:val="none"/>
                <w:lang w:val="en-US" w:eastAsia="zh-CN"/>
              </w:rPr>
              <w:t>523,835.01</w:t>
            </w:r>
          </w:p>
        </w:tc>
      </w:tr>
    </w:tbl>
    <w:p w14:paraId="35F281FD">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二、</w:t>
      </w:r>
      <w:bookmarkStart w:id="39" w:name="_Hlk72073432"/>
      <w:r>
        <w:rPr>
          <w:rFonts w:hint="eastAsia" w:ascii="宋体" w:hAnsi="宋体" w:eastAsia="宋体" w:cs="Times New Roman"/>
          <w:b/>
          <w:bCs/>
          <w:color w:val="auto"/>
          <w:highlight w:val="none"/>
        </w:rPr>
        <w:t>采购项目概况</w:t>
      </w:r>
    </w:p>
    <w:p w14:paraId="6C13C28A">
      <w:pPr>
        <w:shd w:val="clear"/>
        <w:spacing w:line="360" w:lineRule="auto"/>
        <w:ind w:firstLine="480" w:firstLineChars="200"/>
        <w:jc w:val="both"/>
        <w:rPr>
          <w:rFonts w:hint="eastAsia" w:eastAsia="宋体"/>
          <w:color w:val="auto"/>
          <w:highlight w:val="none"/>
          <w:lang w:eastAsia="zh-CN"/>
        </w:rPr>
      </w:pPr>
      <w:r>
        <w:rPr>
          <w:rFonts w:hint="eastAsia" w:ascii="宋体" w:hAnsi="宋体"/>
          <w:color w:val="auto"/>
          <w:szCs w:val="21"/>
          <w:highlight w:val="none"/>
        </w:rPr>
        <w:t>1、</w:t>
      </w:r>
      <w:r>
        <w:rPr>
          <w:rFonts w:hint="eastAsia"/>
          <w:color w:val="auto"/>
          <w:highlight w:val="none"/>
        </w:rPr>
        <w:t>采购单位：</w:t>
      </w:r>
      <w:r>
        <w:rPr>
          <w:rFonts w:hint="eastAsia"/>
          <w:color w:val="auto"/>
          <w:highlight w:val="none"/>
          <w:u w:val="single"/>
          <w:lang w:eastAsia="zh-CN"/>
        </w:rPr>
        <w:t>深圳市盐田区建筑工程事务署</w:t>
      </w:r>
    </w:p>
    <w:p w14:paraId="7122D9A9">
      <w:pPr>
        <w:shd w:val="clear"/>
        <w:spacing w:line="360" w:lineRule="auto"/>
        <w:ind w:firstLine="480" w:firstLineChars="200"/>
        <w:jc w:val="both"/>
        <w:rPr>
          <w:rFonts w:hint="eastAsia" w:ascii="宋体" w:hAnsi="宋体" w:eastAsia="宋体" w:cs="宋体"/>
          <w:color w:val="auto"/>
          <w:highlight w:val="none"/>
        </w:rPr>
      </w:pPr>
      <w:r>
        <w:rPr>
          <w:rFonts w:hint="eastAsia" w:ascii="宋体" w:hAnsi="宋体" w:eastAsia="宋体" w:cs="宋体"/>
          <w:color w:val="auto"/>
          <w:szCs w:val="21"/>
          <w:highlight w:val="none"/>
        </w:rPr>
        <w:t>2、</w:t>
      </w:r>
      <w:r>
        <w:rPr>
          <w:rFonts w:hint="eastAsia" w:ascii="宋体" w:hAnsi="宋体" w:eastAsia="宋体" w:cs="宋体"/>
          <w:color w:val="auto"/>
          <w:highlight w:val="none"/>
        </w:rPr>
        <w:t>项目关键信息：</w:t>
      </w:r>
    </w:p>
    <w:p w14:paraId="24C57E40">
      <w:pPr>
        <w:shd w:val="clear"/>
        <w:spacing w:line="360" w:lineRule="auto"/>
        <w:ind w:firstLine="480" w:firstLineChars="200"/>
        <w:jc w:val="both"/>
        <w:rPr>
          <w:rFonts w:hint="eastAsia" w:ascii="宋体" w:hAnsi="宋体" w:eastAsia="宋体" w:cs="宋体"/>
          <w:snapToGrid w:val="0"/>
          <w:color w:val="auto"/>
          <w:kern w:val="0"/>
          <w:highlight w:val="none"/>
        </w:rPr>
      </w:pPr>
      <w:r>
        <w:rPr>
          <w:rFonts w:hint="eastAsia" w:ascii="宋体" w:hAnsi="宋体" w:eastAsia="宋体" w:cs="宋体"/>
          <w:snapToGrid w:val="0"/>
          <w:color w:val="auto"/>
          <w:kern w:val="0"/>
          <w:highlight w:val="none"/>
        </w:rPr>
        <w:t>（1）项目需求名称（标的名称）：</w:t>
      </w:r>
      <w:r>
        <w:rPr>
          <w:rFonts w:hint="eastAsia" w:ascii="宋体" w:hAnsi="宋体" w:eastAsia="宋体" w:cs="宋体"/>
          <w:snapToGrid w:val="0"/>
          <w:color w:val="auto"/>
          <w:kern w:val="0"/>
          <w:highlight w:val="none"/>
          <w:u w:val="single"/>
          <w:lang w:eastAsia="zh-CN"/>
        </w:rPr>
        <w:t>盐田区人民医院发热门诊大楼及配套设施项目手机信号覆盖工程（重新招标第1次）</w:t>
      </w:r>
      <w:r>
        <w:rPr>
          <w:rFonts w:hint="eastAsia" w:ascii="宋体" w:hAnsi="宋体" w:eastAsia="宋体" w:cs="宋体"/>
          <w:snapToGrid w:val="0"/>
          <w:color w:val="auto"/>
          <w:kern w:val="0"/>
          <w:highlight w:val="none"/>
        </w:rPr>
        <w:t>；</w:t>
      </w:r>
    </w:p>
    <w:p w14:paraId="54572E64">
      <w:pPr>
        <w:shd w:val="clear"/>
        <w:spacing w:line="360" w:lineRule="auto"/>
        <w:ind w:firstLine="480" w:firstLineChars="200"/>
        <w:jc w:val="both"/>
        <w:rPr>
          <w:rFonts w:hint="eastAsia" w:ascii="宋体" w:hAnsi="宋体" w:eastAsia="宋体" w:cs="宋体"/>
          <w:color w:val="auto"/>
          <w:szCs w:val="21"/>
          <w:highlight w:val="none"/>
        </w:rPr>
      </w:pPr>
      <w:r>
        <w:rPr>
          <w:rFonts w:hint="eastAsia" w:ascii="宋体" w:hAnsi="宋体" w:eastAsia="宋体" w:cs="宋体"/>
          <w:snapToGrid w:val="0"/>
          <w:color w:val="auto"/>
          <w:kern w:val="0"/>
          <w:highlight w:val="none"/>
        </w:rPr>
        <w:t>（2）</w:t>
      </w:r>
      <w:r>
        <w:rPr>
          <w:rFonts w:hint="eastAsia" w:ascii="宋体" w:hAnsi="宋体" w:eastAsia="宋体" w:cs="宋体"/>
          <w:color w:val="auto"/>
          <w:szCs w:val="21"/>
          <w:highlight w:val="none"/>
        </w:rPr>
        <w:t>项目概况:</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single"/>
          <w:lang w:val="en-US" w:eastAsia="zh-CN"/>
        </w:rPr>
        <w:t>区人民医院发热门诊，主要建筑包括1栋楼宇，其楼高6层，有3部电梯，有1层地下室。总体覆盖面积约1.8万平方。工程量及工程内容包括但不限于：盐田区人民医院发热门诊大楼及配套设施项目手机信号覆盖工程（重新招标第1次）施工设计图纸包含的全部工程内容、《招标控制价》包含的全部内容、采购人在实施工程中根据本工程实际情况有权增减部分内容，中标人不能拒绝执行。具体详见施工图纸及工程量清单</w:t>
      </w:r>
      <w:r>
        <w:rPr>
          <w:rFonts w:hint="eastAsia" w:ascii="宋体" w:hAnsi="宋体" w:eastAsia="宋体" w:cs="宋体"/>
          <w:color w:val="auto"/>
          <w:szCs w:val="21"/>
          <w:highlight w:val="none"/>
        </w:rPr>
        <w:t>；</w:t>
      </w:r>
    </w:p>
    <w:p w14:paraId="45015285">
      <w:pPr>
        <w:shd w:val="clear"/>
        <w:spacing w:line="360" w:lineRule="auto"/>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（3）</w:t>
      </w:r>
      <w:r>
        <w:rPr>
          <w:rFonts w:hint="eastAsia" w:ascii="宋体" w:hAnsi="宋体" w:eastAsia="宋体" w:cs="宋体"/>
          <w:b w:val="0"/>
          <w:bCs w:val="0"/>
          <w:color w:val="auto"/>
          <w:highlight w:val="none"/>
          <w:lang w:val="en-US" w:eastAsia="zh-CN"/>
        </w:rPr>
        <w:t>招标控制价：523,835.01元，投标上限价: 523,835.01元；其中：安全文明施工措施费7,455.21元，不可竞争费合计：7,455.21元；</w:t>
      </w:r>
    </w:p>
    <w:p w14:paraId="2D4A6505">
      <w:pPr>
        <w:shd w:val="clear"/>
        <w:spacing w:line="360" w:lineRule="auto"/>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（4）项目实施地点</w:t>
      </w:r>
      <w:r>
        <w:rPr>
          <w:rFonts w:hint="eastAsia" w:ascii="宋体" w:hAnsi="宋体" w:eastAsia="宋体" w:cs="宋体"/>
          <w:color w:val="auto"/>
          <w:szCs w:val="21"/>
          <w:highlight w:val="none"/>
          <w:u w:val="none"/>
        </w:rPr>
        <w:t>：</w:t>
      </w:r>
      <w:r>
        <w:rPr>
          <w:rFonts w:hint="eastAsia" w:ascii="宋体" w:hAnsi="宋体" w:eastAsia="宋体" w:cs="宋体"/>
          <w:color w:val="auto"/>
          <w:szCs w:val="21"/>
          <w:highlight w:val="none"/>
          <w:u w:val="single"/>
          <w:lang w:eastAsia="zh-CN"/>
        </w:rPr>
        <w:t>盐田区人民医院发热门诊大楼</w:t>
      </w:r>
      <w:r>
        <w:rPr>
          <w:rFonts w:hint="eastAsia" w:ascii="宋体" w:hAnsi="宋体" w:eastAsia="宋体" w:cs="宋体"/>
          <w:color w:val="auto"/>
          <w:szCs w:val="21"/>
          <w:highlight w:val="none"/>
        </w:rPr>
        <w:t xml:space="preserve">； </w:t>
      </w:r>
    </w:p>
    <w:p w14:paraId="6D8120A9">
      <w:pPr>
        <w:shd w:val="clear"/>
        <w:spacing w:line="360" w:lineRule="auto"/>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3、</w:t>
      </w:r>
      <w:r>
        <w:rPr>
          <w:rFonts w:hint="eastAsia" w:ascii="宋体" w:hAnsi="宋体" w:eastAsia="宋体" w:cs="宋体"/>
          <w:color w:val="auto"/>
          <w:sz w:val="24"/>
          <w:szCs w:val="24"/>
          <w:highlight w:val="none"/>
          <w:lang w:val="en-US" w:eastAsia="zh-CN"/>
        </w:rPr>
        <w:t>本项目不接受联合体投标，不接受投标人选用进口产品参与投标。</w:t>
      </w:r>
      <w:r>
        <w:rPr>
          <w:rFonts w:hint="eastAsia" w:ascii="宋体" w:hAnsi="宋体" w:eastAsia="宋体" w:cs="宋体"/>
          <w:color w:val="auto"/>
          <w:szCs w:val="21"/>
          <w:highlight w:val="none"/>
        </w:rPr>
        <w:t xml:space="preserve">             </w:t>
      </w:r>
    </w:p>
    <w:p w14:paraId="0D1BB212">
      <w:pPr>
        <w:shd w:val="clear"/>
        <w:spacing w:line="360" w:lineRule="auto"/>
        <w:ind w:firstLine="480" w:firstLineChars="200"/>
        <w:jc w:val="both"/>
        <w:rPr>
          <w:rFonts w:hint="eastAsia"/>
          <w:color w:val="auto"/>
          <w:highlight w:val="none"/>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rPr>
        <w:t>本项目进行自行采购，采用评审定标，欢迎符合条件的供应商参加。</w:t>
      </w:r>
    </w:p>
    <w:p w14:paraId="7CB7C8BD">
      <w:pPr>
        <w:pStyle w:val="4"/>
        <w:shd w:val="clear"/>
        <w:spacing w:line="240" w:lineRule="auto"/>
        <w:rPr>
          <w:rFonts w:hint="eastAsia" w:ascii="宋体" w:hAnsi="宋体" w:eastAsia="宋体" w:cs="Times New Roman"/>
          <w:b/>
          <w:bCs/>
          <w:color w:val="auto"/>
          <w:highlight w:val="none"/>
          <w:lang w:eastAsia="zh-CN"/>
        </w:rPr>
      </w:pPr>
      <w:r>
        <w:rPr>
          <w:rFonts w:hint="eastAsia" w:ascii="宋体" w:hAnsi="宋体" w:eastAsia="宋体" w:cs="Times New Roman"/>
          <w:b/>
          <w:bCs/>
          <w:color w:val="auto"/>
          <w:highlight w:val="none"/>
          <w:lang w:val="en-US" w:eastAsia="zh-CN"/>
        </w:rPr>
        <w:t>三</w:t>
      </w:r>
      <w:r>
        <w:rPr>
          <w:rFonts w:hint="eastAsia" w:ascii="宋体" w:hAnsi="宋体" w:eastAsia="宋体" w:cs="Times New Roman"/>
          <w:b/>
          <w:bCs/>
          <w:color w:val="auto"/>
          <w:highlight w:val="none"/>
        </w:rPr>
        <w:t>、采购</w:t>
      </w:r>
      <w:r>
        <w:rPr>
          <w:rFonts w:hint="eastAsia" w:ascii="宋体" w:hAnsi="宋体" w:eastAsia="宋体" w:cs="Times New Roman"/>
          <w:b/>
          <w:bCs/>
          <w:color w:val="auto"/>
          <w:highlight w:val="none"/>
          <w:lang w:val="en-US" w:eastAsia="zh-CN"/>
        </w:rPr>
        <w:t>需求</w:t>
      </w:r>
    </w:p>
    <w:bookmarkEnd w:id="39"/>
    <w:tbl>
      <w:tblPr>
        <w:tblStyle w:val="24"/>
        <w:tblpPr w:leftFromText="180" w:rightFromText="180" w:vertAnchor="text" w:horzAnchor="margin" w:tblpXSpec="center" w:tblpY="173"/>
        <w:tblW w:w="9064" w:type="dxa"/>
        <w:tblInd w:w="35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1680"/>
        <w:gridCol w:w="2524"/>
        <w:gridCol w:w="825"/>
        <w:gridCol w:w="675"/>
        <w:gridCol w:w="1594"/>
        <w:gridCol w:w="986"/>
      </w:tblGrid>
      <w:tr w14:paraId="45A40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80" w:type="dxa"/>
            <w:vAlign w:val="center"/>
          </w:tcPr>
          <w:p w14:paraId="72C3DB9D">
            <w:pPr>
              <w:shd w:val="clear"/>
              <w:rPr>
                <w:color w:val="auto"/>
                <w:highlight w:val="none"/>
              </w:rPr>
            </w:pPr>
            <w:r>
              <w:rPr>
                <w:rFonts w:hint="eastAsia" w:eastAsia="宋体"/>
                <w:color w:val="auto"/>
                <w:highlight w:val="none"/>
              </w:rPr>
              <w:t>序号</w:t>
            </w:r>
          </w:p>
        </w:tc>
        <w:tc>
          <w:tcPr>
            <w:tcW w:w="1680" w:type="dxa"/>
            <w:vAlign w:val="center"/>
          </w:tcPr>
          <w:p w14:paraId="6B3CD0BE">
            <w:pPr>
              <w:shd w:val="clear"/>
              <w:rPr>
                <w:bCs/>
                <w:color w:val="auto"/>
                <w:highlight w:val="none"/>
              </w:rPr>
            </w:pPr>
            <w:r>
              <w:rPr>
                <w:rFonts w:hint="eastAsia" w:eastAsia="宋体"/>
                <w:color w:val="auto"/>
                <w:highlight w:val="none"/>
              </w:rPr>
              <w:t>采购计划编号</w:t>
            </w:r>
          </w:p>
        </w:tc>
        <w:tc>
          <w:tcPr>
            <w:tcW w:w="2524" w:type="dxa"/>
            <w:vAlign w:val="center"/>
          </w:tcPr>
          <w:p w14:paraId="7BEA2D49">
            <w:pPr>
              <w:shd w:val="clear"/>
              <w:rPr>
                <w:color w:val="auto"/>
                <w:highlight w:val="none"/>
              </w:rPr>
            </w:pPr>
            <w:r>
              <w:rPr>
                <w:rFonts w:hint="eastAsia" w:eastAsia="宋体"/>
                <w:color w:val="auto"/>
                <w:highlight w:val="none"/>
              </w:rPr>
              <w:t>服务需求名称（标的名称）</w:t>
            </w:r>
          </w:p>
        </w:tc>
        <w:tc>
          <w:tcPr>
            <w:tcW w:w="825" w:type="dxa"/>
            <w:vAlign w:val="center"/>
          </w:tcPr>
          <w:p w14:paraId="2FC4B8C5">
            <w:pPr>
              <w:shd w:val="clear"/>
              <w:rPr>
                <w:color w:val="auto"/>
                <w:highlight w:val="none"/>
              </w:rPr>
            </w:pPr>
            <w:r>
              <w:rPr>
                <w:rFonts w:hint="eastAsia" w:eastAsia="宋体"/>
                <w:color w:val="auto"/>
                <w:highlight w:val="none"/>
              </w:rPr>
              <w:t>数量</w:t>
            </w:r>
          </w:p>
        </w:tc>
        <w:tc>
          <w:tcPr>
            <w:tcW w:w="675" w:type="dxa"/>
            <w:vAlign w:val="center"/>
          </w:tcPr>
          <w:p w14:paraId="68A6A5DD">
            <w:pPr>
              <w:shd w:val="clear"/>
              <w:rPr>
                <w:color w:val="auto"/>
                <w:highlight w:val="none"/>
              </w:rPr>
            </w:pPr>
            <w:r>
              <w:rPr>
                <w:rFonts w:hint="eastAsia" w:eastAsia="宋体"/>
                <w:color w:val="auto"/>
                <w:highlight w:val="none"/>
              </w:rPr>
              <w:t>单位</w:t>
            </w:r>
          </w:p>
        </w:tc>
        <w:tc>
          <w:tcPr>
            <w:tcW w:w="1594" w:type="dxa"/>
            <w:vAlign w:val="center"/>
          </w:tcPr>
          <w:p w14:paraId="21DF4C14">
            <w:pPr>
              <w:shd w:val="clear"/>
              <w:jc w:val="center"/>
              <w:rPr>
                <w:rFonts w:hint="eastAsia" w:eastAsia="宋体"/>
                <w:color w:val="auto"/>
                <w:highlight w:val="none"/>
              </w:rPr>
            </w:pPr>
            <w:r>
              <w:rPr>
                <w:rFonts w:hint="eastAsia" w:ascii="Times New Roman" w:hAnsi="Times New Roman" w:eastAsia="宋体" w:cs="Times New Roman"/>
                <w:color w:val="auto"/>
                <w:highlight w:val="none"/>
              </w:rPr>
              <w:t>是否专门面向中小企业</w:t>
            </w:r>
          </w:p>
        </w:tc>
        <w:tc>
          <w:tcPr>
            <w:tcW w:w="986" w:type="dxa"/>
            <w:vAlign w:val="center"/>
          </w:tcPr>
          <w:p w14:paraId="1B6A676B">
            <w:pPr>
              <w:shd w:val="clear"/>
              <w:jc w:val="center"/>
              <w:rPr>
                <w:rFonts w:hint="eastAsia" w:eastAsia="宋体"/>
                <w:color w:val="auto"/>
                <w:highlight w:val="none"/>
              </w:rPr>
            </w:pPr>
            <w:r>
              <w:rPr>
                <w:rFonts w:hint="eastAsia" w:ascii="Times New Roman" w:hAnsi="Times New Roman" w:eastAsia="宋体" w:cs="Times New Roman"/>
                <w:color w:val="auto"/>
                <w:highlight w:val="none"/>
              </w:rPr>
              <w:t>标的所属行业</w:t>
            </w:r>
          </w:p>
        </w:tc>
      </w:tr>
      <w:tr w14:paraId="4257D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780" w:type="dxa"/>
            <w:vAlign w:val="center"/>
          </w:tcPr>
          <w:p w14:paraId="51FA6B90">
            <w:pPr>
              <w:shd w:val="clear"/>
              <w:rPr>
                <w:color w:val="auto"/>
                <w:highlight w:val="none"/>
              </w:rPr>
            </w:pPr>
            <w:bookmarkStart w:id="40" w:name="_Hlk108085929"/>
            <w:r>
              <w:rPr>
                <w:rFonts w:hint="eastAsia"/>
                <w:color w:val="auto"/>
                <w:highlight w:val="none"/>
              </w:rPr>
              <w:t>1</w:t>
            </w:r>
          </w:p>
        </w:tc>
        <w:tc>
          <w:tcPr>
            <w:tcW w:w="1680" w:type="dxa"/>
            <w:vAlign w:val="center"/>
          </w:tcPr>
          <w:p w14:paraId="18AD4CE3">
            <w:pPr>
              <w:shd w:val="clear"/>
              <w:rPr>
                <w:rFonts w:hint="eastAsia" w:eastAsia="宋体"/>
                <w:color w:val="auto"/>
                <w:highlight w:val="none"/>
                <w:lang w:eastAsia="zh-CN"/>
              </w:rPr>
            </w:pPr>
            <w:r>
              <w:rPr>
                <w:rFonts w:hint="eastAsia" w:eastAsia="宋体"/>
                <w:color w:val="auto"/>
                <w:highlight w:val="none"/>
                <w:lang w:eastAsia="zh-CN"/>
              </w:rPr>
              <w:t>YTGWS-2026-0116</w:t>
            </w:r>
          </w:p>
        </w:tc>
        <w:tc>
          <w:tcPr>
            <w:tcW w:w="2524" w:type="dxa"/>
            <w:vAlign w:val="center"/>
          </w:tcPr>
          <w:p w14:paraId="264BF9D1">
            <w:pPr>
              <w:shd w:val="clear"/>
              <w:rPr>
                <w:rFonts w:hint="eastAsia" w:ascii="宋体" w:hAnsi="宋体" w:eastAsia="宋体"/>
                <w:color w:val="auto"/>
                <w:highlight w:val="none"/>
                <w:lang w:eastAsia="zh-CN"/>
              </w:rPr>
            </w:pPr>
            <w:r>
              <w:rPr>
                <w:rFonts w:hint="eastAsia" w:ascii="宋体" w:hAnsi="宋体" w:eastAsia="宋体" w:cs="宋体"/>
                <w:color w:val="auto"/>
                <w:highlight w:val="none"/>
                <w:lang w:eastAsia="zh-CN"/>
              </w:rPr>
              <w:t>盐田区人民医院发热门诊大楼及配套设施项目手机信号覆盖工程（重新招标第1次）</w:t>
            </w:r>
          </w:p>
        </w:tc>
        <w:tc>
          <w:tcPr>
            <w:tcW w:w="825" w:type="dxa"/>
            <w:vAlign w:val="center"/>
          </w:tcPr>
          <w:p w14:paraId="4D63FA4F">
            <w:pPr>
              <w:shd w:val="clear"/>
              <w:rPr>
                <w:color w:val="auto"/>
                <w:highlight w:val="none"/>
              </w:rPr>
            </w:pPr>
            <w:r>
              <w:rPr>
                <w:rFonts w:hint="eastAsia"/>
                <w:color w:val="auto"/>
                <w:highlight w:val="none"/>
              </w:rPr>
              <w:t>1.0</w:t>
            </w:r>
          </w:p>
        </w:tc>
        <w:tc>
          <w:tcPr>
            <w:tcW w:w="675" w:type="dxa"/>
            <w:vAlign w:val="center"/>
          </w:tcPr>
          <w:p w14:paraId="2D91F38C">
            <w:pPr>
              <w:shd w:val="clear"/>
              <w:rPr>
                <w:color w:val="auto"/>
                <w:highlight w:val="none"/>
              </w:rPr>
            </w:pPr>
            <w:r>
              <w:rPr>
                <w:rFonts w:hint="eastAsia" w:eastAsia="宋体"/>
                <w:color w:val="auto"/>
                <w:highlight w:val="none"/>
              </w:rPr>
              <w:t>项</w:t>
            </w:r>
          </w:p>
        </w:tc>
        <w:tc>
          <w:tcPr>
            <w:tcW w:w="1594" w:type="dxa"/>
            <w:vAlign w:val="center"/>
          </w:tcPr>
          <w:p w14:paraId="324372B4">
            <w:pPr>
              <w:shd w:val="clear"/>
              <w:jc w:val="center"/>
              <w:rPr>
                <w:rFonts w:hint="eastAsia" w:eastAsia="宋体"/>
                <w:color w:val="auto"/>
                <w:highlight w:val="none"/>
              </w:rPr>
            </w:pPr>
            <w:r>
              <w:rPr>
                <w:rFonts w:hint="eastAsia" w:ascii="Times New Roman" w:hAnsi="Times New Roman" w:eastAsia="宋体" w:cs="Times New Roman"/>
                <w:color w:val="auto"/>
                <w:highlight w:val="none"/>
                <w:lang w:val="en" w:eastAsia="zh-CN"/>
              </w:rPr>
              <w:t>是</w:t>
            </w:r>
          </w:p>
        </w:tc>
        <w:tc>
          <w:tcPr>
            <w:tcW w:w="986" w:type="dxa"/>
            <w:vAlign w:val="center"/>
          </w:tcPr>
          <w:p w14:paraId="5596A66B">
            <w:pPr>
              <w:shd w:val="clear"/>
              <w:jc w:val="center"/>
              <w:rPr>
                <w:rFonts w:hint="eastAsia" w:eastAsia="宋体"/>
                <w:color w:val="auto"/>
                <w:highlight w:val="none"/>
              </w:rPr>
            </w:pPr>
            <w:r>
              <w:rPr>
                <w:rFonts w:hint="eastAsia" w:ascii="Times New Roman" w:hAnsi="Times New Roman" w:eastAsia="宋体" w:cs="Times New Roman"/>
                <w:color w:val="auto"/>
                <w:highlight w:val="none"/>
                <w:lang w:val="en-US" w:eastAsia="zh-CN"/>
              </w:rPr>
              <w:t>建筑</w:t>
            </w:r>
            <w:r>
              <w:rPr>
                <w:rFonts w:hint="eastAsia" w:ascii="Times New Roman" w:hAnsi="Times New Roman" w:eastAsia="宋体" w:cs="Times New Roman"/>
                <w:color w:val="auto"/>
                <w:highlight w:val="none"/>
              </w:rPr>
              <w:t>业</w:t>
            </w:r>
          </w:p>
        </w:tc>
      </w:tr>
      <w:bookmarkEnd w:id="40"/>
    </w:tbl>
    <w:p w14:paraId="0C8A88A0">
      <w:pPr>
        <w:shd w:val="clear"/>
        <w:jc w:val="both"/>
        <w:rPr>
          <w:color w:val="auto"/>
          <w:highlight w:val="none"/>
        </w:rPr>
      </w:pPr>
    </w:p>
    <w:p w14:paraId="6F548960">
      <w:pPr>
        <w:pStyle w:val="4"/>
        <w:shd w:val="clear"/>
        <w:rPr>
          <w:b/>
          <w:bCs/>
          <w:color w:val="auto"/>
          <w:highlight w:val="none"/>
        </w:rPr>
      </w:pPr>
      <w:r>
        <w:rPr>
          <w:rFonts w:hint="eastAsia"/>
          <w:b/>
          <w:bCs/>
          <w:color w:val="auto"/>
          <w:highlight w:val="none"/>
        </w:rPr>
        <w:t>四、实质性条款</w:t>
      </w:r>
    </w:p>
    <w:tbl>
      <w:tblPr>
        <w:tblStyle w:val="24"/>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8153"/>
      </w:tblGrid>
      <w:tr w14:paraId="1E350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2A95273E">
            <w:pPr>
              <w:shd w:val="clear"/>
              <w:rPr>
                <w:color w:val="auto"/>
                <w:highlight w:val="none"/>
              </w:rPr>
            </w:pPr>
            <w:r>
              <w:rPr>
                <w:rFonts w:hint="eastAsia" w:eastAsia="宋体"/>
                <w:color w:val="auto"/>
                <w:highlight w:val="none"/>
              </w:rPr>
              <w:t>序号</w:t>
            </w:r>
          </w:p>
        </w:tc>
        <w:tc>
          <w:tcPr>
            <w:tcW w:w="8153" w:type="dxa"/>
            <w:vAlign w:val="center"/>
          </w:tcPr>
          <w:p w14:paraId="16930F37">
            <w:pPr>
              <w:shd w:val="clear"/>
              <w:rPr>
                <w:color w:val="auto"/>
                <w:highlight w:val="none"/>
              </w:rPr>
            </w:pPr>
            <w:r>
              <w:rPr>
                <w:rFonts w:hint="eastAsia" w:eastAsia="宋体"/>
                <w:color w:val="auto"/>
                <w:highlight w:val="none"/>
              </w:rPr>
              <w:t>实质性条款具体内容</w:t>
            </w:r>
          </w:p>
        </w:tc>
      </w:tr>
      <w:tr w14:paraId="3AE9F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16" w:type="dxa"/>
            <w:vAlign w:val="center"/>
          </w:tcPr>
          <w:p w14:paraId="27880317">
            <w:pPr>
              <w:shd w:val="clear"/>
              <w:rPr>
                <w:rFonts w:hint="eastAsia" w:eastAsia="宋体"/>
                <w:color w:val="auto"/>
                <w:highlight w:val="none"/>
                <w:lang w:eastAsia="zh-CN"/>
              </w:rPr>
            </w:pPr>
            <w:r>
              <w:rPr>
                <w:rFonts w:hint="eastAsia" w:eastAsia="宋体"/>
                <w:color w:val="auto"/>
                <w:highlight w:val="none"/>
                <w:lang w:val="en-US" w:eastAsia="zh-CN"/>
              </w:rPr>
              <w:t>1</w:t>
            </w:r>
          </w:p>
        </w:tc>
        <w:tc>
          <w:tcPr>
            <w:tcW w:w="8153" w:type="dxa"/>
          </w:tcPr>
          <w:p w14:paraId="37917C84">
            <w:pPr>
              <w:shd w:val="clear"/>
              <w:rPr>
                <w:color w:val="auto"/>
                <w:highlight w:val="none"/>
              </w:rPr>
            </w:pPr>
            <w:bookmarkStart w:id="41" w:name="OLE_LINK28"/>
            <w:r>
              <w:rPr>
                <w:rFonts w:ascii="Segoe UI Symbol" w:hAnsi="Segoe UI Symbol" w:cs="Segoe UI Symbol"/>
                <w:color w:val="auto"/>
                <w:szCs w:val="21"/>
                <w:highlight w:val="none"/>
              </w:rPr>
              <w:t>★</w:t>
            </w:r>
            <w:bookmarkEnd w:id="41"/>
            <w:r>
              <w:rPr>
                <w:rFonts w:hint="eastAsia" w:eastAsia="宋体"/>
                <w:color w:val="auto"/>
                <w:highlight w:val="none"/>
              </w:rPr>
              <w:t>完全满足本项目</w:t>
            </w:r>
            <w:bookmarkStart w:id="42" w:name="OLE_LINK38"/>
            <w:bookmarkStart w:id="43" w:name="OLE_LINK37"/>
            <w:r>
              <w:rPr>
                <w:rFonts w:hint="eastAsia" w:eastAsia="宋体"/>
                <w:color w:val="auto"/>
                <w:highlight w:val="none"/>
              </w:rPr>
              <w:t>★标记</w:t>
            </w:r>
            <w:bookmarkEnd w:id="42"/>
            <w:bookmarkEnd w:id="43"/>
            <w:r>
              <w:rPr>
                <w:rFonts w:hint="eastAsia" w:eastAsia="宋体"/>
                <w:color w:val="auto"/>
                <w:highlight w:val="none"/>
              </w:rPr>
              <w:t>条款的要求。</w:t>
            </w:r>
          </w:p>
        </w:tc>
      </w:tr>
    </w:tbl>
    <w:p w14:paraId="0B76A451">
      <w:pPr>
        <w:shd w:val="clear"/>
        <w:ind w:firstLine="720"/>
        <w:jc w:val="both"/>
        <w:rPr>
          <w:rFonts w:hint="eastAsia" w:eastAsia="宋体"/>
          <w:color w:val="auto"/>
          <w:highlight w:val="none"/>
        </w:rPr>
      </w:pPr>
      <w:r>
        <w:rPr>
          <w:rFonts w:hint="eastAsia" w:eastAsia="宋体"/>
          <w:color w:val="auto"/>
          <w:highlight w:val="none"/>
        </w:rPr>
        <w:t>注：上表所列内容为不可负偏离条款，负偏离将视为未实质性满足招标文件要求作投标无效处理。</w:t>
      </w:r>
      <w:bookmarkEnd w:id="38"/>
    </w:p>
    <w:p w14:paraId="43E59F44">
      <w:pPr>
        <w:pStyle w:val="4"/>
        <w:shd w:val="clear"/>
        <w:rPr>
          <w:rFonts w:hint="eastAsia"/>
          <w:b/>
          <w:bCs/>
          <w:color w:val="auto"/>
          <w:highlight w:val="none"/>
          <w:lang w:val="en-US" w:eastAsia="zh-CN"/>
        </w:rPr>
      </w:pPr>
      <w:r>
        <w:rPr>
          <w:rFonts w:hint="eastAsia"/>
          <w:b/>
          <w:bCs/>
          <w:color w:val="auto"/>
          <w:highlight w:val="none"/>
          <w:lang w:val="en-US" w:eastAsia="zh-CN"/>
        </w:rPr>
        <w:t>五、项目技术要求</w:t>
      </w:r>
    </w:p>
    <w:p w14:paraId="422DE953">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1.除非合同文件中另有特别注明，本工程适用中华人民共和国现行有效的国家规范、规程和标准。设计图纸和其他设计文件中的有关文字说明是本工程技术规范的组成部分。对于涉及新技术、新工艺和新材料的工作，相应厂家使用说明或操作说明等内容也是本工程技术规范的组成部分。在符合本工程技术要求外，更应符合国家与地方的法律、法规、规范、规程的要求。</w:t>
      </w:r>
    </w:p>
    <w:p w14:paraId="6229B71F">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2.中标人应根据技术要求与设计图纸一起使用，如技术要求与相关图纸不符合时应以两者中较高要求为准。</w:t>
      </w:r>
    </w:p>
    <w:p w14:paraId="7E8EA01F">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3.所用材料的品种、规格和质量须符合设计要求和国家现行标准的规定。严禁使用国家明令淘汰的建筑材料、建筑设备、耗能高的产品及民用建筑挥发性有害物质含量释放量超过国家规定的产品。</w:t>
      </w:r>
    </w:p>
    <w:p w14:paraId="5C8D4A2E">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4.投标人应认真了解现场场地的地址特点，充分考虑由于现场因素对现场施工、住宿、材料二次搬运等带来的影响和费用，并提出合理的有效措施，确保工期和质量，相关费用列入施工措施费计入投标报价，结算时不作调整。</w:t>
      </w:r>
    </w:p>
    <w:p w14:paraId="3B5A0015">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5.当工程量清单项目或设计图纸与谈判文件的“技术要求”不一致时，投标人在投标报价、中标人在采购时以最高的技术要求为准。</w:t>
      </w:r>
    </w:p>
    <w:p w14:paraId="59DC9D7A">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6.施工中涉及需要拆改原建筑物结构或设备管线的，中标人应当向采购人提出意见。若须办理相关审批手续，中标人应向采购人提出所需材料的完整清单。若因中标人所列出的送审资料不完整，所造成的工期延误及其他损失概由中标人负责。未办理相关审批手续或未经采购人同意，中标人不得拆改原建筑物结构或设备管线，否则，由此造成的事故或发生的损失（包括罚款），由中标人负责并承担。</w:t>
      </w:r>
    </w:p>
    <w:p w14:paraId="2668E62B">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 xml:space="preserve">7.所用的设备及材料需满足国家相关质量标准、安全标准、环保要求，无安全隐患，投标人需先行查看施工场地的实际环境并了解采购人的要求，并制作好施工方案图，并确保在施工过程中安全、文明施工，所有废弃物品归由中标人清运出施工区；否则施工过程中出现的任何分歧及由此产生的任何后果由中标人负责；本工程要求达到绿色建筑标准，技术上、施工上必须严格执行相关标准、规范。 </w:t>
      </w:r>
    </w:p>
    <w:p w14:paraId="2226D799">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 xml:space="preserve">8.本工程属于政府投资工程，要求严格控制投资和进度，采购人及政府有关管理部门对工程造价的控制、审查、监督以及工程款的支付非常严格。工程设计变更需按有关规定、程序进行审批，凡未经采购人审核同意的变更项目及未得到采购人书面通知，中标人擅自实施的工程， 其所有后果均由中标人自行负责。                                                                                                                        </w:t>
      </w:r>
    </w:p>
    <w:p w14:paraId="3C0DBF44">
      <w:pPr>
        <w:shd w:val="clear"/>
        <w:ind w:firstLine="480" w:firstLineChars="200"/>
        <w:jc w:val="both"/>
        <w:rPr>
          <w:rFonts w:hint="eastAsia" w:eastAsia="宋体"/>
          <w:color w:val="auto"/>
          <w:highlight w:val="none"/>
          <w:lang w:val="en-US" w:eastAsia="zh-CN"/>
        </w:rPr>
      </w:pPr>
      <w:r>
        <w:rPr>
          <w:rFonts w:hint="eastAsia" w:eastAsia="宋体"/>
          <w:color w:val="auto"/>
          <w:highlight w:val="none"/>
          <w:lang w:val="en-US" w:eastAsia="zh-CN"/>
        </w:rPr>
        <w:t>9.中标人必须知晓并接受项目施工过程中可能会存在施工方案、设计、图纸等调整和变更，中标人需配合甲方完成变更。</w:t>
      </w:r>
    </w:p>
    <w:p w14:paraId="2CA3CD79">
      <w:pPr>
        <w:pStyle w:val="4"/>
        <w:shd w:val="clear"/>
        <w:rPr>
          <w:b/>
          <w:bCs/>
          <w:color w:val="auto"/>
          <w:highlight w:val="none"/>
        </w:rPr>
      </w:pPr>
      <w:bookmarkStart w:id="44" w:name="OLE_LINK41"/>
      <w:bookmarkStart w:id="45" w:name="OLE_LINK52"/>
      <w:r>
        <w:rPr>
          <w:rFonts w:hint="eastAsia"/>
          <w:b/>
          <w:bCs/>
          <w:color w:val="auto"/>
          <w:highlight w:val="none"/>
          <w:lang w:val="en-US" w:eastAsia="zh-CN"/>
        </w:rPr>
        <w:t>六</w:t>
      </w:r>
      <w:r>
        <w:rPr>
          <w:rFonts w:hint="eastAsia"/>
          <w:b/>
          <w:bCs/>
          <w:color w:val="auto"/>
          <w:highlight w:val="none"/>
        </w:rPr>
        <w:t>、商务要求</w:t>
      </w:r>
      <w:bookmarkEnd w:id="44"/>
    </w:p>
    <w:bookmarkEnd w:id="45"/>
    <w:p w14:paraId="34F53C30">
      <w:pPr>
        <w:shd w:val="clear"/>
        <w:ind w:firstLine="482" w:firstLineChars="200"/>
        <w:jc w:val="both"/>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（一）报价要求：</w:t>
      </w:r>
    </w:p>
    <w:p w14:paraId="49015C12">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t>1.招标控制价：</w:t>
      </w:r>
      <w:r>
        <w:rPr>
          <w:rFonts w:hint="eastAsia" w:eastAsia="宋体"/>
          <w:color w:val="auto"/>
          <w:highlight w:val="none"/>
          <w:lang w:val="en-US" w:eastAsia="zh-CN"/>
        </w:rPr>
        <w:t>523,835.01</w:t>
      </w:r>
      <w:r>
        <w:rPr>
          <w:rFonts w:hint="default" w:eastAsia="宋体"/>
          <w:color w:val="auto"/>
          <w:highlight w:val="none"/>
          <w:lang w:val="en-US" w:eastAsia="zh-CN"/>
        </w:rPr>
        <w:t>元</w:t>
      </w:r>
      <w:r>
        <w:rPr>
          <w:rFonts w:hint="eastAsia" w:eastAsia="宋体"/>
          <w:color w:val="auto"/>
          <w:highlight w:val="none"/>
          <w:lang w:val="en-US" w:eastAsia="zh-CN"/>
        </w:rPr>
        <w:t>，</w:t>
      </w:r>
      <w:r>
        <w:rPr>
          <w:rFonts w:hint="default" w:eastAsia="宋体"/>
          <w:color w:val="auto"/>
          <w:highlight w:val="none"/>
          <w:lang w:val="en-US" w:eastAsia="zh-CN"/>
        </w:rPr>
        <w:t>投标上限价</w:t>
      </w:r>
      <w:r>
        <w:rPr>
          <w:rFonts w:hint="eastAsia" w:eastAsia="宋体"/>
          <w:color w:val="auto"/>
          <w:highlight w:val="none"/>
          <w:lang w:val="en-US" w:eastAsia="zh-CN"/>
        </w:rPr>
        <w:t>：523,835.01</w:t>
      </w:r>
      <w:r>
        <w:rPr>
          <w:rFonts w:hint="default" w:eastAsia="宋体"/>
          <w:color w:val="auto"/>
          <w:highlight w:val="none"/>
          <w:lang w:val="en-US" w:eastAsia="zh-CN"/>
        </w:rPr>
        <w:t>元；其中：安全文明施工措施费</w:t>
      </w:r>
      <w:r>
        <w:rPr>
          <w:rFonts w:hint="eastAsia" w:eastAsia="宋体"/>
          <w:color w:val="auto"/>
          <w:highlight w:val="none"/>
          <w:lang w:val="en-US" w:eastAsia="zh-CN"/>
        </w:rPr>
        <w:t>7,455.21</w:t>
      </w:r>
      <w:r>
        <w:rPr>
          <w:rFonts w:hint="default" w:eastAsia="宋体"/>
          <w:color w:val="auto"/>
          <w:highlight w:val="none"/>
          <w:lang w:val="en-US" w:eastAsia="zh-CN"/>
        </w:rPr>
        <w:t>元，不可竞争费合计：</w:t>
      </w:r>
      <w:r>
        <w:rPr>
          <w:rFonts w:hint="eastAsia" w:eastAsia="宋体"/>
          <w:color w:val="auto"/>
          <w:highlight w:val="none"/>
          <w:lang w:val="en-US" w:eastAsia="zh-CN"/>
        </w:rPr>
        <w:t>7,455.21</w:t>
      </w:r>
      <w:r>
        <w:rPr>
          <w:rFonts w:hint="default" w:eastAsia="宋体"/>
          <w:color w:val="auto"/>
          <w:highlight w:val="none"/>
          <w:lang w:val="en-US" w:eastAsia="zh-CN"/>
        </w:rPr>
        <w:t>元；</w:t>
      </w:r>
    </w:p>
    <w:p w14:paraId="726C4EA7">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t>2.报价要求：报价要求：本项目采用费率招标，投标报价=（招标控制价-不可竞争费）×（1-投标下浮率）+不可竞争费，投标报价金额与下浮率均保留两位小数。</w:t>
      </w:r>
    </w:p>
    <w:p w14:paraId="0DFC3ABD">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t>3.本项目不可竞争费共计</w:t>
      </w:r>
      <w:r>
        <w:rPr>
          <w:rFonts w:hint="eastAsia" w:eastAsia="宋体"/>
          <w:color w:val="auto"/>
          <w:highlight w:val="none"/>
          <w:lang w:val="en-US" w:eastAsia="zh-CN"/>
        </w:rPr>
        <w:t>7,455.21</w:t>
      </w:r>
      <w:r>
        <w:rPr>
          <w:rFonts w:hint="default" w:eastAsia="宋体"/>
          <w:color w:val="auto"/>
          <w:highlight w:val="none"/>
          <w:lang w:val="en-US" w:eastAsia="zh-CN"/>
        </w:rPr>
        <w:t>元（其中安全文明措施费</w:t>
      </w:r>
      <w:r>
        <w:rPr>
          <w:rFonts w:hint="eastAsia" w:eastAsia="宋体"/>
          <w:color w:val="auto"/>
          <w:highlight w:val="none"/>
          <w:lang w:val="en-US" w:eastAsia="zh-CN"/>
        </w:rPr>
        <w:t>7,455.21</w:t>
      </w:r>
      <w:r>
        <w:rPr>
          <w:rFonts w:hint="default" w:eastAsia="宋体"/>
          <w:color w:val="auto"/>
          <w:highlight w:val="none"/>
          <w:lang w:val="en-US" w:eastAsia="zh-CN"/>
        </w:rPr>
        <w:t>元）；</w:t>
      </w:r>
    </w:p>
    <w:p w14:paraId="16D6A6DE">
      <w:pPr>
        <w:shd w:val="clear"/>
        <w:ind w:firstLine="482" w:firstLineChars="200"/>
        <w:jc w:val="both"/>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（二）项目服务期限：</w:t>
      </w:r>
    </w:p>
    <w:p w14:paraId="5A72D734">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t>总工期为30个日历日，具体开工时间以</w:t>
      </w:r>
      <w:r>
        <w:rPr>
          <w:rFonts w:hint="eastAsia" w:eastAsia="宋体"/>
          <w:color w:val="auto"/>
          <w:highlight w:val="none"/>
          <w:lang w:val="en-US" w:eastAsia="zh-CN"/>
        </w:rPr>
        <w:t>采购单位</w:t>
      </w:r>
      <w:r>
        <w:rPr>
          <w:rFonts w:hint="default" w:eastAsia="宋体"/>
          <w:color w:val="auto"/>
          <w:highlight w:val="none"/>
          <w:lang w:val="en-US" w:eastAsia="zh-CN"/>
        </w:rPr>
        <w:t>通知为准；</w:t>
      </w:r>
    </w:p>
    <w:p w14:paraId="43EDF6DC">
      <w:pPr>
        <w:shd w:val="clear"/>
        <w:ind w:firstLine="482" w:firstLineChars="200"/>
        <w:jc w:val="both"/>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（三）质量考核验收标准：</w:t>
      </w:r>
    </w:p>
    <w:p w14:paraId="15AAE2FB">
      <w:pPr>
        <w:shd w:val="clear"/>
        <w:spacing w:line="360" w:lineRule="auto"/>
        <w:ind w:firstLine="480" w:firstLineChars="200"/>
        <w:jc w:val="both"/>
        <w:rPr>
          <w:rFonts w:hint="default" w:ascii="Times New Roman" w:hAnsi="Times New Roman" w:eastAsia="宋体" w:cs="Times New Roman"/>
          <w:color w:val="auto"/>
          <w:highlight w:val="none"/>
          <w:lang w:val="en-US" w:eastAsia="zh-CN"/>
        </w:rPr>
      </w:pPr>
      <w:r>
        <w:rPr>
          <w:rFonts w:hint="default" w:ascii="Times New Roman" w:hAnsi="Times New Roman" w:eastAsia="宋体" w:cs="Times New Roman"/>
          <w:color w:val="auto"/>
          <w:highlight w:val="none"/>
          <w:lang w:val="en-US" w:eastAsia="zh-CN"/>
        </w:rPr>
        <w:t>合格。</w:t>
      </w:r>
    </w:p>
    <w:p w14:paraId="72EDB239">
      <w:pPr>
        <w:shd w:val="clear"/>
        <w:spacing w:line="360" w:lineRule="auto"/>
        <w:ind w:firstLine="482" w:firstLineChars="200"/>
        <w:jc w:val="both"/>
        <w:rPr>
          <w:rFonts w:hint="default" w:ascii="Times New Roman" w:hAnsi="Times New Roman" w:eastAsia="宋体" w:cs="Times New Roman"/>
          <w:b/>
          <w:bCs/>
          <w:color w:val="auto"/>
          <w:highlight w:val="none"/>
          <w:lang w:val="en-US" w:eastAsia="zh-CN"/>
        </w:rPr>
      </w:pPr>
      <w:r>
        <w:rPr>
          <w:rFonts w:hint="default" w:ascii="Times New Roman" w:hAnsi="Times New Roman" w:eastAsia="宋体" w:cs="Times New Roman"/>
          <w:b/>
          <w:bCs/>
          <w:color w:val="auto"/>
          <w:highlight w:val="none"/>
          <w:lang w:val="en-US" w:eastAsia="zh-CN"/>
        </w:rPr>
        <w:t>（四）合同方式：</w:t>
      </w:r>
    </w:p>
    <w:p w14:paraId="4A45317B">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fldChar w:fldCharType="begin"/>
      </w:r>
      <w:r>
        <w:rPr>
          <w:rFonts w:hint="default" w:eastAsia="宋体"/>
          <w:color w:val="auto"/>
          <w:highlight w:val="none"/>
          <w:lang w:val="en-US" w:eastAsia="zh-CN"/>
        </w:rPr>
        <w:instrText xml:space="preserve"> = 1 \* GB3 </w:instrText>
      </w:r>
      <w:r>
        <w:rPr>
          <w:rFonts w:hint="default" w:eastAsia="宋体"/>
          <w:color w:val="auto"/>
          <w:highlight w:val="none"/>
          <w:lang w:val="en-US" w:eastAsia="zh-CN"/>
        </w:rPr>
        <w:fldChar w:fldCharType="separate"/>
      </w:r>
      <w:r>
        <w:rPr>
          <w:rFonts w:hint="default" w:eastAsia="宋体"/>
          <w:color w:val="auto"/>
          <w:highlight w:val="none"/>
          <w:lang w:val="en-US" w:eastAsia="zh-CN"/>
        </w:rPr>
        <w:t>①</w:t>
      </w:r>
      <w:r>
        <w:rPr>
          <w:rFonts w:hint="default" w:eastAsia="宋体"/>
          <w:color w:val="auto"/>
          <w:highlight w:val="none"/>
          <w:lang w:val="en-US" w:eastAsia="zh-CN"/>
        </w:rPr>
        <w:fldChar w:fldCharType="end"/>
      </w:r>
      <w:r>
        <w:rPr>
          <w:rFonts w:hint="default" w:eastAsia="宋体"/>
          <w:color w:val="auto"/>
          <w:highlight w:val="none"/>
          <w:lang w:val="en-US" w:eastAsia="zh-CN"/>
        </w:rPr>
        <w:t xml:space="preserve">固定单价合同，工程结算时，项目单价不做调整，按实际完成的工程量结算； </w:t>
      </w:r>
    </w:p>
    <w:p w14:paraId="1D24B529">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fldChar w:fldCharType="begin"/>
      </w:r>
      <w:r>
        <w:rPr>
          <w:rFonts w:hint="default" w:eastAsia="宋体"/>
          <w:color w:val="auto"/>
          <w:highlight w:val="none"/>
          <w:lang w:val="en-US" w:eastAsia="zh-CN"/>
        </w:rPr>
        <w:instrText xml:space="preserve"> = 2 \* GB3 </w:instrText>
      </w:r>
      <w:r>
        <w:rPr>
          <w:rFonts w:hint="default" w:eastAsia="宋体"/>
          <w:color w:val="auto"/>
          <w:highlight w:val="none"/>
          <w:lang w:val="en-US" w:eastAsia="zh-CN"/>
        </w:rPr>
        <w:fldChar w:fldCharType="separate"/>
      </w:r>
      <w:r>
        <w:rPr>
          <w:rFonts w:hint="default" w:eastAsia="宋体"/>
          <w:color w:val="auto"/>
          <w:highlight w:val="none"/>
          <w:lang w:val="en-US" w:eastAsia="zh-CN"/>
        </w:rPr>
        <w:t>②</w:t>
      </w:r>
      <w:r>
        <w:rPr>
          <w:rFonts w:hint="default" w:eastAsia="宋体"/>
          <w:color w:val="auto"/>
          <w:highlight w:val="none"/>
          <w:lang w:val="en-US" w:eastAsia="zh-CN"/>
        </w:rPr>
        <w:fldChar w:fldCharType="end"/>
      </w:r>
      <w:r>
        <w:rPr>
          <w:rFonts w:hint="default" w:eastAsia="宋体"/>
          <w:color w:val="auto"/>
          <w:highlight w:val="none"/>
          <w:lang w:val="en-US" w:eastAsia="zh-CN"/>
        </w:rPr>
        <w:t>固定总价合同，工程结算时，结算不做调整；</w:t>
      </w:r>
    </w:p>
    <w:p w14:paraId="0779B4CB">
      <w:pPr>
        <w:shd w:val="clear"/>
        <w:ind w:firstLine="480" w:firstLineChars="200"/>
        <w:jc w:val="both"/>
        <w:rPr>
          <w:rFonts w:hint="default" w:eastAsia="宋体"/>
          <w:color w:val="auto"/>
          <w:highlight w:val="none"/>
          <w:lang w:val="en-US" w:eastAsia="zh-CN"/>
        </w:rPr>
      </w:pPr>
      <w:r>
        <w:rPr>
          <w:rFonts w:hint="default" w:eastAsia="宋体"/>
          <w:color w:val="auto"/>
          <w:highlight w:val="none"/>
          <w:lang w:val="en-US" w:eastAsia="zh-CN"/>
        </w:rPr>
        <w:t>本项目选用方式 固定单价合同。（具体详见招标控制价清单）</w:t>
      </w:r>
    </w:p>
    <w:p w14:paraId="7177637D">
      <w:pPr>
        <w:shd w:val="clear"/>
        <w:spacing w:line="360" w:lineRule="auto"/>
        <w:ind w:firstLine="480" w:firstLineChars="200"/>
        <w:jc w:val="both"/>
        <w:rPr>
          <w:rFonts w:eastAsia="宋体"/>
          <w:color w:val="auto"/>
          <w:highlight w:val="none"/>
        </w:rPr>
      </w:pPr>
      <w:r>
        <w:rPr>
          <w:rFonts w:hint="eastAsia" w:eastAsia="宋体"/>
          <w:color w:val="auto"/>
          <w:highlight w:val="none"/>
        </w:rPr>
        <w:t>注：</w:t>
      </w:r>
    </w:p>
    <w:p w14:paraId="0D2958A6">
      <w:pPr>
        <w:shd w:val="clear"/>
        <w:ind w:firstLine="480" w:firstLineChars="200"/>
        <w:jc w:val="both"/>
        <w:rPr>
          <w:rFonts w:eastAsia="宋体"/>
          <w:color w:val="auto"/>
          <w:highlight w:val="none"/>
        </w:rPr>
      </w:pPr>
      <w:r>
        <w:rPr>
          <w:rFonts w:hint="eastAsia" w:eastAsia="宋体"/>
          <w:color w:val="auto"/>
          <w:highlight w:val="none"/>
        </w:rPr>
        <w:t>1）本《用户需求书》所提有关要求（打“★”的条款必须满足，否则作投标无效处理），仅供参考，投标人在投标文件中可提出替代标准，但此替代标准应不低于招标文件技术要求。</w:t>
      </w:r>
    </w:p>
    <w:p w14:paraId="0D08A507">
      <w:pPr>
        <w:shd w:val="clear"/>
        <w:ind w:firstLine="480" w:firstLineChars="200"/>
        <w:jc w:val="both"/>
        <w:rPr>
          <w:rFonts w:eastAsia="宋体"/>
          <w:color w:val="auto"/>
          <w:highlight w:val="none"/>
        </w:rPr>
      </w:pPr>
      <w:r>
        <w:rPr>
          <w:rFonts w:hint="eastAsia" w:eastAsia="宋体"/>
          <w:color w:val="auto"/>
          <w:highlight w:val="none"/>
        </w:rPr>
        <w:t>2）评标委员会有权对以谋取中标为目的的技术规格模糊响应（如有意照搬照抄招标文件的技术要求）或虚假响应予以认定。供应商上述行为一经发现或查实，除扣分或投标无效外，采购代理机构可视情况报政府采购监督管理部门做进一步处理。</w:t>
      </w:r>
    </w:p>
    <w:p w14:paraId="7C02C45D">
      <w:pPr>
        <w:shd w:val="clear"/>
        <w:ind w:firstLine="480" w:firstLineChars="200"/>
        <w:jc w:val="both"/>
        <w:rPr>
          <w:rFonts w:eastAsia="宋体"/>
          <w:color w:val="auto"/>
          <w:highlight w:val="none"/>
        </w:rPr>
      </w:pPr>
      <w:r>
        <w:rPr>
          <w:rFonts w:hint="eastAsia" w:eastAsia="宋体"/>
          <w:color w:val="auto"/>
          <w:highlight w:val="none"/>
        </w:rPr>
        <w:t>3）当招标文件中出现前后表述不一致的时候，以招标文件中对投标人责任规定较严格的为准。</w:t>
      </w:r>
    </w:p>
    <w:p w14:paraId="4538382C">
      <w:pPr>
        <w:shd w:val="clear"/>
        <w:ind w:firstLine="480" w:firstLineChars="200"/>
        <w:jc w:val="both"/>
        <w:rPr>
          <w:rFonts w:eastAsia="宋体"/>
          <w:color w:val="auto"/>
          <w:highlight w:val="none"/>
        </w:rPr>
      </w:pPr>
      <w:r>
        <w:rPr>
          <w:rFonts w:hint="eastAsia" w:eastAsia="宋体"/>
          <w:color w:val="auto"/>
          <w:highlight w:val="none"/>
        </w:rPr>
        <w:t>4）当投标文件中出现前后表述不一致的时候，以投标文件中对投标人责任规定较严格的为准。</w:t>
      </w:r>
    </w:p>
    <w:p w14:paraId="75F29078">
      <w:pPr>
        <w:shd w:val="clear"/>
        <w:ind w:firstLine="480" w:firstLineChars="200"/>
        <w:jc w:val="both"/>
        <w:rPr>
          <w:rFonts w:eastAsia="宋体"/>
          <w:color w:val="auto"/>
          <w:highlight w:val="none"/>
        </w:rPr>
      </w:pPr>
      <w:r>
        <w:rPr>
          <w:rFonts w:hint="eastAsia" w:eastAsia="宋体"/>
          <w:color w:val="auto"/>
          <w:highlight w:val="none"/>
        </w:rPr>
        <w:t>5）投标报价合理性的认定：</w:t>
      </w:r>
    </w:p>
    <w:p w14:paraId="676BAF21">
      <w:pPr>
        <w:shd w:val="clear"/>
        <w:ind w:firstLine="480" w:firstLineChars="200"/>
        <w:jc w:val="both"/>
        <w:rPr>
          <w:rFonts w:hint="eastAsia" w:eastAsia="宋体"/>
          <w:color w:val="auto"/>
          <w:highlight w:val="none"/>
        </w:rPr>
      </w:pPr>
      <w:r>
        <w:rPr>
          <w:rFonts w:hint="eastAsia" w:eastAsia="宋体"/>
          <w:color w:val="auto"/>
          <w:highlight w:val="none"/>
        </w:rPr>
        <w:t>若评审委员会成员对是否须由投标人作出报价合理性说明，以及书面说明是否采纳等判断不一致的，按照“少数服从多数”的原则确定评审委员会的意见。</w:t>
      </w:r>
    </w:p>
    <w:p w14:paraId="703B563C">
      <w:pPr>
        <w:shd w:val="clear"/>
        <w:ind w:firstLine="480" w:firstLineChars="200"/>
        <w:jc w:val="both"/>
        <w:rPr>
          <w:rFonts w:hint="eastAsia" w:eastAsia="宋体"/>
          <w:color w:val="auto"/>
          <w:highlight w:val="none"/>
        </w:rPr>
      </w:pPr>
    </w:p>
    <w:p w14:paraId="3BC27196">
      <w:pPr>
        <w:shd w:val="clear"/>
        <w:ind w:firstLine="480" w:firstLineChars="200"/>
        <w:jc w:val="both"/>
        <w:rPr>
          <w:rFonts w:hint="eastAsia" w:eastAsia="宋体"/>
          <w:color w:val="auto"/>
          <w:highlight w:val="none"/>
        </w:rPr>
      </w:pPr>
    </w:p>
    <w:p w14:paraId="49C1FB50">
      <w:pPr>
        <w:shd w:val="clear"/>
        <w:ind w:firstLine="480" w:firstLineChars="200"/>
        <w:jc w:val="both"/>
        <w:rPr>
          <w:rFonts w:hint="eastAsia" w:eastAsia="宋体"/>
          <w:color w:val="auto"/>
          <w:highlight w:val="none"/>
        </w:rPr>
      </w:pPr>
    </w:p>
    <w:p w14:paraId="612815E1">
      <w:pPr>
        <w:pStyle w:val="4"/>
        <w:shd w:val="clear"/>
        <w:rPr>
          <w:rFonts w:hint="eastAsia" w:cs="Times New Roman"/>
          <w:b/>
          <w:bCs/>
          <w:color w:val="auto"/>
          <w:highlight w:val="none"/>
          <w:lang w:val="en-US" w:eastAsia="zh-CN"/>
        </w:rPr>
      </w:pPr>
      <w:r>
        <w:rPr>
          <w:rFonts w:hint="eastAsia" w:cs="Times New Roman"/>
          <w:b/>
          <w:bCs/>
          <w:color w:val="auto"/>
          <w:highlight w:val="none"/>
          <w:lang w:val="en-US" w:eastAsia="zh-CN"/>
        </w:rPr>
        <w:t>七、评标优惠政策</w:t>
      </w:r>
    </w:p>
    <w:p w14:paraId="4A279ACA">
      <w:pPr>
        <w:shd w:val="clear"/>
        <w:ind w:firstLine="480" w:firstLineChars="200"/>
        <w:jc w:val="both"/>
        <w:rPr>
          <w:rFonts w:hint="eastAsia" w:eastAsia="宋体"/>
          <w:color w:val="auto"/>
          <w:highlight w:val="none"/>
        </w:rPr>
      </w:pPr>
      <w:r>
        <w:rPr>
          <w:rFonts w:hint="eastAsia" w:eastAsia="宋体"/>
          <w:color w:val="auto"/>
          <w:highlight w:val="none"/>
          <w:lang w:val="en-US" w:eastAsia="zh-CN"/>
        </w:rPr>
        <w:t>为进一步落实《深圳市财政局关于贯彻落实进一步加大政府采购支持中小企业力度有关事宜的通知》（深财购〔2022〕15号）、《政府采购促进中小企业发展管理办法》（财库﹝2020﹞46 号）、《关于政府采购</w:t>
      </w:r>
      <w:r>
        <w:rPr>
          <w:rFonts w:hint="eastAsia" w:eastAsia="宋体"/>
          <w:color w:val="auto"/>
          <w:highlight w:val="none"/>
        </w:rPr>
        <w:t>支持监狱企业发展有关问题的通知》（财库〔2014〕68号）、《财政部、民政部、中国残疾人联合会关于促进残疾人就业政府采购政策的通知》（财库〔2017〕141号）以及《深圳市人民政府办公厅印发关于以更大力度支持民营经济发展的若干措施的通知》（深府规〔2018〕23号）等要求，小型企业、微型企业、监狱企业、残疾人福利性单位提供本企业制造的货物，承担的工程或服务，或者提供其他符合优惠主体资格条件企业制造的货物，对其所投产品的价格给予</w:t>
      </w:r>
      <w:r>
        <w:rPr>
          <w:rFonts w:hint="eastAsia" w:eastAsia="宋体"/>
          <w:color w:val="auto"/>
          <w:highlight w:val="none"/>
          <w:u w:val="single"/>
        </w:rPr>
        <w:t xml:space="preserve"> </w:t>
      </w:r>
      <w:r>
        <w:rPr>
          <w:rFonts w:hint="eastAsia" w:eastAsia="宋体"/>
          <w:color w:val="auto"/>
          <w:highlight w:val="none"/>
          <w:u w:val="single"/>
          <w:lang w:val="en-US" w:eastAsia="zh-CN"/>
        </w:rPr>
        <w:t>/</w:t>
      </w:r>
      <w:r>
        <w:rPr>
          <w:rFonts w:hint="eastAsia" w:eastAsia="宋体"/>
          <w:color w:val="auto"/>
          <w:highlight w:val="none"/>
          <w:u w:val="single"/>
        </w:rPr>
        <w:t xml:space="preserve"> </w:t>
      </w:r>
      <w:r>
        <w:rPr>
          <w:rFonts w:hint="eastAsia" w:eastAsia="宋体"/>
          <w:color w:val="auto"/>
          <w:highlight w:val="none"/>
        </w:rPr>
        <w:t xml:space="preserve"> 的扣除，用扣除后的价格参与评审，具体扣除比例由采购人或者</w:t>
      </w:r>
      <w:r>
        <w:rPr>
          <w:rFonts w:hint="eastAsia" w:eastAsia="宋体"/>
          <w:color w:val="auto"/>
          <w:highlight w:val="none"/>
          <w:lang w:eastAsia="zh-CN"/>
        </w:rPr>
        <w:t>采购</w:t>
      </w:r>
      <w:r>
        <w:rPr>
          <w:rFonts w:hint="eastAsia" w:eastAsia="宋体"/>
          <w:color w:val="auto"/>
          <w:highlight w:val="none"/>
        </w:rPr>
        <w:t>机构确定。满足多项优惠政策的企业，不重复享受多项价格扣除政策。（所属行业：</w:t>
      </w:r>
      <w:r>
        <w:rPr>
          <w:rFonts w:hint="eastAsia" w:eastAsia="宋体"/>
          <w:color w:val="auto"/>
          <w:highlight w:val="none"/>
          <w:u w:val="single"/>
          <w:lang w:val="en-US" w:eastAsia="zh-CN"/>
        </w:rPr>
        <w:t>建筑业</w:t>
      </w:r>
      <w:r>
        <w:rPr>
          <w:rFonts w:hint="eastAsia" w:eastAsia="宋体"/>
          <w:color w:val="auto"/>
          <w:highlight w:val="none"/>
        </w:rPr>
        <w:t>）</w:t>
      </w:r>
    </w:p>
    <w:p w14:paraId="376252F0">
      <w:pPr>
        <w:shd w:val="clear"/>
        <w:ind w:firstLine="480" w:firstLineChars="200"/>
        <w:jc w:val="both"/>
        <w:rPr>
          <w:rFonts w:hint="eastAsia" w:ascii="Times New Roman" w:hAnsi="Times New Roman" w:eastAsia="宋体" w:cs="Times New Roman"/>
          <w:color w:val="auto"/>
          <w:highlight w:val="none"/>
          <w:lang w:eastAsia="zh-CN"/>
        </w:rPr>
      </w:pPr>
      <w:r>
        <w:rPr>
          <w:rFonts w:hint="eastAsia" w:eastAsia="宋体"/>
          <w:color w:val="auto"/>
          <w:highlight w:val="none"/>
        </w:rPr>
        <w:t>对本国产品的支持政策</w:t>
      </w:r>
      <w:r>
        <w:rPr>
          <w:rFonts w:hint="eastAsia" w:eastAsia="宋体"/>
          <w:color w:val="auto"/>
          <w:highlight w:val="none"/>
          <w:lang w:eastAsia="zh-CN"/>
        </w:rPr>
        <w:t>：政府采购活动中既有本国产品又有非本国产品参与竞争的，依法对本国产品给予价格评审优惠，对本国产品的报价给予20%的</w:t>
      </w:r>
      <w:r>
        <w:rPr>
          <w:rFonts w:hint="eastAsia" w:ascii="Times New Roman" w:hAnsi="Times New Roman" w:eastAsia="宋体" w:cs="Times New Roman"/>
          <w:color w:val="auto"/>
          <w:highlight w:val="none"/>
          <w:lang w:eastAsia="zh-CN"/>
        </w:rPr>
        <w:t>价格扣除，用扣除后的价格参与评审。</w:t>
      </w:r>
    </w:p>
    <w:p w14:paraId="1A349142">
      <w:pPr>
        <w:shd w:val="clear"/>
        <w:ind w:firstLine="480" w:firstLineChars="200"/>
        <w:jc w:val="both"/>
        <w:rPr>
          <w:rFonts w:hint="eastAsia" w:ascii="Times New Roman" w:hAnsi="Times New Roman" w:eastAsia="宋体" w:cs="Times New Roman"/>
          <w:color w:val="auto"/>
          <w:highlight w:val="none"/>
          <w:lang w:eastAsia="zh-CN"/>
        </w:rPr>
      </w:pPr>
      <w:r>
        <w:rPr>
          <w:rFonts w:hint="eastAsia" w:ascii="Times New Roman" w:hAnsi="Times New Roman" w:eastAsia="宋体" w:cs="Times New Roman"/>
          <w:color w:val="auto"/>
          <w:highlight w:val="none"/>
          <w:lang w:eastAsia="zh-CN"/>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r>
        <w:rPr>
          <w:rFonts w:hint="eastAsia" w:ascii="Times New Roman" w:hAnsi="Times New Roman" w:eastAsia="宋体" w:cs="Times New Roman"/>
          <w:color w:val="auto"/>
          <w:highlight w:val="none"/>
          <w:lang w:val="en-US" w:eastAsia="zh-CN"/>
        </w:rPr>
        <w:t>依据：《</w:t>
      </w:r>
      <w:r>
        <w:rPr>
          <w:rFonts w:hint="eastAsia" w:ascii="Times New Roman" w:hAnsi="Times New Roman" w:eastAsia="宋体" w:cs="Times New Roman"/>
          <w:color w:val="auto"/>
          <w:highlight w:val="none"/>
          <w:lang w:eastAsia="zh-CN"/>
        </w:rPr>
        <w:t>国务院办公厅关于在政府采购中实施本国产品标准及相关政策的通知</w:t>
      </w:r>
      <w:r>
        <w:rPr>
          <w:rFonts w:hint="eastAsia" w:ascii="Times New Roman" w:hAnsi="Times New Roman" w:eastAsia="宋体" w:cs="Times New Roman"/>
          <w:color w:val="auto"/>
          <w:highlight w:val="none"/>
          <w:lang w:val="en-US" w:eastAsia="zh-CN"/>
        </w:rPr>
        <w:t>》</w:t>
      </w:r>
      <w:r>
        <w:rPr>
          <w:rFonts w:hint="eastAsia" w:ascii="Times New Roman" w:hAnsi="Times New Roman" w:eastAsia="宋体" w:cs="Times New Roman"/>
          <w:color w:val="auto"/>
          <w:highlight w:val="none"/>
          <w:lang w:eastAsia="zh-CN"/>
        </w:rPr>
        <w:t>（国办发〔2025〕34号）、</w:t>
      </w:r>
      <w:r>
        <w:rPr>
          <w:rFonts w:hint="default" w:ascii="Times New Roman" w:hAnsi="Times New Roman" w:eastAsia="宋体" w:cs="Times New Roman"/>
          <w:color w:val="auto"/>
          <w:highlight w:val="none"/>
          <w:lang w:eastAsia="zh-CN"/>
        </w:rPr>
        <w:t>关于贯彻落实《国务院办公厅关于在政府采购中实施本国产品标准及相关政策的通知》的意见</w:t>
      </w:r>
      <w:r>
        <w:rPr>
          <w:rFonts w:hint="eastAsia" w:ascii="Times New Roman" w:hAnsi="Times New Roman" w:eastAsia="宋体" w:cs="Times New Roman"/>
          <w:color w:val="auto"/>
          <w:highlight w:val="none"/>
          <w:lang w:eastAsia="zh-CN"/>
        </w:rPr>
        <w:t>（财库〔2025〕30号））。</w:t>
      </w:r>
    </w:p>
    <w:p w14:paraId="7A8DD137">
      <w:pPr>
        <w:pStyle w:val="4"/>
        <w:shd w:val="clear"/>
        <w:spacing w:line="360" w:lineRule="auto"/>
        <w:rPr>
          <w:b/>
          <w:bCs/>
          <w:color w:val="auto"/>
          <w:highlight w:val="none"/>
        </w:rPr>
      </w:pPr>
      <w:r>
        <w:rPr>
          <w:rFonts w:hint="eastAsia"/>
          <w:b/>
          <w:bCs/>
          <w:color w:val="auto"/>
          <w:highlight w:val="none"/>
          <w:lang w:val="en-US" w:eastAsia="zh-CN"/>
        </w:rPr>
        <w:t>八</w:t>
      </w:r>
      <w:r>
        <w:rPr>
          <w:rFonts w:hint="eastAsia"/>
          <w:b/>
          <w:bCs/>
          <w:color w:val="auto"/>
          <w:highlight w:val="none"/>
        </w:rPr>
        <w:t>、其他重要条款</w:t>
      </w:r>
    </w:p>
    <w:p w14:paraId="5DAA2170">
      <w:pPr>
        <w:shd w:val="clear"/>
        <w:ind w:firstLine="480" w:firstLineChars="200"/>
        <w:jc w:val="both"/>
        <w:rPr>
          <w:color w:val="auto"/>
          <w:highlight w:val="none"/>
        </w:rPr>
      </w:pPr>
      <w:bookmarkStart w:id="46" w:name="_Hlk72257111"/>
      <w:r>
        <w:rPr>
          <w:rFonts w:hint="eastAsia" w:eastAsia="宋体"/>
          <w:color w:val="auto"/>
          <w:highlight w:val="none"/>
          <w:lang w:val="en-US" w:eastAsia="zh-CN"/>
        </w:rPr>
        <w:t>1</w:t>
      </w:r>
      <w:r>
        <w:rPr>
          <w:rFonts w:hint="eastAsia" w:eastAsia="宋体"/>
          <w:color w:val="auto"/>
          <w:highlight w:val="none"/>
        </w:rPr>
        <w:t>、投标人应充分了解项目的位置、情况、道路及任何其它足以影响投标报价的情况，任何因忽视或误解项目情况而导致的索赔或服务期限延长申请将不获批准。</w:t>
      </w:r>
    </w:p>
    <w:p w14:paraId="04E0C893">
      <w:pPr>
        <w:shd w:val="clear"/>
        <w:ind w:firstLine="480" w:firstLineChars="200"/>
        <w:jc w:val="both"/>
        <w:rPr>
          <w:color w:val="auto"/>
          <w:highlight w:val="none"/>
        </w:rPr>
      </w:pPr>
      <w:r>
        <w:rPr>
          <w:rFonts w:hint="eastAsia" w:eastAsia="宋体"/>
          <w:color w:val="auto"/>
          <w:highlight w:val="none"/>
          <w:lang w:val="en-US" w:eastAsia="zh-CN"/>
        </w:rPr>
        <w:t>2</w:t>
      </w:r>
      <w:r>
        <w:rPr>
          <w:rFonts w:hint="eastAsia" w:eastAsia="宋体"/>
          <w:color w:val="auto"/>
          <w:highlight w:val="none"/>
        </w:rPr>
        <w:t>、投标人不得期望通过索赔等方式获取补偿，否则，除可能遭到拒绝外，还可能将被作为不良行为记录在案，并可能影响其以后参加政府采购的项目投标。各投标人在投标报价时，应充分考虑投标报价的风险。</w:t>
      </w:r>
    </w:p>
    <w:p w14:paraId="48BB5C67">
      <w:pPr>
        <w:shd w:val="clear"/>
        <w:ind w:firstLine="480" w:firstLineChars="200"/>
        <w:jc w:val="both"/>
        <w:rPr>
          <w:color w:val="auto"/>
          <w:highlight w:val="none"/>
        </w:rPr>
      </w:pPr>
      <w:r>
        <w:rPr>
          <w:rFonts w:hint="eastAsia" w:eastAsia="宋体"/>
          <w:color w:val="auto"/>
          <w:highlight w:val="none"/>
          <w:lang w:val="en-US" w:eastAsia="zh-CN"/>
        </w:rPr>
        <w:t>3</w:t>
      </w:r>
      <w:r>
        <w:rPr>
          <w:rFonts w:hint="eastAsia" w:eastAsia="宋体"/>
          <w:color w:val="auto"/>
          <w:highlight w:val="none"/>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14:paraId="1B4270B8">
      <w:pPr>
        <w:shd w:val="clear"/>
        <w:ind w:firstLine="480" w:firstLineChars="200"/>
        <w:jc w:val="both"/>
        <w:rPr>
          <w:color w:val="auto"/>
          <w:highlight w:val="none"/>
        </w:rPr>
      </w:pPr>
      <w:r>
        <w:rPr>
          <w:rFonts w:hint="eastAsia" w:eastAsia="宋体"/>
          <w:color w:val="auto"/>
          <w:highlight w:val="none"/>
          <w:lang w:val="en-US" w:eastAsia="zh-CN"/>
        </w:rPr>
        <w:t>3</w:t>
      </w:r>
      <w:r>
        <w:rPr>
          <w:rFonts w:hint="eastAsia" w:eastAsia="宋体"/>
          <w:color w:val="auto"/>
          <w:highlight w:val="none"/>
        </w:rPr>
        <w:t>、除政府采购合同继续履行将损害国家利益和社会公共利益外，双方当事人不得擅自变更、中止或者终止合同。</w:t>
      </w:r>
    </w:p>
    <w:p w14:paraId="28E539EE">
      <w:pPr>
        <w:shd w:val="clear"/>
        <w:ind w:firstLine="480" w:firstLineChars="200"/>
        <w:jc w:val="both"/>
        <w:rPr>
          <w:color w:val="auto"/>
          <w:highlight w:val="none"/>
        </w:rPr>
      </w:pPr>
      <w:r>
        <w:rPr>
          <w:rFonts w:hint="eastAsia" w:eastAsia="宋体"/>
          <w:bCs/>
          <w:color w:val="auto"/>
          <w:szCs w:val="21"/>
          <w:highlight w:val="none"/>
          <w:lang w:val="en-US" w:eastAsia="zh-CN"/>
        </w:rPr>
        <w:t>4</w:t>
      </w:r>
      <w:r>
        <w:rPr>
          <w:rFonts w:hint="eastAsia" w:eastAsia="宋体"/>
          <w:bCs/>
          <w:color w:val="auto"/>
          <w:szCs w:val="21"/>
          <w:highlight w:val="none"/>
        </w:rPr>
        <w:t>、</w:t>
      </w:r>
      <w:r>
        <w:rPr>
          <w:bCs/>
          <w:color w:val="auto"/>
          <w:szCs w:val="21"/>
          <w:highlight w:val="none"/>
        </w:rPr>
        <w:t>“</w:t>
      </w:r>
      <w:r>
        <w:rPr>
          <w:rFonts w:hint="eastAsia" w:eastAsia="宋体"/>
          <w:bCs/>
          <w:color w:val="auto"/>
          <w:szCs w:val="21"/>
          <w:highlight w:val="none"/>
        </w:rPr>
        <w:t>信用中国</w:t>
      </w:r>
      <w:r>
        <w:rPr>
          <w:bCs/>
          <w:color w:val="auto"/>
          <w:szCs w:val="21"/>
          <w:highlight w:val="none"/>
        </w:rPr>
        <w:t>”</w:t>
      </w:r>
      <w:r>
        <w:rPr>
          <w:rFonts w:hint="eastAsia" w:eastAsia="宋体"/>
          <w:bCs/>
          <w:color w:val="auto"/>
          <w:szCs w:val="21"/>
          <w:highlight w:val="none"/>
        </w:rPr>
        <w:t>、</w:t>
      </w:r>
      <w:r>
        <w:rPr>
          <w:bCs/>
          <w:color w:val="auto"/>
          <w:szCs w:val="21"/>
          <w:highlight w:val="none"/>
        </w:rPr>
        <w:t>“</w:t>
      </w:r>
      <w:r>
        <w:rPr>
          <w:rFonts w:hint="eastAsia" w:eastAsia="宋体"/>
          <w:bCs/>
          <w:color w:val="auto"/>
          <w:szCs w:val="21"/>
          <w:highlight w:val="none"/>
        </w:rPr>
        <w:t>中国政府采购网</w:t>
      </w:r>
      <w:r>
        <w:rPr>
          <w:bCs/>
          <w:color w:val="auto"/>
          <w:szCs w:val="21"/>
          <w:highlight w:val="none"/>
        </w:rPr>
        <w:t>”</w:t>
      </w:r>
      <w:r>
        <w:rPr>
          <w:rFonts w:hint="eastAsia" w:eastAsia="宋体"/>
          <w:bCs/>
          <w:color w:val="auto"/>
          <w:szCs w:val="21"/>
          <w:highlight w:val="none"/>
        </w:rPr>
        <w:t>、</w:t>
      </w:r>
      <w:r>
        <w:rPr>
          <w:bCs/>
          <w:color w:val="auto"/>
          <w:szCs w:val="21"/>
          <w:highlight w:val="none"/>
        </w:rPr>
        <w:t>“</w:t>
      </w:r>
      <w:r>
        <w:rPr>
          <w:rFonts w:hint="eastAsia" w:eastAsia="宋体"/>
          <w:bCs/>
          <w:color w:val="auto"/>
          <w:szCs w:val="21"/>
          <w:highlight w:val="none"/>
        </w:rPr>
        <w:t>深圳信用网</w:t>
      </w:r>
      <w:r>
        <w:rPr>
          <w:bCs/>
          <w:color w:val="auto"/>
          <w:szCs w:val="21"/>
          <w:highlight w:val="none"/>
        </w:rPr>
        <w:t>”</w:t>
      </w:r>
      <w:r>
        <w:rPr>
          <w:rFonts w:hint="eastAsia" w:eastAsia="宋体"/>
          <w:bCs/>
          <w:color w:val="auto"/>
          <w:szCs w:val="21"/>
          <w:highlight w:val="none"/>
        </w:rPr>
        <w:t>以及</w:t>
      </w:r>
      <w:r>
        <w:rPr>
          <w:bCs/>
          <w:color w:val="auto"/>
          <w:szCs w:val="21"/>
          <w:highlight w:val="none"/>
        </w:rPr>
        <w:t>“</w:t>
      </w:r>
      <w:r>
        <w:rPr>
          <w:rFonts w:hint="eastAsia" w:eastAsia="宋体"/>
          <w:bCs/>
          <w:color w:val="auto"/>
          <w:szCs w:val="21"/>
          <w:highlight w:val="none"/>
        </w:rPr>
        <w:t>深圳市政府采购监管网</w:t>
      </w:r>
      <w:r>
        <w:rPr>
          <w:bCs/>
          <w:color w:val="auto"/>
          <w:szCs w:val="21"/>
          <w:highlight w:val="none"/>
        </w:rPr>
        <w:t>”</w:t>
      </w:r>
      <w:r>
        <w:rPr>
          <w:rFonts w:hint="eastAsia" w:eastAsia="宋体"/>
          <w:bCs/>
          <w:color w:val="auto"/>
          <w:szCs w:val="21"/>
          <w:highlight w:val="none"/>
        </w:rPr>
        <w:t>为供应商信用信息的查询渠道，相关信息以开标当日的查询结果为准。</w:t>
      </w:r>
      <w:bookmarkEnd w:id="46"/>
      <w:r>
        <w:rPr>
          <w:rFonts w:hint="eastAsia" w:eastAsia="宋体"/>
          <w:color w:val="auto"/>
          <w:highlight w:val="none"/>
        </w:rPr>
        <w:t>如开标当日</w:t>
      </w:r>
      <w:r>
        <w:rPr>
          <w:color w:val="auto"/>
          <w:highlight w:val="none"/>
        </w:rPr>
        <w:t>“</w:t>
      </w:r>
      <w:r>
        <w:rPr>
          <w:rFonts w:hint="eastAsia" w:eastAsia="宋体"/>
          <w:color w:val="auto"/>
          <w:highlight w:val="none"/>
        </w:rPr>
        <w:t>信用中国</w:t>
      </w:r>
      <w:r>
        <w:rPr>
          <w:color w:val="auto"/>
          <w:highlight w:val="none"/>
        </w:rPr>
        <w:t>”</w:t>
      </w:r>
      <w:r>
        <w:rPr>
          <w:rFonts w:hint="eastAsia" w:eastAsia="宋体"/>
          <w:color w:val="auto"/>
          <w:highlight w:val="none"/>
        </w:rPr>
        <w:t>、</w:t>
      </w:r>
      <w:r>
        <w:rPr>
          <w:color w:val="auto"/>
          <w:highlight w:val="none"/>
        </w:rPr>
        <w:t>“</w:t>
      </w:r>
      <w:r>
        <w:rPr>
          <w:rFonts w:hint="eastAsia" w:eastAsia="宋体"/>
          <w:color w:val="auto"/>
          <w:highlight w:val="none"/>
        </w:rPr>
        <w:t>中国政府采购网</w:t>
      </w:r>
      <w:r>
        <w:rPr>
          <w:color w:val="auto"/>
          <w:highlight w:val="none"/>
        </w:rPr>
        <w:t>”</w:t>
      </w:r>
      <w:r>
        <w:rPr>
          <w:rFonts w:hint="eastAsia" w:eastAsia="宋体"/>
          <w:color w:val="auto"/>
          <w:highlight w:val="none"/>
        </w:rPr>
        <w:t>、</w:t>
      </w:r>
      <w:r>
        <w:rPr>
          <w:color w:val="auto"/>
          <w:highlight w:val="none"/>
        </w:rPr>
        <w:t>“</w:t>
      </w:r>
      <w:r>
        <w:rPr>
          <w:rFonts w:hint="eastAsia" w:eastAsia="宋体"/>
          <w:color w:val="auto"/>
          <w:highlight w:val="none"/>
        </w:rPr>
        <w:t>深圳信用网</w:t>
      </w:r>
      <w:r>
        <w:rPr>
          <w:color w:val="auto"/>
          <w:highlight w:val="none"/>
        </w:rPr>
        <w:t>”</w:t>
      </w:r>
      <w:r>
        <w:rPr>
          <w:rFonts w:hint="eastAsia" w:eastAsia="宋体"/>
          <w:color w:val="auto"/>
          <w:highlight w:val="none"/>
        </w:rPr>
        <w:t>以及</w:t>
      </w:r>
      <w:r>
        <w:rPr>
          <w:color w:val="auto"/>
          <w:highlight w:val="none"/>
        </w:rPr>
        <w:t>“</w:t>
      </w:r>
      <w:r>
        <w:rPr>
          <w:rFonts w:hint="eastAsia" w:eastAsia="宋体"/>
          <w:color w:val="auto"/>
          <w:highlight w:val="none"/>
        </w:rPr>
        <w:t>深圳市政府采购监管网</w:t>
      </w:r>
      <w:r>
        <w:rPr>
          <w:color w:val="auto"/>
          <w:highlight w:val="none"/>
        </w:rPr>
        <w:t>”</w:t>
      </w:r>
      <w:r>
        <w:rPr>
          <w:rFonts w:hint="eastAsia" w:eastAsia="宋体"/>
          <w:color w:val="auto"/>
          <w:highlight w:val="none"/>
        </w:rPr>
        <w:t>四个网站出现网站无法打开的特殊情况，相关信息则以中标通知书发出前的查询结果为准。</w:t>
      </w:r>
    </w:p>
    <w:p w14:paraId="6C2F3CDF">
      <w:pPr>
        <w:shd w:val="clear"/>
        <w:ind w:firstLine="480" w:firstLineChars="200"/>
        <w:jc w:val="both"/>
        <w:rPr>
          <w:color w:val="auto"/>
          <w:szCs w:val="21"/>
          <w:highlight w:val="none"/>
        </w:rPr>
      </w:pPr>
      <w:r>
        <w:rPr>
          <w:rFonts w:hint="eastAsia" w:eastAsia="宋体"/>
          <w:color w:val="auto"/>
          <w:highlight w:val="none"/>
          <w:lang w:val="en-US" w:eastAsia="zh-CN"/>
        </w:rPr>
        <w:t>5</w:t>
      </w:r>
      <w:r>
        <w:rPr>
          <w:rFonts w:hint="eastAsia" w:eastAsia="宋体"/>
          <w:color w:val="auto"/>
          <w:highlight w:val="none"/>
        </w:rPr>
        <w:t>、供应商提供报价合理性、澄清、说明、补正或者错误的修正的方式，包括但不限于现场提交（地址：深圳市盐田区沙头角街道建工大厦14楼）、电邮提交（邮箱：</w:t>
      </w:r>
      <w:r>
        <w:rPr>
          <w:rFonts w:hint="eastAsia" w:eastAsia="宋体"/>
          <w:color w:val="auto"/>
          <w:highlight w:val="none"/>
          <w:lang w:eastAsia="zh-CN"/>
        </w:rPr>
        <w:t>294848060@qq.com</w:t>
      </w:r>
      <w:r>
        <w:rPr>
          <w:rFonts w:hint="eastAsia" w:eastAsia="宋体"/>
          <w:color w:val="auto"/>
          <w:highlight w:val="none"/>
        </w:rPr>
        <w:t>）等便捷方式。</w:t>
      </w:r>
    </w:p>
    <w:p w14:paraId="18B65867">
      <w:pPr>
        <w:pStyle w:val="6"/>
        <w:shd w:val="clear"/>
        <w:rPr>
          <w:color w:val="auto"/>
          <w:highlight w:val="none"/>
        </w:rPr>
      </w:pPr>
    </w:p>
    <w:p w14:paraId="334BEAAB">
      <w:pPr>
        <w:shd w:val="clear"/>
        <w:rPr>
          <w:color w:val="auto"/>
          <w:highlight w:val="none"/>
        </w:rPr>
      </w:pPr>
      <w:r>
        <w:rPr>
          <w:rFonts w:hint="eastAsia"/>
          <w:color w:val="auto"/>
          <w:highlight w:val="none"/>
        </w:rPr>
        <w:br w:type="page"/>
      </w:r>
    </w:p>
    <w:p w14:paraId="73D89207">
      <w:pPr>
        <w:pStyle w:val="3"/>
        <w:shd w:val="clear"/>
        <w:rPr>
          <w:color w:val="auto"/>
          <w:highlight w:val="none"/>
        </w:rPr>
      </w:pPr>
      <w:r>
        <w:rPr>
          <w:rFonts w:hint="eastAsia"/>
          <w:color w:val="auto"/>
          <w:highlight w:val="none"/>
        </w:rPr>
        <w:t>第四章 投标文件组成要求及格式</w:t>
      </w:r>
    </w:p>
    <w:p w14:paraId="34003945">
      <w:pPr>
        <w:shd w:val="clear"/>
        <w:rPr>
          <w:rStyle w:val="42"/>
          <w:color w:val="auto"/>
          <w:sz w:val="24"/>
          <w:highlight w:val="none"/>
        </w:rPr>
      </w:pPr>
      <w:bookmarkStart w:id="47" w:name="OLE_LINK80"/>
      <w:bookmarkStart w:id="48" w:name="OLE_LINK81"/>
      <w:r>
        <w:rPr>
          <w:rStyle w:val="42"/>
          <w:rFonts w:hint="eastAsia"/>
          <w:color w:val="auto"/>
          <w:sz w:val="24"/>
          <w:highlight w:val="none"/>
        </w:rPr>
        <w:t>特别提醒：</w:t>
      </w:r>
    </w:p>
    <w:p w14:paraId="52ED499F">
      <w:pPr>
        <w:shd w:val="clear"/>
        <w:rPr>
          <w:color w:val="auto"/>
          <w:highlight w:val="none"/>
        </w:rPr>
      </w:pPr>
    </w:p>
    <w:bookmarkEnd w:id="47"/>
    <w:bookmarkEnd w:id="48"/>
    <w:p w14:paraId="368B073E">
      <w:pPr>
        <w:shd w:val="clear"/>
        <w:rPr>
          <w:color w:val="auto"/>
          <w:highlight w:val="none"/>
        </w:rPr>
      </w:pPr>
      <w:r>
        <w:rPr>
          <w:rFonts w:hint="eastAsia" w:eastAsia="宋体"/>
          <w:color w:val="auto"/>
          <w:highlight w:val="none"/>
        </w:rPr>
        <w:t>投标文件组成：</w:t>
      </w:r>
    </w:p>
    <w:p w14:paraId="22026041">
      <w:pPr>
        <w:shd w:val="clear"/>
        <w:ind w:firstLine="720"/>
        <w:jc w:val="left"/>
        <w:rPr>
          <w:color w:val="auto"/>
          <w:highlight w:val="none"/>
        </w:rPr>
      </w:pPr>
      <w:bookmarkStart w:id="49" w:name="OLE_LINK82"/>
      <w:bookmarkStart w:id="50" w:name="OLE_LINK83"/>
      <w:r>
        <w:rPr>
          <w:rFonts w:hint="eastAsia"/>
          <w:color w:val="auto"/>
          <w:highlight w:val="none"/>
        </w:rPr>
        <w:t>1.</w:t>
      </w:r>
      <w:r>
        <w:rPr>
          <w:rFonts w:hint="eastAsia" w:eastAsia="宋体"/>
          <w:color w:val="auto"/>
          <w:highlight w:val="none"/>
        </w:rPr>
        <w:t>投标文件正文（商务标），主要包括以下内容：</w:t>
      </w:r>
    </w:p>
    <w:p w14:paraId="76D8AC2E">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（1）</w:t>
      </w:r>
      <w:bookmarkStart w:id="51" w:name="_Hlk72070784"/>
      <w:r>
        <w:rPr>
          <w:rFonts w:hint="eastAsia" w:ascii="宋体" w:hAnsi="宋体" w:eastAsia="宋体" w:cs="宋体"/>
          <w:color w:val="auto"/>
          <w:highlight w:val="none"/>
        </w:rPr>
        <w:t>投标函</w:t>
      </w:r>
      <w:bookmarkEnd w:id="51"/>
    </w:p>
    <w:p w14:paraId="5D664254">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（2）</w:t>
      </w:r>
      <w:bookmarkStart w:id="52" w:name="_Hlk72062521"/>
      <w:r>
        <w:rPr>
          <w:rFonts w:hint="eastAsia" w:ascii="宋体" w:hAnsi="宋体" w:eastAsia="宋体" w:cs="宋体"/>
          <w:color w:val="auto"/>
          <w:highlight w:val="none"/>
        </w:rPr>
        <w:t>履约承诺函</w:t>
      </w:r>
      <w:bookmarkEnd w:id="52"/>
    </w:p>
    <w:p w14:paraId="0B1EE6F2">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（3）投标人情况及资格证明文件</w:t>
      </w:r>
    </w:p>
    <w:p w14:paraId="4BB1B59F">
      <w:pPr>
        <w:shd w:val="clear"/>
        <w:ind w:firstLine="720"/>
        <w:jc w:val="left"/>
        <w:rPr>
          <w:rFonts w:hint="eastAsia" w:ascii="宋体" w:hAnsi="宋体" w:eastAsia="宋体" w:cs="宋体"/>
          <w:color w:val="auto"/>
          <w:highlight w:val="none"/>
          <w:lang w:eastAsia="zh-CN"/>
        </w:rPr>
      </w:pPr>
      <w:bookmarkStart w:id="53" w:name="_Hlk72257201"/>
      <w:r>
        <w:rPr>
          <w:rFonts w:hint="eastAsia" w:ascii="宋体" w:hAnsi="宋体" w:eastAsia="宋体" w:cs="宋体"/>
          <w:color w:val="auto"/>
          <w:highlight w:val="none"/>
        </w:rPr>
        <w:t>（4）项目详细报价</w:t>
      </w:r>
    </w:p>
    <w:bookmarkEnd w:id="53"/>
    <w:p w14:paraId="55E4D0F1">
      <w:pPr>
        <w:shd w:val="clear"/>
        <w:ind w:firstLine="720"/>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（5）</w:t>
      </w:r>
      <w:r>
        <w:rPr>
          <w:rFonts w:hint="eastAsia" w:ascii="宋体" w:hAnsi="宋体" w:eastAsia="宋体" w:cs="宋体"/>
          <w:color w:val="auto"/>
          <w:highlight w:val="none"/>
          <w:lang w:val="en-US" w:eastAsia="zh-CN"/>
        </w:rPr>
        <w:t>实质性条款相应情况表</w:t>
      </w:r>
    </w:p>
    <w:p w14:paraId="1F5DBFCD">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）投标人企业业绩情况</w:t>
      </w:r>
    </w:p>
    <w:p w14:paraId="5D56DE8B">
      <w:pPr>
        <w:shd w:val="clear"/>
        <w:ind w:firstLine="720"/>
        <w:jc w:val="left"/>
        <w:rPr>
          <w:rFonts w:hint="eastAsia" w:ascii="宋体" w:hAnsi="宋体" w:eastAsia="宋体" w:cs="宋体"/>
          <w:b w:val="0"/>
          <w:bCs w:val="0"/>
          <w:i w:val="0"/>
          <w:iCs w:val="0"/>
          <w:smallCaps w:val="0"/>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w:t>
      </w:r>
      <w:r>
        <w:rPr>
          <w:rFonts w:hint="eastAsia" w:ascii="宋体" w:hAnsi="宋体" w:eastAsia="宋体" w:cs="宋体"/>
          <w:b w:val="0"/>
          <w:bCs w:val="0"/>
          <w:i w:val="0"/>
          <w:iCs w:val="0"/>
          <w:smallCaps w:val="0"/>
          <w:color w:val="auto"/>
          <w:highlight w:val="none"/>
        </w:rPr>
        <w:t>企业履约能力证明</w:t>
      </w:r>
    </w:p>
    <w:p w14:paraId="59DC7935">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（8）拟派项目负责人情况（项目负责人仅一人）</w:t>
      </w:r>
    </w:p>
    <w:p w14:paraId="4235C185">
      <w:pPr>
        <w:shd w:val="clear"/>
        <w:ind w:firstLine="720"/>
        <w:jc w:val="left"/>
        <w:rPr>
          <w:rFonts w:hint="eastAsia" w:ascii="宋体" w:hAnsi="宋体" w:eastAsia="宋体" w:cs="宋体"/>
          <w:b w:val="0"/>
          <w:bCs w:val="0"/>
          <w:i w:val="0"/>
          <w:iCs w:val="0"/>
          <w:smallCaps w:val="0"/>
          <w:color w:val="auto"/>
          <w:highlight w:val="none"/>
          <w:lang w:eastAsia="zh-CN"/>
        </w:rPr>
      </w:pPr>
      <w:r>
        <w:rPr>
          <w:rFonts w:hint="eastAsia" w:ascii="宋体" w:hAnsi="宋体" w:eastAsia="宋体" w:cs="宋体"/>
          <w:b w:val="0"/>
          <w:bCs w:val="0"/>
          <w:i w:val="0"/>
          <w:iCs w:val="0"/>
          <w:smallCaps w:val="0"/>
          <w:color w:val="auto"/>
          <w:highlight w:val="none"/>
          <w:lang w:eastAsia="zh-CN"/>
        </w:rPr>
        <w:t>（</w:t>
      </w:r>
      <w:r>
        <w:rPr>
          <w:rFonts w:hint="eastAsia" w:ascii="宋体" w:hAnsi="宋体" w:eastAsia="宋体" w:cs="宋体"/>
          <w:b w:val="0"/>
          <w:bCs w:val="0"/>
          <w:i w:val="0"/>
          <w:iCs w:val="0"/>
          <w:smallCaps w:val="0"/>
          <w:color w:val="auto"/>
          <w:highlight w:val="none"/>
          <w:lang w:val="en-US" w:eastAsia="zh-CN"/>
        </w:rPr>
        <w:t>9</w:t>
      </w:r>
      <w:r>
        <w:rPr>
          <w:rFonts w:hint="eastAsia" w:ascii="宋体" w:hAnsi="宋体" w:eastAsia="宋体" w:cs="宋体"/>
          <w:b w:val="0"/>
          <w:bCs w:val="0"/>
          <w:i w:val="0"/>
          <w:iCs w:val="0"/>
          <w:smallCaps w:val="0"/>
          <w:color w:val="auto"/>
          <w:highlight w:val="none"/>
          <w:lang w:eastAsia="zh-CN"/>
        </w:rPr>
        <w:t>）投标人认为需要加以说明的其他内容</w:t>
      </w:r>
    </w:p>
    <w:p w14:paraId="6E7D330C">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2.投标文件正文（技术标）：主要包括以下内容：</w:t>
      </w:r>
    </w:p>
    <w:p w14:paraId="680C83C2">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（1）法定代表人（负责人）证明书</w:t>
      </w:r>
    </w:p>
    <w:p w14:paraId="10D3FB94">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（2）投标文件签署授权委托书</w:t>
      </w:r>
    </w:p>
    <w:p w14:paraId="4317D79C">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（3）</w:t>
      </w:r>
      <w:r>
        <w:rPr>
          <w:rFonts w:hint="eastAsia" w:ascii="宋体" w:hAnsi="宋体" w:eastAsia="宋体" w:cs="宋体"/>
          <w:b w:val="0"/>
          <w:bCs w:val="0"/>
          <w:i w:val="0"/>
          <w:iCs w:val="0"/>
          <w:smallCaps w:val="0"/>
          <w:color w:val="auto"/>
          <w:highlight w:val="none"/>
        </w:rPr>
        <w:t>施工资源需求计划</w:t>
      </w:r>
    </w:p>
    <w:p w14:paraId="3A618983">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（4）</w:t>
      </w:r>
      <w:r>
        <w:rPr>
          <w:rFonts w:hint="eastAsia" w:ascii="宋体" w:hAnsi="宋体" w:eastAsia="宋体" w:cs="宋体"/>
          <w:b w:val="0"/>
          <w:bCs w:val="0"/>
          <w:i w:val="0"/>
          <w:iCs w:val="0"/>
          <w:smallCaps w:val="0"/>
          <w:color w:val="auto"/>
          <w:highlight w:val="none"/>
        </w:rPr>
        <w:t>施工工期管理策划</w:t>
      </w:r>
    </w:p>
    <w:p w14:paraId="22D50191">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（5）</w:t>
      </w:r>
      <w:r>
        <w:rPr>
          <w:rFonts w:hint="eastAsia" w:ascii="宋体" w:hAnsi="宋体" w:eastAsia="宋体" w:cs="宋体"/>
          <w:b w:val="0"/>
          <w:bCs w:val="0"/>
          <w:i w:val="0"/>
          <w:iCs w:val="0"/>
          <w:smallCaps w:val="0"/>
          <w:color w:val="auto"/>
          <w:highlight w:val="none"/>
        </w:rPr>
        <w:t>施工方法及质量保证措施</w:t>
      </w:r>
    </w:p>
    <w:p w14:paraId="6FA408C8">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rPr>
        <w:t>）</w:t>
      </w:r>
      <w:r>
        <w:rPr>
          <w:rFonts w:hint="eastAsia" w:ascii="宋体" w:hAnsi="宋体" w:eastAsia="宋体" w:cs="宋体"/>
          <w:b w:val="0"/>
          <w:color w:val="auto"/>
          <w:highlight w:val="none"/>
        </w:rPr>
        <w:t>政府采购违法行为风险知悉确认书</w:t>
      </w:r>
    </w:p>
    <w:p w14:paraId="3C8D9931">
      <w:pPr>
        <w:shd w:val="clear"/>
        <w:ind w:firstLine="720"/>
        <w:jc w:val="left"/>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7</w:t>
      </w:r>
      <w:r>
        <w:rPr>
          <w:rFonts w:hint="eastAsia" w:ascii="宋体" w:hAnsi="宋体" w:eastAsia="宋体" w:cs="宋体"/>
          <w:color w:val="auto"/>
          <w:highlight w:val="none"/>
        </w:rPr>
        <w:t>）</w:t>
      </w:r>
      <w:r>
        <w:rPr>
          <w:rFonts w:hint="eastAsia" w:ascii="宋体" w:hAnsi="宋体" w:eastAsia="宋体" w:cs="宋体"/>
          <w:color w:val="auto"/>
          <w:highlight w:val="none"/>
          <w:lang w:val="en-US" w:eastAsia="zh-CN"/>
        </w:rPr>
        <w:t>供应商基本情况表</w:t>
      </w:r>
    </w:p>
    <w:p w14:paraId="7CD1C012">
      <w:pPr>
        <w:shd w:val="clear"/>
        <w:ind w:firstLine="720"/>
        <w:jc w:val="left"/>
        <w:rPr>
          <w:rFonts w:hint="eastAsia" w:ascii="宋体" w:hAnsi="宋体" w:eastAsia="宋体" w:cs="宋体"/>
          <w:color w:val="auto"/>
          <w:highlight w:val="none"/>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投标人廉政责任承诺书</w:t>
      </w:r>
    </w:p>
    <w:p w14:paraId="539969E1">
      <w:pPr>
        <w:shd w:val="clear"/>
        <w:ind w:firstLine="720"/>
        <w:jc w:val="left"/>
        <w:rPr>
          <w:rFonts w:hint="eastAsia" w:ascii="宋体" w:hAnsi="宋体" w:eastAsia="宋体" w:cs="宋体"/>
          <w:b w:val="0"/>
          <w:bCs w:val="0"/>
          <w:i w:val="0"/>
          <w:iCs w:val="0"/>
          <w:smallCaps w:val="0"/>
          <w:color w:val="auto"/>
          <w:highlight w:val="none"/>
          <w:lang w:eastAsia="zh-CN"/>
        </w:rPr>
      </w:pP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lang w:eastAsia="zh-CN"/>
        </w:rPr>
        <w:t>）投标人认为需要加以</w:t>
      </w:r>
      <w:r>
        <w:rPr>
          <w:rFonts w:hint="eastAsia" w:asciiTheme="minorEastAsia" w:hAnsiTheme="minorEastAsia" w:eastAsiaTheme="minorEastAsia" w:cstheme="minorEastAsia"/>
          <w:color w:val="auto"/>
          <w:highlight w:val="none"/>
          <w:lang w:eastAsia="zh-CN"/>
        </w:rPr>
        <w:t>说明的其他内</w:t>
      </w:r>
      <w:r>
        <w:rPr>
          <w:rFonts w:hint="eastAsia" w:ascii="宋体" w:hAnsi="宋体" w:eastAsia="宋体" w:cs="宋体"/>
          <w:b w:val="0"/>
          <w:bCs w:val="0"/>
          <w:i w:val="0"/>
          <w:iCs w:val="0"/>
          <w:smallCaps w:val="0"/>
          <w:color w:val="auto"/>
          <w:highlight w:val="none"/>
          <w:lang w:eastAsia="zh-CN"/>
        </w:rPr>
        <w:t>容</w:t>
      </w:r>
    </w:p>
    <w:p w14:paraId="2CEDED52">
      <w:pPr>
        <w:pStyle w:val="8"/>
        <w:shd w:val="clear"/>
        <w:rPr>
          <w:rFonts w:hint="eastAsia" w:eastAsia="宋体"/>
          <w:color w:val="auto"/>
          <w:highlight w:val="none"/>
          <w:lang w:val="en-US" w:eastAsia="zh-CN"/>
        </w:rPr>
      </w:pPr>
    </w:p>
    <w:p w14:paraId="22D85F6D">
      <w:pPr>
        <w:pStyle w:val="6"/>
        <w:shd w:val="clear"/>
        <w:rPr>
          <w:rFonts w:hint="eastAsia" w:asciiTheme="minorEastAsia" w:hAnsiTheme="minorEastAsia" w:eastAsiaTheme="minorEastAsia" w:cstheme="minorEastAsia"/>
          <w:color w:val="auto"/>
          <w:highlight w:val="none"/>
        </w:rPr>
      </w:pPr>
    </w:p>
    <w:bookmarkEnd w:id="49"/>
    <w:bookmarkEnd w:id="50"/>
    <w:p w14:paraId="242ABEFD">
      <w:pPr>
        <w:shd w:val="clear"/>
        <w:rPr>
          <w:rFonts w:hint="eastAsia" w:asciiTheme="minorEastAsia" w:hAnsiTheme="minorEastAsia" w:eastAsiaTheme="minorEastAsia" w:cstheme="minorEastAsia"/>
          <w:color w:val="auto"/>
          <w:highlight w:val="none"/>
        </w:rPr>
      </w:pPr>
    </w:p>
    <w:p w14:paraId="78254F34">
      <w:pPr>
        <w:shd w:val="clear"/>
        <w:ind w:firstLine="72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备注：</w:t>
      </w:r>
    </w:p>
    <w:p w14:paraId="15CBBF9C">
      <w:pPr>
        <w:shd w:val="clear"/>
        <w:ind w:firstLine="72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1.本项目为线下投标项目，投标文件需法人或授权委托人签字，需加盖单位公章，招标文件专用条款另有规定的除外。</w:t>
      </w:r>
    </w:p>
    <w:p w14:paraId="3FE2789F">
      <w:pPr>
        <w:shd w:val="clear"/>
        <w:ind w:firstLine="72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2.关于填写“开标一览表”的说明：“开标一览表”中除“投标报价”外，其他信息不作评审依据。</w:t>
      </w:r>
    </w:p>
    <w:p w14:paraId="121EFD04">
      <w:pPr>
        <w:shd w:val="clear"/>
        <w:jc w:val="left"/>
        <w:rPr>
          <w:rFonts w:hint="eastAsia" w:asciiTheme="minorEastAsia" w:hAnsiTheme="minorEastAsia" w:eastAsiaTheme="minorEastAsia" w:cstheme="minorEastAsia"/>
          <w:color w:val="auto"/>
          <w:highlight w:val="none"/>
        </w:rPr>
      </w:pPr>
    </w:p>
    <w:p w14:paraId="6702213F">
      <w:pPr>
        <w:shd w:val="clear"/>
        <w:jc w:val="left"/>
        <w:rPr>
          <w:color w:val="auto"/>
          <w:highlight w:val="none"/>
        </w:rPr>
      </w:pPr>
    </w:p>
    <w:p w14:paraId="38BE2F26">
      <w:pPr>
        <w:shd w:val="clear"/>
        <w:jc w:val="left"/>
        <w:rPr>
          <w:color w:val="auto"/>
          <w:highlight w:val="none"/>
        </w:rPr>
      </w:pPr>
    </w:p>
    <w:p w14:paraId="78BB9EE9">
      <w:pPr>
        <w:shd w:val="clear"/>
        <w:rPr>
          <w:color w:val="auto"/>
          <w:highlight w:val="none"/>
        </w:rPr>
      </w:pPr>
      <w:r>
        <w:rPr>
          <w:rFonts w:hint="eastAsia"/>
          <w:color w:val="auto"/>
          <w:highlight w:val="none"/>
        </w:rPr>
        <w:br w:type="page"/>
      </w:r>
    </w:p>
    <w:p w14:paraId="1D304483">
      <w:pPr>
        <w:shd w:val="clear"/>
        <w:spacing w:before="93" w:line="219" w:lineRule="auto"/>
        <w:jc w:val="left"/>
        <w:outlineLvl w:val="0"/>
        <w:rPr>
          <w:rFonts w:hint="eastAsia" w:ascii="仿宋" w:hAnsi="仿宋" w:eastAsia="仿宋" w:cs="仿宋"/>
          <w:color w:val="auto"/>
          <w:spacing w:val="16"/>
          <w:sz w:val="32"/>
          <w:szCs w:val="32"/>
          <w:highlight w:val="none"/>
          <w:lang w:val="en-US" w:eastAsia="zh-CN"/>
        </w:rPr>
      </w:pPr>
      <w:bookmarkStart w:id="54" w:name="OLE_LINK86"/>
      <w:bookmarkStart w:id="55" w:name="OLE_LINK85"/>
      <w:r>
        <w:rPr>
          <w:rFonts w:hint="eastAsia" w:ascii="仿宋" w:hAnsi="仿宋" w:eastAsia="仿宋" w:cs="仿宋"/>
          <w:color w:val="auto"/>
          <w:spacing w:val="16"/>
          <w:sz w:val="32"/>
          <w:szCs w:val="32"/>
          <w:highlight w:val="none"/>
          <w:lang w:val="en-US" w:eastAsia="zh-CN"/>
        </w:rPr>
        <w:t>1、投标文件正文-商务标</w:t>
      </w:r>
    </w:p>
    <w:bookmarkEnd w:id="54"/>
    <w:bookmarkEnd w:id="55"/>
    <w:p w14:paraId="7FD2E4F7">
      <w:pPr>
        <w:pStyle w:val="8"/>
        <w:shd w:val="clear"/>
        <w:rPr>
          <w:color w:val="auto"/>
          <w:highlight w:val="none"/>
        </w:rPr>
      </w:pPr>
    </w:p>
    <w:p w14:paraId="5F1327FB">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一、投标函</w:t>
      </w:r>
    </w:p>
    <w:p w14:paraId="3C1F5423">
      <w:pPr>
        <w:shd w:val="clear"/>
        <w:ind w:firstLine="720"/>
        <w:jc w:val="both"/>
        <w:rPr>
          <w:color w:val="auto"/>
          <w:highlight w:val="none"/>
        </w:rPr>
      </w:pPr>
      <w:r>
        <w:rPr>
          <w:rFonts w:hint="eastAsia" w:ascii="宋体" w:hAnsi="宋体" w:eastAsia="宋体" w:cs="宋体"/>
          <w:color w:val="auto"/>
          <w:highlight w:val="none"/>
        </w:rPr>
        <w:t>致：</w:t>
      </w:r>
      <w:r>
        <w:rPr>
          <w:rFonts w:hint="eastAsia"/>
          <w:color w:val="auto"/>
          <w:highlight w:val="none"/>
        </w:rPr>
        <w:t xml:space="preserve"> </w:t>
      </w:r>
      <w:r>
        <w:rPr>
          <w:rFonts w:hint="eastAsia" w:eastAsia="宋体"/>
          <w:color w:val="auto"/>
          <w:highlight w:val="none"/>
          <w:u w:val="single"/>
          <w:lang w:eastAsia="zh-CN"/>
        </w:rPr>
        <w:t>深圳市盐田区建筑工程事务署</w:t>
      </w:r>
      <w:r>
        <w:rPr>
          <w:rFonts w:hint="eastAsia"/>
          <w:color w:val="auto"/>
          <w:highlight w:val="none"/>
          <w:u w:val="single"/>
        </w:rPr>
        <w:t xml:space="preserve"> </w:t>
      </w:r>
    </w:p>
    <w:p w14:paraId="72FF3696">
      <w:pPr>
        <w:shd w:val="clear"/>
        <w:ind w:firstLine="720"/>
        <w:jc w:val="both"/>
        <w:rPr>
          <w:color w:val="auto"/>
          <w:highlight w:val="none"/>
        </w:rPr>
      </w:pPr>
      <w:bookmarkStart w:id="56" w:name="_Hlk73818812"/>
      <w:r>
        <w:rPr>
          <w:rFonts w:hint="eastAsia"/>
          <w:color w:val="auto"/>
          <w:highlight w:val="none"/>
        </w:rPr>
        <w:t>1</w:t>
      </w:r>
      <w:r>
        <w:rPr>
          <w:rFonts w:hint="eastAsia" w:eastAsia="宋体"/>
          <w:color w:val="auto"/>
          <w:highlight w:val="none"/>
        </w:rPr>
        <w:t>、根据已收到贵单位的</w:t>
      </w:r>
      <w:r>
        <w:rPr>
          <w:rFonts w:hint="eastAsia" w:eastAsia="宋体"/>
          <w:color w:val="auto"/>
          <w:highlight w:val="none"/>
          <w:u w:val="single"/>
        </w:rPr>
        <w:t>（项目名称）</w:t>
      </w:r>
      <w:r>
        <w:rPr>
          <w:rFonts w:hint="eastAsia"/>
          <w:color w:val="auto"/>
          <w:highlight w:val="none"/>
          <w:u w:val="single"/>
        </w:rPr>
        <w:t xml:space="preserve"> </w:t>
      </w:r>
      <w:r>
        <w:rPr>
          <w:rFonts w:hint="eastAsia" w:eastAsia="宋体"/>
          <w:color w:val="auto"/>
          <w:highlight w:val="none"/>
        </w:rPr>
        <w:t>的招标文件，我单位经研究上述招标文件的专用条款及通用条款后，</w:t>
      </w:r>
      <w:bookmarkStart w:id="57" w:name="_Hlk72263588"/>
      <w:r>
        <w:rPr>
          <w:rFonts w:hint="eastAsia" w:eastAsia="宋体"/>
          <w:color w:val="auto"/>
          <w:highlight w:val="none"/>
        </w:rPr>
        <w:t>愿意按照招标文件要求承包上述项目并修补其任何缺陷。</w:t>
      </w:r>
      <w:bookmarkEnd w:id="57"/>
    </w:p>
    <w:p w14:paraId="37F99831">
      <w:pPr>
        <w:shd w:val="clear"/>
        <w:ind w:firstLine="720"/>
        <w:jc w:val="both"/>
        <w:rPr>
          <w:color w:val="auto"/>
          <w:highlight w:val="none"/>
        </w:rPr>
      </w:pPr>
      <w:r>
        <w:rPr>
          <w:color w:val="auto"/>
          <w:highlight w:val="none"/>
        </w:rPr>
        <w:t>2</w:t>
      </w:r>
      <w:r>
        <w:rPr>
          <w:rFonts w:hint="eastAsia" w:ascii="宋体" w:hAnsi="宋体" w:eastAsia="宋体" w:cs="宋体"/>
          <w:color w:val="auto"/>
          <w:highlight w:val="none"/>
        </w:rPr>
        <w:t>、投标价格见</w:t>
      </w:r>
      <w:r>
        <w:rPr>
          <w:rFonts w:hint="eastAsia" w:eastAsia="宋体"/>
          <w:color w:val="auto"/>
          <w:highlight w:val="none"/>
        </w:rPr>
        <w:t>投标书编制软件中《开标一览表》中填写的投标总价。</w:t>
      </w:r>
    </w:p>
    <w:p w14:paraId="6B11ED24">
      <w:pPr>
        <w:shd w:val="clear"/>
        <w:ind w:firstLine="720"/>
        <w:jc w:val="both"/>
        <w:rPr>
          <w:color w:val="auto"/>
          <w:highlight w:val="none"/>
        </w:rPr>
      </w:pPr>
      <w:r>
        <w:rPr>
          <w:rFonts w:hint="eastAsia"/>
          <w:color w:val="auto"/>
          <w:highlight w:val="none"/>
        </w:rPr>
        <w:t>3</w:t>
      </w:r>
      <w:r>
        <w:rPr>
          <w:rFonts w:hint="eastAsia" w:eastAsia="宋体"/>
          <w:color w:val="auto"/>
          <w:highlight w:val="none"/>
        </w:rPr>
        <w:t>、如果我单位中标，我单位将按照招标文件的要求足额提交履约担保。</w:t>
      </w:r>
    </w:p>
    <w:p w14:paraId="14631152">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4、我单位同意所递交的投标文件在“对通用条款的补充内容”中明确的投标有效期内有效，在此期间内我单位的投标有可能中标，我方将受此约束。</w:t>
      </w:r>
    </w:p>
    <w:p w14:paraId="1B2776B8">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5、除非另外达成协议并生效，贵单位的中标通知书和本投标文件将构成合同的重要内容。</w:t>
      </w:r>
    </w:p>
    <w:p w14:paraId="29149248">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6、我单位理解贵单位将不受必须接受所收到的最低报价或其它任何投标文件的约束。</w:t>
      </w:r>
      <w:bookmarkEnd w:id="56"/>
    </w:p>
    <w:p w14:paraId="5CD4953E">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7、如果我方中标，我方保证在领取中标通知书之前按招标文件规定向招标代理机构缴纳招标代理费用。</w:t>
      </w:r>
    </w:p>
    <w:p w14:paraId="67DBE23A">
      <w:pPr>
        <w:shd w:val="clear"/>
        <w:jc w:val="both"/>
        <w:rPr>
          <w:color w:val="auto"/>
          <w:highlight w:val="none"/>
        </w:rPr>
      </w:pPr>
    </w:p>
    <w:p w14:paraId="690D5108">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 xml:space="preserve">投标供应商：                        </w:t>
      </w:r>
    </w:p>
    <w:p w14:paraId="4C079D1F">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 xml:space="preserve">法定代表人（负责人）或其委托代理人：                   </w:t>
      </w:r>
    </w:p>
    <w:p w14:paraId="1BF975BA">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 xml:space="preserve">单位地址：              </w:t>
      </w:r>
    </w:p>
    <w:p w14:paraId="40C0C717">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 xml:space="preserve">邮政编码：            电话：            传真：            </w:t>
      </w:r>
    </w:p>
    <w:p w14:paraId="77B15F68">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开户银行名称：</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开户银行账号：</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p>
    <w:p w14:paraId="79854AA1">
      <w:pPr>
        <w:shd w:val="clear"/>
        <w:ind w:firstLine="720"/>
        <w:jc w:val="both"/>
        <w:rPr>
          <w:rFonts w:ascii="宋体" w:hAnsi="宋体" w:eastAsia="宋体" w:cs="宋体"/>
          <w:color w:val="auto"/>
          <w:highlight w:val="none"/>
        </w:rPr>
      </w:pPr>
      <w:r>
        <w:rPr>
          <w:rFonts w:hint="eastAsia" w:ascii="宋体" w:hAnsi="宋体" w:eastAsia="宋体" w:cs="宋体"/>
          <w:color w:val="auto"/>
          <w:highlight w:val="none"/>
        </w:rPr>
        <w:t>开户银行地址：</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开户银行电话：</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p>
    <w:p w14:paraId="49FB4C89">
      <w:pPr>
        <w:shd w:val="clear"/>
        <w:ind w:firstLine="720"/>
        <w:jc w:val="both"/>
        <w:rPr>
          <w:color w:val="auto"/>
          <w:highlight w:val="none"/>
        </w:rPr>
      </w:pPr>
      <w:r>
        <w:rPr>
          <w:rFonts w:hint="eastAsia" w:ascii="宋体" w:hAnsi="宋体" w:eastAsia="宋体" w:cs="宋体"/>
          <w:color w:val="auto"/>
          <w:highlight w:val="none"/>
        </w:rPr>
        <w:t xml:space="preserve">日期：       年     月    日   </w:t>
      </w:r>
      <w:r>
        <w:rPr>
          <w:rFonts w:hint="eastAsia"/>
          <w:color w:val="auto"/>
          <w:highlight w:val="none"/>
        </w:rPr>
        <w:t xml:space="preserve">                             </w:t>
      </w:r>
    </w:p>
    <w:p w14:paraId="2F083694">
      <w:pPr>
        <w:shd w:val="clear"/>
        <w:rPr>
          <w:rFonts w:eastAsia="黑体"/>
          <w:color w:val="auto"/>
          <w:highlight w:val="none"/>
        </w:rPr>
      </w:pPr>
    </w:p>
    <w:p w14:paraId="12F530DA">
      <w:pPr>
        <w:shd w:val="clear"/>
        <w:rPr>
          <w:rFonts w:eastAsia="黑体"/>
          <w:color w:val="auto"/>
          <w:highlight w:val="none"/>
        </w:rPr>
      </w:pPr>
      <w:r>
        <w:rPr>
          <w:rFonts w:hint="eastAsia" w:eastAsia="黑体"/>
          <w:color w:val="auto"/>
          <w:highlight w:val="none"/>
        </w:rPr>
        <w:t xml:space="preserve">     （红色为必填项，其他为可选填项）</w:t>
      </w:r>
    </w:p>
    <w:p w14:paraId="5654FD53">
      <w:pPr>
        <w:shd w:val="clear"/>
        <w:rPr>
          <w:color w:val="auto"/>
          <w:highlight w:val="none"/>
        </w:rPr>
      </w:pPr>
    </w:p>
    <w:p w14:paraId="7B65D777">
      <w:pPr>
        <w:shd w:val="clear"/>
        <w:rPr>
          <w:rFonts w:eastAsia="黑体"/>
          <w:color w:val="auto"/>
          <w:highlight w:val="none"/>
        </w:rPr>
      </w:pPr>
    </w:p>
    <w:p w14:paraId="7B8A73C2">
      <w:pPr>
        <w:shd w:val="clear"/>
        <w:rPr>
          <w:rFonts w:eastAsia="黑体"/>
          <w:color w:val="auto"/>
          <w:highlight w:val="none"/>
        </w:rPr>
      </w:pPr>
    </w:p>
    <w:p w14:paraId="4070EDDA">
      <w:pPr>
        <w:shd w:val="clear"/>
        <w:rPr>
          <w:rFonts w:eastAsia="黑体"/>
          <w:color w:val="auto"/>
          <w:highlight w:val="none"/>
        </w:rPr>
      </w:pPr>
    </w:p>
    <w:p w14:paraId="5A4D4AB6">
      <w:pPr>
        <w:shd w:val="clear"/>
        <w:rPr>
          <w:rFonts w:eastAsia="黑体"/>
          <w:color w:val="auto"/>
          <w:highlight w:val="none"/>
        </w:rPr>
      </w:pPr>
    </w:p>
    <w:p w14:paraId="030C6DA3">
      <w:pPr>
        <w:shd w:val="clear"/>
        <w:rPr>
          <w:rFonts w:eastAsia="黑体"/>
          <w:color w:val="auto"/>
          <w:highlight w:val="none"/>
        </w:rPr>
      </w:pPr>
    </w:p>
    <w:p w14:paraId="5313E850">
      <w:pPr>
        <w:shd w:val="clear"/>
        <w:rPr>
          <w:rFonts w:eastAsia="黑体"/>
          <w:color w:val="auto"/>
          <w:highlight w:val="none"/>
        </w:rPr>
      </w:pPr>
    </w:p>
    <w:p w14:paraId="0FAB8053">
      <w:pPr>
        <w:shd w:val="clear"/>
        <w:rPr>
          <w:rFonts w:eastAsia="黑体"/>
          <w:color w:val="auto"/>
          <w:highlight w:val="none"/>
        </w:rPr>
      </w:pPr>
    </w:p>
    <w:p w14:paraId="669E99DD">
      <w:pPr>
        <w:shd w:val="clear"/>
        <w:rPr>
          <w:rFonts w:eastAsia="黑体"/>
          <w:color w:val="auto"/>
          <w:highlight w:val="none"/>
        </w:rPr>
      </w:pPr>
    </w:p>
    <w:p w14:paraId="1F2E2AC1">
      <w:pPr>
        <w:shd w:val="clear"/>
        <w:rPr>
          <w:rFonts w:eastAsia="黑体"/>
          <w:color w:val="auto"/>
          <w:highlight w:val="none"/>
        </w:rPr>
      </w:pPr>
    </w:p>
    <w:p w14:paraId="179B1FD8">
      <w:pPr>
        <w:shd w:val="clear"/>
        <w:rPr>
          <w:rFonts w:eastAsia="黑体"/>
          <w:color w:val="auto"/>
          <w:highlight w:val="none"/>
        </w:rPr>
      </w:pPr>
    </w:p>
    <w:p w14:paraId="5D766146">
      <w:pPr>
        <w:shd w:val="clear"/>
        <w:rPr>
          <w:rFonts w:eastAsia="黑体"/>
          <w:color w:val="auto"/>
          <w:highlight w:val="none"/>
        </w:rPr>
      </w:pPr>
    </w:p>
    <w:p w14:paraId="66811B43">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二、政府采购投标及履约承诺函</w:t>
      </w:r>
    </w:p>
    <w:p w14:paraId="4E3A307B">
      <w:pPr>
        <w:shd w:val="clear"/>
        <w:jc w:val="both"/>
        <w:rPr>
          <w:rFonts w:ascii="宋体" w:hAnsi="宋体" w:eastAsia="宋体" w:cs="宋体"/>
          <w:color w:val="auto"/>
          <w:highlight w:val="none"/>
        </w:rPr>
      </w:pPr>
      <w:bookmarkStart w:id="58" w:name="_Hlk72257530"/>
      <w:r>
        <w:rPr>
          <w:rFonts w:hint="eastAsia" w:ascii="宋体" w:hAnsi="宋体" w:eastAsia="宋体" w:cs="宋体"/>
          <w:color w:val="auto"/>
          <w:highlight w:val="none"/>
        </w:rPr>
        <w:t>致：</w:t>
      </w:r>
      <w:r>
        <w:rPr>
          <w:rFonts w:hint="eastAsia" w:eastAsia="宋体"/>
          <w:color w:val="auto"/>
          <w:highlight w:val="none"/>
          <w:lang w:eastAsia="zh-CN"/>
        </w:rPr>
        <w:t>深圳市盐田区建筑工程事务署</w:t>
      </w:r>
      <w:r>
        <w:rPr>
          <w:rFonts w:hint="eastAsia" w:ascii="宋体" w:hAnsi="宋体" w:eastAsia="宋体" w:cs="宋体"/>
          <w:color w:val="auto"/>
          <w:highlight w:val="none"/>
        </w:rPr>
        <w:t xml:space="preserve">  </w:t>
      </w:r>
    </w:p>
    <w:p w14:paraId="0E2E8FBA">
      <w:pPr>
        <w:shd w:val="clear"/>
        <w:ind w:right="-815" w:firstLine="480" w:firstLineChars="200"/>
        <w:jc w:val="left"/>
        <w:rPr>
          <w:rFonts w:ascii="宋体" w:hAnsi="宋体"/>
          <w:color w:val="auto"/>
          <w:szCs w:val="21"/>
          <w:highlight w:val="none"/>
        </w:rPr>
      </w:pPr>
      <w:r>
        <w:rPr>
          <w:rFonts w:hint="eastAsia" w:ascii="宋体" w:hAnsi="宋体"/>
          <w:color w:val="auto"/>
          <w:szCs w:val="21"/>
          <w:highlight w:val="none"/>
        </w:rPr>
        <w:t>我单位承诺：</w:t>
      </w:r>
    </w:p>
    <w:p w14:paraId="3CAD561B">
      <w:pPr>
        <w:shd w:val="clear"/>
        <w:ind w:right="-815" w:firstLine="480" w:firstLineChars="200"/>
        <w:jc w:val="both"/>
        <w:rPr>
          <w:rFonts w:hint="eastAsia" w:ascii="宋体" w:hAnsi="宋体"/>
          <w:b/>
          <w:color w:val="auto"/>
          <w:szCs w:val="21"/>
          <w:highlight w:val="none"/>
        </w:rPr>
      </w:pPr>
      <w:r>
        <w:rPr>
          <w:rFonts w:hint="eastAsia" w:ascii="宋体" w:hAnsi="宋体"/>
          <w:b w:val="0"/>
          <w:bCs/>
          <w:color w:val="auto"/>
          <w:szCs w:val="21"/>
          <w:highlight w:val="none"/>
        </w:rPr>
        <w:t>1.我单位参与本项目所投标（响应）的货物、工程或服务，不存在侵犯知识产权的情况。</w:t>
      </w:r>
    </w:p>
    <w:p w14:paraId="463AF759">
      <w:pPr>
        <w:shd w:val="clear"/>
        <w:ind w:right="-815" w:firstLine="480" w:firstLineChars="200"/>
        <w:jc w:val="both"/>
        <w:rPr>
          <w:rFonts w:ascii="宋体" w:hAnsi="宋体"/>
          <w:color w:val="auto"/>
          <w:szCs w:val="21"/>
          <w:highlight w:val="none"/>
        </w:rPr>
      </w:pPr>
      <w:r>
        <w:rPr>
          <w:rFonts w:hint="eastAsia" w:ascii="宋体" w:hAnsi="宋体"/>
          <w:color w:val="auto"/>
          <w:szCs w:val="21"/>
          <w:highlight w:val="none"/>
        </w:rPr>
        <w:t>2.我单位参与本项目</w:t>
      </w:r>
      <w:r>
        <w:rPr>
          <w:rFonts w:hint="eastAsia"/>
          <w:color w:val="auto"/>
          <w:highlight w:val="none"/>
        </w:rPr>
        <w:t>政府采购活动时不存在被有关部门禁止参与政府采购活动且在有效期内的情况。符合招标文件关于联合体及进口产品的相关资格要求。</w:t>
      </w:r>
    </w:p>
    <w:p w14:paraId="7A15053A">
      <w:pPr>
        <w:shd w:val="clear"/>
        <w:ind w:right="-815" w:firstLine="480" w:firstLineChars="200"/>
        <w:jc w:val="both"/>
        <w:rPr>
          <w:rFonts w:ascii="宋体" w:hAnsi="宋体"/>
          <w:color w:val="auto"/>
          <w:szCs w:val="21"/>
          <w:highlight w:val="none"/>
        </w:rPr>
      </w:pPr>
      <w:r>
        <w:rPr>
          <w:rFonts w:hint="eastAsia" w:ascii="宋体" w:hAnsi="宋体"/>
          <w:color w:val="auto"/>
          <w:szCs w:val="21"/>
          <w:highlight w:val="none"/>
        </w:rPr>
        <w:t>3.我单位具备《中华人民共和国政府采购法》第二十二条第一款规定的六项条件。</w:t>
      </w:r>
    </w:p>
    <w:p w14:paraId="437540A9">
      <w:pPr>
        <w:shd w:val="clear"/>
        <w:ind w:right="-815" w:firstLine="480" w:firstLineChars="200"/>
        <w:jc w:val="both"/>
        <w:rPr>
          <w:rFonts w:hint="eastAsia"/>
          <w:color w:val="auto"/>
          <w:highlight w:val="none"/>
        </w:rPr>
      </w:pPr>
      <w:r>
        <w:rPr>
          <w:rFonts w:hint="eastAsia" w:ascii="宋体" w:hAnsi="宋体"/>
          <w:color w:val="auto"/>
          <w:szCs w:val="21"/>
          <w:highlight w:val="none"/>
        </w:rPr>
        <w:t>4.我单位</w:t>
      </w:r>
      <w:r>
        <w:rPr>
          <w:rFonts w:hint="eastAsia"/>
          <w:color w:val="auto"/>
          <w:highlight w:val="none"/>
        </w:rPr>
        <w:t>未被列入失信被执行人、重大税收违法案件当事人名单、政府采购严重违法失信行为记录名单。</w:t>
      </w:r>
    </w:p>
    <w:p w14:paraId="63EB589F">
      <w:pPr>
        <w:shd w:val="clear"/>
        <w:ind w:right="-815" w:firstLine="480" w:firstLineChars="200"/>
        <w:jc w:val="both"/>
        <w:rPr>
          <w:rFonts w:hint="default" w:eastAsia="宋体"/>
          <w:color w:val="auto"/>
          <w:highlight w:val="none"/>
          <w:lang w:val="en-US" w:eastAsia="zh-CN"/>
        </w:rPr>
      </w:pPr>
      <w:r>
        <w:rPr>
          <w:rFonts w:hint="eastAsia"/>
          <w:color w:val="auto"/>
          <w:highlight w:val="none"/>
          <w:lang w:val="en-US" w:eastAsia="zh-CN"/>
        </w:rPr>
        <w:t>5.我单位不存在《深圳市财政局政府采购供应商信用信息管理办法》（深财规〔2023〕3号）列明的严重违法失信行为。</w:t>
      </w:r>
    </w:p>
    <w:p w14:paraId="69E1B275">
      <w:pPr>
        <w:shd w:val="clear"/>
        <w:ind w:right="-815" w:firstLine="480" w:firstLineChars="200"/>
        <w:jc w:val="both"/>
        <w:rPr>
          <w:rFonts w:hint="eastAsia" w:ascii="宋体" w:hAnsi="宋体" w:eastAsia="Times New Roman" w:cs="Times New Roman"/>
          <w:color w:val="auto"/>
          <w:szCs w:val="21"/>
          <w:highlight w:val="none"/>
        </w:rPr>
      </w:pPr>
      <w:r>
        <w:rPr>
          <w:rFonts w:hint="eastAsia" w:ascii="宋体" w:hAnsi="宋体"/>
          <w:color w:val="auto"/>
          <w:szCs w:val="21"/>
          <w:highlight w:val="none"/>
          <w:lang w:val="en-US" w:eastAsia="zh-CN"/>
        </w:rPr>
        <w:t>6</w:t>
      </w:r>
      <w:r>
        <w:rPr>
          <w:rFonts w:hint="eastAsia" w:ascii="宋体" w:hAnsi="宋体"/>
          <w:color w:val="auto"/>
          <w:szCs w:val="21"/>
          <w:highlight w:val="none"/>
        </w:rPr>
        <w:t>.</w:t>
      </w:r>
      <w:bookmarkStart w:id="59" w:name="_Hlk72587269"/>
      <w:bookmarkStart w:id="60" w:name="_Hlk72587299"/>
      <w:r>
        <w:rPr>
          <w:rFonts w:hint="eastAsia" w:ascii="宋体" w:hAnsi="宋体"/>
          <w:color w:val="auto"/>
          <w:szCs w:val="21"/>
          <w:highlight w:val="none"/>
        </w:rPr>
        <w:t>我单位参与该项目投标，严格遵守政府采购相关法律，不造假，不围标、串标、陪标。我单位已清楚，如违反上述要求，投标将作无效处理，被列入不良记录名单并在网上曝光，同时将被提请政</w:t>
      </w:r>
      <w:r>
        <w:rPr>
          <w:rFonts w:hint="eastAsia" w:ascii="宋体" w:hAnsi="宋体" w:eastAsia="Times New Roman" w:cs="Times New Roman"/>
          <w:color w:val="auto"/>
          <w:szCs w:val="21"/>
          <w:highlight w:val="none"/>
        </w:rPr>
        <w:t>府采购主管部门给予一定年限内禁止参与政府采购活动或其他处罚</w:t>
      </w:r>
      <w:bookmarkEnd w:id="59"/>
      <w:r>
        <w:rPr>
          <w:rFonts w:hint="eastAsia" w:ascii="宋体" w:hAnsi="宋体" w:eastAsia="Times New Roman" w:cs="Times New Roman"/>
          <w:color w:val="auto"/>
          <w:szCs w:val="21"/>
          <w:highlight w:val="none"/>
        </w:rPr>
        <w:t>。</w:t>
      </w:r>
      <w:bookmarkEnd w:id="60"/>
    </w:p>
    <w:p w14:paraId="6845F10C">
      <w:pPr>
        <w:shd w:val="clear"/>
        <w:ind w:right="-815" w:firstLine="480" w:firstLineChars="200"/>
        <w:jc w:val="both"/>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lang w:val="en-US" w:eastAsia="zh-CN"/>
        </w:rPr>
        <w:t>7</w:t>
      </w:r>
      <w:r>
        <w:rPr>
          <w:rFonts w:hint="eastAsia" w:ascii="宋体" w:hAnsi="宋体" w:eastAsia="Times New Roman" w:cs="Times New Roman"/>
          <w:color w:val="auto"/>
          <w:szCs w:val="21"/>
          <w:highlight w:val="none"/>
        </w:rPr>
        <w:t>.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14:paraId="7E41B166">
      <w:pPr>
        <w:shd w:val="clear"/>
        <w:ind w:right="-815" w:firstLine="480" w:firstLineChars="200"/>
        <w:jc w:val="left"/>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rPr>
        <w:t>我单位清楚，若以“报价太低而无法履约”为理由放弃本项目中标资格时，愿意接受主管部门的处理处罚。若我单位中标本项目，我单位的报价明显低于其他投标人的报价时，我单位清楚，本项目将成为重点监管、重点验收项目，我单位将按时保质保量完成，并全力配合有关监管、验收工作；若我单位未按上述要求履约，我单位愿意接受主管部门的处理处罚。</w:t>
      </w:r>
    </w:p>
    <w:p w14:paraId="3350AED7">
      <w:pPr>
        <w:shd w:val="clear"/>
        <w:ind w:right="-815" w:firstLine="480" w:firstLineChars="200"/>
        <w:jc w:val="left"/>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lang w:val="en-US" w:eastAsia="zh-CN"/>
        </w:rPr>
        <w:t>8</w:t>
      </w:r>
      <w:r>
        <w:rPr>
          <w:rFonts w:hint="eastAsia" w:ascii="宋体" w:hAnsi="宋体" w:eastAsia="Times New Roman" w:cs="Times New Roman"/>
          <w:color w:val="auto"/>
          <w:szCs w:val="21"/>
          <w:highlight w:val="none"/>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14:paraId="55DAA197">
      <w:pPr>
        <w:shd w:val="clear"/>
        <w:ind w:right="-815" w:firstLine="480" w:firstLineChars="200"/>
        <w:jc w:val="left"/>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lang w:val="en-US" w:eastAsia="zh-CN"/>
        </w:rPr>
        <w:t>9</w:t>
      </w:r>
      <w:r>
        <w:rPr>
          <w:rFonts w:hint="eastAsia" w:ascii="宋体" w:hAnsi="宋体" w:eastAsia="Times New Roman" w:cs="Times New Roman"/>
          <w:color w:val="auto"/>
          <w:szCs w:val="21"/>
          <w:highlight w:val="none"/>
        </w:rPr>
        <w:t>.我单位承诺中标后项目不转包，未经采购人同意不进行分包。</w:t>
      </w:r>
    </w:p>
    <w:p w14:paraId="75756C0D">
      <w:pPr>
        <w:shd w:val="clear"/>
        <w:ind w:right="-815" w:firstLine="480" w:firstLineChars="200"/>
        <w:jc w:val="left"/>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lang w:val="en-US" w:eastAsia="zh-CN"/>
        </w:rPr>
        <w:t>10</w:t>
      </w:r>
      <w:r>
        <w:rPr>
          <w:rFonts w:hint="eastAsia" w:ascii="宋体" w:hAnsi="宋体" w:eastAsia="Times New Roman" w:cs="Times New Roman"/>
          <w:color w:val="auto"/>
          <w:szCs w:val="21"/>
          <w:highlight w:val="none"/>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14:paraId="6E97321E">
      <w:pPr>
        <w:shd w:val="clear"/>
        <w:ind w:right="-815" w:firstLine="480" w:firstLineChars="200"/>
        <w:jc w:val="left"/>
        <w:rPr>
          <w:rFonts w:hint="eastAsia" w:ascii="宋体" w:hAnsi="宋体" w:eastAsia="Times New Roman" w:cs="Times New Roman"/>
          <w:color w:val="auto"/>
          <w:szCs w:val="21"/>
          <w:highlight w:val="none"/>
          <w:lang w:val="en-US" w:eastAsia="zh-CN"/>
        </w:rPr>
      </w:pPr>
      <w:r>
        <w:rPr>
          <w:rFonts w:hint="eastAsia" w:ascii="宋体" w:hAnsi="宋体" w:eastAsia="Times New Roman" w:cs="Times New Roman"/>
          <w:color w:val="auto"/>
          <w:szCs w:val="21"/>
          <w:highlight w:val="none"/>
        </w:rPr>
        <w:t>1</w:t>
      </w:r>
      <w:r>
        <w:rPr>
          <w:rFonts w:hint="eastAsia" w:ascii="宋体" w:hAnsi="宋体" w:eastAsia="Times New Roman" w:cs="Times New Roman"/>
          <w:color w:val="auto"/>
          <w:szCs w:val="21"/>
          <w:highlight w:val="none"/>
          <w:lang w:val="en-US" w:eastAsia="zh-CN"/>
        </w:rPr>
        <w:t>1</w:t>
      </w:r>
      <w:r>
        <w:rPr>
          <w:rFonts w:hint="eastAsia" w:ascii="宋体" w:hAnsi="宋体" w:eastAsia="Times New Roman" w:cs="Times New Roman"/>
          <w:color w:val="auto"/>
          <w:szCs w:val="21"/>
          <w:highlight w:val="none"/>
        </w:rPr>
        <w:t>.我单位保证，若所投货物涉及《财政部生态环境部关于印发节能产品政府采购品目清单的通知》（财库〔2019〕19号）列明的政府采购强制产品，则所投该产品符合节能产品的认证要求。</w:t>
      </w:r>
      <w:r>
        <w:rPr>
          <w:rFonts w:hint="eastAsia" w:ascii="宋体" w:hAnsi="宋体" w:eastAsia="Times New Roman" w:cs="Times New Roman"/>
          <w:color w:val="auto"/>
          <w:szCs w:val="21"/>
          <w:highlight w:val="none"/>
          <w:lang w:val="en-US" w:eastAsia="zh-CN"/>
        </w:rPr>
        <w:t>若所投产品包括数据中心相关设备的，应满足</w:t>
      </w:r>
      <w:r>
        <w:rPr>
          <w:rFonts w:hint="eastAsia" w:ascii="宋体" w:hAnsi="宋体" w:eastAsia="Times New Roman" w:cs="Times New Roman"/>
          <w:color w:val="auto"/>
          <w:szCs w:val="21"/>
          <w:highlight w:val="none"/>
        </w:rPr>
        <w:t>《财政部 生态环境部 工业和信息化部关于印发&lt;绿色数据中心政府采购需求标准（试行）&gt;的通知》</w:t>
      </w:r>
      <w:r>
        <w:rPr>
          <w:rFonts w:hint="eastAsia" w:ascii="宋体" w:hAnsi="宋体" w:eastAsia="Times New Roman" w:cs="Times New Roman"/>
          <w:color w:val="auto"/>
          <w:szCs w:val="21"/>
          <w:highlight w:val="none"/>
          <w:lang w:eastAsia="zh-CN"/>
        </w:rPr>
        <w:t>（</w:t>
      </w:r>
      <w:r>
        <w:rPr>
          <w:rFonts w:hint="eastAsia" w:ascii="宋体" w:hAnsi="宋体" w:eastAsia="Times New Roman" w:cs="Times New Roman"/>
          <w:color w:val="auto"/>
          <w:szCs w:val="21"/>
          <w:highlight w:val="none"/>
        </w:rPr>
        <w:t>财库〔2023〕7号）</w:t>
      </w:r>
      <w:r>
        <w:rPr>
          <w:rFonts w:hint="eastAsia" w:ascii="宋体" w:hAnsi="宋体" w:eastAsia="Times New Roman" w:cs="Times New Roman"/>
          <w:color w:val="auto"/>
          <w:szCs w:val="21"/>
          <w:highlight w:val="none"/>
          <w:lang w:val="en-US" w:eastAsia="zh-CN"/>
        </w:rPr>
        <w:t>要求。若所投产品涉及国家强制性标准的，所投产品应符合国家强制性标准相关要求。</w:t>
      </w:r>
    </w:p>
    <w:p w14:paraId="0844E324">
      <w:pPr>
        <w:shd w:val="clear"/>
        <w:ind w:right="-815" w:firstLine="480" w:firstLineChars="200"/>
        <w:jc w:val="left"/>
        <w:rPr>
          <w:rFonts w:hint="eastAsia" w:ascii="宋体" w:hAnsi="宋体" w:eastAsia="Times New Roman" w:cs="Times New Roman"/>
          <w:color w:val="auto"/>
          <w:szCs w:val="21"/>
          <w:highlight w:val="none"/>
        </w:rPr>
      </w:pPr>
      <w:r>
        <w:rPr>
          <w:rFonts w:hint="eastAsia" w:ascii="宋体" w:hAnsi="宋体" w:eastAsia="Times New Roman" w:cs="Times New Roman"/>
          <w:color w:val="auto"/>
          <w:szCs w:val="21"/>
          <w:highlight w:val="none"/>
        </w:rPr>
        <w:t>1</w:t>
      </w:r>
      <w:r>
        <w:rPr>
          <w:rFonts w:hint="eastAsia" w:ascii="宋体" w:hAnsi="宋体" w:eastAsia="Times New Roman" w:cs="Times New Roman"/>
          <w:color w:val="auto"/>
          <w:szCs w:val="21"/>
          <w:highlight w:val="none"/>
          <w:lang w:val="en-US" w:eastAsia="zh-CN"/>
        </w:rPr>
        <w:t>2</w:t>
      </w:r>
      <w:r>
        <w:rPr>
          <w:rFonts w:hint="eastAsia" w:ascii="宋体" w:hAnsi="宋体" w:eastAsia="Times New Roman" w:cs="Times New Roman"/>
          <w:color w:val="auto"/>
          <w:szCs w:val="21"/>
          <w:highlight w:val="none"/>
        </w:rPr>
        <w:t>.我单位已知悉并同意中标（成交）结果信息公示（公开）的内容。</w:t>
      </w:r>
    </w:p>
    <w:p w14:paraId="70137163">
      <w:pPr>
        <w:shd w:val="clear"/>
        <w:ind w:right="-815" w:firstLine="480" w:firstLineChars="200"/>
        <w:jc w:val="left"/>
        <w:rPr>
          <w:rFonts w:hint="eastAsia" w:ascii="宋体" w:hAnsi="宋体" w:eastAsia="宋体" w:cs="宋体"/>
          <w:b/>
          <w:color w:val="auto"/>
          <w:kern w:val="0"/>
          <w:szCs w:val="21"/>
          <w:highlight w:val="none"/>
          <w:lang w:eastAsia="zh-CN"/>
        </w:rPr>
      </w:pPr>
      <w:r>
        <w:rPr>
          <w:rFonts w:hint="eastAsia" w:ascii="宋体" w:hAnsi="宋体" w:eastAsia="Times New Roman" w:cs="Times New Roman"/>
          <w:color w:val="auto"/>
          <w:szCs w:val="21"/>
          <w:highlight w:val="none"/>
        </w:rPr>
        <w:t>1</w:t>
      </w:r>
      <w:r>
        <w:rPr>
          <w:rFonts w:hint="eastAsia" w:ascii="宋体" w:hAnsi="宋体" w:eastAsia="Times New Roman" w:cs="Times New Roman"/>
          <w:color w:val="auto"/>
          <w:szCs w:val="21"/>
          <w:highlight w:val="none"/>
          <w:lang w:val="en-US" w:eastAsia="zh-CN"/>
        </w:rPr>
        <w:t>3</w:t>
      </w:r>
      <w:r>
        <w:rPr>
          <w:rFonts w:hint="eastAsia" w:ascii="宋体" w:hAnsi="宋体" w:eastAsia="Times New Roman" w:cs="Times New Roman"/>
          <w:color w:val="auto"/>
          <w:szCs w:val="21"/>
          <w:highlight w:val="none"/>
        </w:rPr>
        <w:t>.我单位保证，符合《中华人民共和国政府采购法实施条例》第十八条规定，与其他投标供应商不存在单位负责人为同一人或者存在直接控股、管理关系；</w:t>
      </w:r>
      <w:r>
        <w:rPr>
          <w:rFonts w:hint="eastAsia" w:ascii="宋体" w:hAnsi="宋体" w:eastAsia="Times New Roman" w:cs="Times New Roman"/>
          <w:color w:val="auto"/>
          <w:szCs w:val="21"/>
          <w:highlight w:val="none"/>
          <w:lang w:val="en-US" w:eastAsia="zh-CN"/>
        </w:rPr>
        <w:t>不存在为</w:t>
      </w:r>
      <w:r>
        <w:rPr>
          <w:rFonts w:hint="eastAsia" w:ascii="宋体" w:hAnsi="宋体" w:eastAsia="Times New Roman" w:cs="Times New Roman"/>
          <w:color w:val="auto"/>
          <w:szCs w:val="21"/>
          <w:highlight w:val="none"/>
        </w:rPr>
        <w:t>本次采购项目提供整体设计、规范编制或者项目管理、监理、检测等服务的情形。</w:t>
      </w:r>
      <w:r>
        <w:rPr>
          <w:rFonts w:hint="eastAsia" w:ascii="宋体" w:hAnsi="宋体" w:eastAsia="Times New Roman" w:cs="Times New Roman"/>
          <w:color w:val="auto"/>
          <w:szCs w:val="21"/>
          <w:highlight w:val="none"/>
          <w:lang w:val="en-US" w:eastAsia="zh-CN"/>
        </w:rPr>
        <w:t>若</w:t>
      </w:r>
      <w:r>
        <w:rPr>
          <w:rFonts w:hint="eastAsia" w:ascii="宋体" w:hAnsi="宋体" w:eastAsia="Times New Roman" w:cs="Times New Roman"/>
          <w:color w:val="auto"/>
          <w:szCs w:val="21"/>
          <w:highlight w:val="none"/>
        </w:rPr>
        <w:t>存在“不同供应商的董事、股东或其他高级管理人员为同一人的”情形的，</w:t>
      </w:r>
      <w:r>
        <w:rPr>
          <w:rFonts w:hint="eastAsia" w:ascii="宋体" w:hAnsi="宋体" w:eastAsia="Times New Roman" w:cs="Times New Roman"/>
          <w:color w:val="auto"/>
          <w:szCs w:val="21"/>
          <w:highlight w:val="none"/>
          <w:lang w:val="en-US" w:eastAsia="zh-CN"/>
        </w:rPr>
        <w:t>我单位保证</w:t>
      </w:r>
      <w:r>
        <w:rPr>
          <w:rFonts w:hint="eastAsia" w:ascii="宋体" w:hAnsi="宋体" w:eastAsia="Times New Roman" w:cs="Times New Roman"/>
          <w:color w:val="auto"/>
          <w:szCs w:val="21"/>
          <w:highlight w:val="none"/>
        </w:rPr>
        <w:t>不存在串通投标、恶意串通或</w:t>
      </w:r>
      <w:r>
        <w:rPr>
          <w:rFonts w:hint="eastAsia" w:ascii="宋体" w:hAnsi="宋体"/>
          <w:b w:val="0"/>
          <w:bCs/>
          <w:color w:val="auto"/>
          <w:highlight w:val="none"/>
        </w:rPr>
        <w:t>者视为串通投标的情形</w:t>
      </w:r>
      <w:r>
        <w:rPr>
          <w:rFonts w:hint="eastAsia" w:ascii="宋体" w:hAnsi="宋体"/>
          <w:b w:val="0"/>
          <w:bCs/>
          <w:color w:val="auto"/>
          <w:highlight w:val="none"/>
          <w:lang w:eastAsia="zh-CN"/>
        </w:rPr>
        <w:t>。</w:t>
      </w:r>
    </w:p>
    <w:p w14:paraId="36C8D76E">
      <w:pPr>
        <w:shd w:val="clear"/>
        <w:ind w:right="-815" w:firstLine="480" w:firstLineChars="200"/>
        <w:jc w:val="left"/>
        <w:rPr>
          <w:rFonts w:hint="eastAsia" w:ascii="宋体" w:hAnsi="宋体"/>
          <w:b/>
          <w:color w:val="auto"/>
          <w:highlight w:val="none"/>
          <w:lang w:val="en-US" w:eastAsia="zh-CN"/>
        </w:rPr>
      </w:pPr>
      <w:r>
        <w:rPr>
          <w:rFonts w:hint="eastAsia" w:ascii="宋体" w:hAnsi="宋体" w:eastAsia="Times New Roman" w:cs="Times New Roman"/>
          <w:color w:val="auto"/>
          <w:szCs w:val="21"/>
          <w:highlight w:val="none"/>
          <w:lang w:val="en-US" w:eastAsia="zh-CN"/>
        </w:rPr>
        <w:t>14</w:t>
      </w:r>
      <w:r>
        <w:rPr>
          <w:rFonts w:hint="eastAsia" w:ascii="宋体" w:hAnsi="宋体"/>
          <w:b/>
          <w:color w:val="auto"/>
          <w:highlight w:val="none"/>
          <w:lang w:val="en-US" w:eastAsia="zh-CN"/>
        </w:rPr>
        <w:t>.我单位清楚，如存在违反投标承诺行为情节严重的，将根据《深圳市财政局关于印发&lt;深圳市财政局政府采购供应商信用信息管理办法&gt;的通知》，依法被列入失信信息。</w:t>
      </w:r>
    </w:p>
    <w:p w14:paraId="4EC4A82E">
      <w:pPr>
        <w:shd w:val="clear"/>
        <w:ind w:firstLine="480" w:firstLineChars="200"/>
        <w:rPr>
          <w:rFonts w:ascii="宋体" w:hAnsi="宋体"/>
          <w:color w:val="auto"/>
          <w:highlight w:val="none"/>
        </w:rPr>
      </w:pPr>
    </w:p>
    <w:p w14:paraId="479A6C86">
      <w:pPr>
        <w:shd w:val="clear"/>
        <w:ind w:right="-815" w:firstLine="480" w:firstLineChars="200"/>
        <w:jc w:val="left"/>
        <w:rPr>
          <w:rFonts w:ascii="宋体" w:hAnsi="宋体"/>
          <w:color w:val="auto"/>
          <w:szCs w:val="21"/>
          <w:highlight w:val="none"/>
        </w:rPr>
      </w:pPr>
      <w:r>
        <w:rPr>
          <w:rFonts w:hint="eastAsia" w:ascii="宋体" w:hAnsi="宋体"/>
          <w:color w:val="auto"/>
          <w:szCs w:val="21"/>
          <w:highlight w:val="none"/>
        </w:rPr>
        <w:t>以上承诺，如有违反，愿依照国家相关法律法规处理，并承担由此给采购人带来的损失。</w:t>
      </w:r>
    </w:p>
    <w:p w14:paraId="45A81004">
      <w:pPr>
        <w:shd w:val="clear"/>
        <w:spacing w:before="60" w:beforeLines="25" w:after="60" w:afterLines="25"/>
        <w:ind w:firstLine="6240" w:firstLineChars="2600"/>
        <w:jc w:val="right"/>
        <w:rPr>
          <w:rFonts w:hint="eastAsia" w:eastAsia="宋体"/>
          <w:color w:val="auto"/>
          <w:highlight w:val="none"/>
          <w:u w:val="none"/>
          <w:lang w:eastAsia="zh-CN"/>
        </w:rPr>
      </w:pPr>
      <w:r>
        <w:rPr>
          <w:rFonts w:hint="eastAsia" w:ascii="宋体" w:hAnsi="宋体"/>
          <w:color w:val="auto"/>
          <w:szCs w:val="21"/>
          <w:highlight w:val="none"/>
        </w:rPr>
        <w:t xml:space="preserve">                                  </w:t>
      </w:r>
      <w:bookmarkEnd w:id="58"/>
      <w:r>
        <w:rPr>
          <w:rFonts w:hint="eastAsia" w:ascii="宋体" w:hAnsi="宋体" w:eastAsia="宋体"/>
          <w:color w:val="auto"/>
          <w:szCs w:val="21"/>
          <w:highlight w:val="none"/>
          <w:lang w:val="en-US" w:eastAsia="zh-CN"/>
        </w:rPr>
        <w:t xml:space="preserve">      </w:t>
      </w:r>
      <w:r>
        <w:rPr>
          <w:rFonts w:hint="eastAsia"/>
          <w:color w:val="auto"/>
          <w:szCs w:val="21"/>
          <w:highlight w:val="none"/>
        </w:rPr>
        <w:t>投标人</w:t>
      </w:r>
      <w:r>
        <w:rPr>
          <w:rFonts w:hint="eastAsia"/>
          <w:color w:val="auto"/>
          <w:szCs w:val="21"/>
          <w:highlight w:val="none"/>
          <w:u w:val="none"/>
        </w:rPr>
        <w:t>：</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color w:val="auto"/>
          <w:szCs w:val="21"/>
          <w:highlight w:val="none"/>
          <w:u w:val="none"/>
          <w:lang w:val="en-US" w:eastAsia="zh-CN"/>
        </w:rPr>
        <w:t>.</w:t>
      </w:r>
    </w:p>
    <w:p w14:paraId="1061B0DF">
      <w:pPr>
        <w:shd w:val="clear"/>
        <w:ind w:firstLine="645"/>
        <w:rPr>
          <w:rFonts w:ascii="宋体" w:hAnsi="宋体"/>
          <w:color w:val="auto"/>
          <w:szCs w:val="21"/>
          <w:highlight w:val="none"/>
        </w:rPr>
      </w:pPr>
      <w:r>
        <w:rPr>
          <w:rFonts w:hint="eastAsia" w:ascii="宋体" w:hAnsi="宋体"/>
          <w:color w:val="auto"/>
          <w:szCs w:val="21"/>
          <w:highlight w:val="none"/>
        </w:rPr>
        <w:t xml:space="preserve">                                      日期：</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ascii="宋体" w:hAnsi="宋体"/>
          <w:color w:val="auto"/>
          <w:szCs w:val="21"/>
          <w:highlight w:val="none"/>
        </w:rPr>
        <w:t>年</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ascii="宋体" w:hAnsi="宋体"/>
          <w:color w:val="auto"/>
          <w:szCs w:val="21"/>
          <w:highlight w:val="none"/>
        </w:rPr>
        <w:t>月</w:t>
      </w:r>
      <w:r>
        <w:rPr>
          <w:rFonts w:hint="eastAsia"/>
          <w:color w:val="auto"/>
          <w:szCs w:val="21"/>
          <w:highlight w:val="none"/>
          <w:u w:val="thick"/>
        </w:rPr>
        <w:t xml:space="preserve"> </w:t>
      </w:r>
      <w:r>
        <w:rPr>
          <w:rFonts w:hint="eastAsia"/>
          <w:color w:val="auto"/>
          <w:szCs w:val="21"/>
          <w:highlight w:val="none"/>
          <w:u w:val="thick"/>
          <w:lang w:val="en-US" w:eastAsia="zh-CN"/>
        </w:rPr>
        <w:t xml:space="preserve">    </w:t>
      </w:r>
      <w:r>
        <w:rPr>
          <w:rFonts w:hint="eastAsia"/>
          <w:color w:val="auto"/>
          <w:szCs w:val="21"/>
          <w:highlight w:val="none"/>
          <w:u w:val="thick"/>
        </w:rPr>
        <w:t xml:space="preserve">  </w:t>
      </w:r>
      <w:r>
        <w:rPr>
          <w:rFonts w:hint="eastAsia" w:ascii="宋体" w:hAnsi="宋体"/>
          <w:color w:val="auto"/>
          <w:szCs w:val="21"/>
          <w:highlight w:val="none"/>
        </w:rPr>
        <w:t>日</w:t>
      </w:r>
    </w:p>
    <w:p w14:paraId="64A96F89">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三、投标人情况及资格证明文件</w:t>
      </w:r>
    </w:p>
    <w:p w14:paraId="6756D4AC">
      <w:pPr>
        <w:shd w:val="clear"/>
        <w:rPr>
          <w:color w:val="auto"/>
          <w:highlight w:val="none"/>
        </w:rPr>
      </w:pPr>
      <w:r>
        <w:rPr>
          <w:rFonts w:hint="eastAsia" w:eastAsia="宋体"/>
          <w:color w:val="auto"/>
          <w:highlight w:val="none"/>
        </w:rPr>
        <w:t>（一）投标人资格证明文件</w:t>
      </w:r>
    </w:p>
    <w:p w14:paraId="15C23AED">
      <w:pPr>
        <w:spacing w:before="120" w:beforeLines="50"/>
        <w:ind w:firstLine="480" w:firstLineChars="200"/>
        <w:jc w:val="left"/>
        <w:rPr>
          <w:rFonts w:hint="eastAsia" w:ascii="宋体" w:hAnsi="宋体"/>
          <w:b/>
          <w:bCs/>
          <w:color w:val="auto"/>
          <w:highlight w:val="none"/>
        </w:rPr>
      </w:pPr>
      <w:r>
        <w:rPr>
          <w:rFonts w:hint="eastAsia" w:ascii="宋体" w:hAnsi="宋体"/>
          <w:b/>
          <w:bCs/>
          <w:color w:val="auto"/>
          <w:highlight w:val="none"/>
        </w:rPr>
        <w:t>（特别提示：投标人须按本</w:t>
      </w:r>
      <w:r>
        <w:rPr>
          <w:rFonts w:hint="eastAsia" w:ascii="宋体" w:hAnsi="宋体"/>
          <w:b/>
          <w:bCs/>
          <w:color w:val="auto"/>
          <w:highlight w:val="none"/>
          <w:lang w:eastAsia="zh-CN"/>
        </w:rPr>
        <w:t>采购文件</w:t>
      </w:r>
      <w:r>
        <w:rPr>
          <w:rFonts w:hint="eastAsia" w:ascii="宋体" w:hAnsi="宋体"/>
          <w:b/>
          <w:bCs/>
          <w:color w:val="auto"/>
          <w:highlight w:val="none"/>
        </w:rPr>
        <w:t>第一章</w:t>
      </w:r>
      <w:r>
        <w:rPr>
          <w:rFonts w:hint="eastAsia" w:ascii="宋体" w:hAnsi="宋体"/>
          <w:b/>
          <w:bCs/>
          <w:color w:val="auto"/>
          <w:highlight w:val="none"/>
          <w:lang w:eastAsia="zh-CN"/>
        </w:rPr>
        <w:t>采购公告</w:t>
      </w:r>
      <w:r>
        <w:rPr>
          <w:rFonts w:hint="eastAsia"/>
          <w:b/>
          <w:bCs/>
          <w:color w:val="auto"/>
          <w:highlight w:val="none"/>
        </w:rPr>
        <w:t xml:space="preserve"> </w:t>
      </w:r>
      <w:r>
        <w:rPr>
          <w:rFonts w:hint="eastAsia" w:ascii="宋体" w:hAnsi="宋体"/>
          <w:b/>
          <w:bCs/>
          <w:color w:val="auto"/>
          <w:highlight w:val="none"/>
        </w:rPr>
        <w:t>“申请人的资格要求”（即投标人资格要求）提供相关的资格证明资料，未提供或提供不完整、不符合要求的，将作投标无效处理，其中要求提供《政府采购投标及履约承诺函》《供应商基本情况表》且已在规定章节中提供的，此处不重复提供。）</w:t>
      </w:r>
    </w:p>
    <w:p w14:paraId="26542D83">
      <w:pPr>
        <w:spacing w:before="120" w:beforeLines="50"/>
        <w:ind w:firstLine="480" w:firstLineChars="200"/>
        <w:rPr>
          <w:bCs/>
          <w:color w:val="auto"/>
          <w:highlight w:val="none"/>
        </w:rPr>
      </w:pPr>
      <w:r>
        <w:rPr>
          <w:rFonts w:hint="eastAsia"/>
          <w:b/>
          <w:bCs/>
          <w:color w:val="auto"/>
          <w:highlight w:val="none"/>
        </w:rPr>
        <w:t>1、资格证明材料：</w:t>
      </w:r>
      <w:r>
        <w:rPr>
          <w:bCs/>
          <w:color w:val="auto"/>
          <w:highlight w:val="none"/>
        </w:rPr>
        <w:t xml:space="preserve"> </w:t>
      </w:r>
    </w:p>
    <w:p w14:paraId="0FED0075">
      <w:pPr>
        <w:rPr>
          <w:b/>
          <w:color w:val="auto"/>
          <w:sz w:val="24"/>
          <w:highlight w:val="none"/>
        </w:rPr>
      </w:pPr>
    </w:p>
    <w:p w14:paraId="6D5856CC">
      <w:pPr>
        <w:ind w:firstLine="480" w:firstLineChars="200"/>
        <w:rPr>
          <w:b/>
          <w:color w:val="auto"/>
          <w:sz w:val="24"/>
          <w:highlight w:val="none"/>
        </w:rPr>
      </w:pPr>
    </w:p>
    <w:p w14:paraId="589FB1B0">
      <w:pPr>
        <w:ind w:firstLine="480" w:firstLineChars="200"/>
        <w:rPr>
          <w:b/>
          <w:color w:val="auto"/>
          <w:sz w:val="24"/>
          <w:highlight w:val="none"/>
        </w:rPr>
      </w:pPr>
    </w:p>
    <w:p w14:paraId="4F46BA1D">
      <w:pPr>
        <w:bidi w:val="0"/>
        <w:ind w:firstLine="480" w:firstLineChars="200"/>
        <w:jc w:val="both"/>
        <w:rPr>
          <w:rFonts w:hint="eastAsia" w:ascii="黑体" w:hAnsi="黑体" w:eastAsia="黑体" w:cs="黑体"/>
          <w:color w:val="auto"/>
          <w:highlight w:val="none"/>
          <w:lang w:eastAsia="zh-CN"/>
        </w:rPr>
      </w:pPr>
      <w:r>
        <w:rPr>
          <w:rFonts w:hint="eastAsia" w:ascii="黑体" w:hAnsi="黑体" w:eastAsia="黑体" w:cs="黑体"/>
          <w:color w:val="auto"/>
          <w:highlight w:val="none"/>
        </w:rPr>
        <w:t>（二）中小企业声明函、残疾人福利性单位声明函</w:t>
      </w:r>
      <w:r>
        <w:rPr>
          <w:rFonts w:hint="eastAsia" w:ascii="黑体" w:hAnsi="黑体" w:eastAsia="黑体" w:cs="黑体"/>
          <w:color w:val="auto"/>
          <w:highlight w:val="none"/>
          <w:lang w:eastAsia="zh-CN"/>
        </w:rPr>
        <w:t>、</w:t>
      </w:r>
      <w:r>
        <w:rPr>
          <w:rFonts w:hint="eastAsia" w:ascii="黑体" w:hAnsi="黑体" w:eastAsia="黑体" w:cs="黑体"/>
          <w:color w:val="auto"/>
          <w:highlight w:val="none"/>
        </w:rPr>
        <w:t>监狱企业声明函</w:t>
      </w:r>
      <w:r>
        <w:rPr>
          <w:rFonts w:hint="eastAsia" w:ascii="黑体" w:hAnsi="黑体" w:eastAsia="黑体" w:cs="黑体"/>
          <w:color w:val="auto"/>
          <w:highlight w:val="none"/>
          <w:lang w:eastAsia="zh-CN"/>
        </w:rPr>
        <w:t>、关于符合本国产品标准的声明函</w:t>
      </w:r>
    </w:p>
    <w:p w14:paraId="6B5C3393">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请投标人依照</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提供的格式和内容填写声明函，不要随意变更格式；声明函不需要盖章或签字；满足多项优惠政策的投标人，不重复享受多项价格扣除政策。</w:t>
      </w:r>
    </w:p>
    <w:p w14:paraId="07069741">
      <w:pPr>
        <w:bidi w:val="0"/>
        <w:jc w:val="both"/>
        <w:rPr>
          <w:rFonts w:hint="eastAsia" w:ascii="黑体" w:hAnsi="黑体" w:eastAsia="黑体" w:cs="黑体"/>
          <w:color w:val="auto"/>
          <w:highlight w:val="none"/>
        </w:rPr>
      </w:pPr>
    </w:p>
    <w:p w14:paraId="78146048">
      <w:pPr>
        <w:bidi w:val="0"/>
        <w:jc w:val="center"/>
        <w:rPr>
          <w:rFonts w:hint="eastAsia" w:ascii="黑体" w:hAnsi="黑体" w:eastAsia="黑体" w:cs="黑体"/>
          <w:color w:val="auto"/>
          <w:highlight w:val="none"/>
        </w:rPr>
      </w:pPr>
      <w:r>
        <w:rPr>
          <w:rFonts w:hint="eastAsia" w:ascii="黑体" w:hAnsi="黑体" w:eastAsia="黑体" w:cs="黑体"/>
          <w:color w:val="auto"/>
          <w:highlight w:val="none"/>
        </w:rPr>
        <w:t>（一）声明函的填写要求</w:t>
      </w:r>
    </w:p>
    <w:p w14:paraId="0D60D757">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1.“单位名称”应填写采购人名称（</w:t>
      </w:r>
      <w:r>
        <w:rPr>
          <w:rFonts w:hint="eastAsia" w:ascii="黑体" w:hAnsi="黑体" w:eastAsia="黑体" w:cs="黑体"/>
          <w:color w:val="auto"/>
          <w:highlight w:val="none"/>
          <w:lang w:val="en-US" w:eastAsia="zh-CN"/>
        </w:rPr>
        <w:t>深圳市城投全过程工程咨询有限公司</w:t>
      </w:r>
      <w:r>
        <w:rPr>
          <w:rFonts w:hint="eastAsia" w:ascii="黑体" w:hAnsi="黑体" w:eastAsia="黑体" w:cs="黑体"/>
          <w:color w:val="auto"/>
          <w:highlight w:val="none"/>
        </w:rPr>
        <w:t>不是本项目的采购人，而是组织实施机构）；</w:t>
      </w:r>
    </w:p>
    <w:p w14:paraId="2F325FF1">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2.“项目名称”应按照</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中确定的项目名称填写。对于分包方式面向中小企业采购的项目，应标明中小企业的具体分包内容；对于以联合体方式面向中小企业采购的项目，应标明联合体中中小企业所承担的具体内容。</w:t>
      </w:r>
    </w:p>
    <w:p w14:paraId="591F2DBC">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3.“标的名称”应填写</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中细化载明的采购标的名称（以</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第一册第三章用户需求书“服务需求明细”的“服务需求名称（标的名称）”一栏为准）；如果涉及多项服务（标的）为同一企业承接的，“标的名称”下划线处可以如实填写多项服务；对于分包方式面向中小企业采购的项目，“标的名称”应填写</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中注明的分包给中小企业的采购标的名称；对于以联合体方式面向中小企业采购的项目，“标的名称”应填写</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中注明的联合体中中小企业承担的采购标的名称。</w:t>
      </w:r>
    </w:p>
    <w:p w14:paraId="6C5E2958">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4.“采购文件中明确的所属行业” 应填写采购标的对应的中小企业划分标准所属行业（所属行业以</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第一册第三章用户需求书“服务需求明细”的“标的所属行业”一栏为准），并应确保与采购标的涉及的服务承接商本身的所属行业保持一致。对于分包方式面向中小企业采购的项目，“采购文件中明确的所属行业”应按照</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注明的分包给中小企业的采购标的所属行业填写，并应确保与该分包部分采购标的涉及的服务承接商本身的所属行业保持一致。对于以联合体方式面向中小企业采购的项目，“采购文件中明确的所属行业”应按照</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中注明的联合体中中小企业承担的采购标的所属行业填写，并应确保与该承担部分采购标的涉及的服务承接商本身的所属行业保持一致。</w:t>
      </w:r>
    </w:p>
    <w:p w14:paraId="7595C4D2">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5.“企业名称”应如实填写服务承接商。对于分包方式面向中小企业采购的项目，“企业名称”应填写分包部分采购标的对应的服务承接商。对于以联合体方式面向中小企业采购的项目，“企业名称”应填写联合体中中小企业承担采购标的对应的服务承接商。</w:t>
      </w:r>
    </w:p>
    <w:p w14:paraId="0D44598B">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6.从业人员、资产总额指标以上年度末数据为依据，营业收入指标以上年度累计数据为依据。无上年度数据的新成立企业可不填报。</w:t>
      </w:r>
    </w:p>
    <w:p w14:paraId="77EB49BA">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7.“中型企业/小型企业/微型企业”部分，供应商应依据企业上年度从业人员、营业收入、资产总额等指标，按照《中小企业划型标准规定》（工信部联企业〔2011〕300 号）、《金融业企业划型标准规定》（银发〔2015〕309 号），判断《中小企业声明函》载明的货物制造商/服务承接商/工程承建商（根据项目属性确定）是否属于</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所属行业的中型企业/小型企业/微型企业。</w:t>
      </w:r>
    </w:p>
    <w:p w14:paraId="0B32346B">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8.对于已纳入统计部门统计范围的企业，所属行业、从业人员、营业收入、资产总额、规模类型应与统计部门报表保持一致。对于未纳入统计部门统计范围的企业，应对照《国民经济行业分类》确定所属行业，当企业从事两种以上的经济活动时，按照企业从事的主要活动确定所属行业；从业人员、营业收入、资产总额应按照上年度末实际情况填报，并应确保在争议纠纷处理时，可提供相关数据的来源依据。</w:t>
      </w:r>
    </w:p>
    <w:p w14:paraId="48B263C0">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9.声明是残疾人福利性单位须填写《残疾人福利性单位声明函》的相关内容，具体参照以上《中小企业声明函》填写要求执行。</w:t>
      </w:r>
    </w:p>
    <w:p w14:paraId="2EBECCEC">
      <w:pPr>
        <w:bidi w:val="0"/>
        <w:jc w:val="both"/>
        <w:rPr>
          <w:rFonts w:hint="eastAsia" w:ascii="黑体" w:hAnsi="黑体" w:eastAsia="黑体" w:cs="黑体"/>
          <w:color w:val="auto"/>
          <w:highlight w:val="none"/>
        </w:rPr>
      </w:pPr>
      <w:r>
        <w:rPr>
          <w:rFonts w:hint="eastAsia" w:ascii="黑体" w:hAnsi="黑体" w:eastAsia="黑体" w:cs="黑体"/>
          <w:color w:val="auto"/>
          <w:highlight w:val="none"/>
        </w:rPr>
        <w:t>10.声明是监狱企业须填写《监狱企业声明函》的三项内容（填写位置的字体已加粗），具体参照以上《中小企业声明函》填写要求执行。</w:t>
      </w:r>
    </w:p>
    <w:p w14:paraId="03983DD2">
      <w:pPr>
        <w:bidi w:val="0"/>
        <w:ind w:firstLine="480" w:firstLineChars="200"/>
        <w:jc w:val="both"/>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10、对本国产品的支持政策：政府采购活动中既有本国产品又有非本国产品参与竞争的，依法对本国产品给予价格评审优惠，对本国产品的报价给予20%的价格扣除，用扣除后的价格参与评审。</w:t>
      </w:r>
    </w:p>
    <w:p w14:paraId="58A46A85">
      <w:pPr>
        <w:bidi w:val="0"/>
        <w:ind w:firstLine="480" w:firstLineChars="200"/>
        <w:jc w:val="both"/>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依据：《国务院办公厅关于在政府采购中实施本国产品标准及相关政策的通知》（国办发〔2025〕34号）、关于贯彻落实《国务院办公厅关于在政府采购中实施本国产品标准及相关政策的通知》的意见（财库〔2025〕30号））。</w:t>
      </w:r>
    </w:p>
    <w:p w14:paraId="198F99E4">
      <w:pPr>
        <w:bidi w:val="0"/>
        <w:jc w:val="both"/>
        <w:rPr>
          <w:rFonts w:hint="default" w:ascii="黑体" w:hAnsi="黑体" w:eastAsia="黑体" w:cs="黑体"/>
          <w:color w:val="auto"/>
          <w:highlight w:val="none"/>
          <w:lang w:val="en-US" w:eastAsia="zh-CN"/>
        </w:rPr>
      </w:pPr>
    </w:p>
    <w:p w14:paraId="5F0E25B7">
      <w:pPr>
        <w:bidi w:val="0"/>
        <w:jc w:val="center"/>
        <w:rPr>
          <w:rFonts w:hint="eastAsia" w:ascii="黑体" w:hAnsi="黑体" w:eastAsia="黑体" w:cs="黑体"/>
          <w:color w:val="auto"/>
          <w:highlight w:val="none"/>
        </w:rPr>
      </w:pPr>
      <w:r>
        <w:rPr>
          <w:rFonts w:hint="eastAsia" w:ascii="黑体" w:hAnsi="黑体" w:eastAsia="黑体" w:cs="黑体"/>
          <w:color w:val="auto"/>
          <w:highlight w:val="none"/>
        </w:rPr>
        <w:t>（二）声明函的提交要求</w:t>
      </w:r>
    </w:p>
    <w:p w14:paraId="3CB73449">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1.投标（响应）供应商对《中小企业声明函》的真实性负责。投标（响应）供应商应当核实投标（响应）的货物制造商/服务承接商/工程承建商（根据项目属性确定）的相关信息，如对相关信息了解不充分，或者不能确定相关信息真实、准确的，不建议出具《中小企业声明函》。</w:t>
      </w:r>
    </w:p>
    <w:p w14:paraId="03083AA1">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2.鼓励供应商在投标（响应）时一并提供对货物制造商、服务承接商、工程承建商相关信息的核实核验情况以及其他佐证材料。</w:t>
      </w:r>
    </w:p>
    <w:p w14:paraId="1E65A9D1">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3.如供应商提供的《中小企业声明函》存在所属行业或划型不实的，属于提供虚假材料谋取中标、成交，依照《中华人民共和国政府采购法》第七十七条的规定，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C66247D">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4.声明函内容由投标人根据自身实际情况填写，不符合要求的投标人可以不填写或直接删除相应的声明函。投标人提供的声明函不属实的，属于提供虚假资料谋取中标，依照《中华人民共和国政府采购法》等国家有关规定追究相应责任。</w:t>
      </w:r>
    </w:p>
    <w:p w14:paraId="673F8B4E">
      <w:pPr>
        <w:bidi w:val="0"/>
        <w:jc w:val="center"/>
        <w:rPr>
          <w:rFonts w:hint="eastAsia" w:ascii="黑体" w:hAnsi="黑体" w:eastAsia="黑体" w:cs="黑体"/>
          <w:color w:val="auto"/>
          <w:highlight w:val="none"/>
        </w:rPr>
      </w:pPr>
      <w:r>
        <w:rPr>
          <w:rFonts w:hint="eastAsia" w:ascii="黑体" w:hAnsi="黑体" w:eastAsia="黑体" w:cs="黑体"/>
          <w:color w:val="auto"/>
          <w:highlight w:val="none"/>
        </w:rPr>
        <w:t>（三）声明函相关规定文件</w:t>
      </w:r>
    </w:p>
    <w:p w14:paraId="2782031D">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1.财政部《政府采购促进中小企业发展管理办法》（财库〔2020〕46号）；</w:t>
      </w:r>
    </w:p>
    <w:p w14:paraId="370BB059">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2.《工业和信息化部、国家统计局、国家发展和改革委员会、财政部关于印发中小企业划型标准规定的通知》（工信部联企业〔2011〕300 号，以下简称300号文）；</w:t>
      </w:r>
    </w:p>
    <w:p w14:paraId="0D9B9CE4">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3.《统计上大中小微型企业划分办法(2017)》（国统字〔2017〕213 号）；</w:t>
      </w:r>
    </w:p>
    <w:p w14:paraId="2B4BDCBF">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4.《关于促进残疾人就业政府采购政策的通知》（财库〔2017〕141号）；</w:t>
      </w:r>
    </w:p>
    <w:p w14:paraId="686B566A">
      <w:pPr>
        <w:bidi w:val="0"/>
        <w:ind w:firstLine="480" w:firstLineChars="200"/>
        <w:jc w:val="both"/>
        <w:rPr>
          <w:rFonts w:hint="eastAsia" w:ascii="黑体" w:hAnsi="黑体" w:eastAsia="黑体" w:cs="黑体"/>
          <w:color w:val="auto"/>
          <w:highlight w:val="none"/>
          <w:lang w:eastAsia="zh-CN"/>
        </w:rPr>
      </w:pPr>
      <w:r>
        <w:rPr>
          <w:rFonts w:hint="eastAsia" w:ascii="黑体" w:hAnsi="黑体" w:eastAsia="黑体" w:cs="黑体"/>
          <w:color w:val="auto"/>
          <w:highlight w:val="none"/>
        </w:rPr>
        <w:t>5.《关于政府采购支持监狱企业发展有关问题的通知》（财库〔2014〕68号）</w:t>
      </w:r>
      <w:r>
        <w:rPr>
          <w:rFonts w:hint="eastAsia" w:ascii="黑体" w:hAnsi="黑体" w:eastAsia="黑体" w:cs="黑体"/>
          <w:color w:val="auto"/>
          <w:highlight w:val="none"/>
          <w:lang w:eastAsia="zh-CN"/>
        </w:rPr>
        <w:t>；</w:t>
      </w:r>
    </w:p>
    <w:p w14:paraId="3C746E1C">
      <w:pPr>
        <w:bidi w:val="0"/>
        <w:ind w:firstLine="480" w:firstLineChars="200"/>
        <w:jc w:val="both"/>
        <w:rPr>
          <w:rFonts w:hint="default"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6.《国务院办公厅关于在政府采购中实施本国产品标准及相关政策的通知》（国办发〔2025〕34号）、关于贯彻落实《国务院办公厅关于在政府采购中实施本国产品标准及相关政策的通知》的意见（财库〔2025〕30号）。</w:t>
      </w:r>
    </w:p>
    <w:p w14:paraId="5F21B129">
      <w:pPr>
        <w:bidi w:val="0"/>
        <w:jc w:val="center"/>
        <w:rPr>
          <w:rFonts w:hint="eastAsia" w:ascii="黑体" w:hAnsi="黑体" w:eastAsia="黑体" w:cs="黑体"/>
          <w:color w:val="auto"/>
          <w:highlight w:val="none"/>
        </w:rPr>
      </w:pPr>
      <w:r>
        <w:rPr>
          <w:rFonts w:hint="eastAsia" w:ascii="黑体" w:hAnsi="黑体" w:eastAsia="黑体" w:cs="黑体"/>
          <w:color w:val="auto"/>
          <w:highlight w:val="none"/>
        </w:rPr>
        <w:t>（四）声明函的审查</w:t>
      </w:r>
    </w:p>
    <w:p w14:paraId="2871E67C">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1. 事业单位、社会组织等非企业主体不享受中小企业扶持政策。</w:t>
      </w:r>
    </w:p>
    <w:p w14:paraId="42AD0B23">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2.若本项目属于专门面向中小企业、残疾人福利性单位或监狱企业（包括预留份额专门面向中小企业的），则声明函有效性由采购人或代理机构判定，对供应商是否按</w:t>
      </w:r>
      <w:r>
        <w:rPr>
          <w:rFonts w:hint="eastAsia" w:ascii="黑体" w:hAnsi="黑体" w:eastAsia="黑体" w:cs="黑体"/>
          <w:color w:val="auto"/>
          <w:highlight w:val="none"/>
          <w:lang w:eastAsia="zh-CN"/>
        </w:rPr>
        <w:t>采购文件</w:t>
      </w:r>
      <w:r>
        <w:rPr>
          <w:rFonts w:hint="eastAsia" w:ascii="黑体" w:hAnsi="黑体" w:eastAsia="黑体" w:cs="黑体"/>
          <w:color w:val="auto"/>
          <w:highlight w:val="none"/>
        </w:rPr>
        <w:t>规定提交《中小企业声明函》一并进行审查，如判定声明函无效的，相关供应商将作资格审查不通过处理；</w:t>
      </w:r>
    </w:p>
    <w:p w14:paraId="2536BBF8">
      <w:pPr>
        <w:bidi w:val="0"/>
        <w:jc w:val="both"/>
        <w:rPr>
          <w:rFonts w:hint="eastAsia" w:ascii="黑体" w:hAnsi="黑体" w:eastAsia="黑体" w:cs="黑体"/>
          <w:color w:val="auto"/>
          <w:highlight w:val="none"/>
        </w:rPr>
      </w:pPr>
      <w:r>
        <w:rPr>
          <w:rFonts w:hint="eastAsia" w:ascii="黑体" w:hAnsi="黑体" w:eastAsia="黑体" w:cs="黑体"/>
          <w:color w:val="auto"/>
          <w:highlight w:val="none"/>
        </w:rPr>
        <w:t>若本项目非专门面向中小企业、残疾人福利性单位或监狱企业，由评审</w:t>
      </w:r>
      <w:r>
        <w:rPr>
          <w:rFonts w:hint="eastAsia" w:ascii="黑体" w:hAnsi="黑体" w:eastAsia="黑体" w:cs="黑体"/>
          <w:color w:val="auto"/>
          <w:highlight w:val="none"/>
          <w:lang w:val="en-US" w:eastAsia="zh-CN"/>
        </w:rPr>
        <w:t>委员会</w:t>
      </w:r>
      <w:r>
        <w:rPr>
          <w:rFonts w:hint="eastAsia" w:ascii="黑体" w:hAnsi="黑体" w:eastAsia="黑体" w:cs="黑体"/>
          <w:color w:val="auto"/>
          <w:highlight w:val="none"/>
        </w:rPr>
        <w:t>在评审过程中依法审查相关供应商是否满足条件并给予相应扶持政策，声明函的有效性由评审委员会判定，如评审委员会判定声明函无效，相关供应商不享受价格扣除（但不作投标无效处理）。</w:t>
      </w:r>
    </w:p>
    <w:p w14:paraId="020F4007">
      <w:pPr>
        <w:bidi w:val="0"/>
        <w:ind w:firstLine="480" w:firstLineChars="200"/>
        <w:jc w:val="both"/>
        <w:rPr>
          <w:rFonts w:hint="eastAsia" w:ascii="黑体" w:hAnsi="黑体" w:eastAsia="黑体" w:cs="黑体"/>
          <w:color w:val="auto"/>
          <w:highlight w:val="none"/>
        </w:rPr>
      </w:pPr>
      <w:r>
        <w:rPr>
          <w:rFonts w:hint="eastAsia" w:ascii="黑体" w:hAnsi="黑体" w:eastAsia="黑体" w:cs="黑体"/>
          <w:color w:val="auto"/>
          <w:highlight w:val="none"/>
        </w:rPr>
        <w:t>3.本项目属于服务类项目，相关服务的承接商应当为中小企业或残疾人福利性单位或监狱企业，如包含硬件设备、产品等货物采购的，不再对其中涉及的货物的制造商作出要求。</w:t>
      </w:r>
    </w:p>
    <w:p w14:paraId="234AC59F">
      <w:pPr>
        <w:bidi w:val="0"/>
        <w:ind w:firstLine="480" w:firstLineChars="200"/>
        <w:jc w:val="both"/>
        <w:rPr>
          <w:rFonts w:ascii="黑体" w:hAnsi="黑体" w:eastAsia="黑体"/>
          <w:color w:val="auto"/>
          <w:highlight w:val="none"/>
        </w:rPr>
      </w:pPr>
      <w:r>
        <w:rPr>
          <w:rFonts w:hint="eastAsia" w:ascii="黑体" w:hAnsi="黑体" w:eastAsia="黑体" w:cs="黑体"/>
          <w:color w:val="auto"/>
          <w:highlight w:val="none"/>
        </w:rPr>
        <w:t>4.采购人、代理机构、评审委员会在依法进行资格审查、评审过程中，发现《中小企业声明函》存在明显笔误或含义不明确的，应按规定要求供应商进行澄清、说明或补正。澄清修改后符合中小企业条件的供应商，可以享受中小企业扶持政策。</w:t>
      </w:r>
    </w:p>
    <w:p w14:paraId="52C0BDBA">
      <w:pPr>
        <w:ind w:firstLine="480" w:firstLineChars="200"/>
        <w:rPr>
          <w:rFonts w:ascii="黑体" w:hAnsi="黑体" w:eastAsia="黑体"/>
          <w:color w:val="auto"/>
          <w:highlight w:val="none"/>
        </w:rPr>
      </w:pPr>
    </w:p>
    <w:p w14:paraId="2E7111E2">
      <w:pPr>
        <w:rPr>
          <w:color w:val="auto"/>
          <w:highlight w:val="none"/>
        </w:rPr>
      </w:pPr>
    </w:p>
    <w:p w14:paraId="32510AA6">
      <w:pPr>
        <w:rPr>
          <w:color w:val="auto"/>
          <w:highlight w:val="none"/>
        </w:rPr>
      </w:pPr>
    </w:p>
    <w:p w14:paraId="59912BA0">
      <w:pPr>
        <w:rPr>
          <w:color w:val="auto"/>
          <w:highlight w:val="none"/>
        </w:rPr>
      </w:pPr>
    </w:p>
    <w:p w14:paraId="36E6880B">
      <w:pPr>
        <w:rPr>
          <w:color w:val="auto"/>
          <w:highlight w:val="none"/>
        </w:rPr>
      </w:pPr>
    </w:p>
    <w:p w14:paraId="4EDE7247">
      <w:pPr>
        <w:jc w:val="center"/>
        <w:outlineLvl w:val="3"/>
        <w:rPr>
          <w:rFonts w:hint="eastAsia" w:ascii="宋体" w:hAnsi="宋体" w:eastAsia="宋体" w:cs="宋体"/>
          <w:b/>
          <w:color w:val="auto"/>
          <w:highlight w:val="none"/>
        </w:rPr>
      </w:pPr>
      <w:r>
        <w:rPr>
          <w:rFonts w:hint="eastAsia" w:ascii="宋体" w:hAnsi="宋体" w:eastAsia="宋体" w:cs="宋体"/>
          <w:b/>
          <w:color w:val="auto"/>
          <w:highlight w:val="none"/>
        </w:rPr>
        <w:t>1、中小企业声明函（</w:t>
      </w:r>
      <w:r>
        <w:rPr>
          <w:rFonts w:hint="eastAsia" w:ascii="宋体" w:hAnsi="宋体" w:eastAsia="宋体" w:cs="宋体"/>
          <w:b/>
          <w:color w:val="auto"/>
          <w:highlight w:val="none"/>
          <w:lang w:val="en-US" w:eastAsia="zh-CN"/>
        </w:rPr>
        <w:t>工程</w:t>
      </w:r>
      <w:r>
        <w:rPr>
          <w:rFonts w:hint="eastAsia" w:ascii="宋体" w:hAnsi="宋体" w:eastAsia="宋体" w:cs="宋体"/>
          <w:b/>
          <w:color w:val="auto"/>
          <w:highlight w:val="none"/>
        </w:rPr>
        <w:t xml:space="preserve">） </w:t>
      </w:r>
    </w:p>
    <w:p w14:paraId="2F3A4A11">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本投标人郑重声明，根据《政府采购促进中小企业发展管理办法》（财库﹝2020﹞46 号）的规定，本投标人参加</w:t>
      </w:r>
      <w:r>
        <w:rPr>
          <w:rFonts w:hint="eastAsia" w:ascii="宋体" w:hAnsi="宋体" w:eastAsia="宋体" w:cs="宋体"/>
          <w:b/>
          <w:bCs/>
          <w:color w:val="auto"/>
          <w:szCs w:val="21"/>
          <w:highlight w:val="none"/>
          <w:u w:val="single"/>
        </w:rPr>
        <w:t>（</w:t>
      </w:r>
      <w:r>
        <w:rPr>
          <w:rFonts w:hint="eastAsia" w:eastAsia="宋体"/>
          <w:color w:val="auto"/>
          <w:highlight w:val="none"/>
          <w:lang w:eastAsia="zh-CN"/>
        </w:rPr>
        <w:t>深圳市盐田区建筑工程事务署</w:t>
      </w:r>
      <w:r>
        <w:rPr>
          <w:rFonts w:hint="eastAsia" w:ascii="宋体" w:hAnsi="宋体" w:eastAsia="宋体" w:cs="宋体"/>
          <w:b/>
          <w:bCs/>
          <w:color w:val="auto"/>
          <w:szCs w:val="21"/>
          <w:highlight w:val="none"/>
          <w:u w:val="single"/>
        </w:rPr>
        <w:t>）</w:t>
      </w:r>
      <w:r>
        <w:rPr>
          <w:rFonts w:hint="eastAsia" w:ascii="宋体" w:hAnsi="宋体" w:eastAsia="宋体" w:cs="宋体"/>
          <w:color w:val="auto"/>
          <w:szCs w:val="21"/>
          <w:highlight w:val="none"/>
        </w:rPr>
        <w:t>的</w:t>
      </w:r>
      <w:r>
        <w:rPr>
          <w:rFonts w:hint="eastAsia" w:ascii="宋体" w:hAnsi="宋体" w:eastAsia="宋体" w:cs="宋体"/>
          <w:b/>
          <w:bCs/>
          <w:color w:val="auto"/>
          <w:szCs w:val="21"/>
          <w:highlight w:val="none"/>
          <w:u w:val="single"/>
        </w:rPr>
        <w:t>（</w:t>
      </w:r>
      <w:r>
        <w:rPr>
          <w:rFonts w:hint="eastAsia" w:ascii="宋体" w:hAnsi="宋体" w:eastAsia="宋体" w:cs="宋体"/>
          <w:color w:val="auto"/>
          <w:highlight w:val="none"/>
          <w:u w:val="single"/>
          <w:lang w:eastAsia="zh-CN"/>
        </w:rPr>
        <w:t>盐田区人民医院发热门诊大楼及配套设施项目手机信号覆盖工程（重新招标第1次）</w:t>
      </w:r>
      <w:r>
        <w:rPr>
          <w:rFonts w:hint="eastAsia" w:ascii="宋体" w:hAnsi="宋体" w:eastAsia="宋体" w:cs="宋体"/>
          <w:b/>
          <w:bCs/>
          <w:color w:val="auto"/>
          <w:szCs w:val="21"/>
          <w:highlight w:val="none"/>
          <w:u w:val="single"/>
        </w:rPr>
        <w:t>）</w:t>
      </w:r>
      <w:r>
        <w:rPr>
          <w:rFonts w:hint="eastAsia" w:ascii="宋体" w:hAnsi="宋体" w:eastAsia="宋体" w:cs="宋体"/>
          <w:color w:val="auto"/>
          <w:szCs w:val="21"/>
          <w:highlight w:val="none"/>
        </w:rPr>
        <w:t>采购活动，</w:t>
      </w:r>
      <w:r>
        <w:rPr>
          <w:rFonts w:hint="eastAsia" w:ascii="宋体" w:hAnsi="宋体" w:eastAsia="宋体" w:cs="宋体"/>
          <w:color w:val="auto"/>
          <w:szCs w:val="21"/>
          <w:highlight w:val="none"/>
          <w:lang w:val="en-US" w:eastAsia="zh-CN"/>
        </w:rPr>
        <w:t>工程</w:t>
      </w:r>
      <w:r>
        <w:rPr>
          <w:rFonts w:hint="eastAsia" w:ascii="宋体" w:hAnsi="宋体" w:eastAsia="宋体" w:cs="宋体"/>
          <w:color w:val="auto"/>
          <w:szCs w:val="21"/>
          <w:highlight w:val="none"/>
        </w:rPr>
        <w:t>全部由符合政策要求的中小企业承接。相关企业的具体情况如下：</w:t>
      </w:r>
    </w:p>
    <w:p w14:paraId="478C0F50">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
          <w:bCs/>
          <w:color w:val="auto"/>
          <w:szCs w:val="21"/>
          <w:highlight w:val="none"/>
          <w:u w:val="single"/>
        </w:rPr>
        <w:t>（</w:t>
      </w:r>
      <w:r>
        <w:rPr>
          <w:rFonts w:hint="eastAsia" w:ascii="宋体" w:hAnsi="宋体" w:eastAsia="宋体" w:cs="宋体"/>
          <w:color w:val="auto"/>
          <w:highlight w:val="none"/>
          <w:u w:val="single"/>
          <w:lang w:eastAsia="zh-CN"/>
        </w:rPr>
        <w:t>盐田区人民医院发热门诊大楼及配套设施项目手机信号覆盖工程（重新招标第1次）</w:t>
      </w:r>
      <w:r>
        <w:rPr>
          <w:rFonts w:hint="eastAsia" w:ascii="宋体" w:hAnsi="宋体" w:eastAsia="宋体" w:cs="宋体"/>
          <w:b/>
          <w:bCs/>
          <w:color w:val="auto"/>
          <w:szCs w:val="21"/>
          <w:highlight w:val="none"/>
          <w:u w:val="single"/>
        </w:rPr>
        <w:t>）</w:t>
      </w:r>
      <w:r>
        <w:rPr>
          <w:rFonts w:hint="eastAsia" w:ascii="宋体" w:hAnsi="宋体" w:eastAsia="宋体" w:cs="宋体"/>
          <w:color w:val="auto"/>
          <w:szCs w:val="21"/>
          <w:highlight w:val="none"/>
        </w:rPr>
        <w:t xml:space="preserve"> ，属于</w:t>
      </w:r>
      <w:r>
        <w:rPr>
          <w:rFonts w:hint="eastAsia" w:ascii="宋体" w:hAnsi="宋体" w:eastAsia="宋体" w:cs="宋体"/>
          <w:b/>
          <w:bCs/>
          <w:color w:val="auto"/>
          <w:szCs w:val="21"/>
          <w:highlight w:val="none"/>
          <w:u w:val="single"/>
        </w:rPr>
        <w:t>（</w:t>
      </w:r>
      <w:r>
        <w:rPr>
          <w:rFonts w:hint="eastAsia" w:ascii="宋体" w:hAnsi="宋体" w:eastAsia="宋体" w:cs="宋体"/>
          <w:b/>
          <w:bCs/>
          <w:color w:val="auto"/>
          <w:szCs w:val="21"/>
          <w:highlight w:val="none"/>
          <w:u w:val="single"/>
          <w:lang w:val="en-US" w:eastAsia="zh-CN"/>
        </w:rPr>
        <w:t>建筑</w:t>
      </w:r>
      <w:r>
        <w:rPr>
          <w:rFonts w:hint="eastAsia" w:ascii="宋体" w:hAnsi="宋体" w:eastAsia="宋体" w:cs="宋体"/>
          <w:b/>
          <w:bCs/>
          <w:color w:val="auto"/>
          <w:szCs w:val="21"/>
          <w:highlight w:val="none"/>
          <w:u w:val="single"/>
        </w:rPr>
        <w:t xml:space="preserve">业） </w:t>
      </w:r>
      <w:r>
        <w:rPr>
          <w:rFonts w:hint="eastAsia" w:ascii="宋体" w:hAnsi="宋体" w:eastAsia="宋体" w:cs="宋体"/>
          <w:color w:val="auto"/>
          <w:szCs w:val="21"/>
          <w:highlight w:val="none"/>
        </w:rPr>
        <w:t>行业；</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企业为</w:t>
      </w:r>
      <w:r>
        <w:rPr>
          <w:rFonts w:hint="eastAsia" w:ascii="宋体" w:hAnsi="宋体" w:eastAsia="宋体" w:cs="宋体"/>
          <w:b/>
          <w:bCs/>
          <w:color w:val="auto"/>
          <w:szCs w:val="21"/>
          <w:highlight w:val="none"/>
          <w:u w:val="single"/>
        </w:rPr>
        <w:t>（企业名称）</w:t>
      </w:r>
      <w:r>
        <w:rPr>
          <w:rFonts w:hint="eastAsia" w:ascii="宋体" w:hAnsi="宋体" w:eastAsia="宋体" w:cs="宋体"/>
          <w:color w:val="auto"/>
          <w:szCs w:val="21"/>
          <w:highlight w:val="none"/>
        </w:rPr>
        <w:t>，从业人员</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人，营业收入为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万元，资产总额为</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Cs w:val="21"/>
          <w:highlight w:val="none"/>
        </w:rPr>
        <w:t>万元 ，属于</w:t>
      </w:r>
      <w:r>
        <w:rPr>
          <w:rFonts w:hint="eastAsia" w:ascii="宋体" w:hAnsi="宋体" w:eastAsia="宋体" w:cs="宋体"/>
          <w:b/>
          <w:bCs/>
          <w:color w:val="auto"/>
          <w:szCs w:val="21"/>
          <w:highlight w:val="none"/>
          <w:u w:val="single"/>
        </w:rPr>
        <w:t>（中型企业、小型企业、微型企业）</w:t>
      </w:r>
      <w:r>
        <w:rPr>
          <w:rFonts w:hint="eastAsia" w:ascii="宋体" w:hAnsi="宋体" w:eastAsia="宋体" w:cs="宋体"/>
          <w:color w:val="auto"/>
          <w:szCs w:val="21"/>
          <w:highlight w:val="none"/>
        </w:rPr>
        <w:t>；</w:t>
      </w:r>
    </w:p>
    <w:p w14:paraId="04DF3B62">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以上企业，不属于大企业的分支机构，不存在控股股东为大企业的情形，也不存在与大企业的负责人为同一人的情形。</w:t>
      </w:r>
    </w:p>
    <w:p w14:paraId="510F1B2C">
      <w:pPr>
        <w:spacing w:after="60" w:afterLines="25" w:line="300" w:lineRule="auto"/>
        <w:ind w:firstLine="480" w:firstLineChars="200"/>
        <w:jc w:val="left"/>
        <w:rPr>
          <w:rFonts w:hint="eastAsia" w:ascii="宋体" w:hAnsi="宋体" w:eastAsia="宋体" w:cs="宋体"/>
          <w:color w:val="auto"/>
          <w:szCs w:val="21"/>
          <w:highlight w:val="none"/>
        </w:rPr>
      </w:pPr>
      <w:bookmarkStart w:id="61" w:name="_Hlk73562275"/>
      <w:r>
        <w:rPr>
          <w:rFonts w:hint="eastAsia" w:ascii="宋体" w:hAnsi="宋体" w:eastAsia="宋体" w:cs="宋体"/>
          <w:color w:val="auto"/>
          <w:szCs w:val="21"/>
          <w:highlight w:val="none"/>
        </w:rPr>
        <w:t>本投标人已知悉《政府采购促进中小企业发展管理办法》（财库〔2020〕46 号）、《中小企业划型标准</w:t>
      </w:r>
    </w:p>
    <w:p w14:paraId="746A5EBC">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61"/>
    </w:p>
    <w:p w14:paraId="046CD6A8">
      <w:pPr>
        <w:spacing w:after="60" w:afterLines="25" w:line="300" w:lineRule="auto"/>
        <w:ind w:firstLine="480" w:firstLineChars="200"/>
        <w:jc w:val="left"/>
        <w:rPr>
          <w:rFonts w:hint="eastAsia" w:ascii="宋体" w:hAnsi="宋体" w:eastAsia="宋体" w:cs="宋体"/>
          <w:color w:val="auto"/>
          <w:szCs w:val="21"/>
          <w:highlight w:val="none"/>
        </w:rPr>
      </w:pPr>
    </w:p>
    <w:p w14:paraId="39E2ADBE">
      <w:pPr>
        <w:spacing w:after="60" w:afterLines="25" w:line="300" w:lineRule="auto"/>
        <w:ind w:firstLine="480" w:firstLineChars="200"/>
        <w:jc w:val="left"/>
        <w:rPr>
          <w:rFonts w:hint="eastAsia" w:ascii="宋体" w:hAnsi="宋体" w:eastAsia="宋体" w:cs="宋体"/>
          <w:color w:val="auto"/>
          <w:szCs w:val="21"/>
          <w:highlight w:val="none"/>
        </w:rPr>
      </w:pPr>
    </w:p>
    <w:p w14:paraId="03B372F2">
      <w:pPr>
        <w:spacing w:after="60" w:afterLines="25" w:line="300" w:lineRule="auto"/>
        <w:ind w:firstLine="480" w:firstLineChars="200"/>
        <w:jc w:val="left"/>
        <w:rPr>
          <w:rFonts w:hint="eastAsia" w:ascii="宋体" w:hAnsi="宋体" w:eastAsia="宋体" w:cs="宋体"/>
          <w:color w:val="auto"/>
          <w:szCs w:val="21"/>
          <w:highlight w:val="none"/>
        </w:rPr>
      </w:pPr>
    </w:p>
    <w:p w14:paraId="4071A7F4">
      <w:pPr>
        <w:wordWrap/>
        <w:spacing w:after="60" w:afterLines="25" w:line="300" w:lineRule="auto"/>
        <w:ind w:firstLine="48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投标人（投标单位）：</w:t>
      </w:r>
    </w:p>
    <w:p w14:paraId="6B413749">
      <w:pPr>
        <w:spacing w:line="320" w:lineRule="exact"/>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日期：</w:t>
      </w:r>
    </w:p>
    <w:p w14:paraId="06C5CAB5">
      <w:pPr>
        <w:spacing w:line="320" w:lineRule="exact"/>
        <w:jc w:val="right"/>
        <w:rPr>
          <w:rFonts w:hint="eastAsia" w:ascii="宋体" w:hAnsi="宋体" w:eastAsia="宋体" w:cs="宋体"/>
          <w:color w:val="auto"/>
          <w:szCs w:val="21"/>
          <w:highlight w:val="none"/>
        </w:rPr>
      </w:pPr>
    </w:p>
    <w:p w14:paraId="38DDE480">
      <w:pPr>
        <w:spacing w:line="320" w:lineRule="exact"/>
        <w:jc w:val="right"/>
        <w:rPr>
          <w:rFonts w:hint="eastAsia" w:ascii="宋体" w:hAnsi="宋体" w:eastAsia="宋体" w:cs="宋体"/>
          <w:color w:val="auto"/>
          <w:szCs w:val="21"/>
          <w:highlight w:val="none"/>
        </w:rPr>
      </w:pPr>
    </w:p>
    <w:p w14:paraId="3C590DAF">
      <w:pPr>
        <w:spacing w:line="320" w:lineRule="exact"/>
        <w:jc w:val="right"/>
        <w:rPr>
          <w:rFonts w:hint="eastAsia" w:ascii="宋体" w:hAnsi="宋体" w:eastAsia="宋体" w:cs="宋体"/>
          <w:color w:val="auto"/>
          <w:szCs w:val="21"/>
          <w:highlight w:val="none"/>
        </w:rPr>
      </w:pPr>
    </w:p>
    <w:p w14:paraId="308342F6">
      <w:pPr>
        <w:spacing w:line="320" w:lineRule="exact"/>
        <w:jc w:val="right"/>
        <w:rPr>
          <w:rFonts w:hint="eastAsia" w:ascii="宋体" w:hAnsi="宋体" w:eastAsia="宋体" w:cs="宋体"/>
          <w:color w:val="auto"/>
          <w:szCs w:val="21"/>
          <w:highlight w:val="none"/>
        </w:rPr>
      </w:pPr>
    </w:p>
    <w:p w14:paraId="627954F2">
      <w:pPr>
        <w:spacing w:line="320" w:lineRule="exact"/>
        <w:jc w:val="right"/>
        <w:rPr>
          <w:rFonts w:hint="eastAsia" w:ascii="宋体" w:hAnsi="宋体" w:eastAsia="宋体" w:cs="宋体"/>
          <w:color w:val="auto"/>
          <w:szCs w:val="21"/>
          <w:highlight w:val="none"/>
        </w:rPr>
      </w:pPr>
    </w:p>
    <w:p w14:paraId="6A93AB10">
      <w:pPr>
        <w:spacing w:line="320" w:lineRule="exact"/>
        <w:jc w:val="right"/>
        <w:rPr>
          <w:rFonts w:hint="eastAsia" w:ascii="宋体" w:hAnsi="宋体" w:eastAsia="宋体" w:cs="宋体"/>
          <w:color w:val="auto"/>
          <w:szCs w:val="21"/>
          <w:highlight w:val="none"/>
        </w:rPr>
      </w:pPr>
    </w:p>
    <w:p w14:paraId="391089B2">
      <w:pPr>
        <w:spacing w:line="320" w:lineRule="exact"/>
        <w:jc w:val="right"/>
        <w:rPr>
          <w:rFonts w:hint="eastAsia" w:ascii="宋体" w:hAnsi="宋体" w:eastAsia="宋体" w:cs="宋体"/>
          <w:color w:val="auto"/>
          <w:szCs w:val="21"/>
          <w:highlight w:val="none"/>
        </w:rPr>
      </w:pPr>
    </w:p>
    <w:p w14:paraId="47634047">
      <w:pPr>
        <w:spacing w:line="320" w:lineRule="exact"/>
        <w:jc w:val="right"/>
        <w:rPr>
          <w:rFonts w:hint="eastAsia" w:ascii="宋体" w:hAnsi="宋体" w:eastAsia="宋体" w:cs="宋体"/>
          <w:color w:val="auto"/>
          <w:szCs w:val="21"/>
          <w:highlight w:val="none"/>
        </w:rPr>
      </w:pPr>
    </w:p>
    <w:p w14:paraId="0C41BE06">
      <w:pPr>
        <w:jc w:val="center"/>
        <w:outlineLvl w:val="3"/>
        <w:rPr>
          <w:rFonts w:hint="eastAsia" w:ascii="宋体" w:hAnsi="宋体" w:eastAsia="宋体" w:cs="宋体"/>
          <w:b/>
          <w:color w:val="auto"/>
          <w:highlight w:val="none"/>
        </w:rPr>
      </w:pPr>
      <w:r>
        <w:rPr>
          <w:rFonts w:hint="eastAsia" w:ascii="宋体" w:hAnsi="宋体" w:eastAsia="宋体" w:cs="宋体"/>
          <w:b/>
          <w:color w:val="auto"/>
          <w:highlight w:val="none"/>
        </w:rPr>
        <w:t>2、残疾人福利性单位声明函（</w:t>
      </w:r>
      <w:r>
        <w:rPr>
          <w:rFonts w:hint="eastAsia" w:ascii="宋体" w:hAnsi="宋体" w:eastAsia="宋体" w:cs="宋体"/>
          <w:b/>
          <w:color w:val="auto"/>
          <w:highlight w:val="none"/>
          <w:lang w:val="en-US" w:eastAsia="zh-CN"/>
        </w:rPr>
        <w:t>工程</w:t>
      </w:r>
      <w:r>
        <w:rPr>
          <w:rFonts w:hint="eastAsia" w:ascii="宋体" w:hAnsi="宋体" w:eastAsia="宋体" w:cs="宋体"/>
          <w:b/>
          <w:color w:val="auto"/>
          <w:highlight w:val="none"/>
        </w:rPr>
        <w:t>类）</w:t>
      </w:r>
    </w:p>
    <w:p w14:paraId="274EECC3">
      <w:pPr>
        <w:rPr>
          <w:rFonts w:hint="eastAsia" w:ascii="宋体" w:hAnsi="宋体" w:eastAsia="宋体" w:cs="宋体"/>
          <w:b/>
          <w:bCs/>
          <w:color w:val="auto"/>
          <w:highlight w:val="none"/>
        </w:rPr>
      </w:pPr>
    </w:p>
    <w:p w14:paraId="09CFC2A6">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本投标人郑重声明，根据《财政部民政部中国残疾人联合会关于促进残疾人就业政府采购政策的通知》（财库〔2017〕141 号）的规定，本投标人参加</w:t>
      </w:r>
      <w:r>
        <w:rPr>
          <w:rFonts w:hint="eastAsia" w:ascii="宋体" w:hAnsi="宋体" w:eastAsia="宋体" w:cs="宋体"/>
          <w:b/>
          <w:bCs/>
          <w:color w:val="auto"/>
          <w:szCs w:val="21"/>
          <w:highlight w:val="none"/>
          <w:u w:val="single"/>
        </w:rPr>
        <w:t>（采购人名称）</w:t>
      </w:r>
      <w:r>
        <w:rPr>
          <w:rFonts w:hint="eastAsia" w:ascii="宋体" w:hAnsi="宋体" w:eastAsia="宋体" w:cs="宋体"/>
          <w:color w:val="auto"/>
          <w:szCs w:val="21"/>
          <w:highlight w:val="none"/>
        </w:rPr>
        <w:t>的</w:t>
      </w:r>
      <w:r>
        <w:rPr>
          <w:rFonts w:hint="eastAsia" w:ascii="宋体" w:hAnsi="宋体" w:eastAsia="宋体" w:cs="宋体"/>
          <w:b/>
          <w:bCs/>
          <w:color w:val="auto"/>
          <w:szCs w:val="21"/>
          <w:highlight w:val="none"/>
          <w:u w:val="single"/>
        </w:rPr>
        <w:t>（项目名称）</w:t>
      </w:r>
      <w:r>
        <w:rPr>
          <w:rFonts w:hint="eastAsia" w:ascii="宋体" w:hAnsi="宋体" w:eastAsia="宋体" w:cs="宋体"/>
          <w:color w:val="auto"/>
          <w:szCs w:val="21"/>
          <w:highlight w:val="none"/>
        </w:rPr>
        <w:t>采购活动，</w:t>
      </w:r>
      <w:r>
        <w:rPr>
          <w:rFonts w:hint="eastAsia" w:ascii="宋体" w:hAnsi="宋体" w:eastAsia="宋体" w:cs="宋体"/>
          <w:color w:val="auto"/>
          <w:szCs w:val="21"/>
          <w:highlight w:val="none"/>
          <w:lang w:val="en-US" w:eastAsia="zh-CN"/>
        </w:rPr>
        <w:t>工程</w:t>
      </w:r>
      <w:r>
        <w:rPr>
          <w:rFonts w:hint="eastAsia" w:ascii="宋体" w:hAnsi="宋体" w:eastAsia="宋体" w:cs="宋体"/>
          <w:color w:val="auto"/>
          <w:szCs w:val="21"/>
          <w:highlight w:val="none"/>
        </w:rPr>
        <w:t>全部由符合政策要求的残疾人福利性单位</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。相关残疾人福利性单位的具体情况如下：</w:t>
      </w:r>
    </w:p>
    <w:p w14:paraId="24F2B176">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
          <w:bCs/>
          <w:color w:val="auto"/>
          <w:szCs w:val="21"/>
          <w:highlight w:val="none"/>
          <w:u w:val="single"/>
        </w:rPr>
        <w:t xml:space="preserve"> （标的名称）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企业为</w:t>
      </w:r>
      <w:r>
        <w:rPr>
          <w:rFonts w:hint="eastAsia" w:ascii="宋体" w:hAnsi="宋体" w:eastAsia="宋体" w:cs="宋体"/>
          <w:b/>
          <w:bCs/>
          <w:color w:val="auto"/>
          <w:szCs w:val="21"/>
          <w:highlight w:val="none"/>
          <w:u w:val="single"/>
        </w:rPr>
        <w:t>（单位名称）</w:t>
      </w:r>
      <w:r>
        <w:rPr>
          <w:rFonts w:hint="eastAsia" w:ascii="宋体" w:hAnsi="宋体" w:eastAsia="宋体" w:cs="宋体"/>
          <w:color w:val="auto"/>
          <w:szCs w:val="21"/>
          <w:highlight w:val="none"/>
        </w:rPr>
        <w:t>，属于</w:t>
      </w:r>
      <w:r>
        <w:rPr>
          <w:rFonts w:hint="eastAsia" w:ascii="宋体" w:hAnsi="宋体" w:eastAsia="宋体" w:cs="宋体"/>
          <w:b/>
          <w:bCs/>
          <w:color w:val="auto"/>
          <w:szCs w:val="21"/>
          <w:highlight w:val="none"/>
          <w:u w:val="single"/>
        </w:rPr>
        <w:t>残疾人福利性单位</w:t>
      </w:r>
      <w:r>
        <w:rPr>
          <w:rFonts w:hint="eastAsia" w:ascii="宋体" w:hAnsi="宋体" w:eastAsia="宋体" w:cs="宋体"/>
          <w:color w:val="auto"/>
          <w:szCs w:val="21"/>
          <w:highlight w:val="none"/>
        </w:rPr>
        <w:t>；</w:t>
      </w:r>
    </w:p>
    <w:p w14:paraId="062B8D86">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
          <w:bCs/>
          <w:color w:val="auto"/>
          <w:szCs w:val="21"/>
          <w:highlight w:val="none"/>
          <w:u w:val="single"/>
        </w:rPr>
        <w:t xml:space="preserve"> （标的名称）</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企业为</w:t>
      </w:r>
      <w:r>
        <w:rPr>
          <w:rFonts w:hint="eastAsia" w:ascii="宋体" w:hAnsi="宋体" w:eastAsia="宋体" w:cs="宋体"/>
          <w:b/>
          <w:bCs/>
          <w:color w:val="auto"/>
          <w:szCs w:val="21"/>
          <w:highlight w:val="none"/>
          <w:u w:val="single"/>
        </w:rPr>
        <w:t>（单位名称）</w:t>
      </w:r>
      <w:r>
        <w:rPr>
          <w:rFonts w:hint="eastAsia" w:ascii="宋体" w:hAnsi="宋体" w:eastAsia="宋体" w:cs="宋体"/>
          <w:color w:val="auto"/>
          <w:szCs w:val="21"/>
          <w:highlight w:val="none"/>
        </w:rPr>
        <w:t>，属于</w:t>
      </w:r>
      <w:r>
        <w:rPr>
          <w:rFonts w:hint="eastAsia" w:ascii="宋体" w:hAnsi="宋体" w:eastAsia="宋体" w:cs="宋体"/>
          <w:b/>
          <w:bCs/>
          <w:color w:val="auto"/>
          <w:szCs w:val="21"/>
          <w:highlight w:val="none"/>
          <w:u w:val="single"/>
        </w:rPr>
        <w:t>残疾人福利性单位</w:t>
      </w:r>
      <w:r>
        <w:rPr>
          <w:rFonts w:hint="eastAsia" w:ascii="宋体" w:hAnsi="宋体" w:eastAsia="宋体" w:cs="宋体"/>
          <w:color w:val="auto"/>
          <w:szCs w:val="21"/>
          <w:highlight w:val="none"/>
        </w:rPr>
        <w:t>。</w:t>
      </w:r>
    </w:p>
    <w:p w14:paraId="7C59D78C">
      <w:pPr>
        <w:spacing w:after="60" w:afterLines="25" w:line="300" w:lineRule="auto"/>
        <w:ind w:firstLine="48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280A4E09">
      <w:pPr>
        <w:spacing w:after="60" w:afterLines="25" w:line="300" w:lineRule="auto"/>
        <w:ind w:firstLine="480" w:firstLineChars="200"/>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本投标人已知悉《财政部民政部中国残疾人联合会关于促进残疾人就业政府采购政策的通知》（财库〔2017〕141 号）的规定，承诺提供的声明函内容是真实的，如提供声明函内容不实，则依法追究相关法律责任。</w:t>
      </w:r>
    </w:p>
    <w:p w14:paraId="1520577D">
      <w:pPr>
        <w:spacing w:after="60" w:afterLines="25" w:line="300" w:lineRule="auto"/>
        <w:ind w:firstLine="480" w:firstLineChars="200"/>
        <w:jc w:val="left"/>
        <w:rPr>
          <w:rFonts w:hint="eastAsia" w:ascii="宋体" w:hAnsi="宋体" w:eastAsia="宋体" w:cs="宋体"/>
          <w:color w:val="auto"/>
          <w:szCs w:val="21"/>
          <w:highlight w:val="none"/>
        </w:rPr>
      </w:pPr>
    </w:p>
    <w:p w14:paraId="398C41EA">
      <w:pPr>
        <w:spacing w:after="60" w:afterLines="25" w:line="300" w:lineRule="auto"/>
        <w:ind w:firstLine="480" w:firstLineChars="200"/>
        <w:jc w:val="left"/>
        <w:rPr>
          <w:rFonts w:hint="eastAsia" w:ascii="宋体" w:hAnsi="宋体" w:eastAsia="宋体" w:cs="宋体"/>
          <w:color w:val="auto"/>
          <w:szCs w:val="21"/>
          <w:highlight w:val="none"/>
        </w:rPr>
      </w:pPr>
    </w:p>
    <w:p w14:paraId="229184C0">
      <w:pPr>
        <w:wordWrap w:val="0"/>
        <w:spacing w:after="60" w:afterLines="25" w:line="300" w:lineRule="auto"/>
        <w:ind w:firstLine="48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投标人（投标单位）：       </w:t>
      </w:r>
    </w:p>
    <w:p w14:paraId="7872801D">
      <w:pPr>
        <w:wordWrap w:val="0"/>
        <w:spacing w:after="60" w:afterLines="25" w:line="300" w:lineRule="auto"/>
        <w:ind w:firstLine="48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日期：</w:t>
      </w:r>
    </w:p>
    <w:p w14:paraId="713F5D63">
      <w:pPr>
        <w:spacing w:line="320" w:lineRule="exact"/>
        <w:ind w:firstLine="480" w:firstLineChars="200"/>
        <w:jc w:val="both"/>
        <w:rPr>
          <w:color w:val="auto"/>
          <w:highlight w:val="none"/>
        </w:rPr>
      </w:pPr>
    </w:p>
    <w:p w14:paraId="173EB228">
      <w:pPr>
        <w:spacing w:line="320" w:lineRule="exact"/>
        <w:rPr>
          <w:color w:val="auto"/>
          <w:highlight w:val="none"/>
        </w:rPr>
      </w:pPr>
    </w:p>
    <w:p w14:paraId="3F1E9A0F">
      <w:pPr>
        <w:jc w:val="both"/>
        <w:outlineLvl w:val="3"/>
        <w:rPr>
          <w:rFonts w:hint="eastAsia" w:ascii="宋体" w:hAnsi="宋体" w:eastAsia="宋体" w:cs="宋体"/>
          <w:b/>
          <w:color w:val="auto"/>
          <w:highlight w:val="none"/>
        </w:rPr>
      </w:pPr>
      <w:r>
        <w:rPr>
          <w:rFonts w:hint="eastAsia" w:ascii="宋体" w:hAnsi="宋体" w:eastAsia="宋体" w:cs="宋体"/>
          <w:b/>
          <w:color w:val="auto"/>
          <w:highlight w:val="none"/>
        </w:rPr>
        <w:t>3、监狱企业声明函【</w:t>
      </w:r>
      <w:r>
        <w:rPr>
          <w:rFonts w:hint="eastAsia" w:ascii="宋体" w:hAnsi="宋体" w:eastAsia="宋体" w:cs="宋体"/>
          <w:b/>
          <w:color w:val="auto"/>
          <w:highlight w:val="none"/>
          <w:lang w:val="en-US" w:eastAsia="zh-CN"/>
        </w:rPr>
        <w:t>工程</w:t>
      </w:r>
      <w:r>
        <w:rPr>
          <w:rFonts w:hint="eastAsia" w:ascii="宋体" w:hAnsi="宋体" w:eastAsia="宋体" w:cs="宋体"/>
          <w:b/>
          <w:color w:val="auto"/>
          <w:highlight w:val="none"/>
        </w:rPr>
        <w:t>类，监狱企业如需享受优惠政策，还须另行提供省级以上监狱管理局、戒毒管理局（含新疆生产建设兵团）出具的监狱企业证明文件】</w:t>
      </w:r>
    </w:p>
    <w:p w14:paraId="714FE188">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本投标人郑重声明，根据《财政部司法部关于政府采购支持监狱企业发展有关问题的通知》（财库〔2014〕68号）的规定，本投标人参加</w:t>
      </w:r>
      <w:r>
        <w:rPr>
          <w:rFonts w:hint="eastAsia" w:ascii="宋体" w:hAnsi="宋体" w:eastAsia="宋体" w:cs="宋体"/>
          <w:b/>
          <w:bCs/>
          <w:color w:val="auto"/>
          <w:szCs w:val="21"/>
          <w:highlight w:val="none"/>
          <w:u w:val="single"/>
        </w:rPr>
        <w:t>（采购人名称）</w:t>
      </w:r>
      <w:r>
        <w:rPr>
          <w:rFonts w:hint="eastAsia" w:ascii="宋体" w:hAnsi="宋体" w:eastAsia="宋体" w:cs="宋体"/>
          <w:color w:val="auto"/>
          <w:szCs w:val="21"/>
          <w:highlight w:val="none"/>
        </w:rPr>
        <w:t>的</w:t>
      </w:r>
      <w:r>
        <w:rPr>
          <w:rFonts w:hint="eastAsia" w:ascii="宋体" w:hAnsi="宋体" w:eastAsia="宋体" w:cs="宋体"/>
          <w:b/>
          <w:bCs/>
          <w:color w:val="auto"/>
          <w:szCs w:val="21"/>
          <w:highlight w:val="none"/>
          <w:u w:val="single"/>
        </w:rPr>
        <w:t>（项目名称）</w:t>
      </w:r>
      <w:r>
        <w:rPr>
          <w:rFonts w:hint="eastAsia" w:ascii="宋体" w:hAnsi="宋体" w:eastAsia="宋体" w:cs="宋体"/>
          <w:color w:val="auto"/>
          <w:szCs w:val="21"/>
          <w:highlight w:val="none"/>
        </w:rPr>
        <w:t>采购活动，</w:t>
      </w:r>
      <w:r>
        <w:rPr>
          <w:rFonts w:hint="eastAsia" w:ascii="宋体" w:hAnsi="宋体" w:eastAsia="宋体" w:cs="宋体"/>
          <w:color w:val="auto"/>
          <w:szCs w:val="21"/>
          <w:highlight w:val="none"/>
          <w:lang w:val="en-US" w:eastAsia="zh-CN"/>
        </w:rPr>
        <w:t>工程</w:t>
      </w:r>
      <w:r>
        <w:rPr>
          <w:rFonts w:hint="eastAsia" w:ascii="宋体" w:hAnsi="宋体" w:eastAsia="宋体" w:cs="宋体"/>
          <w:color w:val="auto"/>
          <w:szCs w:val="21"/>
          <w:highlight w:val="none"/>
        </w:rPr>
        <w:t>全部由符合政策要求的监狱企业</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。相关监狱企业的具体情况如下：</w:t>
      </w:r>
    </w:p>
    <w:p w14:paraId="55126C92">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b/>
          <w:bCs/>
          <w:color w:val="auto"/>
          <w:szCs w:val="21"/>
          <w:highlight w:val="none"/>
          <w:u w:val="single"/>
        </w:rPr>
        <w:t xml:space="preserve"> （标的名称）</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单位为</w:t>
      </w:r>
      <w:r>
        <w:rPr>
          <w:rFonts w:hint="eastAsia" w:ascii="宋体" w:hAnsi="宋体" w:eastAsia="宋体" w:cs="宋体"/>
          <w:b/>
          <w:bCs/>
          <w:color w:val="auto"/>
          <w:szCs w:val="21"/>
          <w:highlight w:val="none"/>
          <w:u w:val="single"/>
        </w:rPr>
        <w:t>（企业名称）</w:t>
      </w:r>
      <w:r>
        <w:rPr>
          <w:rFonts w:hint="eastAsia" w:ascii="宋体" w:hAnsi="宋体" w:eastAsia="宋体" w:cs="宋体"/>
          <w:color w:val="auto"/>
          <w:szCs w:val="21"/>
          <w:highlight w:val="none"/>
        </w:rPr>
        <w:t>，属于</w:t>
      </w:r>
      <w:r>
        <w:rPr>
          <w:rFonts w:hint="eastAsia" w:ascii="宋体" w:hAnsi="宋体" w:eastAsia="宋体" w:cs="宋体"/>
          <w:b/>
          <w:bCs/>
          <w:color w:val="auto"/>
          <w:szCs w:val="21"/>
          <w:highlight w:val="none"/>
          <w:u w:val="single"/>
        </w:rPr>
        <w:t>监狱企业</w:t>
      </w:r>
      <w:r>
        <w:rPr>
          <w:rFonts w:hint="eastAsia" w:ascii="宋体" w:hAnsi="宋体" w:eastAsia="宋体" w:cs="宋体"/>
          <w:color w:val="auto"/>
          <w:szCs w:val="21"/>
          <w:highlight w:val="none"/>
        </w:rPr>
        <w:t>；</w:t>
      </w:r>
    </w:p>
    <w:p w14:paraId="3F5BD0FA">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b/>
          <w:bCs/>
          <w:color w:val="auto"/>
          <w:szCs w:val="21"/>
          <w:highlight w:val="none"/>
          <w:u w:val="single"/>
        </w:rPr>
        <w:t xml:space="preserve"> （标的名称）</w:t>
      </w:r>
      <w:r>
        <w:rPr>
          <w:rFonts w:hint="eastAsia" w:ascii="宋体" w:hAnsi="宋体" w:eastAsia="宋体" w:cs="宋体"/>
          <w:color w:val="auto"/>
          <w:szCs w:val="21"/>
          <w:highlight w:val="none"/>
        </w:rPr>
        <w:t xml:space="preserve"> ，</w:t>
      </w:r>
      <w:r>
        <w:rPr>
          <w:rFonts w:hint="eastAsia" w:ascii="宋体" w:hAnsi="宋体" w:eastAsia="宋体" w:cs="宋体"/>
          <w:color w:val="auto"/>
          <w:szCs w:val="21"/>
          <w:highlight w:val="none"/>
          <w:lang w:val="en-US" w:eastAsia="zh-CN"/>
        </w:rPr>
        <w:t>承建</w:t>
      </w:r>
      <w:r>
        <w:rPr>
          <w:rFonts w:hint="eastAsia" w:ascii="宋体" w:hAnsi="宋体" w:eastAsia="宋体" w:cs="宋体"/>
          <w:color w:val="auto"/>
          <w:szCs w:val="21"/>
          <w:highlight w:val="none"/>
        </w:rPr>
        <w:t>单位为</w:t>
      </w:r>
      <w:r>
        <w:rPr>
          <w:rFonts w:hint="eastAsia" w:ascii="宋体" w:hAnsi="宋体" w:eastAsia="宋体" w:cs="宋体"/>
          <w:b/>
          <w:bCs/>
          <w:color w:val="auto"/>
          <w:szCs w:val="21"/>
          <w:highlight w:val="none"/>
          <w:u w:val="single"/>
        </w:rPr>
        <w:t>（企业名称）</w:t>
      </w:r>
      <w:r>
        <w:rPr>
          <w:rFonts w:hint="eastAsia" w:ascii="宋体" w:hAnsi="宋体" w:eastAsia="宋体" w:cs="宋体"/>
          <w:color w:val="auto"/>
          <w:szCs w:val="21"/>
          <w:highlight w:val="none"/>
        </w:rPr>
        <w:t>，属于</w:t>
      </w:r>
      <w:r>
        <w:rPr>
          <w:rFonts w:hint="eastAsia" w:ascii="宋体" w:hAnsi="宋体" w:eastAsia="宋体" w:cs="宋体"/>
          <w:b/>
          <w:bCs/>
          <w:color w:val="auto"/>
          <w:szCs w:val="21"/>
          <w:highlight w:val="none"/>
          <w:u w:val="single"/>
        </w:rPr>
        <w:t>监狱企业</w:t>
      </w:r>
      <w:r>
        <w:rPr>
          <w:rFonts w:hint="eastAsia" w:ascii="宋体" w:hAnsi="宋体" w:eastAsia="宋体" w:cs="宋体"/>
          <w:color w:val="auto"/>
          <w:szCs w:val="21"/>
          <w:highlight w:val="none"/>
        </w:rPr>
        <w:t>。</w:t>
      </w:r>
    </w:p>
    <w:p w14:paraId="1075B60B">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 xml:space="preserve">…… </w:t>
      </w:r>
    </w:p>
    <w:p w14:paraId="3C0ABEF3">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本投标人对上述声明内容的真实性负责。如有虚假，将依法承担相应责任。</w:t>
      </w:r>
    </w:p>
    <w:p w14:paraId="5076F1B2">
      <w:pPr>
        <w:ind w:firstLine="480" w:firstLineChars="2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附：省级以上监狱管理局、戒毒管理局（含新疆生产建设兵团）出具的监狱企业证明文件。</w:t>
      </w:r>
    </w:p>
    <w:p w14:paraId="27F7C579">
      <w:pPr>
        <w:ind w:left="723" w:hanging="723" w:hangingChars="300"/>
        <w:jc w:val="both"/>
        <w:rPr>
          <w:rFonts w:hint="eastAsia" w:ascii="宋体" w:hAnsi="宋体" w:eastAsia="宋体" w:cs="宋体"/>
          <w:b/>
          <w:color w:val="auto"/>
          <w:highlight w:val="none"/>
        </w:rPr>
      </w:pPr>
    </w:p>
    <w:p w14:paraId="41D1D3B8">
      <w:pPr>
        <w:ind w:left="723" w:hanging="723" w:hangingChars="300"/>
        <w:jc w:val="both"/>
        <w:rPr>
          <w:rFonts w:hint="eastAsia" w:ascii="宋体" w:hAnsi="宋体" w:eastAsia="宋体" w:cs="宋体"/>
          <w:b/>
          <w:color w:val="auto"/>
          <w:highlight w:val="none"/>
        </w:rPr>
      </w:pPr>
    </w:p>
    <w:p w14:paraId="2A1A2D5F">
      <w:pPr>
        <w:ind w:left="723" w:hanging="723" w:hangingChars="300"/>
        <w:jc w:val="both"/>
        <w:rPr>
          <w:rFonts w:hint="eastAsia" w:ascii="宋体" w:hAnsi="宋体" w:eastAsia="宋体" w:cs="宋体"/>
          <w:b/>
          <w:color w:val="auto"/>
          <w:highlight w:val="none"/>
        </w:rPr>
      </w:pPr>
    </w:p>
    <w:p w14:paraId="567B05AF">
      <w:pPr>
        <w:wordWrap/>
        <w:spacing w:after="60" w:afterLines="25" w:line="300" w:lineRule="auto"/>
        <w:ind w:firstLine="480" w:firstLineChars="200"/>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 xml:space="preserve">投标人（投标单位）：       </w:t>
      </w:r>
    </w:p>
    <w:p w14:paraId="6D04F08A">
      <w:pPr>
        <w:spacing w:line="320" w:lineRule="exact"/>
        <w:ind w:firstLine="5760" w:firstLineChars="2400"/>
        <w:jc w:val="both"/>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w:t>
      </w:r>
    </w:p>
    <w:p w14:paraId="64CDE9E3">
      <w:pPr>
        <w:spacing w:line="320" w:lineRule="exact"/>
        <w:jc w:val="center"/>
        <w:rPr>
          <w:rFonts w:hint="eastAsia" w:ascii="宋体" w:hAnsi="宋体" w:eastAsia="宋体" w:cs="宋体"/>
          <w:color w:val="auto"/>
          <w:szCs w:val="21"/>
          <w:highlight w:val="none"/>
        </w:rPr>
      </w:pPr>
    </w:p>
    <w:p w14:paraId="4D1C156C">
      <w:pPr>
        <w:spacing w:line="320" w:lineRule="exact"/>
        <w:jc w:val="center"/>
        <w:rPr>
          <w:rFonts w:hint="eastAsia" w:ascii="宋体" w:hAnsi="宋体" w:eastAsia="宋体" w:cs="宋体"/>
          <w:color w:val="auto"/>
          <w:szCs w:val="21"/>
          <w:highlight w:val="none"/>
        </w:rPr>
      </w:pPr>
    </w:p>
    <w:p w14:paraId="024BCDE8">
      <w:pPr>
        <w:spacing w:line="320" w:lineRule="exact"/>
        <w:jc w:val="center"/>
        <w:rPr>
          <w:rFonts w:hint="eastAsia" w:ascii="Times New Roman" w:hAnsi="Times New Roman" w:eastAsia="Times New Roman" w:cs="Times New Roman"/>
          <w:b/>
          <w:color w:val="auto"/>
          <w:highlight w:val="none"/>
        </w:rPr>
      </w:pPr>
      <w:r>
        <w:rPr>
          <w:rFonts w:hint="eastAsia" w:ascii="Times New Roman" w:hAnsi="Times New Roman" w:eastAsia="宋体" w:cs="Times New Roman"/>
          <w:b/>
          <w:color w:val="auto"/>
          <w:highlight w:val="none"/>
          <w:lang w:val="en-US" w:eastAsia="zh-CN"/>
        </w:rPr>
        <w:t>4、</w:t>
      </w:r>
      <w:r>
        <w:rPr>
          <w:rFonts w:hint="eastAsia" w:ascii="Times New Roman" w:hAnsi="Times New Roman" w:eastAsia="Times New Roman" w:cs="Times New Roman"/>
          <w:b/>
          <w:color w:val="auto"/>
          <w:highlight w:val="none"/>
        </w:rPr>
        <w:t>关于符合本国产品标准的声明函</w:t>
      </w:r>
    </w:p>
    <w:p w14:paraId="7A18CDB3">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rPr>
          <w:rFonts w:hint="eastAsia" w:ascii="宋体" w:hAnsi="宋体" w:eastAsia="宋体" w:cs="宋体"/>
          <w:i w:val="0"/>
          <w:iCs w:val="0"/>
          <w:caps w:val="0"/>
          <w:color w:val="auto"/>
          <w:spacing w:val="0"/>
          <w:sz w:val="24"/>
          <w:szCs w:val="24"/>
          <w:highlight w:val="none"/>
        </w:rPr>
      </w:pPr>
    </w:p>
    <w:p w14:paraId="6619D35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本公司（单位）郑重声明，根据《国务院办公厅关于在政府采购中实施本国产品标准及相关政策的通知》（国办发〔2025〕34号）的规定，本公司（单位）提供的以下产品属于本国产品。具体情况如下：</w:t>
      </w:r>
    </w:p>
    <w:p w14:paraId="7C75B86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1.</w:t>
      </w:r>
      <w:r>
        <w:rPr>
          <w:rStyle w:val="29"/>
          <w:rFonts w:hint="eastAsia" w:ascii="宋体" w:hAnsi="宋体" w:eastAsia="宋体" w:cs="宋体"/>
          <w:i w:val="0"/>
          <w:iCs w:val="0"/>
          <w:caps w:val="0"/>
          <w:color w:val="auto"/>
          <w:spacing w:val="0"/>
          <w:sz w:val="24"/>
          <w:szCs w:val="24"/>
          <w:highlight w:val="none"/>
          <w:shd w:val="clear" w:color="auto" w:fill="FFFFFF"/>
        </w:rPr>
        <w:t>（产品名称1）</w:t>
      </w:r>
      <w:r>
        <w:rPr>
          <w:rStyle w:val="29"/>
          <w:rFonts w:hint="eastAsia" w:ascii="宋体" w:hAnsi="宋体" w:eastAsia="宋体" w:cs="宋体"/>
          <w:i w:val="0"/>
          <w:iCs w:val="0"/>
          <w:caps w:val="0"/>
          <w:color w:val="auto"/>
          <w:spacing w:val="0"/>
          <w:sz w:val="24"/>
          <w:szCs w:val="24"/>
          <w:highlight w:val="none"/>
          <w:shd w:val="clear" w:color="auto" w:fill="FFFFFF"/>
          <w:vertAlign w:val="superscript"/>
        </w:rPr>
        <w:t>1</w:t>
      </w:r>
      <w:r>
        <w:rPr>
          <w:rFonts w:hint="eastAsia" w:ascii="宋体" w:hAnsi="宋体" w:eastAsia="宋体" w:cs="宋体"/>
          <w:i w:val="0"/>
          <w:iCs w:val="0"/>
          <w:caps w:val="0"/>
          <w:color w:val="auto"/>
          <w:spacing w:val="0"/>
          <w:sz w:val="24"/>
          <w:szCs w:val="24"/>
          <w:highlight w:val="none"/>
          <w:shd w:val="clear" w:color="auto" w:fill="FFFFFF"/>
        </w:rPr>
        <w:t>，生产厂为</w:t>
      </w:r>
      <w:r>
        <w:rPr>
          <w:rStyle w:val="29"/>
          <w:rFonts w:hint="eastAsia" w:ascii="宋体" w:hAnsi="宋体" w:eastAsia="宋体" w:cs="宋体"/>
          <w:i w:val="0"/>
          <w:iCs w:val="0"/>
          <w:caps w:val="0"/>
          <w:color w:val="auto"/>
          <w:spacing w:val="0"/>
          <w:sz w:val="24"/>
          <w:szCs w:val="24"/>
          <w:highlight w:val="none"/>
          <w:shd w:val="clear" w:color="auto" w:fill="FFFFFF"/>
        </w:rPr>
        <w:t>（厂名）</w:t>
      </w:r>
      <w:r>
        <w:rPr>
          <w:rStyle w:val="29"/>
          <w:rFonts w:hint="eastAsia" w:ascii="宋体" w:hAnsi="宋体" w:eastAsia="宋体" w:cs="宋体"/>
          <w:i w:val="0"/>
          <w:iCs w:val="0"/>
          <w:caps w:val="0"/>
          <w:color w:val="auto"/>
          <w:spacing w:val="0"/>
          <w:sz w:val="24"/>
          <w:szCs w:val="24"/>
          <w:highlight w:val="none"/>
          <w:shd w:val="clear" w:color="auto" w:fill="FFFFFF"/>
          <w:vertAlign w:val="superscript"/>
        </w:rPr>
        <w:t>2</w:t>
      </w:r>
      <w:r>
        <w:rPr>
          <w:rFonts w:hint="eastAsia" w:ascii="宋体" w:hAnsi="宋体" w:eastAsia="宋体" w:cs="宋体"/>
          <w:i w:val="0"/>
          <w:iCs w:val="0"/>
          <w:caps w:val="0"/>
          <w:color w:val="auto"/>
          <w:spacing w:val="0"/>
          <w:sz w:val="24"/>
          <w:szCs w:val="24"/>
          <w:highlight w:val="none"/>
          <w:shd w:val="clear" w:color="auto" w:fill="FFFFFF"/>
        </w:rPr>
        <w:t>，厂址为</w:t>
      </w:r>
      <w:r>
        <w:rPr>
          <w:rStyle w:val="29"/>
          <w:rFonts w:hint="eastAsia" w:ascii="宋体" w:hAnsi="宋体" w:eastAsia="宋体" w:cs="宋体"/>
          <w:i w:val="0"/>
          <w:iCs w:val="0"/>
          <w:caps w:val="0"/>
          <w:color w:val="auto"/>
          <w:spacing w:val="0"/>
          <w:sz w:val="24"/>
          <w:szCs w:val="24"/>
          <w:highlight w:val="none"/>
          <w:shd w:val="clear" w:color="auto" w:fill="FFFFFF"/>
        </w:rPr>
        <w:t>（生产厂址）</w:t>
      </w:r>
      <w:r>
        <w:rPr>
          <w:rFonts w:hint="eastAsia" w:ascii="宋体" w:hAnsi="宋体" w:eastAsia="宋体" w:cs="宋体"/>
          <w:i w:val="0"/>
          <w:iCs w:val="0"/>
          <w:caps w:val="0"/>
          <w:color w:val="auto"/>
          <w:spacing w:val="0"/>
          <w:sz w:val="24"/>
          <w:szCs w:val="24"/>
          <w:highlight w:val="none"/>
          <w:shd w:val="clear" w:color="auto" w:fill="FFFFFF"/>
        </w:rPr>
        <w:t>。</w:t>
      </w:r>
      <w:r>
        <w:rPr>
          <w:rStyle w:val="29"/>
          <w:rFonts w:hint="eastAsia" w:ascii="宋体" w:hAnsi="宋体" w:eastAsia="宋体" w:cs="宋体"/>
          <w:i w:val="0"/>
          <w:iCs w:val="0"/>
          <w:caps w:val="0"/>
          <w:color w:val="auto"/>
          <w:spacing w:val="0"/>
          <w:sz w:val="24"/>
          <w:szCs w:val="24"/>
          <w:highlight w:val="none"/>
          <w:shd w:val="clear" w:color="auto" w:fill="FFFFFF"/>
        </w:rPr>
        <w:t>（产品名称1）</w:t>
      </w:r>
      <w:r>
        <w:rPr>
          <w:rFonts w:hint="eastAsia" w:ascii="宋体" w:hAnsi="宋体" w:eastAsia="宋体" w:cs="宋体"/>
          <w:i w:val="0"/>
          <w:iCs w:val="0"/>
          <w:caps w:val="0"/>
          <w:color w:val="auto"/>
          <w:spacing w:val="0"/>
          <w:sz w:val="24"/>
          <w:szCs w:val="24"/>
          <w:highlight w:val="none"/>
          <w:shd w:val="clear" w:color="auto" w:fill="FFFFFF"/>
        </w:rPr>
        <w:t>的中国境内生产的组件成本占比≥</w:t>
      </w:r>
      <w:r>
        <w:rPr>
          <w:rStyle w:val="29"/>
          <w:rFonts w:hint="eastAsia" w:ascii="宋体" w:hAnsi="宋体" w:eastAsia="宋体" w:cs="宋体"/>
          <w:i w:val="0"/>
          <w:iCs w:val="0"/>
          <w:caps w:val="0"/>
          <w:color w:val="auto"/>
          <w:spacing w:val="0"/>
          <w:sz w:val="24"/>
          <w:szCs w:val="24"/>
          <w:highlight w:val="none"/>
          <w:shd w:val="clear" w:color="auto" w:fill="FFFFFF"/>
        </w:rPr>
        <w:t>（规定比例）</w:t>
      </w:r>
      <w:r>
        <w:rPr>
          <w:rStyle w:val="29"/>
          <w:rFonts w:hint="eastAsia" w:ascii="宋体" w:hAnsi="宋体" w:eastAsia="宋体" w:cs="宋体"/>
          <w:i w:val="0"/>
          <w:iCs w:val="0"/>
          <w:caps w:val="0"/>
          <w:color w:val="auto"/>
          <w:spacing w:val="0"/>
          <w:sz w:val="24"/>
          <w:szCs w:val="24"/>
          <w:highlight w:val="none"/>
          <w:shd w:val="clear" w:color="auto" w:fill="FFFFFF"/>
          <w:vertAlign w:val="superscript"/>
        </w:rPr>
        <w:t>3</w:t>
      </w:r>
      <w:r>
        <w:rPr>
          <w:rFonts w:hint="eastAsia" w:ascii="宋体" w:hAnsi="宋体" w:eastAsia="宋体" w:cs="宋体"/>
          <w:i w:val="0"/>
          <w:iCs w:val="0"/>
          <w:caps w:val="0"/>
          <w:color w:val="auto"/>
          <w:spacing w:val="0"/>
          <w:sz w:val="24"/>
          <w:szCs w:val="24"/>
          <w:highlight w:val="none"/>
          <w:shd w:val="clear" w:color="auto" w:fill="FFFFFF"/>
        </w:rPr>
        <w:t>。</w:t>
      </w:r>
      <w:r>
        <w:rPr>
          <w:rStyle w:val="29"/>
          <w:rFonts w:hint="eastAsia" w:ascii="宋体" w:hAnsi="宋体" w:eastAsia="宋体" w:cs="宋体"/>
          <w:i w:val="0"/>
          <w:iCs w:val="0"/>
          <w:caps w:val="0"/>
          <w:color w:val="auto"/>
          <w:spacing w:val="0"/>
          <w:sz w:val="24"/>
          <w:szCs w:val="24"/>
          <w:highlight w:val="none"/>
          <w:shd w:val="clear" w:color="auto" w:fill="FFFFFF"/>
        </w:rPr>
        <w:t>（产品名称1）</w:t>
      </w:r>
      <w:r>
        <w:rPr>
          <w:rFonts w:hint="eastAsia" w:ascii="宋体" w:hAnsi="宋体" w:eastAsia="宋体" w:cs="宋体"/>
          <w:i w:val="0"/>
          <w:iCs w:val="0"/>
          <w:caps w:val="0"/>
          <w:color w:val="auto"/>
          <w:spacing w:val="0"/>
          <w:sz w:val="24"/>
          <w:szCs w:val="24"/>
          <w:highlight w:val="none"/>
          <w:shd w:val="clear" w:color="auto" w:fill="FFFFFF"/>
        </w:rPr>
        <w:t>的</w:t>
      </w:r>
      <w:r>
        <w:rPr>
          <w:rStyle w:val="29"/>
          <w:rFonts w:hint="eastAsia" w:ascii="宋体" w:hAnsi="宋体" w:eastAsia="宋体" w:cs="宋体"/>
          <w:i w:val="0"/>
          <w:iCs w:val="0"/>
          <w:caps w:val="0"/>
          <w:color w:val="auto"/>
          <w:spacing w:val="0"/>
          <w:sz w:val="24"/>
          <w:szCs w:val="24"/>
          <w:highlight w:val="none"/>
          <w:shd w:val="clear" w:color="auto" w:fill="FFFFFF"/>
        </w:rPr>
        <w:t>（关键组件）</w:t>
      </w:r>
      <w:r>
        <w:rPr>
          <w:rStyle w:val="29"/>
          <w:rFonts w:hint="eastAsia" w:ascii="宋体" w:hAnsi="宋体" w:eastAsia="宋体" w:cs="宋体"/>
          <w:i w:val="0"/>
          <w:iCs w:val="0"/>
          <w:caps w:val="0"/>
          <w:color w:val="auto"/>
          <w:spacing w:val="0"/>
          <w:sz w:val="24"/>
          <w:szCs w:val="24"/>
          <w:highlight w:val="none"/>
          <w:shd w:val="clear" w:color="auto" w:fill="FFFFFF"/>
          <w:vertAlign w:val="superscript"/>
        </w:rPr>
        <w:t>4</w:t>
      </w:r>
      <w:r>
        <w:rPr>
          <w:rFonts w:hint="eastAsia" w:ascii="宋体" w:hAnsi="宋体" w:eastAsia="宋体" w:cs="宋体"/>
          <w:i w:val="0"/>
          <w:iCs w:val="0"/>
          <w:caps w:val="0"/>
          <w:color w:val="auto"/>
          <w:spacing w:val="0"/>
          <w:sz w:val="24"/>
          <w:szCs w:val="24"/>
          <w:highlight w:val="none"/>
          <w:shd w:val="clear" w:color="auto" w:fill="FFFFFF"/>
        </w:rPr>
        <w:t>在中国境内生产。</w:t>
      </w:r>
      <w:r>
        <w:rPr>
          <w:rStyle w:val="29"/>
          <w:rFonts w:hint="eastAsia" w:ascii="宋体" w:hAnsi="宋体" w:eastAsia="宋体" w:cs="宋体"/>
          <w:i w:val="0"/>
          <w:iCs w:val="0"/>
          <w:caps w:val="0"/>
          <w:color w:val="auto"/>
          <w:spacing w:val="0"/>
          <w:sz w:val="24"/>
          <w:szCs w:val="24"/>
          <w:highlight w:val="none"/>
          <w:shd w:val="clear" w:color="auto" w:fill="FFFFFF"/>
        </w:rPr>
        <w:t>（产品名称1）</w:t>
      </w:r>
      <w:r>
        <w:rPr>
          <w:rFonts w:hint="eastAsia" w:ascii="宋体" w:hAnsi="宋体" w:eastAsia="宋体" w:cs="宋体"/>
          <w:i w:val="0"/>
          <w:iCs w:val="0"/>
          <w:caps w:val="0"/>
          <w:color w:val="auto"/>
          <w:spacing w:val="0"/>
          <w:sz w:val="24"/>
          <w:szCs w:val="24"/>
          <w:highlight w:val="none"/>
          <w:shd w:val="clear" w:color="auto" w:fill="FFFFFF"/>
        </w:rPr>
        <w:t>的</w:t>
      </w:r>
      <w:r>
        <w:rPr>
          <w:rStyle w:val="29"/>
          <w:rFonts w:hint="eastAsia" w:ascii="宋体" w:hAnsi="宋体" w:eastAsia="宋体" w:cs="宋体"/>
          <w:i w:val="0"/>
          <w:iCs w:val="0"/>
          <w:caps w:val="0"/>
          <w:color w:val="auto"/>
          <w:spacing w:val="0"/>
          <w:sz w:val="24"/>
          <w:szCs w:val="24"/>
          <w:highlight w:val="none"/>
          <w:shd w:val="clear" w:color="auto" w:fill="FFFFFF"/>
        </w:rPr>
        <w:t>（关键工序）</w:t>
      </w:r>
      <w:r>
        <w:rPr>
          <w:rStyle w:val="29"/>
          <w:rFonts w:hint="eastAsia" w:ascii="宋体" w:hAnsi="宋体" w:eastAsia="宋体" w:cs="宋体"/>
          <w:i w:val="0"/>
          <w:iCs w:val="0"/>
          <w:caps w:val="0"/>
          <w:color w:val="auto"/>
          <w:spacing w:val="0"/>
          <w:sz w:val="24"/>
          <w:szCs w:val="24"/>
          <w:highlight w:val="none"/>
          <w:shd w:val="clear" w:color="auto" w:fill="FFFFFF"/>
          <w:vertAlign w:val="superscript"/>
        </w:rPr>
        <w:t>5</w:t>
      </w:r>
      <w:r>
        <w:rPr>
          <w:rFonts w:hint="eastAsia" w:ascii="宋体" w:hAnsi="宋体" w:eastAsia="宋体" w:cs="宋体"/>
          <w:i w:val="0"/>
          <w:iCs w:val="0"/>
          <w:caps w:val="0"/>
          <w:color w:val="auto"/>
          <w:spacing w:val="0"/>
          <w:sz w:val="24"/>
          <w:szCs w:val="24"/>
          <w:highlight w:val="none"/>
          <w:shd w:val="clear" w:color="auto" w:fill="FFFFFF"/>
        </w:rPr>
        <w:t>在中国境内完成。</w:t>
      </w:r>
    </w:p>
    <w:p w14:paraId="5E64DD4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2.</w:t>
      </w:r>
      <w:r>
        <w:rPr>
          <w:rStyle w:val="29"/>
          <w:rFonts w:hint="eastAsia" w:ascii="宋体" w:hAnsi="宋体" w:eastAsia="宋体" w:cs="宋体"/>
          <w:i w:val="0"/>
          <w:iCs w:val="0"/>
          <w:caps w:val="0"/>
          <w:color w:val="auto"/>
          <w:spacing w:val="0"/>
          <w:sz w:val="24"/>
          <w:szCs w:val="24"/>
          <w:highlight w:val="none"/>
          <w:shd w:val="clear" w:color="auto" w:fill="FFFFFF"/>
        </w:rPr>
        <w:t>（产品名称2）</w:t>
      </w:r>
      <w:r>
        <w:rPr>
          <w:rFonts w:hint="eastAsia" w:ascii="宋体" w:hAnsi="宋体" w:eastAsia="宋体" w:cs="宋体"/>
          <w:i w:val="0"/>
          <w:iCs w:val="0"/>
          <w:caps w:val="0"/>
          <w:color w:val="auto"/>
          <w:spacing w:val="0"/>
          <w:sz w:val="24"/>
          <w:szCs w:val="24"/>
          <w:highlight w:val="none"/>
          <w:shd w:val="clear" w:color="auto" w:fill="FFFFFF"/>
        </w:rPr>
        <w:t>，生产厂为</w:t>
      </w:r>
      <w:r>
        <w:rPr>
          <w:rStyle w:val="29"/>
          <w:rFonts w:hint="eastAsia" w:ascii="宋体" w:hAnsi="宋体" w:eastAsia="宋体" w:cs="宋体"/>
          <w:i w:val="0"/>
          <w:iCs w:val="0"/>
          <w:caps w:val="0"/>
          <w:color w:val="auto"/>
          <w:spacing w:val="0"/>
          <w:sz w:val="24"/>
          <w:szCs w:val="24"/>
          <w:highlight w:val="none"/>
          <w:shd w:val="clear" w:color="auto" w:fill="FFFFFF"/>
        </w:rPr>
        <w:t>（厂名）</w:t>
      </w:r>
      <w:r>
        <w:rPr>
          <w:rFonts w:hint="eastAsia" w:ascii="宋体" w:hAnsi="宋体" w:eastAsia="宋体" w:cs="宋体"/>
          <w:i w:val="0"/>
          <w:iCs w:val="0"/>
          <w:caps w:val="0"/>
          <w:color w:val="auto"/>
          <w:spacing w:val="0"/>
          <w:sz w:val="24"/>
          <w:szCs w:val="24"/>
          <w:highlight w:val="none"/>
          <w:shd w:val="clear" w:color="auto" w:fill="FFFFFF"/>
        </w:rPr>
        <w:t>，厂址为</w:t>
      </w:r>
      <w:r>
        <w:rPr>
          <w:rStyle w:val="29"/>
          <w:rFonts w:hint="eastAsia" w:ascii="宋体" w:hAnsi="宋体" w:eastAsia="宋体" w:cs="宋体"/>
          <w:i w:val="0"/>
          <w:iCs w:val="0"/>
          <w:caps w:val="0"/>
          <w:color w:val="auto"/>
          <w:spacing w:val="0"/>
          <w:sz w:val="24"/>
          <w:szCs w:val="24"/>
          <w:highlight w:val="none"/>
          <w:shd w:val="clear" w:color="auto" w:fill="FFFFFF"/>
        </w:rPr>
        <w:t>（生产厂址）</w:t>
      </w:r>
      <w:r>
        <w:rPr>
          <w:rFonts w:hint="eastAsia" w:ascii="宋体" w:hAnsi="宋体" w:eastAsia="宋体" w:cs="宋体"/>
          <w:i w:val="0"/>
          <w:iCs w:val="0"/>
          <w:caps w:val="0"/>
          <w:color w:val="auto"/>
          <w:spacing w:val="0"/>
          <w:sz w:val="24"/>
          <w:szCs w:val="24"/>
          <w:highlight w:val="none"/>
          <w:shd w:val="clear" w:color="auto" w:fill="FFFFFF"/>
        </w:rPr>
        <w:t>。</w:t>
      </w:r>
      <w:r>
        <w:rPr>
          <w:rStyle w:val="29"/>
          <w:rFonts w:hint="eastAsia" w:ascii="宋体" w:hAnsi="宋体" w:eastAsia="宋体" w:cs="宋体"/>
          <w:i w:val="0"/>
          <w:iCs w:val="0"/>
          <w:caps w:val="0"/>
          <w:color w:val="auto"/>
          <w:spacing w:val="0"/>
          <w:sz w:val="24"/>
          <w:szCs w:val="24"/>
          <w:highlight w:val="none"/>
          <w:shd w:val="clear" w:color="auto" w:fill="FFFFFF"/>
        </w:rPr>
        <w:t>（产品名称2）</w:t>
      </w:r>
      <w:r>
        <w:rPr>
          <w:rFonts w:hint="eastAsia" w:ascii="宋体" w:hAnsi="宋体" w:eastAsia="宋体" w:cs="宋体"/>
          <w:i w:val="0"/>
          <w:iCs w:val="0"/>
          <w:caps w:val="0"/>
          <w:color w:val="auto"/>
          <w:spacing w:val="0"/>
          <w:sz w:val="24"/>
          <w:szCs w:val="24"/>
          <w:highlight w:val="none"/>
          <w:shd w:val="clear" w:color="auto" w:fill="FFFFFF"/>
        </w:rPr>
        <w:t>的中国境内生产的组件成本占比≥</w:t>
      </w:r>
      <w:r>
        <w:rPr>
          <w:rStyle w:val="29"/>
          <w:rFonts w:hint="eastAsia" w:ascii="宋体" w:hAnsi="宋体" w:eastAsia="宋体" w:cs="宋体"/>
          <w:i w:val="0"/>
          <w:iCs w:val="0"/>
          <w:caps w:val="0"/>
          <w:color w:val="auto"/>
          <w:spacing w:val="0"/>
          <w:sz w:val="24"/>
          <w:szCs w:val="24"/>
          <w:highlight w:val="none"/>
          <w:shd w:val="clear" w:color="auto" w:fill="FFFFFF"/>
        </w:rPr>
        <w:t>（规定比例）</w:t>
      </w:r>
      <w:r>
        <w:rPr>
          <w:rFonts w:hint="eastAsia" w:ascii="宋体" w:hAnsi="宋体" w:eastAsia="宋体" w:cs="宋体"/>
          <w:i w:val="0"/>
          <w:iCs w:val="0"/>
          <w:caps w:val="0"/>
          <w:color w:val="auto"/>
          <w:spacing w:val="0"/>
          <w:sz w:val="24"/>
          <w:szCs w:val="24"/>
          <w:highlight w:val="none"/>
          <w:shd w:val="clear" w:color="auto" w:fill="FFFFFF"/>
        </w:rPr>
        <w:t>。</w:t>
      </w:r>
      <w:r>
        <w:rPr>
          <w:rStyle w:val="29"/>
          <w:rFonts w:hint="eastAsia" w:ascii="宋体" w:hAnsi="宋体" w:eastAsia="宋体" w:cs="宋体"/>
          <w:i w:val="0"/>
          <w:iCs w:val="0"/>
          <w:caps w:val="0"/>
          <w:color w:val="auto"/>
          <w:spacing w:val="0"/>
          <w:sz w:val="24"/>
          <w:szCs w:val="24"/>
          <w:highlight w:val="none"/>
          <w:shd w:val="clear" w:color="auto" w:fill="FFFFFF"/>
        </w:rPr>
        <w:t>（产品名称2）</w:t>
      </w:r>
      <w:r>
        <w:rPr>
          <w:rFonts w:hint="eastAsia" w:ascii="宋体" w:hAnsi="宋体" w:eastAsia="宋体" w:cs="宋体"/>
          <w:i w:val="0"/>
          <w:iCs w:val="0"/>
          <w:caps w:val="0"/>
          <w:color w:val="auto"/>
          <w:spacing w:val="0"/>
          <w:sz w:val="24"/>
          <w:szCs w:val="24"/>
          <w:highlight w:val="none"/>
          <w:shd w:val="clear" w:color="auto" w:fill="FFFFFF"/>
        </w:rPr>
        <w:t>的</w:t>
      </w:r>
      <w:r>
        <w:rPr>
          <w:rStyle w:val="29"/>
          <w:rFonts w:hint="eastAsia" w:ascii="宋体" w:hAnsi="宋体" w:eastAsia="宋体" w:cs="宋体"/>
          <w:i w:val="0"/>
          <w:iCs w:val="0"/>
          <w:caps w:val="0"/>
          <w:color w:val="auto"/>
          <w:spacing w:val="0"/>
          <w:sz w:val="24"/>
          <w:szCs w:val="24"/>
          <w:highlight w:val="none"/>
          <w:shd w:val="clear" w:color="auto" w:fill="FFFFFF"/>
        </w:rPr>
        <w:t>（关键组件）</w:t>
      </w:r>
      <w:r>
        <w:rPr>
          <w:rFonts w:hint="eastAsia" w:ascii="宋体" w:hAnsi="宋体" w:eastAsia="宋体" w:cs="宋体"/>
          <w:i w:val="0"/>
          <w:iCs w:val="0"/>
          <w:caps w:val="0"/>
          <w:color w:val="auto"/>
          <w:spacing w:val="0"/>
          <w:sz w:val="24"/>
          <w:szCs w:val="24"/>
          <w:highlight w:val="none"/>
          <w:shd w:val="clear" w:color="auto" w:fill="FFFFFF"/>
        </w:rPr>
        <w:t>在中国境内生产。</w:t>
      </w:r>
      <w:r>
        <w:rPr>
          <w:rStyle w:val="29"/>
          <w:rFonts w:hint="eastAsia" w:ascii="宋体" w:hAnsi="宋体" w:eastAsia="宋体" w:cs="宋体"/>
          <w:i w:val="0"/>
          <w:iCs w:val="0"/>
          <w:caps w:val="0"/>
          <w:color w:val="auto"/>
          <w:spacing w:val="0"/>
          <w:sz w:val="24"/>
          <w:szCs w:val="24"/>
          <w:highlight w:val="none"/>
          <w:shd w:val="clear" w:color="auto" w:fill="FFFFFF"/>
        </w:rPr>
        <w:t>（产品名称2）</w:t>
      </w:r>
      <w:r>
        <w:rPr>
          <w:rFonts w:hint="eastAsia" w:ascii="宋体" w:hAnsi="宋体" w:eastAsia="宋体" w:cs="宋体"/>
          <w:i w:val="0"/>
          <w:iCs w:val="0"/>
          <w:caps w:val="0"/>
          <w:color w:val="auto"/>
          <w:spacing w:val="0"/>
          <w:sz w:val="24"/>
          <w:szCs w:val="24"/>
          <w:highlight w:val="none"/>
          <w:shd w:val="clear" w:color="auto" w:fill="FFFFFF"/>
        </w:rPr>
        <w:t>的</w:t>
      </w:r>
      <w:r>
        <w:rPr>
          <w:rStyle w:val="29"/>
          <w:rFonts w:hint="eastAsia" w:ascii="宋体" w:hAnsi="宋体" w:eastAsia="宋体" w:cs="宋体"/>
          <w:i w:val="0"/>
          <w:iCs w:val="0"/>
          <w:caps w:val="0"/>
          <w:color w:val="auto"/>
          <w:spacing w:val="0"/>
          <w:sz w:val="24"/>
          <w:szCs w:val="24"/>
          <w:highlight w:val="none"/>
          <w:shd w:val="clear" w:color="auto" w:fill="FFFFFF"/>
        </w:rPr>
        <w:t>（关键工序）</w:t>
      </w:r>
      <w:r>
        <w:rPr>
          <w:rFonts w:hint="eastAsia" w:ascii="宋体" w:hAnsi="宋体" w:eastAsia="宋体" w:cs="宋体"/>
          <w:i w:val="0"/>
          <w:iCs w:val="0"/>
          <w:caps w:val="0"/>
          <w:color w:val="auto"/>
          <w:spacing w:val="0"/>
          <w:sz w:val="24"/>
          <w:szCs w:val="24"/>
          <w:highlight w:val="none"/>
          <w:shd w:val="clear" w:color="auto" w:fill="FFFFFF"/>
        </w:rPr>
        <w:t>在中国境内完成。</w:t>
      </w:r>
    </w:p>
    <w:p w14:paraId="022748C9">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w:t>
      </w:r>
    </w:p>
    <w:p w14:paraId="2C8B714D">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本公司（单位）对上述声明内容的真实性负责。如有虚假，愿承担相应法律责任。</w:t>
      </w:r>
    </w:p>
    <w:p w14:paraId="7D891EB5">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righ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公司（单位）名称（盖章）：      </w:t>
      </w:r>
    </w:p>
    <w:p w14:paraId="397D1B4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right"/>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日期：　　　　　年　　月　日    </w:t>
      </w:r>
    </w:p>
    <w:p w14:paraId="0BDBDDD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rPr>
          <w:rFonts w:hint="eastAsia" w:ascii="宋体" w:hAnsi="宋体" w:eastAsia="宋体" w:cs="宋体"/>
          <w:i w:val="0"/>
          <w:iCs w:val="0"/>
          <w:caps w:val="0"/>
          <w:color w:val="auto"/>
          <w:spacing w:val="0"/>
          <w:sz w:val="24"/>
          <w:szCs w:val="24"/>
          <w:highlight w:val="none"/>
        </w:rPr>
      </w:pPr>
    </w:p>
    <w:p w14:paraId="1DA09DEE">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rPr>
          <w:rFonts w:hint="eastAsia" w:ascii="宋体" w:hAnsi="宋体" w:eastAsia="宋体" w:cs="宋体"/>
          <w:i w:val="0"/>
          <w:iCs w:val="0"/>
          <w:caps w:val="0"/>
          <w:color w:val="auto"/>
          <w:spacing w:val="0"/>
          <w:sz w:val="24"/>
          <w:szCs w:val="24"/>
          <w:highlight w:val="none"/>
        </w:rPr>
      </w:pPr>
    </w:p>
    <w:p w14:paraId="55BEC57A">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0"/>
        <w:rPr>
          <w:rFonts w:hint="eastAsia" w:ascii="宋体" w:hAnsi="宋体" w:eastAsia="宋体" w:cs="宋体"/>
          <w:i w:val="0"/>
          <w:iCs w:val="0"/>
          <w:caps w:val="0"/>
          <w:color w:val="auto"/>
          <w:spacing w:val="0"/>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_____________________________</w:t>
      </w:r>
    </w:p>
    <w:p w14:paraId="61147B36">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default" w:ascii="楷体_GB2312" w:hAnsi="楷体_GB2312" w:eastAsia="楷体_GB2312" w:cs="楷体_GB2312"/>
          <w:i w:val="0"/>
          <w:iCs w:val="0"/>
          <w:caps w:val="0"/>
          <w:color w:val="auto"/>
          <w:spacing w:val="0"/>
          <w:sz w:val="24"/>
          <w:szCs w:val="24"/>
          <w:highlight w:val="none"/>
          <w:shd w:val="clear" w:color="auto" w:fill="FFFFFF"/>
        </w:rPr>
        <w:t>1.产品如有型号，请在“产品名称”栏一并填写。</w:t>
      </w:r>
    </w:p>
    <w:p w14:paraId="60A92F9F">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default" w:ascii="楷体_GB2312" w:hAnsi="楷体_GB2312" w:eastAsia="楷体_GB2312" w:cs="楷体_GB2312"/>
          <w:i w:val="0"/>
          <w:iCs w:val="0"/>
          <w:caps w:val="0"/>
          <w:color w:val="auto"/>
          <w:spacing w:val="0"/>
          <w:sz w:val="24"/>
          <w:szCs w:val="24"/>
          <w:highlight w:val="none"/>
          <w:shd w:val="clear" w:color="auto" w:fill="FFFFFF"/>
        </w:rPr>
        <w:t>2.生产厂名与厂址应与生产厂营业执照载明的相关信息保持一致。</w:t>
      </w:r>
    </w:p>
    <w:p w14:paraId="39496654">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default" w:ascii="楷体_GB2312" w:hAnsi="楷体_GB2312" w:eastAsia="楷体_GB2312" w:cs="楷体_GB2312"/>
          <w:i w:val="0"/>
          <w:iCs w:val="0"/>
          <w:caps w:val="0"/>
          <w:color w:val="auto"/>
          <w:spacing w:val="0"/>
          <w:sz w:val="24"/>
          <w:szCs w:val="24"/>
          <w:highlight w:val="none"/>
          <w:shd w:val="clear" w:color="auto" w:fill="FFFFFF"/>
        </w:rPr>
        <w:t>3.该产品的中国境内生产的组件成本占比相关要求实施前，“规定比例”栏可不填，下同。</w:t>
      </w:r>
    </w:p>
    <w:p w14:paraId="6CF001CB">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default" w:ascii="楷体_GB2312" w:hAnsi="楷体_GB2312" w:eastAsia="楷体_GB2312" w:cs="楷体_GB2312"/>
          <w:i w:val="0"/>
          <w:iCs w:val="0"/>
          <w:caps w:val="0"/>
          <w:color w:val="auto"/>
          <w:spacing w:val="0"/>
          <w:sz w:val="24"/>
          <w:szCs w:val="24"/>
          <w:highlight w:val="none"/>
          <w:shd w:val="clear" w:color="auto" w:fill="FFFFFF"/>
        </w:rPr>
        <w:t>4.该产品的关键组件要求实施前，“关键组件”栏可不填，下同。</w:t>
      </w:r>
    </w:p>
    <w:p w14:paraId="491CA08B">
      <w:pPr>
        <w:pStyle w:val="19"/>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30" w:beforeAutospacing="0" w:after="30" w:afterAutospacing="0"/>
        <w:ind w:left="0" w:right="0" w:firstLine="420"/>
        <w:jc w:val="both"/>
        <w:rPr>
          <w:rFonts w:hint="eastAsia" w:ascii="宋体" w:hAnsi="宋体" w:eastAsia="宋体" w:cs="宋体"/>
          <w:i w:val="0"/>
          <w:iCs w:val="0"/>
          <w:caps w:val="0"/>
          <w:color w:val="auto"/>
          <w:spacing w:val="0"/>
          <w:sz w:val="24"/>
          <w:szCs w:val="24"/>
          <w:highlight w:val="none"/>
        </w:rPr>
      </w:pPr>
      <w:r>
        <w:rPr>
          <w:rFonts w:hint="default" w:ascii="楷体_GB2312" w:hAnsi="楷体_GB2312" w:eastAsia="楷体_GB2312" w:cs="楷体_GB2312"/>
          <w:i w:val="0"/>
          <w:iCs w:val="0"/>
          <w:caps w:val="0"/>
          <w:color w:val="auto"/>
          <w:spacing w:val="0"/>
          <w:sz w:val="24"/>
          <w:szCs w:val="24"/>
          <w:highlight w:val="none"/>
          <w:shd w:val="clear" w:color="auto" w:fill="FFFFFF"/>
        </w:rPr>
        <w:t>5.该产品的关键工序要求实施前，“关键工序”栏可不填，下同。</w:t>
      </w:r>
    </w:p>
    <w:p w14:paraId="01150B98">
      <w:pPr>
        <w:pStyle w:val="60"/>
        <w:rPr>
          <w:color w:val="auto"/>
          <w:highlight w:val="none"/>
        </w:rPr>
      </w:pPr>
    </w:p>
    <w:p w14:paraId="32CBE44C">
      <w:pPr>
        <w:pStyle w:val="60"/>
        <w:rPr>
          <w:color w:val="auto"/>
          <w:highlight w:val="none"/>
        </w:rPr>
      </w:pPr>
    </w:p>
    <w:p w14:paraId="1F1CC7EB">
      <w:pPr>
        <w:pStyle w:val="60"/>
        <w:rPr>
          <w:color w:val="auto"/>
          <w:highlight w:val="none"/>
        </w:rPr>
      </w:pPr>
    </w:p>
    <w:p w14:paraId="4B6C75CD">
      <w:pPr>
        <w:pStyle w:val="60"/>
        <w:rPr>
          <w:color w:val="auto"/>
          <w:highlight w:val="none"/>
        </w:rPr>
      </w:pPr>
    </w:p>
    <w:p w14:paraId="392FAAC8">
      <w:pPr>
        <w:pStyle w:val="60"/>
        <w:rPr>
          <w:color w:val="auto"/>
          <w:highlight w:val="none"/>
        </w:rPr>
      </w:pPr>
    </w:p>
    <w:p w14:paraId="7AA96583">
      <w:pPr>
        <w:pStyle w:val="60"/>
        <w:rPr>
          <w:color w:val="auto"/>
          <w:highlight w:val="none"/>
        </w:rPr>
      </w:pPr>
    </w:p>
    <w:p w14:paraId="1BAE19F3">
      <w:pPr>
        <w:pStyle w:val="60"/>
        <w:rPr>
          <w:color w:val="auto"/>
          <w:highlight w:val="none"/>
        </w:rPr>
      </w:pPr>
    </w:p>
    <w:p w14:paraId="5449C7D8">
      <w:pPr>
        <w:pStyle w:val="60"/>
        <w:rPr>
          <w:color w:val="auto"/>
          <w:highlight w:val="none"/>
        </w:rPr>
      </w:pPr>
    </w:p>
    <w:p w14:paraId="08AB1835">
      <w:pPr>
        <w:pStyle w:val="60"/>
        <w:rPr>
          <w:color w:val="auto"/>
          <w:highlight w:val="none"/>
        </w:rPr>
      </w:pPr>
    </w:p>
    <w:p w14:paraId="56815F8A">
      <w:pPr>
        <w:pStyle w:val="60"/>
        <w:rPr>
          <w:color w:val="auto"/>
          <w:highlight w:val="none"/>
        </w:rPr>
      </w:pPr>
    </w:p>
    <w:p w14:paraId="136C252B">
      <w:pPr>
        <w:pStyle w:val="60"/>
        <w:rPr>
          <w:color w:val="auto"/>
          <w:highlight w:val="none"/>
        </w:rPr>
      </w:pPr>
    </w:p>
    <w:p w14:paraId="48147674">
      <w:pPr>
        <w:pStyle w:val="60"/>
        <w:rPr>
          <w:color w:val="auto"/>
          <w:highlight w:val="none"/>
        </w:rPr>
      </w:pPr>
    </w:p>
    <w:p w14:paraId="66878975">
      <w:pPr>
        <w:pStyle w:val="60"/>
        <w:rPr>
          <w:color w:val="auto"/>
          <w:highlight w:val="none"/>
        </w:rPr>
      </w:pPr>
    </w:p>
    <w:p w14:paraId="6BB41868">
      <w:pPr>
        <w:pStyle w:val="60"/>
        <w:rPr>
          <w:color w:val="auto"/>
          <w:highlight w:val="none"/>
        </w:rPr>
      </w:pPr>
    </w:p>
    <w:p w14:paraId="13854E8F">
      <w:pPr>
        <w:pStyle w:val="60"/>
        <w:rPr>
          <w:color w:val="auto"/>
          <w:highlight w:val="none"/>
        </w:rPr>
      </w:pPr>
    </w:p>
    <w:p w14:paraId="13B0390C">
      <w:pPr>
        <w:pStyle w:val="60"/>
        <w:rPr>
          <w:color w:val="auto"/>
          <w:highlight w:val="none"/>
        </w:rPr>
      </w:pPr>
    </w:p>
    <w:p w14:paraId="56E0978D">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rPr>
        <w:t>四、项目详细报价</w:t>
      </w:r>
    </w:p>
    <w:p w14:paraId="7767F4CB">
      <w:pPr>
        <w:shd w:val="clear"/>
        <w:rPr>
          <w:rFonts w:hint="eastAsia" w:eastAsia="宋体"/>
          <w:color w:val="auto"/>
          <w:highlight w:val="none"/>
        </w:rPr>
      </w:pPr>
      <w:r>
        <w:rPr>
          <w:rFonts w:hint="eastAsia" w:eastAsia="宋体"/>
          <w:color w:val="auto"/>
          <w:highlight w:val="none"/>
        </w:rPr>
        <w:t>（一）分项报价表</w:t>
      </w:r>
    </w:p>
    <w:tbl>
      <w:tblPr>
        <w:tblStyle w:val="24"/>
        <w:tblW w:w="8730" w:type="dxa"/>
        <w:jc w:val="center"/>
        <w:tblLayout w:type="fixed"/>
        <w:tblCellMar>
          <w:top w:w="0" w:type="dxa"/>
          <w:left w:w="108" w:type="dxa"/>
          <w:bottom w:w="0" w:type="dxa"/>
          <w:right w:w="108" w:type="dxa"/>
        </w:tblCellMar>
      </w:tblPr>
      <w:tblGrid>
        <w:gridCol w:w="963"/>
        <w:gridCol w:w="2151"/>
        <w:gridCol w:w="2451"/>
        <w:gridCol w:w="2085"/>
        <w:gridCol w:w="1080"/>
      </w:tblGrid>
      <w:tr w14:paraId="06321024">
        <w:tblPrEx>
          <w:tblCellMar>
            <w:top w:w="0" w:type="dxa"/>
            <w:left w:w="108" w:type="dxa"/>
            <w:bottom w:w="0" w:type="dxa"/>
            <w:right w:w="108" w:type="dxa"/>
          </w:tblCellMar>
        </w:tblPrEx>
        <w:trPr>
          <w:trHeight w:val="847" w:hRule="atLeast"/>
          <w:jc w:val="center"/>
        </w:trPr>
        <w:tc>
          <w:tcPr>
            <w:tcW w:w="963" w:type="dxa"/>
            <w:tcBorders>
              <w:top w:val="single" w:color="auto" w:sz="4" w:space="0"/>
              <w:left w:val="single" w:color="auto" w:sz="4" w:space="0"/>
              <w:bottom w:val="single" w:color="auto" w:sz="4" w:space="0"/>
              <w:right w:val="single" w:color="auto" w:sz="4" w:space="0"/>
            </w:tcBorders>
            <w:noWrap w:val="0"/>
            <w:vAlign w:val="center"/>
          </w:tcPr>
          <w:p w14:paraId="2F5E69DB">
            <w:pPr>
              <w:snapToGrid w:val="0"/>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2151" w:type="dxa"/>
            <w:tcBorders>
              <w:top w:val="single" w:color="auto" w:sz="4" w:space="0"/>
              <w:left w:val="nil"/>
              <w:bottom w:val="single" w:color="auto" w:sz="4" w:space="0"/>
              <w:right w:val="single" w:color="auto" w:sz="4" w:space="0"/>
            </w:tcBorders>
            <w:noWrap w:val="0"/>
            <w:vAlign w:val="center"/>
          </w:tcPr>
          <w:p w14:paraId="104F35B0">
            <w:pPr>
              <w:snapToGrid w:val="0"/>
              <w:jc w:val="center"/>
              <w:rPr>
                <w:rFonts w:ascii="宋体" w:hAnsi="宋体" w:cs="宋体"/>
                <w:color w:val="auto"/>
                <w:szCs w:val="21"/>
                <w:highlight w:val="none"/>
              </w:rPr>
            </w:pPr>
            <w:r>
              <w:rPr>
                <w:rFonts w:hint="eastAsia" w:ascii="宋体" w:hAnsi="宋体" w:cs="宋体"/>
                <w:color w:val="auto"/>
                <w:szCs w:val="21"/>
                <w:highlight w:val="none"/>
              </w:rPr>
              <w:t>项 目 名 称</w:t>
            </w:r>
          </w:p>
        </w:tc>
        <w:tc>
          <w:tcPr>
            <w:tcW w:w="2451" w:type="dxa"/>
            <w:tcBorders>
              <w:top w:val="single" w:color="auto" w:sz="4" w:space="0"/>
              <w:left w:val="single" w:color="auto" w:sz="4" w:space="0"/>
              <w:bottom w:val="single" w:color="auto" w:sz="4" w:space="0"/>
              <w:right w:val="single" w:color="auto" w:sz="4" w:space="0"/>
            </w:tcBorders>
            <w:noWrap w:val="0"/>
            <w:vAlign w:val="center"/>
          </w:tcPr>
          <w:p w14:paraId="7CCD75B6">
            <w:pPr>
              <w:snapToGrid w:val="0"/>
              <w:jc w:val="center"/>
              <w:rPr>
                <w:rFonts w:ascii="宋体" w:hAnsi="宋体" w:cs="宋体"/>
                <w:color w:val="auto"/>
                <w:szCs w:val="21"/>
                <w:highlight w:val="none"/>
              </w:rPr>
            </w:pPr>
            <w:r>
              <w:rPr>
                <w:rFonts w:hint="eastAsia" w:ascii="宋体" w:hAnsi="宋体" w:cs="宋体"/>
                <w:color w:val="auto"/>
                <w:szCs w:val="21"/>
                <w:highlight w:val="none"/>
              </w:rPr>
              <w:t>投标报价（元）</w:t>
            </w:r>
          </w:p>
        </w:tc>
        <w:tc>
          <w:tcPr>
            <w:tcW w:w="2085" w:type="dxa"/>
            <w:tcBorders>
              <w:top w:val="single" w:color="auto" w:sz="4" w:space="0"/>
              <w:left w:val="single" w:color="auto" w:sz="4" w:space="0"/>
              <w:bottom w:val="single" w:color="auto" w:sz="4" w:space="0"/>
              <w:right w:val="single" w:color="auto" w:sz="4" w:space="0"/>
            </w:tcBorders>
            <w:noWrap w:val="0"/>
            <w:vAlign w:val="center"/>
          </w:tcPr>
          <w:p w14:paraId="035FCAEC">
            <w:pPr>
              <w:snapToGrid w:val="0"/>
              <w:jc w:val="center"/>
              <w:rPr>
                <w:rFonts w:ascii="宋体" w:hAnsi="宋体" w:cs="宋体"/>
                <w:color w:val="auto"/>
                <w:szCs w:val="21"/>
                <w:highlight w:val="none"/>
              </w:rPr>
            </w:pPr>
            <w:r>
              <w:rPr>
                <w:rFonts w:hint="eastAsia" w:ascii="宋体" w:hAnsi="宋体" w:cs="宋体"/>
                <w:color w:val="auto"/>
                <w:szCs w:val="21"/>
                <w:highlight w:val="none"/>
              </w:rPr>
              <w:t>投标下浮率（%）</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6C21470">
            <w:pPr>
              <w:snapToGrid w:val="0"/>
              <w:jc w:val="center"/>
              <w:rPr>
                <w:rFonts w:ascii="宋体" w:hAnsi="宋体" w:cs="宋体"/>
                <w:color w:val="auto"/>
                <w:szCs w:val="21"/>
                <w:highlight w:val="none"/>
              </w:rPr>
            </w:pPr>
            <w:r>
              <w:rPr>
                <w:rFonts w:hint="eastAsia" w:ascii="宋体" w:hAnsi="宋体" w:cs="宋体"/>
                <w:color w:val="auto"/>
                <w:szCs w:val="21"/>
                <w:highlight w:val="none"/>
              </w:rPr>
              <w:t>备注</w:t>
            </w:r>
          </w:p>
        </w:tc>
      </w:tr>
      <w:tr w14:paraId="598AD8A8">
        <w:tblPrEx>
          <w:tblCellMar>
            <w:top w:w="0" w:type="dxa"/>
            <w:left w:w="108" w:type="dxa"/>
            <w:bottom w:w="0" w:type="dxa"/>
            <w:right w:w="108" w:type="dxa"/>
          </w:tblCellMar>
        </w:tblPrEx>
        <w:trPr>
          <w:trHeight w:val="834" w:hRule="atLeast"/>
          <w:jc w:val="center"/>
        </w:trPr>
        <w:tc>
          <w:tcPr>
            <w:tcW w:w="963" w:type="dxa"/>
            <w:tcBorders>
              <w:top w:val="nil"/>
              <w:left w:val="single" w:color="auto" w:sz="4" w:space="0"/>
              <w:bottom w:val="single" w:color="auto" w:sz="4" w:space="0"/>
              <w:right w:val="single" w:color="auto" w:sz="4" w:space="0"/>
            </w:tcBorders>
            <w:noWrap w:val="0"/>
            <w:vAlign w:val="center"/>
          </w:tcPr>
          <w:p w14:paraId="5FF2B05D">
            <w:pPr>
              <w:snapToGrid w:val="0"/>
              <w:jc w:val="center"/>
              <w:rPr>
                <w:rFonts w:ascii="宋体" w:hAnsi="宋体" w:cs="宋体"/>
                <w:color w:val="auto"/>
                <w:szCs w:val="21"/>
                <w:highlight w:val="none"/>
              </w:rPr>
            </w:pPr>
            <w:r>
              <w:rPr>
                <w:rFonts w:hint="eastAsia" w:ascii="宋体" w:hAnsi="宋体" w:cs="宋体"/>
                <w:color w:val="auto"/>
                <w:szCs w:val="21"/>
                <w:highlight w:val="none"/>
              </w:rPr>
              <w:t>1</w:t>
            </w:r>
          </w:p>
        </w:tc>
        <w:tc>
          <w:tcPr>
            <w:tcW w:w="2151" w:type="dxa"/>
            <w:tcBorders>
              <w:top w:val="nil"/>
              <w:left w:val="nil"/>
              <w:bottom w:val="single" w:color="auto" w:sz="4" w:space="0"/>
              <w:right w:val="single" w:color="auto" w:sz="4" w:space="0"/>
            </w:tcBorders>
            <w:noWrap w:val="0"/>
            <w:vAlign w:val="center"/>
          </w:tcPr>
          <w:p w14:paraId="6764D925">
            <w:pPr>
              <w:snapToGrid w:val="0"/>
              <w:ind w:left="-10" w:leftChars="-4"/>
              <w:jc w:val="center"/>
              <w:rPr>
                <w:rFonts w:ascii="宋体" w:hAnsi="宋体" w:cs="宋体"/>
                <w:color w:val="auto"/>
                <w:szCs w:val="21"/>
                <w:highlight w:val="none"/>
              </w:rPr>
            </w:pPr>
          </w:p>
        </w:tc>
        <w:tc>
          <w:tcPr>
            <w:tcW w:w="2451" w:type="dxa"/>
            <w:tcBorders>
              <w:top w:val="single" w:color="auto" w:sz="4" w:space="0"/>
              <w:left w:val="single" w:color="auto" w:sz="4" w:space="0"/>
              <w:bottom w:val="single" w:color="auto" w:sz="4" w:space="0"/>
              <w:right w:val="single" w:color="auto" w:sz="4" w:space="0"/>
            </w:tcBorders>
            <w:noWrap w:val="0"/>
            <w:vAlign w:val="center"/>
          </w:tcPr>
          <w:p w14:paraId="7F46D6AD">
            <w:pPr>
              <w:snapToGrid w:val="0"/>
              <w:jc w:val="left"/>
              <w:rPr>
                <w:rFonts w:ascii="宋体" w:hAnsi="宋体" w:cs="宋体"/>
                <w:color w:val="auto"/>
                <w:szCs w:val="21"/>
                <w:highlight w:val="none"/>
              </w:rPr>
            </w:pPr>
          </w:p>
        </w:tc>
        <w:tc>
          <w:tcPr>
            <w:tcW w:w="2085" w:type="dxa"/>
            <w:tcBorders>
              <w:top w:val="single" w:color="auto" w:sz="4" w:space="0"/>
              <w:left w:val="single" w:color="auto" w:sz="4" w:space="0"/>
              <w:bottom w:val="single" w:color="auto" w:sz="4" w:space="0"/>
              <w:right w:val="single" w:color="auto" w:sz="4" w:space="0"/>
            </w:tcBorders>
            <w:noWrap w:val="0"/>
            <w:vAlign w:val="center"/>
          </w:tcPr>
          <w:p w14:paraId="31FD27D9">
            <w:pPr>
              <w:snapToGrid w:val="0"/>
              <w:jc w:val="center"/>
              <w:rPr>
                <w:rFonts w:ascii="宋体" w:hAnsi="宋体" w:cs="宋体"/>
                <w:color w:val="auto"/>
                <w:szCs w:val="21"/>
                <w:highlight w:val="none"/>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5D890C5E">
            <w:pPr>
              <w:snapToGrid w:val="0"/>
              <w:jc w:val="center"/>
              <w:rPr>
                <w:rFonts w:ascii="宋体" w:hAnsi="宋体" w:cs="宋体"/>
                <w:color w:val="auto"/>
                <w:szCs w:val="21"/>
                <w:highlight w:val="none"/>
              </w:rPr>
            </w:pPr>
          </w:p>
        </w:tc>
      </w:tr>
    </w:tbl>
    <w:p w14:paraId="33CD380F">
      <w:pPr>
        <w:pStyle w:val="62"/>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rPr>
        <w:t>说明：</w:t>
      </w:r>
      <w:r>
        <w:rPr>
          <w:rFonts w:hint="eastAsia" w:ascii="宋体" w:hAnsi="宋体" w:eastAsia="宋体" w:cs="宋体"/>
          <w:color w:val="auto"/>
          <w:highlight w:val="none"/>
          <w:lang w:val="en-US" w:eastAsia="zh-CN"/>
        </w:rPr>
        <w:t>1.招标控制价：</w:t>
      </w:r>
      <w:r>
        <w:rPr>
          <w:rFonts w:hint="eastAsia" w:eastAsia="宋体" w:cs="宋体"/>
          <w:color w:val="auto"/>
          <w:highlight w:val="none"/>
          <w:lang w:val="en-US" w:eastAsia="zh-CN"/>
        </w:rPr>
        <w:t>523,835.01</w:t>
      </w:r>
      <w:r>
        <w:rPr>
          <w:rFonts w:hint="eastAsia" w:ascii="宋体" w:hAnsi="宋体" w:eastAsia="宋体" w:cs="宋体"/>
          <w:color w:val="auto"/>
          <w:highlight w:val="none"/>
          <w:lang w:val="en-US" w:eastAsia="zh-CN"/>
        </w:rPr>
        <w:t>元，投标上限价：</w:t>
      </w:r>
      <w:r>
        <w:rPr>
          <w:rFonts w:hint="eastAsia" w:eastAsia="宋体" w:cs="宋体"/>
          <w:color w:val="auto"/>
          <w:highlight w:val="none"/>
          <w:lang w:val="en-US" w:eastAsia="zh-CN"/>
        </w:rPr>
        <w:t>523,835.01</w:t>
      </w:r>
      <w:r>
        <w:rPr>
          <w:rFonts w:hint="eastAsia" w:ascii="宋体" w:hAnsi="宋体" w:eastAsia="宋体" w:cs="宋体"/>
          <w:color w:val="auto"/>
          <w:highlight w:val="none"/>
          <w:lang w:val="en-US" w:eastAsia="zh-CN"/>
        </w:rPr>
        <w:t>元；其中：安全文明施工措施费</w:t>
      </w:r>
      <w:r>
        <w:rPr>
          <w:rFonts w:hint="eastAsia" w:eastAsia="宋体" w:cs="宋体"/>
          <w:color w:val="auto"/>
          <w:highlight w:val="none"/>
          <w:lang w:val="en-US" w:eastAsia="zh-CN"/>
        </w:rPr>
        <w:t>7,455.21</w:t>
      </w:r>
      <w:r>
        <w:rPr>
          <w:rFonts w:hint="eastAsia" w:ascii="宋体" w:hAnsi="宋体" w:eastAsia="宋体" w:cs="宋体"/>
          <w:color w:val="auto"/>
          <w:highlight w:val="none"/>
          <w:lang w:val="en-US" w:eastAsia="zh-CN"/>
        </w:rPr>
        <w:t>元，不可竞争费合计：</w:t>
      </w:r>
      <w:r>
        <w:rPr>
          <w:rFonts w:hint="eastAsia" w:eastAsia="宋体" w:cs="宋体"/>
          <w:color w:val="auto"/>
          <w:highlight w:val="none"/>
          <w:lang w:val="en-US" w:eastAsia="zh-CN"/>
        </w:rPr>
        <w:t>7,455.21</w:t>
      </w:r>
      <w:r>
        <w:rPr>
          <w:rFonts w:hint="eastAsia" w:ascii="宋体" w:hAnsi="宋体" w:eastAsia="宋体" w:cs="宋体"/>
          <w:color w:val="auto"/>
          <w:highlight w:val="none"/>
          <w:lang w:val="en-US" w:eastAsia="zh-CN"/>
        </w:rPr>
        <w:t>元；</w:t>
      </w:r>
    </w:p>
    <w:p w14:paraId="5800F889">
      <w:pPr>
        <w:pStyle w:val="62"/>
        <w:ind w:firstLine="480" w:firstLineChars="200"/>
        <w:jc w:val="both"/>
        <w:rPr>
          <w:rFonts w:hint="eastAsia" w:ascii="宋体" w:hAnsi="宋体" w:eastAsia="宋体" w:cs="宋体"/>
          <w:color w:val="auto"/>
          <w:highlight w:val="none"/>
          <w:lang w:val="en-US" w:eastAsia="zh-CN"/>
        </w:rPr>
      </w:pPr>
      <w:r>
        <w:rPr>
          <w:rFonts w:hint="eastAsia" w:ascii="宋体" w:hAnsi="宋体" w:eastAsia="宋体" w:cs="宋体"/>
          <w:color w:val="auto"/>
          <w:highlight w:val="none"/>
          <w:lang w:val="en-US" w:eastAsia="zh-CN"/>
        </w:rPr>
        <w:t>2.报价要求：报价要求：本项目采用费率招标，投标报价=（招标控制价-不可竞争费）×（1-投标下浮率）+不可竞争费，投标报价金额与下浮率均保留两位小数。</w:t>
      </w:r>
    </w:p>
    <w:p w14:paraId="260CD7C9">
      <w:pPr>
        <w:pStyle w:val="62"/>
        <w:ind w:firstLine="480" w:firstLineChars="200"/>
        <w:jc w:val="both"/>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3.本项目不可竞争费共计</w:t>
      </w:r>
      <w:r>
        <w:rPr>
          <w:rFonts w:hint="eastAsia" w:eastAsia="宋体" w:cs="宋体"/>
          <w:color w:val="auto"/>
          <w:highlight w:val="none"/>
          <w:lang w:val="en-US" w:eastAsia="zh-CN"/>
        </w:rPr>
        <w:t>7,455.21</w:t>
      </w:r>
      <w:r>
        <w:rPr>
          <w:rFonts w:hint="eastAsia" w:ascii="宋体" w:hAnsi="宋体" w:eastAsia="宋体" w:cs="宋体"/>
          <w:color w:val="auto"/>
          <w:highlight w:val="none"/>
          <w:lang w:val="en-US" w:eastAsia="zh-CN"/>
        </w:rPr>
        <w:t>元（其中安全文明措施费</w:t>
      </w:r>
      <w:r>
        <w:rPr>
          <w:rFonts w:hint="eastAsia" w:eastAsia="宋体" w:cs="宋体"/>
          <w:color w:val="auto"/>
          <w:highlight w:val="none"/>
          <w:lang w:val="en-US" w:eastAsia="zh-CN"/>
        </w:rPr>
        <w:t>7,455.21</w:t>
      </w:r>
      <w:r>
        <w:rPr>
          <w:rFonts w:hint="eastAsia" w:ascii="宋体" w:hAnsi="宋体" w:eastAsia="宋体" w:cs="宋体"/>
          <w:color w:val="auto"/>
          <w:highlight w:val="none"/>
          <w:lang w:val="en-US" w:eastAsia="zh-CN"/>
        </w:rPr>
        <w:t>元）；</w:t>
      </w:r>
    </w:p>
    <w:p w14:paraId="7F269E66">
      <w:pPr>
        <w:spacing w:line="360" w:lineRule="auto"/>
        <w:jc w:val="both"/>
        <w:rPr>
          <w:rFonts w:hint="eastAsia" w:ascii="宋体" w:hAnsi="宋体" w:eastAsia="宋体" w:cs="宋体"/>
          <w:snapToGrid w:val="0"/>
          <w:color w:val="auto"/>
          <w:kern w:val="0"/>
          <w:szCs w:val="21"/>
          <w:highlight w:val="none"/>
        </w:rPr>
      </w:pPr>
      <w:r>
        <w:rPr>
          <w:rFonts w:hint="eastAsia" w:ascii="宋体" w:hAnsi="宋体" w:eastAsia="宋体" w:cs="宋体"/>
          <w:color w:val="auto"/>
          <w:highlight w:val="none"/>
        </w:rPr>
        <w:t xml:space="preserve">    </w:t>
      </w: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.本项目合同价为暂定价，最终结算价</w:t>
      </w:r>
      <w:r>
        <w:rPr>
          <w:rFonts w:hint="eastAsia" w:ascii="宋体" w:hAnsi="宋体" w:eastAsia="宋体" w:cs="宋体"/>
          <w:snapToGrid w:val="0"/>
          <w:color w:val="auto"/>
          <w:kern w:val="0"/>
          <w:szCs w:val="21"/>
          <w:highlight w:val="none"/>
        </w:rPr>
        <w:t>以政府财政审计部门出具的财政投资评审结果为准。</w:t>
      </w:r>
    </w:p>
    <w:p w14:paraId="5D9ED854">
      <w:pPr>
        <w:pStyle w:val="8"/>
        <w:rPr>
          <w:color w:val="auto"/>
          <w:highlight w:val="none"/>
        </w:rPr>
      </w:pPr>
    </w:p>
    <w:p w14:paraId="5EF40E0D">
      <w:pPr>
        <w:bidi w:val="0"/>
        <w:rPr>
          <w:color w:val="auto"/>
          <w:highlight w:val="none"/>
        </w:rPr>
      </w:pPr>
    </w:p>
    <w:p w14:paraId="1233C452">
      <w:pPr>
        <w:pStyle w:val="8"/>
        <w:rPr>
          <w:color w:val="auto"/>
          <w:highlight w:val="none"/>
        </w:rPr>
      </w:pPr>
    </w:p>
    <w:p w14:paraId="70569FBD">
      <w:pPr>
        <w:rPr>
          <w:color w:val="auto"/>
          <w:highlight w:val="none"/>
        </w:rPr>
      </w:pPr>
    </w:p>
    <w:p w14:paraId="66AF5DF7">
      <w:pPr>
        <w:spacing w:line="360" w:lineRule="auto"/>
        <w:jc w:val="center"/>
        <w:rPr>
          <w:rFonts w:ascii="宋体" w:hAnsi="宋体" w:cs="Courier New"/>
          <w:color w:val="auto"/>
          <w:szCs w:val="21"/>
          <w:highlight w:val="none"/>
          <w:u w:val="single"/>
        </w:rPr>
      </w:pPr>
      <w:r>
        <w:rPr>
          <w:rFonts w:hint="eastAsia" w:ascii="宋体" w:hAnsi="宋体" w:eastAsia="宋体" w:cs="Courier New"/>
          <w:color w:val="auto"/>
          <w:szCs w:val="21"/>
          <w:highlight w:val="none"/>
          <w:lang w:val="en-US" w:eastAsia="zh-CN"/>
        </w:rPr>
        <w:t xml:space="preserve">                           </w:t>
      </w:r>
      <w:r>
        <w:rPr>
          <w:rFonts w:hint="eastAsia" w:ascii="宋体" w:hAnsi="宋体" w:cs="Courier New"/>
          <w:color w:val="auto"/>
          <w:szCs w:val="21"/>
          <w:highlight w:val="none"/>
        </w:rPr>
        <w:t>投标单位名称（公章）：</w:t>
      </w:r>
    </w:p>
    <w:p w14:paraId="3EA8A108">
      <w:pPr>
        <w:spacing w:line="360" w:lineRule="auto"/>
        <w:jc w:val="right"/>
        <w:rPr>
          <w:rFonts w:ascii="宋体" w:hAnsi="宋体" w:cs="Courier New"/>
          <w:color w:val="auto"/>
          <w:szCs w:val="21"/>
          <w:highlight w:val="none"/>
          <w:u w:val="single"/>
        </w:rPr>
      </w:pPr>
      <w:r>
        <w:rPr>
          <w:rFonts w:hint="eastAsia" w:ascii="宋体" w:hAnsi="宋体" w:cs="Courier New"/>
          <w:color w:val="auto"/>
          <w:szCs w:val="21"/>
          <w:highlight w:val="none"/>
        </w:rPr>
        <w:t>法定代表人或授权代理人（签字）：</w:t>
      </w:r>
    </w:p>
    <w:p w14:paraId="71EF4CC9">
      <w:pPr>
        <w:spacing w:line="360" w:lineRule="auto"/>
        <w:ind w:right="420" w:firstLine="6000" w:firstLineChars="2500"/>
        <w:rPr>
          <w:rFonts w:ascii="宋体" w:hAnsi="宋体" w:cs="Courier New"/>
          <w:color w:val="auto"/>
          <w:szCs w:val="21"/>
          <w:highlight w:val="none"/>
        </w:rPr>
      </w:pPr>
      <w:r>
        <w:rPr>
          <w:rFonts w:hint="eastAsia" w:ascii="宋体" w:hAnsi="宋体" w:cs="Courier New"/>
          <w:color w:val="auto"/>
          <w:szCs w:val="21"/>
          <w:highlight w:val="none"/>
        </w:rPr>
        <w:t>年    月    日</w:t>
      </w:r>
    </w:p>
    <w:p w14:paraId="42FF9DAA">
      <w:pPr>
        <w:pStyle w:val="22"/>
        <w:shd w:val="clear"/>
        <w:rPr>
          <w:color w:val="auto"/>
          <w:highlight w:val="none"/>
        </w:rPr>
      </w:pPr>
    </w:p>
    <w:p w14:paraId="67BC53B0">
      <w:pPr>
        <w:shd w:val="clear"/>
        <w:rPr>
          <w:rFonts w:hint="eastAsia" w:eastAsia="宋体"/>
          <w:color w:val="auto"/>
          <w:highlight w:val="none"/>
          <w:lang w:eastAsia="zh-CN"/>
        </w:rPr>
      </w:pPr>
      <w:r>
        <w:rPr>
          <w:rFonts w:hint="eastAsia" w:eastAsia="宋体"/>
          <w:color w:val="auto"/>
          <w:highlight w:val="none"/>
        </w:rPr>
        <w:t>（二）</w:t>
      </w:r>
      <w:bookmarkStart w:id="62" w:name="_Hlk72073235"/>
      <w:r>
        <w:rPr>
          <w:rFonts w:hint="eastAsia" w:eastAsia="宋体"/>
          <w:color w:val="auto"/>
          <w:highlight w:val="none"/>
        </w:rPr>
        <w:t>投标人认为需要涉及的其他内容报价清单</w:t>
      </w:r>
      <w:bookmarkEnd w:id="62"/>
    </w:p>
    <w:p w14:paraId="2D2FA4C1">
      <w:pPr>
        <w:shd w:val="clear"/>
        <w:rPr>
          <w:color w:val="auto"/>
          <w:highlight w:val="none"/>
        </w:rPr>
      </w:pPr>
    </w:p>
    <w:p w14:paraId="70053F41">
      <w:pPr>
        <w:shd w:val="clear"/>
        <w:rPr>
          <w:color w:val="auto"/>
          <w:highlight w:val="none"/>
        </w:rPr>
      </w:pPr>
    </w:p>
    <w:p w14:paraId="52984190">
      <w:pPr>
        <w:shd w:val="clear"/>
        <w:rPr>
          <w:color w:val="auto"/>
          <w:highlight w:val="none"/>
        </w:rPr>
      </w:pPr>
    </w:p>
    <w:p w14:paraId="20843FF5">
      <w:pPr>
        <w:shd w:val="clear"/>
        <w:rPr>
          <w:color w:val="auto"/>
          <w:highlight w:val="none"/>
        </w:rPr>
      </w:pPr>
    </w:p>
    <w:p w14:paraId="1C010819">
      <w:pPr>
        <w:shd w:val="clear"/>
        <w:rPr>
          <w:color w:val="auto"/>
          <w:highlight w:val="none"/>
        </w:rPr>
      </w:pPr>
    </w:p>
    <w:p w14:paraId="656B5B7F">
      <w:pPr>
        <w:shd w:val="clear"/>
        <w:rPr>
          <w:color w:val="auto"/>
          <w:highlight w:val="none"/>
        </w:rPr>
      </w:pPr>
    </w:p>
    <w:p w14:paraId="394925A0">
      <w:pPr>
        <w:shd w:val="clear"/>
        <w:rPr>
          <w:color w:val="auto"/>
          <w:highlight w:val="none"/>
        </w:rPr>
      </w:pPr>
    </w:p>
    <w:p w14:paraId="09E2A210">
      <w:pPr>
        <w:shd w:val="clear"/>
        <w:rPr>
          <w:color w:val="auto"/>
          <w:highlight w:val="none"/>
        </w:rPr>
      </w:pPr>
    </w:p>
    <w:p w14:paraId="51373D34">
      <w:pPr>
        <w:pStyle w:val="4"/>
        <w:shd w:val="clear"/>
        <w:rPr>
          <w:rFonts w:hint="eastAsia" w:ascii="宋体" w:hAnsi="宋体" w:eastAsia="宋体" w:cs="Times New Roman"/>
          <w:b/>
          <w:bCs/>
          <w:color w:val="auto"/>
          <w:highlight w:val="none"/>
        </w:rPr>
      </w:pPr>
      <w:r>
        <w:rPr>
          <w:rFonts w:hint="eastAsia" w:ascii="宋体" w:hAnsi="宋体" w:eastAsia="宋体" w:cs="Times New Roman"/>
          <w:b/>
          <w:bCs/>
          <w:color w:val="auto"/>
          <w:highlight w:val="none"/>
          <w:lang w:val="en-US" w:eastAsia="zh-CN"/>
        </w:rPr>
        <w:t>五、</w:t>
      </w:r>
      <w:r>
        <w:rPr>
          <w:rFonts w:hint="eastAsia" w:ascii="宋体" w:hAnsi="宋体" w:eastAsia="宋体" w:cs="Times New Roman"/>
          <w:b/>
          <w:bCs/>
          <w:color w:val="auto"/>
          <w:highlight w:val="none"/>
        </w:rPr>
        <w:t>实质性条款响应情况表</w:t>
      </w:r>
    </w:p>
    <w:tbl>
      <w:tblPr>
        <w:tblStyle w:val="24"/>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
        <w:gridCol w:w="4188"/>
        <w:gridCol w:w="1276"/>
        <w:gridCol w:w="1276"/>
        <w:gridCol w:w="1276"/>
      </w:tblGrid>
      <w:tr w14:paraId="7F5CB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1081" w:type="dxa"/>
            <w:vAlign w:val="center"/>
          </w:tcPr>
          <w:p w14:paraId="12632552">
            <w:pPr>
              <w:shd w:val="clear"/>
              <w:rPr>
                <w:color w:val="auto"/>
                <w:highlight w:val="none"/>
              </w:rPr>
            </w:pPr>
            <w:r>
              <w:rPr>
                <w:rFonts w:hint="eastAsia" w:eastAsia="宋体"/>
                <w:color w:val="auto"/>
                <w:highlight w:val="none"/>
              </w:rPr>
              <w:t>序号</w:t>
            </w:r>
          </w:p>
        </w:tc>
        <w:tc>
          <w:tcPr>
            <w:tcW w:w="4188" w:type="dxa"/>
            <w:vAlign w:val="center"/>
          </w:tcPr>
          <w:p w14:paraId="39BDE841">
            <w:pPr>
              <w:shd w:val="clear"/>
              <w:rPr>
                <w:color w:val="auto"/>
                <w:highlight w:val="none"/>
              </w:rPr>
            </w:pPr>
            <w:r>
              <w:rPr>
                <w:rFonts w:hint="eastAsia" w:eastAsia="宋体"/>
                <w:color w:val="auto"/>
                <w:highlight w:val="none"/>
              </w:rPr>
              <w:t>实质性条款具体内容</w:t>
            </w:r>
          </w:p>
        </w:tc>
        <w:tc>
          <w:tcPr>
            <w:tcW w:w="1276" w:type="dxa"/>
            <w:vAlign w:val="center"/>
          </w:tcPr>
          <w:p w14:paraId="4DE9DF7C">
            <w:pPr>
              <w:shd w:val="clear"/>
              <w:rPr>
                <w:color w:val="auto"/>
                <w:szCs w:val="21"/>
                <w:highlight w:val="none"/>
              </w:rPr>
            </w:pPr>
            <w:r>
              <w:rPr>
                <w:rFonts w:hint="eastAsia" w:eastAsia="宋体"/>
                <w:color w:val="auto"/>
                <w:highlight w:val="none"/>
              </w:rPr>
              <w:t>投标响应</w:t>
            </w:r>
          </w:p>
        </w:tc>
        <w:tc>
          <w:tcPr>
            <w:tcW w:w="1276" w:type="dxa"/>
            <w:vAlign w:val="center"/>
          </w:tcPr>
          <w:p w14:paraId="791899DF">
            <w:pPr>
              <w:shd w:val="clear"/>
              <w:rPr>
                <w:color w:val="auto"/>
                <w:szCs w:val="21"/>
                <w:highlight w:val="none"/>
              </w:rPr>
            </w:pPr>
            <w:r>
              <w:rPr>
                <w:rFonts w:hint="eastAsia" w:eastAsia="宋体"/>
                <w:color w:val="auto"/>
                <w:highlight w:val="none"/>
              </w:rPr>
              <w:t>偏离情况</w:t>
            </w:r>
          </w:p>
        </w:tc>
        <w:tc>
          <w:tcPr>
            <w:tcW w:w="1276" w:type="dxa"/>
            <w:vAlign w:val="center"/>
          </w:tcPr>
          <w:p w14:paraId="52517BAD">
            <w:pPr>
              <w:shd w:val="clear"/>
              <w:rPr>
                <w:color w:val="auto"/>
                <w:szCs w:val="21"/>
                <w:highlight w:val="none"/>
              </w:rPr>
            </w:pPr>
            <w:r>
              <w:rPr>
                <w:rFonts w:hint="eastAsia" w:eastAsia="宋体"/>
                <w:color w:val="auto"/>
                <w:highlight w:val="none"/>
              </w:rPr>
              <w:t>说明（如有）</w:t>
            </w:r>
          </w:p>
        </w:tc>
      </w:tr>
      <w:tr w14:paraId="7CD2E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81" w:type="dxa"/>
          </w:tcPr>
          <w:p w14:paraId="56444088">
            <w:pPr>
              <w:shd w:val="clear"/>
              <w:rPr>
                <w:rFonts w:hint="eastAsia" w:eastAsia="宋体"/>
                <w:color w:val="auto"/>
                <w:highlight w:val="none"/>
                <w:lang w:eastAsia="zh-CN"/>
              </w:rPr>
            </w:pPr>
            <w:r>
              <w:rPr>
                <w:rFonts w:hint="eastAsia" w:eastAsia="宋体"/>
                <w:color w:val="auto"/>
                <w:highlight w:val="none"/>
                <w:lang w:val="en-US" w:eastAsia="zh-CN"/>
              </w:rPr>
              <w:t>1</w:t>
            </w:r>
          </w:p>
        </w:tc>
        <w:tc>
          <w:tcPr>
            <w:tcW w:w="4188" w:type="dxa"/>
            <w:vAlign w:val="center"/>
          </w:tcPr>
          <w:p w14:paraId="7A78A1A1">
            <w:pPr>
              <w:shd w:val="clear"/>
              <w:rPr>
                <w:color w:val="auto"/>
                <w:szCs w:val="21"/>
                <w:highlight w:val="none"/>
              </w:rPr>
            </w:pPr>
            <w:r>
              <w:rPr>
                <w:rFonts w:ascii="Segoe UI Symbol" w:hAnsi="Segoe UI Symbol" w:cs="Segoe UI Symbol"/>
                <w:color w:val="auto"/>
                <w:szCs w:val="21"/>
                <w:highlight w:val="none"/>
              </w:rPr>
              <w:t>★</w:t>
            </w:r>
            <w:r>
              <w:rPr>
                <w:rFonts w:hint="eastAsia" w:eastAsia="宋体"/>
                <w:color w:val="auto"/>
                <w:highlight w:val="none"/>
              </w:rPr>
              <w:t>完全满足本项目★标记条款的要求。</w:t>
            </w:r>
          </w:p>
        </w:tc>
        <w:tc>
          <w:tcPr>
            <w:tcW w:w="1276" w:type="dxa"/>
          </w:tcPr>
          <w:p w14:paraId="261DCB82">
            <w:pPr>
              <w:shd w:val="clear"/>
              <w:rPr>
                <w:color w:val="auto"/>
                <w:highlight w:val="none"/>
              </w:rPr>
            </w:pPr>
          </w:p>
        </w:tc>
        <w:tc>
          <w:tcPr>
            <w:tcW w:w="1276" w:type="dxa"/>
          </w:tcPr>
          <w:p w14:paraId="0DD4251C">
            <w:pPr>
              <w:shd w:val="clear"/>
              <w:rPr>
                <w:color w:val="auto"/>
                <w:highlight w:val="none"/>
              </w:rPr>
            </w:pPr>
          </w:p>
        </w:tc>
        <w:tc>
          <w:tcPr>
            <w:tcW w:w="1276" w:type="dxa"/>
          </w:tcPr>
          <w:p w14:paraId="7C18C375">
            <w:pPr>
              <w:shd w:val="clear"/>
              <w:rPr>
                <w:color w:val="auto"/>
                <w:highlight w:val="none"/>
              </w:rPr>
            </w:pPr>
          </w:p>
        </w:tc>
      </w:tr>
    </w:tbl>
    <w:p w14:paraId="7F34A764">
      <w:pPr>
        <w:shd w:val="clear"/>
        <w:rPr>
          <w:color w:val="auto"/>
          <w:highlight w:val="none"/>
        </w:rPr>
      </w:pPr>
    </w:p>
    <w:p w14:paraId="4C87FAF9">
      <w:pPr>
        <w:shd w:val="clear"/>
        <w:ind w:firstLine="720"/>
        <w:jc w:val="both"/>
        <w:rPr>
          <w:rFonts w:hint="eastAsia" w:eastAsia="宋体"/>
          <w:color w:val="auto"/>
          <w:highlight w:val="none"/>
        </w:rPr>
      </w:pPr>
      <w:r>
        <w:rPr>
          <w:rFonts w:hint="eastAsia" w:eastAsia="宋体"/>
          <w:color w:val="auto"/>
          <w:highlight w:val="none"/>
        </w:rPr>
        <w:t>注：1. 上表所列各项均为不可负偏离条款。</w:t>
      </w:r>
    </w:p>
    <w:p w14:paraId="20C73983">
      <w:pPr>
        <w:shd w:val="clear"/>
        <w:spacing w:line="240" w:lineRule="auto"/>
        <w:ind w:firstLine="720"/>
        <w:jc w:val="both"/>
        <w:rPr>
          <w:rFonts w:hint="eastAsia" w:ascii="宋体" w:hAnsi="宋体" w:eastAsia="宋体" w:cs="宋体"/>
          <w:color w:val="auto"/>
          <w:highlight w:val="none"/>
        </w:rPr>
      </w:pPr>
      <w:r>
        <w:rPr>
          <w:rFonts w:hint="eastAsia" w:ascii="宋体" w:hAnsi="宋体" w:eastAsia="宋体" w:cs="宋体"/>
          <w:color w:val="auto"/>
          <w:highlight w:val="none"/>
        </w:rPr>
        <w:t>2.“投标响应”一栏应当详细填写投标人自身响应情况，而不能不合理照搬照抄招实质性条款具体内容。</w:t>
      </w:r>
    </w:p>
    <w:p w14:paraId="7F9AA54F">
      <w:pPr>
        <w:shd w:val="clear"/>
        <w:spacing w:line="240" w:lineRule="auto"/>
        <w:ind w:firstLine="720"/>
        <w:jc w:val="both"/>
        <w:rPr>
          <w:rFonts w:hint="eastAsia" w:ascii="宋体" w:hAnsi="宋体" w:eastAsia="宋体" w:cs="宋体"/>
          <w:color w:val="auto"/>
          <w:highlight w:val="none"/>
        </w:rPr>
      </w:pPr>
      <w:r>
        <w:rPr>
          <w:rFonts w:hint="eastAsia" w:ascii="宋体" w:hAnsi="宋体" w:eastAsia="宋体" w:cs="宋体"/>
          <w:color w:val="auto"/>
          <w:highlight w:val="none"/>
        </w:rPr>
        <w:t>3.“偏离情况”一栏应填写“正偏离”、“负偏离”或“无偏离”，“正偏离”表示“投标响应优于实质性条款具体内容要求”，“负偏离”表示“投标响应不满足实质性条款具体内容要求”，“无偏离”表示“投标响应与实质性条款具体内容要求一致”。</w:t>
      </w:r>
    </w:p>
    <w:p w14:paraId="0D6680F5">
      <w:pPr>
        <w:shd w:val="clear"/>
        <w:spacing w:line="240" w:lineRule="auto"/>
        <w:ind w:firstLine="720"/>
        <w:jc w:val="both"/>
        <w:rPr>
          <w:rFonts w:hint="eastAsia" w:ascii="宋体" w:hAnsi="宋体" w:eastAsia="宋体" w:cs="宋体"/>
          <w:color w:val="auto"/>
          <w:highlight w:val="none"/>
        </w:rPr>
      </w:pPr>
      <w:r>
        <w:rPr>
          <w:rFonts w:hint="eastAsia" w:ascii="宋体" w:hAnsi="宋体" w:eastAsia="宋体" w:cs="宋体"/>
          <w:color w:val="auto"/>
          <w:highlight w:val="none"/>
        </w:rPr>
        <w:t>4.评审委员会有权对投标响应情况作出判断（作出评审结论）。</w:t>
      </w:r>
    </w:p>
    <w:p w14:paraId="0782E3B6">
      <w:pPr>
        <w:shd w:val="clear"/>
        <w:spacing w:line="240" w:lineRule="auto"/>
        <w:ind w:firstLine="720"/>
        <w:jc w:val="both"/>
        <w:rPr>
          <w:rFonts w:hint="eastAsia" w:ascii="宋体" w:hAnsi="宋体" w:eastAsia="宋体" w:cs="宋体"/>
          <w:color w:val="auto"/>
          <w:highlight w:val="none"/>
        </w:rPr>
      </w:pPr>
      <w:r>
        <w:rPr>
          <w:rFonts w:hint="eastAsia" w:ascii="宋体" w:hAnsi="宋体" w:eastAsia="宋体" w:cs="宋体"/>
          <w:color w:val="auto"/>
          <w:highlight w:val="none"/>
        </w:rPr>
        <w:t>5.实质性响应条款“投标响应情况”与投标文件其它内容冲突的，以实质性响应条款“投标响应情况”为准。</w:t>
      </w:r>
    </w:p>
    <w:p w14:paraId="0DFDFAFD">
      <w:pPr>
        <w:shd w:val="clear"/>
        <w:jc w:val="both"/>
        <w:rPr>
          <w:color w:val="auto"/>
          <w:highlight w:val="none"/>
        </w:rPr>
      </w:pPr>
    </w:p>
    <w:p w14:paraId="5565ACCD">
      <w:pPr>
        <w:shd w:val="clear"/>
        <w:rPr>
          <w:color w:val="auto"/>
          <w:highlight w:val="none"/>
        </w:rPr>
      </w:pPr>
    </w:p>
    <w:p w14:paraId="0129E969">
      <w:pPr>
        <w:pStyle w:val="4"/>
        <w:shd w:val="clear"/>
        <w:rPr>
          <w:b/>
          <w:bCs/>
          <w:color w:val="auto"/>
          <w:highlight w:val="none"/>
        </w:rPr>
      </w:pPr>
      <w:r>
        <w:rPr>
          <w:rFonts w:hint="eastAsia"/>
          <w:b/>
          <w:bCs/>
          <w:color w:val="auto"/>
          <w:highlight w:val="none"/>
          <w:lang w:val="en-US" w:eastAsia="zh-CN"/>
        </w:rPr>
        <w:t>六</w:t>
      </w:r>
      <w:r>
        <w:rPr>
          <w:rFonts w:hint="eastAsia"/>
          <w:b/>
          <w:bCs/>
          <w:color w:val="auto"/>
          <w:highlight w:val="none"/>
        </w:rPr>
        <w:t>、投标人企业业绩情况</w:t>
      </w:r>
    </w:p>
    <w:p w14:paraId="0B4B24A9">
      <w:pPr>
        <w:shd w:val="clear"/>
        <w:rPr>
          <w:b/>
          <w:bCs/>
          <w:color w:val="auto"/>
          <w:highlight w:val="none"/>
        </w:rPr>
      </w:pPr>
    </w:p>
    <w:p w14:paraId="1CB441E7">
      <w:pPr>
        <w:pStyle w:val="4"/>
        <w:numPr>
          <w:ilvl w:val="0"/>
          <w:numId w:val="0"/>
        </w:numPr>
        <w:shd w:val="clear"/>
        <w:rPr>
          <w:rFonts w:hint="eastAsia" w:ascii="宋体" w:hAnsi="宋体" w:eastAsia="宋体"/>
          <w:b/>
          <w:bCs/>
          <w:color w:val="auto"/>
          <w:highlight w:val="none"/>
        </w:rPr>
      </w:pPr>
      <w:r>
        <w:rPr>
          <w:rFonts w:hint="eastAsia" w:ascii="宋体" w:hAnsi="宋体" w:eastAsia="宋体"/>
          <w:b/>
          <w:bCs/>
          <w:color w:val="auto"/>
          <w:highlight w:val="none"/>
          <w:lang w:val="en-US" w:eastAsia="zh-CN"/>
        </w:rPr>
        <w:t>七、</w:t>
      </w:r>
      <w:r>
        <w:rPr>
          <w:rFonts w:hint="eastAsia" w:ascii="宋体" w:hAnsi="宋体" w:eastAsia="宋体"/>
          <w:b/>
          <w:bCs/>
          <w:color w:val="auto"/>
          <w:highlight w:val="none"/>
        </w:rPr>
        <w:t>企业履约能力证明</w:t>
      </w:r>
    </w:p>
    <w:p w14:paraId="61DD464C">
      <w:pPr>
        <w:bidi w:val="0"/>
        <w:rPr>
          <w:rFonts w:hint="eastAsia"/>
          <w:highlight w:val="none"/>
        </w:rPr>
      </w:pPr>
    </w:p>
    <w:p w14:paraId="44F66F3C">
      <w:pPr>
        <w:pStyle w:val="4"/>
        <w:numPr>
          <w:ilvl w:val="0"/>
          <w:numId w:val="0"/>
        </w:numPr>
        <w:shd w:val="clear"/>
        <w:rPr>
          <w:rFonts w:hint="eastAsia" w:ascii="宋体" w:hAnsi="宋体" w:eastAsia="宋体"/>
          <w:b/>
          <w:bCs/>
          <w:color w:val="auto"/>
          <w:highlight w:val="none"/>
        </w:rPr>
      </w:pPr>
      <w:r>
        <w:rPr>
          <w:rFonts w:hint="eastAsia" w:ascii="宋体" w:hAnsi="宋体" w:eastAsia="宋体"/>
          <w:b/>
          <w:bCs/>
          <w:color w:val="auto"/>
          <w:highlight w:val="none"/>
          <w:lang w:val="en-US" w:eastAsia="zh-CN"/>
        </w:rPr>
        <w:t>八、</w:t>
      </w:r>
      <w:r>
        <w:rPr>
          <w:rFonts w:hint="eastAsia" w:ascii="宋体" w:hAnsi="宋体" w:eastAsia="宋体"/>
          <w:b/>
          <w:bCs/>
          <w:color w:val="auto"/>
          <w:highlight w:val="none"/>
        </w:rPr>
        <w:t>拟派项目负责人情况（项目负责人仅一人）</w:t>
      </w:r>
    </w:p>
    <w:p w14:paraId="3DEE228D">
      <w:pPr>
        <w:bidi w:val="0"/>
        <w:rPr>
          <w:rFonts w:hint="eastAsia"/>
          <w:highlight w:val="none"/>
        </w:rPr>
      </w:pPr>
    </w:p>
    <w:p w14:paraId="622C451E">
      <w:pPr>
        <w:bidi w:val="0"/>
        <w:rPr>
          <w:rFonts w:hint="eastAsia"/>
          <w:highlight w:val="none"/>
        </w:rPr>
      </w:pPr>
    </w:p>
    <w:p w14:paraId="1BD65D52">
      <w:pPr>
        <w:pStyle w:val="4"/>
        <w:numPr>
          <w:ilvl w:val="0"/>
          <w:numId w:val="0"/>
        </w:numPr>
        <w:shd w:val="clear"/>
        <w:rPr>
          <w:rFonts w:hint="eastAsia" w:ascii="宋体" w:hAnsi="宋体" w:eastAsia="宋体"/>
          <w:b/>
          <w:bCs/>
          <w:color w:val="auto"/>
          <w:highlight w:val="none"/>
          <w:lang w:eastAsia="zh-CN"/>
        </w:rPr>
      </w:pPr>
      <w:r>
        <w:rPr>
          <w:rFonts w:hint="eastAsia" w:ascii="宋体" w:hAnsi="宋体" w:eastAsia="宋体"/>
          <w:b/>
          <w:bCs/>
          <w:color w:val="auto"/>
          <w:highlight w:val="none"/>
          <w:lang w:val="en-US" w:eastAsia="zh-CN"/>
        </w:rPr>
        <w:t>九、</w:t>
      </w:r>
      <w:r>
        <w:rPr>
          <w:rFonts w:hint="eastAsia" w:ascii="宋体" w:hAnsi="宋体" w:eastAsia="宋体"/>
          <w:b/>
          <w:bCs/>
          <w:color w:val="auto"/>
          <w:highlight w:val="none"/>
          <w:lang w:eastAsia="zh-CN"/>
        </w:rPr>
        <w:t>投标人认为需要加以说明的其他内容</w:t>
      </w:r>
    </w:p>
    <w:p w14:paraId="51D67859">
      <w:pPr>
        <w:shd w:val="clear"/>
        <w:rPr>
          <w:color w:val="auto"/>
          <w:highlight w:val="none"/>
        </w:rPr>
      </w:pPr>
    </w:p>
    <w:p w14:paraId="4C4DFEE8">
      <w:pPr>
        <w:shd w:val="clear"/>
        <w:rPr>
          <w:color w:val="auto"/>
          <w:highlight w:val="none"/>
        </w:rPr>
      </w:pPr>
    </w:p>
    <w:p w14:paraId="0072E7D7">
      <w:pPr>
        <w:shd w:val="clear"/>
        <w:rPr>
          <w:color w:val="auto"/>
          <w:highlight w:val="none"/>
        </w:rPr>
      </w:pPr>
    </w:p>
    <w:p w14:paraId="68470E35">
      <w:pPr>
        <w:shd w:val="clear"/>
        <w:rPr>
          <w:color w:val="auto"/>
          <w:highlight w:val="none"/>
        </w:rPr>
      </w:pPr>
    </w:p>
    <w:p w14:paraId="23133832">
      <w:pPr>
        <w:shd w:val="clear"/>
        <w:rPr>
          <w:rFonts w:hint="eastAsia"/>
          <w:color w:val="auto"/>
          <w:highlight w:val="none"/>
        </w:rPr>
      </w:pPr>
      <w:bookmarkStart w:id="63" w:name="OLE_LINK87"/>
      <w:bookmarkStart w:id="64" w:name="OLE_LINK88"/>
      <w:r>
        <w:rPr>
          <w:rFonts w:hint="eastAsia"/>
          <w:color w:val="auto"/>
          <w:highlight w:val="none"/>
        </w:rPr>
        <w:br w:type="page"/>
      </w:r>
    </w:p>
    <w:p w14:paraId="6C8FEA1C">
      <w:pPr>
        <w:shd w:val="clear"/>
        <w:spacing w:before="93" w:line="219" w:lineRule="auto"/>
        <w:jc w:val="left"/>
        <w:outlineLvl w:val="0"/>
        <w:rPr>
          <w:rFonts w:hint="eastAsia" w:ascii="仿宋" w:hAnsi="仿宋" w:eastAsia="仿宋" w:cs="仿宋"/>
          <w:color w:val="auto"/>
          <w:spacing w:val="16"/>
          <w:sz w:val="32"/>
          <w:szCs w:val="32"/>
          <w:highlight w:val="none"/>
        </w:rPr>
      </w:pPr>
      <w:r>
        <w:rPr>
          <w:rFonts w:hint="eastAsia" w:ascii="仿宋" w:hAnsi="仿宋" w:eastAsia="仿宋" w:cs="仿宋"/>
          <w:color w:val="auto"/>
          <w:spacing w:val="16"/>
          <w:sz w:val="32"/>
          <w:szCs w:val="32"/>
          <w:highlight w:val="none"/>
          <w:lang w:val="en-US" w:eastAsia="zh-CN"/>
        </w:rPr>
        <w:t>2、</w:t>
      </w:r>
      <w:r>
        <w:rPr>
          <w:rFonts w:hint="eastAsia" w:ascii="仿宋" w:hAnsi="仿宋" w:eastAsia="仿宋" w:cs="仿宋"/>
          <w:color w:val="auto"/>
          <w:spacing w:val="16"/>
          <w:sz w:val="32"/>
          <w:szCs w:val="32"/>
          <w:highlight w:val="none"/>
        </w:rPr>
        <w:t>投标文件正文-技术标</w:t>
      </w:r>
    </w:p>
    <w:bookmarkEnd w:id="63"/>
    <w:bookmarkEnd w:id="64"/>
    <w:p w14:paraId="18417D63">
      <w:pPr>
        <w:pStyle w:val="4"/>
        <w:shd w:val="clear"/>
        <w:rPr>
          <w:color w:val="auto"/>
          <w:highlight w:val="none"/>
        </w:rPr>
      </w:pPr>
      <w:r>
        <w:rPr>
          <w:rFonts w:hint="eastAsia"/>
          <w:color w:val="auto"/>
          <w:highlight w:val="none"/>
        </w:rPr>
        <w:t>一、</w:t>
      </w:r>
      <w:bookmarkStart w:id="65" w:name="_Hlk72092499"/>
      <w:r>
        <w:rPr>
          <w:rFonts w:hint="eastAsia"/>
          <w:color w:val="auto"/>
          <w:highlight w:val="none"/>
        </w:rPr>
        <w:t>法定代表人（负责人）证明书</w:t>
      </w:r>
      <w:bookmarkEnd w:id="65"/>
    </w:p>
    <w:p w14:paraId="1D427C15">
      <w:pPr>
        <w:shd w:val="clear"/>
        <w:rPr>
          <w:color w:val="auto"/>
          <w:highlight w:val="none"/>
        </w:rPr>
      </w:pPr>
    </w:p>
    <w:p w14:paraId="0702AA2B">
      <w:pPr>
        <w:shd w:val="clear"/>
        <w:ind w:firstLine="720"/>
        <w:jc w:val="both"/>
        <w:rPr>
          <w:color w:val="auto"/>
          <w:highlight w:val="none"/>
        </w:rPr>
      </w:pPr>
      <w:r>
        <w:rPr>
          <w:rFonts w:hint="eastAsia" w:ascii="宋体" w:hAnsi="宋体" w:eastAsia="宋体" w:cs="宋体"/>
          <w:color w:val="auto"/>
          <w:highlight w:val="none"/>
        </w:rPr>
        <w:t>法定代表人姓名：</w:t>
      </w:r>
      <w:r>
        <w:rPr>
          <w:rFonts w:hint="eastAsia"/>
          <w:color w:val="auto"/>
          <w:highlight w:val="none"/>
        </w:rPr>
        <w:t xml:space="preserve">          </w:t>
      </w:r>
      <w:r>
        <w:rPr>
          <w:rFonts w:hint="eastAsia" w:ascii="宋体" w:hAnsi="宋体" w:eastAsia="宋体" w:cs="宋体"/>
          <w:color w:val="auto"/>
          <w:highlight w:val="none"/>
        </w:rPr>
        <w:t>身份证号：</w:t>
      </w:r>
      <w:r>
        <w:rPr>
          <w:rFonts w:hint="eastAsia"/>
          <w:color w:val="auto"/>
          <w:highlight w:val="none"/>
        </w:rPr>
        <w:t xml:space="preserve">                  </w:t>
      </w:r>
      <w:r>
        <w:rPr>
          <w:rFonts w:hint="eastAsia" w:ascii="宋体" w:hAnsi="宋体" w:eastAsia="宋体" w:cs="宋体"/>
          <w:color w:val="auto"/>
          <w:highlight w:val="none"/>
        </w:rPr>
        <w:t>联系电话：</w:t>
      </w:r>
      <w:r>
        <w:rPr>
          <w:rFonts w:hint="eastAsia"/>
          <w:color w:val="auto"/>
          <w:highlight w:val="none"/>
        </w:rPr>
        <w:t xml:space="preserve">             </w:t>
      </w:r>
    </w:p>
    <w:p w14:paraId="44518212">
      <w:pPr>
        <w:shd w:val="clear"/>
        <w:jc w:val="both"/>
        <w:rPr>
          <w:color w:val="auto"/>
          <w:highlight w:val="none"/>
        </w:rPr>
      </w:pPr>
    </w:p>
    <w:p w14:paraId="4F1EFF37">
      <w:pPr>
        <w:shd w:val="clear"/>
        <w:ind w:firstLine="720"/>
        <w:jc w:val="both"/>
        <w:rPr>
          <w:color w:val="auto"/>
          <w:highlight w:val="none"/>
        </w:rPr>
      </w:pPr>
      <w:r>
        <w:rPr>
          <w:rFonts w:hint="eastAsia"/>
          <w:color w:val="auto"/>
          <w:highlight w:val="none"/>
          <w:u w:val="single"/>
        </w:rPr>
        <w:t xml:space="preserve">         </w:t>
      </w:r>
      <w:r>
        <w:rPr>
          <w:rFonts w:hint="eastAsia" w:eastAsia="宋体"/>
          <w:color w:val="auto"/>
          <w:highlight w:val="none"/>
        </w:rPr>
        <w:t>同志，现任我单位</w:t>
      </w:r>
      <w:r>
        <w:rPr>
          <w:rFonts w:hint="eastAsia"/>
          <w:color w:val="auto"/>
          <w:highlight w:val="none"/>
          <w:u w:val="single"/>
        </w:rPr>
        <w:t xml:space="preserve">         </w:t>
      </w:r>
      <w:r>
        <w:rPr>
          <w:rFonts w:hint="eastAsia" w:eastAsia="宋体"/>
          <w:color w:val="auto"/>
          <w:highlight w:val="none"/>
        </w:rPr>
        <w:t>职务，为法定代表人（负责人），特此证明。</w:t>
      </w:r>
    </w:p>
    <w:p w14:paraId="4F5B85F1">
      <w:pPr>
        <w:shd w:val="clear"/>
        <w:jc w:val="both"/>
        <w:rPr>
          <w:color w:val="auto"/>
          <w:highlight w:val="none"/>
        </w:rPr>
      </w:pPr>
      <w:r>
        <w:rPr>
          <w:rFonts w:hint="eastAsia"/>
          <w:color w:val="auto"/>
          <w:highlight w:val="none"/>
        </w:rPr>
        <w:t xml:space="preserve">         </w:t>
      </w:r>
    </w:p>
    <w:p w14:paraId="13690DBA">
      <w:pPr>
        <w:shd w:val="clear"/>
        <w:ind w:firstLine="720"/>
        <w:jc w:val="both"/>
        <w:rPr>
          <w:color w:val="auto"/>
          <w:highlight w:val="none"/>
        </w:rPr>
      </w:pPr>
      <w:r>
        <w:rPr>
          <w:rFonts w:hint="eastAsia" w:eastAsia="宋体"/>
          <w:color w:val="auto"/>
          <w:highlight w:val="none"/>
        </w:rPr>
        <w:t>说明：</w:t>
      </w:r>
      <w:r>
        <w:rPr>
          <w:rFonts w:hint="eastAsia"/>
          <w:color w:val="auto"/>
          <w:highlight w:val="none"/>
        </w:rPr>
        <w:t>1</w:t>
      </w:r>
      <w:r>
        <w:rPr>
          <w:rFonts w:hint="eastAsia" w:eastAsia="宋体"/>
          <w:color w:val="auto"/>
          <w:highlight w:val="none"/>
        </w:rPr>
        <w:t>、法定代表人为投标人（企业事业单位、国家机关、社会团体）的主要行政负责人。</w:t>
      </w:r>
    </w:p>
    <w:p w14:paraId="4437DF46">
      <w:pPr>
        <w:shd w:val="clear"/>
        <w:ind w:firstLine="720"/>
        <w:jc w:val="both"/>
        <w:rPr>
          <w:color w:val="auto"/>
          <w:highlight w:val="none"/>
        </w:rPr>
      </w:pPr>
      <w:r>
        <w:rPr>
          <w:rFonts w:hint="eastAsia"/>
          <w:color w:val="auto"/>
          <w:highlight w:val="none"/>
        </w:rPr>
        <w:t>2</w:t>
      </w:r>
      <w:r>
        <w:rPr>
          <w:rFonts w:hint="eastAsia" w:eastAsia="宋体"/>
          <w:color w:val="auto"/>
          <w:highlight w:val="none"/>
        </w:rPr>
        <w:t>、本证明书要求投标供应商同时提供法定代表人（负责人）的身份证扫描件（正反两面）作为附件方为有效；</w:t>
      </w:r>
    </w:p>
    <w:p w14:paraId="0A23E27F">
      <w:pPr>
        <w:shd w:val="clear"/>
        <w:ind w:firstLine="720"/>
        <w:jc w:val="both"/>
        <w:rPr>
          <w:color w:val="auto"/>
          <w:highlight w:val="none"/>
        </w:rPr>
      </w:pPr>
      <w:r>
        <w:rPr>
          <w:rFonts w:hint="eastAsia"/>
          <w:color w:val="auto"/>
          <w:highlight w:val="none"/>
        </w:rPr>
        <w:t>3</w:t>
      </w:r>
      <w:r>
        <w:rPr>
          <w:rFonts w:hint="eastAsia" w:eastAsia="宋体"/>
          <w:color w:val="auto"/>
          <w:highlight w:val="none"/>
        </w:rPr>
        <w:t>、如是法定代表人（负责人）直接参与投标，必须填写《法定代表人（负责人）证明书》，可不用填写《投标文件签署授权委托书》。</w:t>
      </w:r>
    </w:p>
    <w:p w14:paraId="43770CE2">
      <w:pPr>
        <w:shd w:val="clear"/>
        <w:ind w:firstLine="720"/>
        <w:jc w:val="both"/>
        <w:rPr>
          <w:color w:val="auto"/>
          <w:highlight w:val="none"/>
        </w:rPr>
      </w:pPr>
      <w:r>
        <w:rPr>
          <w:rFonts w:hint="eastAsia"/>
          <w:color w:val="auto"/>
          <w:highlight w:val="none"/>
        </w:rPr>
        <w:t>4</w:t>
      </w:r>
      <w:r>
        <w:rPr>
          <w:rFonts w:hint="eastAsia" w:eastAsia="宋体"/>
          <w:color w:val="auto"/>
          <w:highlight w:val="none"/>
        </w:rPr>
        <w:t>、内容必须填写真实、清楚，涂改无效，不得转让、买卖。</w:t>
      </w:r>
    </w:p>
    <w:p w14:paraId="169A6842">
      <w:pPr>
        <w:shd w:val="clear"/>
        <w:rPr>
          <w:color w:val="auto"/>
          <w:highlight w:val="none"/>
        </w:rPr>
      </w:pPr>
    </w:p>
    <w:p w14:paraId="308D28D6">
      <w:pPr>
        <w:shd w:val="clear"/>
        <w:rPr>
          <w:color w:val="auto"/>
          <w:highlight w:val="none"/>
        </w:rPr>
      </w:pPr>
    </w:p>
    <w:p w14:paraId="561BA705">
      <w:pPr>
        <w:pStyle w:val="4"/>
        <w:shd w:val="clear"/>
        <w:rPr>
          <w:color w:val="auto"/>
          <w:highlight w:val="none"/>
        </w:rPr>
      </w:pPr>
      <w:r>
        <w:rPr>
          <w:rFonts w:hint="eastAsia"/>
          <w:color w:val="auto"/>
          <w:highlight w:val="none"/>
        </w:rPr>
        <w:t>二、投标文件签署授权委托书</w:t>
      </w:r>
    </w:p>
    <w:p w14:paraId="6D472EB2">
      <w:pPr>
        <w:shd w:val="clear"/>
        <w:ind w:firstLine="720"/>
        <w:jc w:val="both"/>
        <w:rPr>
          <w:color w:val="auto"/>
          <w:highlight w:val="none"/>
        </w:rPr>
      </w:pPr>
      <w:r>
        <w:rPr>
          <w:rFonts w:hint="eastAsia" w:eastAsia="宋体"/>
          <w:color w:val="auto"/>
          <w:highlight w:val="none"/>
        </w:rPr>
        <w:t>本授权委托书声明：我</w:t>
      </w:r>
      <w:r>
        <w:rPr>
          <w:rFonts w:hint="eastAsia"/>
          <w:color w:val="auto"/>
          <w:highlight w:val="none"/>
          <w:u w:val="single"/>
        </w:rPr>
        <w:t xml:space="preserve">   </w:t>
      </w:r>
      <w:r>
        <w:rPr>
          <w:rFonts w:hint="eastAsia" w:eastAsia="宋体"/>
          <w:color w:val="auto"/>
          <w:highlight w:val="none"/>
          <w:u w:val="single"/>
        </w:rPr>
        <w:t>（委托人姓名）</w:t>
      </w:r>
      <w:r>
        <w:rPr>
          <w:rFonts w:hint="eastAsia"/>
          <w:color w:val="auto"/>
          <w:highlight w:val="none"/>
          <w:u w:val="single"/>
        </w:rPr>
        <w:t xml:space="preserve">  </w:t>
      </w:r>
      <w:r>
        <w:rPr>
          <w:rFonts w:hint="eastAsia" w:eastAsia="宋体"/>
          <w:color w:val="auto"/>
          <w:highlight w:val="none"/>
        </w:rPr>
        <w:t>系</w:t>
      </w:r>
      <w:r>
        <w:rPr>
          <w:rFonts w:hint="eastAsia"/>
          <w:color w:val="auto"/>
          <w:highlight w:val="none"/>
          <w:u w:val="single"/>
        </w:rPr>
        <w:t xml:space="preserve">    </w:t>
      </w:r>
      <w:r>
        <w:rPr>
          <w:rFonts w:hint="eastAsia" w:eastAsia="宋体"/>
          <w:color w:val="auto"/>
          <w:highlight w:val="none"/>
          <w:u w:val="single"/>
        </w:rPr>
        <w:t>（投标人名称）</w:t>
      </w:r>
      <w:r>
        <w:rPr>
          <w:rFonts w:hint="eastAsia"/>
          <w:color w:val="auto"/>
          <w:highlight w:val="none"/>
          <w:u w:val="single"/>
        </w:rPr>
        <w:t xml:space="preserve">  </w:t>
      </w:r>
      <w:r>
        <w:rPr>
          <w:rFonts w:hint="eastAsia" w:eastAsia="宋体"/>
          <w:color w:val="auto"/>
          <w:highlight w:val="none"/>
        </w:rPr>
        <w:t>的法定代表人（负责人），现授权委托</w:t>
      </w:r>
      <w:r>
        <w:rPr>
          <w:rFonts w:hint="eastAsia"/>
          <w:color w:val="auto"/>
          <w:highlight w:val="none"/>
          <w:u w:val="single"/>
        </w:rPr>
        <w:t xml:space="preserve">   </w:t>
      </w:r>
      <w:r>
        <w:rPr>
          <w:rFonts w:hint="eastAsia" w:eastAsia="宋体"/>
          <w:color w:val="auto"/>
          <w:highlight w:val="none"/>
          <w:u w:val="single"/>
        </w:rPr>
        <w:t>（受托人</w:t>
      </w:r>
      <w:r>
        <w:rPr>
          <w:rFonts w:hint="eastAsia"/>
          <w:color w:val="auto"/>
          <w:highlight w:val="none"/>
          <w:u w:val="single"/>
        </w:rPr>
        <w:t>/</w:t>
      </w:r>
      <w:r>
        <w:rPr>
          <w:rFonts w:hint="eastAsia" w:eastAsia="宋体"/>
          <w:color w:val="auto"/>
          <w:highlight w:val="none"/>
          <w:u w:val="single"/>
        </w:rPr>
        <w:t>代理人姓名）</w:t>
      </w:r>
      <w:r>
        <w:rPr>
          <w:rFonts w:hint="eastAsia"/>
          <w:color w:val="auto"/>
          <w:highlight w:val="none"/>
          <w:u w:val="single"/>
        </w:rPr>
        <w:t xml:space="preserve">   </w:t>
      </w:r>
      <w:r>
        <w:rPr>
          <w:rFonts w:hint="eastAsia" w:eastAsia="宋体"/>
          <w:color w:val="auto"/>
          <w:highlight w:val="none"/>
        </w:rPr>
        <w:t>为我单位签署本项目已递交的投标文件的法定代表人（负责人）的授权委托代理人，代理人全权代表我所签署的本项目已递交的投标文件内容我均承认。</w:t>
      </w:r>
    </w:p>
    <w:p w14:paraId="03784812">
      <w:pPr>
        <w:pStyle w:val="6"/>
        <w:shd w:val="clear"/>
        <w:jc w:val="both"/>
        <w:rPr>
          <w:color w:val="auto"/>
          <w:highlight w:val="none"/>
        </w:rPr>
      </w:pPr>
      <w:r>
        <w:rPr>
          <w:rFonts w:hint="eastAsia" w:eastAsia="宋体"/>
          <w:color w:val="auto"/>
          <w:highlight w:val="none"/>
        </w:rPr>
        <w:t>除非委托方书面提前撤销，本授权委托书至委托事项完成之前持续有效。代理人无转委托权，特此委托。</w:t>
      </w:r>
    </w:p>
    <w:p w14:paraId="73E1F17E">
      <w:pPr>
        <w:shd w:val="clear"/>
        <w:ind w:firstLine="720"/>
        <w:jc w:val="both"/>
        <w:rPr>
          <w:color w:val="auto"/>
          <w:highlight w:val="none"/>
        </w:rPr>
      </w:pPr>
      <w:r>
        <w:rPr>
          <w:rFonts w:hint="eastAsia" w:ascii="宋体" w:hAnsi="宋体" w:eastAsia="宋体" w:cs="宋体"/>
          <w:color w:val="auto"/>
          <w:highlight w:val="none"/>
        </w:rPr>
        <w:t>受托人</w:t>
      </w:r>
      <w:r>
        <w:rPr>
          <w:rFonts w:hint="eastAsia"/>
          <w:color w:val="auto"/>
          <w:highlight w:val="none"/>
        </w:rPr>
        <w:t>/</w:t>
      </w:r>
      <w:r>
        <w:rPr>
          <w:rFonts w:hint="eastAsia" w:ascii="宋体" w:hAnsi="宋体" w:eastAsia="宋体" w:cs="宋体"/>
          <w:color w:val="auto"/>
          <w:highlight w:val="none"/>
        </w:rPr>
        <w:t>代理人：</w:t>
      </w:r>
      <w:r>
        <w:rPr>
          <w:rFonts w:hint="eastAsia"/>
          <w:color w:val="auto"/>
          <w:highlight w:val="none"/>
        </w:rPr>
        <w:t xml:space="preserve">             </w:t>
      </w:r>
    </w:p>
    <w:p w14:paraId="0977FF37">
      <w:pPr>
        <w:shd w:val="clear"/>
        <w:ind w:firstLine="720"/>
        <w:jc w:val="both"/>
        <w:rPr>
          <w:color w:val="auto"/>
          <w:highlight w:val="none"/>
        </w:rPr>
      </w:pPr>
      <w:r>
        <w:rPr>
          <w:rFonts w:hint="eastAsia" w:ascii="宋体" w:hAnsi="宋体" w:eastAsia="宋体" w:cs="宋体"/>
          <w:color w:val="auto"/>
          <w:highlight w:val="none"/>
        </w:rPr>
        <w:t>联系电话：</w:t>
      </w:r>
      <w:r>
        <w:rPr>
          <w:rFonts w:hint="eastAsia"/>
          <w:color w:val="auto"/>
          <w:highlight w:val="none"/>
        </w:rPr>
        <w:t xml:space="preserve">              </w:t>
      </w:r>
      <w:r>
        <w:rPr>
          <w:rFonts w:hint="eastAsia" w:ascii="宋体" w:hAnsi="宋体" w:eastAsia="宋体" w:cs="宋体"/>
          <w:color w:val="auto"/>
          <w:highlight w:val="none"/>
        </w:rPr>
        <w:t>手机：</w:t>
      </w:r>
      <w:r>
        <w:rPr>
          <w:rFonts w:hint="eastAsia"/>
          <w:color w:val="auto"/>
          <w:highlight w:val="none"/>
        </w:rPr>
        <w:t xml:space="preserve">                   </w:t>
      </w:r>
    </w:p>
    <w:p w14:paraId="30A148D6">
      <w:pPr>
        <w:shd w:val="clear"/>
        <w:ind w:firstLine="720"/>
        <w:jc w:val="both"/>
        <w:rPr>
          <w:color w:val="auto"/>
          <w:highlight w:val="none"/>
        </w:rPr>
      </w:pPr>
      <w:r>
        <w:rPr>
          <w:rFonts w:hint="eastAsia" w:ascii="宋体" w:hAnsi="宋体" w:eastAsia="宋体" w:cs="宋体"/>
          <w:color w:val="auto"/>
          <w:highlight w:val="none"/>
        </w:rPr>
        <w:t>身份证号码：</w:t>
      </w:r>
      <w:r>
        <w:rPr>
          <w:rFonts w:hint="eastAsia"/>
          <w:color w:val="auto"/>
          <w:highlight w:val="none"/>
        </w:rPr>
        <w:t xml:space="preserve">                        </w:t>
      </w:r>
      <w:r>
        <w:rPr>
          <w:rFonts w:hint="eastAsia" w:ascii="宋体" w:hAnsi="宋体" w:eastAsia="宋体" w:cs="宋体"/>
          <w:color w:val="auto"/>
          <w:highlight w:val="none"/>
        </w:rPr>
        <w:t>职务：</w:t>
      </w:r>
      <w:r>
        <w:rPr>
          <w:rFonts w:hint="eastAsia"/>
          <w:color w:val="auto"/>
          <w:highlight w:val="none"/>
        </w:rPr>
        <w:t xml:space="preserve">       </w:t>
      </w:r>
    </w:p>
    <w:p w14:paraId="149A9C55">
      <w:pPr>
        <w:shd w:val="clear"/>
        <w:ind w:firstLine="720"/>
        <w:jc w:val="both"/>
        <w:rPr>
          <w:color w:val="auto"/>
          <w:highlight w:val="none"/>
        </w:rPr>
      </w:pPr>
      <w:r>
        <w:rPr>
          <w:rFonts w:hint="eastAsia" w:ascii="宋体" w:hAnsi="宋体" w:eastAsia="宋体" w:cs="宋体"/>
          <w:color w:val="auto"/>
          <w:highlight w:val="none"/>
        </w:rPr>
        <w:t>授权委托日期：</w:t>
      </w:r>
      <w:r>
        <w:rPr>
          <w:rFonts w:hint="eastAsia"/>
          <w:color w:val="auto"/>
          <w:highlight w:val="none"/>
        </w:rPr>
        <w:t xml:space="preserve">         </w:t>
      </w:r>
      <w:r>
        <w:rPr>
          <w:rFonts w:hint="eastAsia" w:ascii="宋体" w:hAnsi="宋体" w:eastAsia="宋体" w:cs="宋体"/>
          <w:color w:val="auto"/>
          <w:highlight w:val="none"/>
        </w:rPr>
        <w:t>年</w:t>
      </w:r>
      <w:r>
        <w:rPr>
          <w:rFonts w:hint="eastAsia"/>
          <w:color w:val="auto"/>
          <w:highlight w:val="none"/>
        </w:rPr>
        <w:t xml:space="preserve">     </w:t>
      </w:r>
      <w:r>
        <w:rPr>
          <w:rFonts w:hint="eastAsia" w:ascii="宋体" w:hAnsi="宋体" w:eastAsia="宋体" w:cs="宋体"/>
          <w:color w:val="auto"/>
          <w:highlight w:val="none"/>
        </w:rPr>
        <w:t>月</w:t>
      </w:r>
      <w:r>
        <w:rPr>
          <w:rFonts w:hint="eastAsia"/>
          <w:color w:val="auto"/>
          <w:highlight w:val="none"/>
        </w:rPr>
        <w:t xml:space="preserve">       </w:t>
      </w:r>
      <w:r>
        <w:rPr>
          <w:rFonts w:hint="eastAsia" w:ascii="宋体" w:hAnsi="宋体" w:eastAsia="宋体" w:cs="宋体"/>
          <w:color w:val="auto"/>
          <w:highlight w:val="none"/>
        </w:rPr>
        <w:t>日</w:t>
      </w:r>
    </w:p>
    <w:p w14:paraId="387AFEC8">
      <w:pPr>
        <w:shd w:val="clear"/>
        <w:jc w:val="both"/>
        <w:rPr>
          <w:color w:val="auto"/>
          <w:highlight w:val="none"/>
        </w:rPr>
      </w:pPr>
    </w:p>
    <w:p w14:paraId="03EDF5BA">
      <w:pPr>
        <w:shd w:val="clear"/>
        <w:ind w:firstLine="720"/>
        <w:jc w:val="both"/>
        <w:rPr>
          <w:color w:val="auto"/>
          <w:highlight w:val="none"/>
        </w:rPr>
      </w:pPr>
      <w:r>
        <w:rPr>
          <w:rFonts w:hint="eastAsia" w:eastAsia="宋体"/>
          <w:color w:val="auto"/>
          <w:highlight w:val="none"/>
        </w:rPr>
        <w:t>说明：</w:t>
      </w:r>
      <w:r>
        <w:rPr>
          <w:rFonts w:hint="eastAsia"/>
          <w:color w:val="auto"/>
          <w:highlight w:val="none"/>
        </w:rPr>
        <w:t>1</w:t>
      </w:r>
      <w:r>
        <w:rPr>
          <w:rFonts w:hint="eastAsia" w:eastAsia="宋体"/>
          <w:color w:val="auto"/>
          <w:highlight w:val="none"/>
        </w:rPr>
        <w:t>、本委托书须提供受托人（代理人）的身份证扫描件（正反两面）方为有效；</w:t>
      </w:r>
    </w:p>
    <w:p w14:paraId="1DC32F10">
      <w:pPr>
        <w:shd w:val="clear"/>
        <w:ind w:firstLine="720"/>
        <w:jc w:val="both"/>
        <w:rPr>
          <w:color w:val="auto"/>
          <w:highlight w:val="none"/>
        </w:rPr>
      </w:pPr>
      <w:r>
        <w:rPr>
          <w:rFonts w:hint="eastAsia"/>
          <w:color w:val="auto"/>
          <w:highlight w:val="none"/>
        </w:rPr>
        <w:t xml:space="preserve"> 2</w:t>
      </w:r>
      <w:r>
        <w:rPr>
          <w:rFonts w:hint="eastAsia" w:eastAsia="宋体"/>
          <w:color w:val="auto"/>
          <w:highlight w:val="none"/>
        </w:rPr>
        <w:t>、如是受托人（代理人）参与投标，则必须提供《法定代表人（负责人）证明书》和《投标文件签署授权委托书》，且《投标函》的委托代理人与《投标文件签署授权委托书》的受托人（代理人）必须一致。</w:t>
      </w:r>
    </w:p>
    <w:p w14:paraId="2AE1871B">
      <w:pPr>
        <w:shd w:val="clear"/>
        <w:jc w:val="both"/>
        <w:rPr>
          <w:color w:val="auto"/>
          <w:highlight w:val="none"/>
        </w:rPr>
      </w:pPr>
    </w:p>
    <w:p w14:paraId="0C5B8818">
      <w:pPr>
        <w:shd w:val="clear"/>
        <w:ind w:firstLine="720"/>
        <w:jc w:val="both"/>
        <w:rPr>
          <w:color w:val="auto"/>
          <w:highlight w:val="none"/>
        </w:rPr>
      </w:pPr>
      <w:r>
        <w:rPr>
          <w:rFonts w:hint="eastAsia" w:eastAsia="宋体"/>
          <w:color w:val="auto"/>
          <w:highlight w:val="none"/>
        </w:rPr>
        <w:t>附：非中国国籍管辖范围人员，可提供公安部门认可的身份证明材料扫描件。</w:t>
      </w:r>
    </w:p>
    <w:p w14:paraId="1F708729">
      <w:pPr>
        <w:shd w:val="clear"/>
        <w:rPr>
          <w:color w:val="auto"/>
          <w:highlight w:val="none"/>
        </w:rPr>
      </w:pPr>
    </w:p>
    <w:p w14:paraId="78F1CEF4">
      <w:pPr>
        <w:shd w:val="clear"/>
        <w:rPr>
          <w:color w:val="auto"/>
          <w:highlight w:val="none"/>
        </w:rPr>
      </w:pPr>
      <w:r>
        <w:rPr>
          <w:rFonts w:hint="eastAsia"/>
          <w:color w:val="auto"/>
          <w:highlight w:val="none"/>
        </w:rPr>
        <w:br w:type="page"/>
      </w:r>
    </w:p>
    <w:p w14:paraId="5073C9E0">
      <w:pPr>
        <w:shd w:val="clear"/>
        <w:rPr>
          <w:rFonts w:hint="eastAsia" w:ascii="宋体" w:hAnsi="宋体" w:eastAsia="宋体"/>
          <w:b/>
          <w:bCs/>
          <w:color w:val="auto"/>
          <w:sz w:val="28"/>
          <w:szCs w:val="32"/>
          <w:highlight w:val="none"/>
          <w:lang w:val="en-US" w:eastAsia="zh-CN"/>
        </w:rPr>
      </w:pPr>
    </w:p>
    <w:p w14:paraId="17EF82A3">
      <w:pPr>
        <w:pStyle w:val="4"/>
        <w:shd w:val="clear"/>
        <w:rPr>
          <w:rFonts w:hint="eastAsia" w:ascii="宋体" w:hAnsi="宋体" w:eastAsia="宋体"/>
          <w:b/>
          <w:bCs/>
          <w:color w:val="auto"/>
          <w:sz w:val="28"/>
          <w:szCs w:val="32"/>
          <w:highlight w:val="none"/>
        </w:rPr>
      </w:pPr>
      <w:r>
        <w:rPr>
          <w:rFonts w:hint="eastAsia" w:ascii="宋体" w:hAnsi="宋体" w:eastAsia="宋体" w:cs="Times New Roman"/>
          <w:b/>
          <w:bCs/>
          <w:color w:val="auto"/>
          <w:sz w:val="28"/>
          <w:szCs w:val="32"/>
          <w:highlight w:val="none"/>
          <w:lang w:val="en-US" w:eastAsia="zh-CN" w:bidi="ar-SA"/>
        </w:rPr>
        <w:t>三、施工资源需求计划</w:t>
      </w:r>
    </w:p>
    <w:p w14:paraId="58D94D7F">
      <w:pPr>
        <w:numPr>
          <w:ilvl w:val="-1"/>
          <w:numId w:val="0"/>
        </w:numPr>
        <w:shd w:val="clear"/>
        <w:jc w:val="both"/>
        <w:rPr>
          <w:rFonts w:hint="eastAsia" w:ascii="宋体" w:hAnsi="宋体" w:eastAsia="宋体"/>
          <w:b/>
          <w:bCs/>
          <w:color w:val="auto"/>
          <w:sz w:val="28"/>
          <w:szCs w:val="32"/>
          <w:highlight w:val="none"/>
          <w:lang w:eastAsia="zh-CN"/>
        </w:rPr>
      </w:pPr>
    </w:p>
    <w:p w14:paraId="268752B2">
      <w:pPr>
        <w:pStyle w:val="4"/>
        <w:shd w:val="clear"/>
        <w:rPr>
          <w:b/>
          <w:bCs/>
          <w:color w:val="auto"/>
          <w:highlight w:val="none"/>
        </w:rPr>
      </w:pPr>
      <w:r>
        <w:rPr>
          <w:rFonts w:hint="eastAsia"/>
          <w:b/>
          <w:bCs/>
          <w:color w:val="auto"/>
          <w:highlight w:val="none"/>
          <w:lang w:val="en-US" w:eastAsia="zh-CN"/>
        </w:rPr>
        <w:t>四</w:t>
      </w:r>
      <w:r>
        <w:rPr>
          <w:rFonts w:hint="eastAsia"/>
          <w:b/>
          <w:bCs/>
          <w:color w:val="auto"/>
          <w:highlight w:val="none"/>
        </w:rPr>
        <w:t>、施工工期管理策划</w:t>
      </w:r>
    </w:p>
    <w:p w14:paraId="7FDF1569">
      <w:pPr>
        <w:shd w:val="clear"/>
        <w:rPr>
          <w:b/>
          <w:bCs/>
          <w:color w:val="auto"/>
          <w:highlight w:val="none"/>
        </w:rPr>
      </w:pPr>
    </w:p>
    <w:p w14:paraId="1580FFC2">
      <w:pPr>
        <w:pStyle w:val="4"/>
        <w:shd w:val="clear"/>
        <w:rPr>
          <w:rFonts w:hint="eastAsia"/>
          <w:b/>
          <w:bCs/>
          <w:color w:val="auto"/>
          <w:highlight w:val="none"/>
        </w:rPr>
      </w:pPr>
      <w:r>
        <w:rPr>
          <w:rFonts w:hint="eastAsia"/>
          <w:b/>
          <w:bCs/>
          <w:color w:val="auto"/>
          <w:highlight w:val="none"/>
          <w:lang w:val="en-US" w:eastAsia="zh-CN"/>
        </w:rPr>
        <w:t>五</w:t>
      </w:r>
      <w:r>
        <w:rPr>
          <w:rFonts w:hint="eastAsia"/>
          <w:b/>
          <w:bCs/>
          <w:color w:val="auto"/>
          <w:highlight w:val="none"/>
        </w:rPr>
        <w:t>、施工方法及质量保证措施</w:t>
      </w:r>
    </w:p>
    <w:p w14:paraId="3C0EB658">
      <w:pPr>
        <w:shd w:val="clear"/>
        <w:rPr>
          <w:b/>
          <w:bCs/>
          <w:color w:val="auto"/>
          <w:highlight w:val="none"/>
        </w:rPr>
      </w:pPr>
    </w:p>
    <w:p w14:paraId="27CBCE8F">
      <w:pPr>
        <w:shd w:val="clear"/>
        <w:jc w:val="both"/>
        <w:rPr>
          <w:b/>
          <w:bCs/>
          <w:color w:val="auto"/>
          <w:highlight w:val="none"/>
        </w:rPr>
      </w:pPr>
    </w:p>
    <w:p w14:paraId="1A69B84D">
      <w:pPr>
        <w:pStyle w:val="4"/>
        <w:numPr>
          <w:ilvl w:val="0"/>
          <w:numId w:val="0"/>
        </w:numPr>
        <w:shd w:val="clear"/>
        <w:rPr>
          <w:rFonts w:hint="eastAsia" w:ascii="宋体" w:hAnsi="宋体" w:eastAsia="宋体" w:cs="Times New Roman"/>
          <w:b/>
          <w:bCs/>
          <w:color w:val="auto"/>
          <w:highlight w:val="none"/>
          <w:lang w:val="en-US" w:eastAsia="zh-CN"/>
        </w:rPr>
      </w:pPr>
      <w:r>
        <w:rPr>
          <w:rFonts w:hint="eastAsia" w:cs="Times New Roman"/>
          <w:b/>
          <w:bCs/>
          <w:color w:val="auto"/>
          <w:sz w:val="28"/>
          <w:szCs w:val="32"/>
          <w:highlight w:val="none"/>
          <w:lang w:val="en-US" w:eastAsia="zh-CN" w:bidi="ar-SA"/>
        </w:rPr>
        <w:t>六</w:t>
      </w:r>
      <w:r>
        <w:rPr>
          <w:rFonts w:hint="eastAsia" w:ascii="宋体" w:hAnsi="宋体" w:eastAsia="宋体" w:cs="Times New Roman"/>
          <w:b/>
          <w:bCs/>
          <w:color w:val="auto"/>
          <w:sz w:val="28"/>
          <w:szCs w:val="32"/>
          <w:highlight w:val="none"/>
          <w:lang w:val="en-US" w:eastAsia="zh-CN" w:bidi="ar-SA"/>
        </w:rPr>
        <w:t>、</w:t>
      </w:r>
      <w:r>
        <w:rPr>
          <w:rFonts w:hint="eastAsia" w:ascii="宋体" w:hAnsi="宋体" w:eastAsia="宋体" w:cs="Times New Roman"/>
          <w:b/>
          <w:bCs/>
          <w:color w:val="auto"/>
          <w:highlight w:val="none"/>
          <w:lang w:val="en-US" w:eastAsia="zh-CN"/>
        </w:rPr>
        <w:t>政府采购违法行为风险知悉确认书</w:t>
      </w:r>
    </w:p>
    <w:p w14:paraId="054FD4E8">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17760C73">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35BF3533">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2449D1CD">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4C006B11">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0BD4F0F7">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724D020E">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17D9B7F2">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06CE0831">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2C820358">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08ECA302">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067E2A91">
      <w:pPr>
        <w:numPr>
          <w:ilvl w:val="0"/>
          <w:numId w:val="0"/>
        </w:numPr>
        <w:shd w:val="clear"/>
        <w:jc w:val="center"/>
        <w:rPr>
          <w:rFonts w:hint="eastAsia" w:ascii="宋体" w:hAnsi="宋体" w:eastAsia="宋体" w:cs="Times New Roman"/>
          <w:b/>
          <w:bCs/>
          <w:color w:val="auto"/>
          <w:sz w:val="36"/>
          <w:szCs w:val="36"/>
          <w:highlight w:val="none"/>
          <w:lang w:val="en-US" w:eastAsia="zh-CN"/>
        </w:rPr>
      </w:pPr>
    </w:p>
    <w:p w14:paraId="13F14897">
      <w:pPr>
        <w:numPr>
          <w:ilvl w:val="0"/>
          <w:numId w:val="0"/>
        </w:numPr>
        <w:shd w:val="clear"/>
        <w:jc w:val="center"/>
        <w:rPr>
          <w:rFonts w:hint="eastAsia"/>
          <w:b/>
          <w:bCs/>
          <w:color w:val="auto"/>
          <w:sz w:val="36"/>
          <w:szCs w:val="36"/>
          <w:highlight w:val="none"/>
          <w:lang w:val="en-US" w:eastAsia="zh-CN"/>
        </w:rPr>
      </w:pPr>
      <w:r>
        <w:rPr>
          <w:rFonts w:hint="eastAsia" w:ascii="宋体" w:hAnsi="宋体" w:eastAsia="宋体" w:cs="Times New Roman"/>
          <w:b/>
          <w:bCs/>
          <w:color w:val="auto"/>
          <w:sz w:val="36"/>
          <w:szCs w:val="36"/>
          <w:highlight w:val="none"/>
          <w:lang w:val="en-US" w:eastAsia="zh-CN"/>
        </w:rPr>
        <w:t>政府采购违法行为风险知悉确认书</w:t>
      </w:r>
    </w:p>
    <w:p w14:paraId="7E8B3C62">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本公司在投标前已充分知悉以下情形为参与政府采购活动时的重大风险事项，并承诺已对下述风险提示事项重点排查，做到严谨、诚信、依法依规参与政府采购活动。</w:t>
      </w:r>
    </w:p>
    <w:p w14:paraId="59C6F306">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一、本公司已充分知悉“隐瞒真实情况，提供虚假资料”的法定情形，相关情形包括但不限于：</w:t>
      </w:r>
    </w:p>
    <w:p w14:paraId="265EF3A5">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（一）通过转让或者租借等方式从其他单位获取资格或者资质证书投标的。</w:t>
      </w:r>
    </w:p>
    <w:p w14:paraId="4308025D">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（二）由其他单位或者其他单位负责人在投标供应商编制的投标文件上加盖印章或者签字的。</w:t>
      </w:r>
    </w:p>
    <w:p w14:paraId="3BFC7A73">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（三）项目负责人或者主要技术人员不是本单位人员的。</w:t>
      </w:r>
    </w:p>
    <w:p w14:paraId="6EC37378">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（四）投标保证金不是从投标供应商基本账户转出的。</w:t>
      </w:r>
    </w:p>
    <w:p w14:paraId="0DED1E08">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（五）其他隐瞒真实情况、提供虚假资料的行为。</w:t>
      </w:r>
    </w:p>
    <w:p w14:paraId="53F3E5B2">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二、本公司已充分知悉“与其他采购参加人串通投标”的法定情形，相关情形包括但不限于：</w:t>
      </w:r>
    </w:p>
    <w:p w14:paraId="41F543A2">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 xml:space="preserve">（一）投标供应商之间相互约定给予未中标的供应商利益补偿。 </w:t>
      </w:r>
    </w:p>
    <w:p w14:paraId="468AB5B2">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（二）不同投标供应商的法定代表人、主要经营负责人、项目投标授权代表人、项目负责人、主要技术人员为同一人、属同一单位或者在同一单位缴纳社会保险。</w:t>
      </w:r>
    </w:p>
    <w:p w14:paraId="61428F1B">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（三）不同投标供应商的投标文件由同一单位或者同一人编制，或者由同一人分阶段参与编制的。</w:t>
      </w:r>
    </w:p>
    <w:p w14:paraId="33912565">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（四）不同投标供应商的投标文件或部分投标文件相互混装。</w:t>
      </w:r>
    </w:p>
    <w:p w14:paraId="1D041334">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（五）不同投标供应商的投标文件内容存在非正常一致。</w:t>
      </w:r>
    </w:p>
    <w:p w14:paraId="2AAE1A9E">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（六）由同一单位工作人员为两家以上（含两家）供应商进行同一项投标活动的。</w:t>
      </w:r>
    </w:p>
    <w:p w14:paraId="1E7EE7A3">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（七）不同投标人的投标报价呈规律性差异。</w:t>
      </w:r>
    </w:p>
    <w:p w14:paraId="05DD8E5B">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（八）不同投标人的投标保证金从同一单位或者个人的账户转出。</w:t>
      </w:r>
    </w:p>
    <w:p w14:paraId="7CB15641">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（九）主管部门依照法律、法规认定的其他情形。</w:t>
      </w:r>
    </w:p>
    <w:p w14:paraId="7CFEA10B">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三、本公司已充分知悉下列情形所对应的法律风险，并在投标前已对相关风险事项进行排查。</w:t>
      </w:r>
    </w:p>
    <w:p w14:paraId="6A1F6038">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一）对于从其他主体获取的投标资料，供应商应审慎核查，确保投标资料的真实性。如主管部门查实投标文件中存在虚假资料的，无论相关资料是否由第三方或本公司员工提供，均不影响主管部门对供应商存在“隐瞒真实情况，提供虚假资料”违法行为的认定。</w:t>
      </w:r>
    </w:p>
    <w:p w14:paraId="2F9DA93D">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（二）对于涉及国家机关出具的公文、证件、证明材料等文件，一旦涉嫌虚假，经查实，主管部门将依法从严处理，并移送有关部门追究法律责任；涉嫌犯罪的，主管部门将一并移送司法机关追究法律责任。</w:t>
      </w:r>
    </w:p>
    <w:p w14:paraId="2BE30563">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 xml:space="preserve">（三）对于涉及安全生产、特种作业、抢险救灾、防疫等政府采购项目，供应商实施提供虚假资料、串通投标等违法行为的，主管部门将依法从严处理。 </w:t>
      </w:r>
    </w:p>
    <w:p w14:paraId="6C0F39D5">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14:paraId="3491050B">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14:paraId="5355D594">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（六）单位负责人为同一人或者存在直接控股、管理关系的不同供应商，不得参加同一合同项下的政府采购活动。相关情形如查实，依法作投标无效处理；涉嫌串通投标等违法行为的，主管部门将依法调查处理。</w:t>
      </w:r>
    </w:p>
    <w:p w14:paraId="5AFD2747">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四、本公司已充分知悉政府采购违法、违规行为的法律后果。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14:paraId="7284552D">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以下文字请投标供应商抄写并确认：“本公司已仔细阅读《政府采购违法行为风险知悉确认书》，充分知悉违法行为的法律后果，并承诺将严谨、诚信、依法依规参与政府采购活动”。</w:t>
      </w:r>
    </w:p>
    <w:tbl>
      <w:tblPr>
        <w:tblStyle w:val="48"/>
        <w:tblW w:w="8529" w:type="dxa"/>
        <w:tblInd w:w="0" w:type="dxa"/>
        <w:tblBorders>
          <w:top w:val="none" w:color="auto" w:sz="0"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529"/>
      </w:tblGrid>
      <w:tr w14:paraId="1A4D9C0F">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 w:hRule="atLeast"/>
        </w:trPr>
        <w:tc>
          <w:tcPr>
            <w:tcW w:w="8529" w:type="dxa"/>
            <w:tcBorders>
              <w:top w:val="nil"/>
              <w:left w:val="nil"/>
              <w:bottom w:val="single" w:color="000000" w:sz="8" w:space="0"/>
              <w:right w:val="nil"/>
            </w:tcBorders>
            <w:noWrap w:val="0"/>
            <w:vAlign w:val="top"/>
          </w:tcPr>
          <w:p w14:paraId="0630F04D">
            <w:pPr>
              <w:keepNext w:val="0"/>
              <w:keepLines w:val="0"/>
              <w:widowControl w:val="0"/>
              <w:suppressLineNumbers w:val="0"/>
              <w:shd w:val="clear"/>
              <w:autoSpaceDE w:val="0"/>
              <w:autoSpaceDN w:val="0"/>
              <w:spacing w:before="0" w:beforeLines="0" w:beforeAutospacing="0" w:after="0" w:afterLines="25" w:afterAutospacing="0" w:line="340" w:lineRule="exact"/>
              <w:ind w:left="0" w:right="0" w:firstLine="1866"/>
              <w:rPr>
                <w:rFonts w:hint="eastAsia" w:ascii="宋体" w:hAnsi="宋体" w:eastAsia="宋体" w:cs="宋体"/>
                <w:color w:val="auto"/>
                <w:spacing w:val="-4"/>
                <w:kern w:val="0"/>
                <w:sz w:val="24"/>
                <w:szCs w:val="24"/>
                <w:highlight w:val="none"/>
              </w:rPr>
            </w:pPr>
          </w:p>
        </w:tc>
      </w:tr>
      <w:tr w14:paraId="6A82BF43">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78222FEA">
            <w:pPr>
              <w:keepNext w:val="0"/>
              <w:keepLines w:val="0"/>
              <w:widowControl w:val="0"/>
              <w:suppressLineNumbers w:val="0"/>
              <w:shd w:val="clear"/>
              <w:autoSpaceDE w:val="0"/>
              <w:autoSpaceDN w:val="0"/>
              <w:spacing w:before="0" w:beforeLines="0" w:beforeAutospacing="0" w:after="0" w:afterLines="25" w:afterAutospacing="0" w:line="340" w:lineRule="exact"/>
              <w:ind w:left="0" w:right="0" w:firstLine="1866"/>
              <w:rPr>
                <w:rFonts w:hint="eastAsia" w:ascii="宋体" w:hAnsi="宋体" w:eastAsia="宋体" w:cs="宋体"/>
                <w:color w:val="auto"/>
                <w:spacing w:val="-4"/>
                <w:kern w:val="0"/>
                <w:sz w:val="24"/>
                <w:szCs w:val="24"/>
                <w:highlight w:val="none"/>
              </w:rPr>
            </w:pPr>
          </w:p>
        </w:tc>
      </w:tr>
      <w:tr w14:paraId="0E430345">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000000" w:sz="8" w:space="0"/>
              <w:right w:val="nil"/>
            </w:tcBorders>
            <w:noWrap w:val="0"/>
            <w:vAlign w:val="top"/>
          </w:tcPr>
          <w:p w14:paraId="256F408E">
            <w:pPr>
              <w:keepNext w:val="0"/>
              <w:keepLines w:val="0"/>
              <w:widowControl w:val="0"/>
              <w:suppressLineNumbers w:val="0"/>
              <w:shd w:val="clear"/>
              <w:autoSpaceDE w:val="0"/>
              <w:autoSpaceDN w:val="0"/>
              <w:spacing w:before="0" w:beforeLines="0" w:beforeAutospacing="0" w:after="0" w:afterLines="25" w:afterAutospacing="0" w:line="340" w:lineRule="exact"/>
              <w:ind w:left="0" w:right="0" w:firstLine="1866"/>
              <w:rPr>
                <w:rFonts w:hint="eastAsia" w:ascii="宋体" w:hAnsi="宋体" w:eastAsia="宋体" w:cs="宋体"/>
                <w:color w:val="auto"/>
                <w:spacing w:val="-4"/>
                <w:kern w:val="0"/>
                <w:sz w:val="24"/>
                <w:szCs w:val="24"/>
                <w:highlight w:val="none"/>
              </w:rPr>
            </w:pPr>
          </w:p>
        </w:tc>
      </w:tr>
      <w:tr w14:paraId="7E3BEA00">
        <w:tblPrEx>
          <w:tblBorders>
            <w:top w:val="none" w:color="auto" w:sz="0"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8529" w:type="dxa"/>
            <w:tcBorders>
              <w:top w:val="single" w:color="000000" w:sz="8" w:space="0"/>
              <w:left w:val="nil"/>
              <w:bottom w:val="single" w:color="auto" w:sz="8" w:space="0"/>
              <w:right w:val="nil"/>
            </w:tcBorders>
            <w:noWrap w:val="0"/>
            <w:vAlign w:val="top"/>
          </w:tcPr>
          <w:p w14:paraId="09C3D6F3">
            <w:pPr>
              <w:keepNext w:val="0"/>
              <w:keepLines w:val="0"/>
              <w:widowControl w:val="0"/>
              <w:suppressLineNumbers w:val="0"/>
              <w:shd w:val="clear"/>
              <w:autoSpaceDE w:val="0"/>
              <w:autoSpaceDN w:val="0"/>
              <w:spacing w:before="0" w:beforeLines="0" w:beforeAutospacing="0" w:after="0" w:afterLines="25" w:afterAutospacing="0" w:line="340" w:lineRule="exact"/>
              <w:ind w:left="0" w:right="0" w:firstLine="1866"/>
              <w:rPr>
                <w:rFonts w:hint="eastAsia" w:ascii="宋体" w:hAnsi="宋体" w:eastAsia="宋体" w:cs="宋体"/>
                <w:color w:val="auto"/>
                <w:spacing w:val="-4"/>
                <w:kern w:val="0"/>
                <w:sz w:val="24"/>
                <w:szCs w:val="24"/>
                <w:highlight w:val="none"/>
              </w:rPr>
            </w:pPr>
          </w:p>
        </w:tc>
      </w:tr>
    </w:tbl>
    <w:p w14:paraId="340AD2EA">
      <w:pPr>
        <w:shd w:val="clear"/>
        <w:spacing w:line="240" w:lineRule="auto"/>
        <w:rPr>
          <w:rFonts w:hint="eastAsia" w:asciiTheme="majorEastAsia" w:hAnsiTheme="majorEastAsia" w:eastAsiaTheme="majorEastAsia" w:cstheme="majorEastAsia"/>
          <w:color w:val="auto"/>
          <w:sz w:val="21"/>
          <w:szCs w:val="21"/>
          <w:highlight w:val="none"/>
          <w:u w:val="single"/>
        </w:rPr>
      </w:pPr>
    </w:p>
    <w:p w14:paraId="7BD34421">
      <w:pPr>
        <w:shd w:val="clear"/>
        <w:rPr>
          <w:rFonts w:hint="eastAsia" w:ascii="宋体" w:hAnsi="宋体" w:eastAsia="宋体" w:cs="宋体"/>
          <w:color w:val="auto"/>
          <w:kern w:val="0"/>
          <w:sz w:val="24"/>
          <w:szCs w:val="24"/>
          <w:highlight w:val="none"/>
          <w:lang w:val="en-US" w:eastAsia="zh-CN"/>
        </w:rPr>
      </w:pPr>
      <w:r>
        <w:rPr>
          <w:rFonts w:hint="eastAsia" w:ascii="宋体" w:hAnsi="宋体" w:eastAsia="宋体" w:cs="宋体"/>
          <w:b/>
          <w:bCs/>
          <w:color w:val="auto"/>
          <w:spacing w:val="-4"/>
          <w:kern w:val="0"/>
          <w:sz w:val="24"/>
          <w:szCs w:val="24"/>
          <w:highlight w:val="none"/>
        </w:rPr>
        <w:t>注：</w:t>
      </w:r>
      <w:r>
        <w:rPr>
          <w:rFonts w:hint="eastAsia" w:ascii="宋体" w:hAnsi="宋体" w:eastAsia="宋体" w:cs="宋体"/>
          <w:b/>
          <w:bCs/>
          <w:color w:val="auto"/>
          <w:spacing w:val="-4"/>
          <w:kern w:val="0"/>
          <w:sz w:val="24"/>
          <w:szCs w:val="24"/>
          <w:highlight w:val="none"/>
          <w:lang w:eastAsia="zh-CN"/>
        </w:rPr>
        <w:t>《</w:t>
      </w:r>
      <w:r>
        <w:rPr>
          <w:rFonts w:hint="eastAsia" w:ascii="宋体" w:hAnsi="宋体" w:eastAsia="宋体" w:cs="宋体"/>
          <w:b/>
          <w:bCs/>
          <w:color w:val="auto"/>
          <w:spacing w:val="-4"/>
          <w:kern w:val="0"/>
          <w:sz w:val="24"/>
          <w:szCs w:val="24"/>
          <w:highlight w:val="none"/>
          <w:lang w:val="en-US" w:eastAsia="zh-CN"/>
        </w:rPr>
        <w:t>政府采购违法行为风险知悉确认书</w:t>
      </w:r>
      <w:r>
        <w:rPr>
          <w:rFonts w:hint="eastAsia" w:ascii="宋体" w:hAnsi="宋体" w:eastAsia="宋体" w:cs="宋体"/>
          <w:b/>
          <w:bCs/>
          <w:color w:val="auto"/>
          <w:spacing w:val="-4"/>
          <w:kern w:val="0"/>
          <w:sz w:val="24"/>
          <w:szCs w:val="24"/>
          <w:highlight w:val="none"/>
          <w:lang w:eastAsia="zh-CN"/>
        </w:rPr>
        <w:t>》需由</w:t>
      </w:r>
      <w:r>
        <w:rPr>
          <w:rFonts w:hint="eastAsia" w:ascii="宋体" w:hAnsi="宋体" w:eastAsia="宋体" w:cs="宋体"/>
          <w:b/>
          <w:bCs/>
          <w:color w:val="auto"/>
          <w:spacing w:val="-4"/>
          <w:kern w:val="0"/>
          <w:sz w:val="24"/>
          <w:szCs w:val="24"/>
          <w:highlight w:val="none"/>
        </w:rPr>
        <w:t>投标供应商负责人/投标授权代表签字并加盖单位公章后，扫描上传至投标文件一并提交。该风险知悉确认书用于对供应商违法行为的警示，不作为供应商资格性审查及符合性审查条件。</w:t>
      </w:r>
    </w:p>
    <w:p w14:paraId="238B7C73">
      <w:pPr>
        <w:shd w:val="clear"/>
        <w:spacing w:line="500" w:lineRule="exact"/>
        <w:ind w:firstLine="5160" w:firstLineChars="2150"/>
        <w:rPr>
          <w:rFonts w:hint="eastAsia" w:ascii="宋体" w:hAnsi="宋体"/>
          <w:color w:val="auto"/>
          <w:highlight w:val="none"/>
        </w:rPr>
      </w:pPr>
    </w:p>
    <w:p w14:paraId="5DF9F252">
      <w:pPr>
        <w:pStyle w:val="6"/>
        <w:shd w:val="clear"/>
        <w:rPr>
          <w:rFonts w:hint="eastAsia" w:ascii="宋体" w:hAnsi="宋体"/>
          <w:color w:val="auto"/>
          <w:highlight w:val="none"/>
        </w:rPr>
      </w:pPr>
    </w:p>
    <w:p w14:paraId="1278EFDA">
      <w:pPr>
        <w:pStyle w:val="13"/>
        <w:shd w:val="clear"/>
        <w:rPr>
          <w:rFonts w:hint="eastAsia"/>
          <w:color w:val="auto"/>
          <w:highlight w:val="none"/>
        </w:rPr>
      </w:pPr>
    </w:p>
    <w:p w14:paraId="26C9F2C7">
      <w:pPr>
        <w:shd w:val="clear"/>
        <w:spacing w:line="500" w:lineRule="exact"/>
        <w:ind w:firstLine="5160" w:firstLineChars="2150"/>
        <w:rPr>
          <w:rFonts w:hint="eastAsia" w:ascii="宋体" w:hAnsi="宋体"/>
          <w:color w:val="auto"/>
          <w:highlight w:val="none"/>
        </w:rPr>
      </w:pPr>
      <w:r>
        <w:rPr>
          <w:rFonts w:hint="eastAsia" w:ascii="宋体" w:hAnsi="宋体"/>
          <w:color w:val="auto"/>
          <w:highlight w:val="none"/>
        </w:rPr>
        <w:t>负责人/投标授权代表签名：</w:t>
      </w:r>
    </w:p>
    <w:p w14:paraId="6E14EA9C">
      <w:pPr>
        <w:shd w:val="clear"/>
        <w:spacing w:line="500" w:lineRule="exact"/>
        <w:ind w:firstLine="5160" w:firstLineChars="2150"/>
        <w:rPr>
          <w:rFonts w:hint="eastAsia" w:ascii="宋体" w:hAnsi="宋体"/>
          <w:color w:val="auto"/>
          <w:highlight w:val="none"/>
        </w:rPr>
      </w:pPr>
      <w:r>
        <w:rPr>
          <w:rFonts w:hint="eastAsia" w:ascii="宋体" w:hAnsi="宋体"/>
          <w:color w:val="auto"/>
          <w:highlight w:val="none"/>
        </w:rPr>
        <w:t>知悉人（公章）：</w:t>
      </w:r>
    </w:p>
    <w:p w14:paraId="13082DB1">
      <w:pPr>
        <w:shd w:val="clear"/>
        <w:spacing w:line="500" w:lineRule="exact"/>
        <w:ind w:firstLine="5160" w:firstLineChars="2150"/>
        <w:rPr>
          <w:rFonts w:hint="eastAsia" w:ascii="宋体" w:hAnsi="宋体"/>
          <w:color w:val="auto"/>
          <w:highlight w:val="none"/>
        </w:rPr>
      </w:pPr>
      <w:r>
        <w:rPr>
          <w:rFonts w:hint="eastAsia" w:ascii="宋体" w:hAnsi="宋体"/>
          <w:color w:val="auto"/>
          <w:highlight w:val="none"/>
        </w:rPr>
        <w:t>日期：</w:t>
      </w:r>
    </w:p>
    <w:p w14:paraId="3C4B9A36">
      <w:pPr>
        <w:shd w:val="clear"/>
        <w:jc w:val="both"/>
        <w:rPr>
          <w:color w:val="auto"/>
          <w:highlight w:val="none"/>
        </w:rPr>
      </w:pPr>
    </w:p>
    <w:p w14:paraId="3FF09599">
      <w:pPr>
        <w:shd w:val="clear"/>
        <w:bidi w:val="0"/>
        <w:rPr>
          <w:rFonts w:hint="eastAsia" w:eastAsia="仿宋_GB2312"/>
          <w:color w:val="auto"/>
          <w:highlight w:val="none"/>
        </w:rPr>
      </w:pPr>
    </w:p>
    <w:p w14:paraId="4E5D6574">
      <w:pPr>
        <w:shd w:val="clear"/>
        <w:bidi w:val="0"/>
        <w:rPr>
          <w:rFonts w:hint="eastAsia" w:eastAsia="仿宋_GB2312"/>
          <w:color w:val="auto"/>
          <w:highlight w:val="none"/>
        </w:rPr>
      </w:pPr>
    </w:p>
    <w:p w14:paraId="058EAF19">
      <w:pPr>
        <w:shd w:val="clear"/>
        <w:bidi w:val="0"/>
        <w:rPr>
          <w:rFonts w:hint="eastAsia" w:eastAsia="仿宋_GB2312"/>
          <w:color w:val="auto"/>
          <w:highlight w:val="none"/>
        </w:rPr>
      </w:pPr>
    </w:p>
    <w:p w14:paraId="1EB126DF">
      <w:pPr>
        <w:shd w:val="clear"/>
        <w:bidi w:val="0"/>
        <w:rPr>
          <w:rFonts w:hint="eastAsia" w:eastAsia="仿宋_GB2312"/>
          <w:color w:val="auto"/>
          <w:highlight w:val="none"/>
        </w:rPr>
      </w:pPr>
    </w:p>
    <w:p w14:paraId="0A9DFFEB">
      <w:pPr>
        <w:shd w:val="clear"/>
        <w:bidi w:val="0"/>
        <w:rPr>
          <w:rFonts w:hint="eastAsia" w:eastAsia="仿宋_GB2312"/>
          <w:color w:val="auto"/>
          <w:highlight w:val="none"/>
        </w:rPr>
      </w:pPr>
    </w:p>
    <w:p w14:paraId="4349B14C">
      <w:pPr>
        <w:shd w:val="clear"/>
        <w:bidi w:val="0"/>
        <w:rPr>
          <w:rFonts w:hint="eastAsia" w:eastAsia="仿宋_GB2312"/>
          <w:color w:val="auto"/>
          <w:highlight w:val="none"/>
        </w:rPr>
      </w:pPr>
    </w:p>
    <w:p w14:paraId="20664836">
      <w:pPr>
        <w:shd w:val="clear"/>
        <w:bidi w:val="0"/>
        <w:rPr>
          <w:rFonts w:hint="eastAsia" w:eastAsia="仿宋_GB2312"/>
          <w:color w:val="auto"/>
          <w:highlight w:val="none"/>
        </w:rPr>
      </w:pPr>
    </w:p>
    <w:p w14:paraId="30610A44">
      <w:pPr>
        <w:shd w:val="clear"/>
        <w:bidi w:val="0"/>
        <w:rPr>
          <w:rFonts w:hint="eastAsia" w:eastAsia="仿宋_GB2312"/>
          <w:color w:val="auto"/>
          <w:highlight w:val="none"/>
        </w:rPr>
      </w:pPr>
    </w:p>
    <w:p w14:paraId="56F4B596">
      <w:pPr>
        <w:shd w:val="clear"/>
        <w:bidi w:val="0"/>
        <w:rPr>
          <w:rFonts w:hint="eastAsia" w:eastAsia="仿宋_GB2312"/>
          <w:color w:val="auto"/>
          <w:highlight w:val="none"/>
        </w:rPr>
      </w:pPr>
    </w:p>
    <w:p w14:paraId="4F3BA68E">
      <w:pPr>
        <w:shd w:val="clear"/>
        <w:bidi w:val="0"/>
        <w:rPr>
          <w:rFonts w:hint="eastAsia" w:eastAsia="仿宋_GB2312"/>
          <w:color w:val="auto"/>
          <w:highlight w:val="none"/>
        </w:rPr>
      </w:pPr>
    </w:p>
    <w:p w14:paraId="5E02C537">
      <w:pPr>
        <w:shd w:val="clear"/>
        <w:bidi w:val="0"/>
        <w:rPr>
          <w:rFonts w:hint="eastAsia" w:eastAsia="仿宋_GB2312"/>
          <w:color w:val="auto"/>
          <w:highlight w:val="none"/>
        </w:rPr>
      </w:pPr>
      <w:r>
        <w:rPr>
          <w:rFonts w:hint="eastAsia" w:eastAsia="仿宋_GB2312"/>
          <w:color w:val="auto"/>
          <w:highlight w:val="none"/>
        </w:rPr>
        <w:t xml:space="preserve">                                                                                                           </w:t>
      </w:r>
    </w:p>
    <w:p w14:paraId="5C89FC4E">
      <w:pPr>
        <w:pStyle w:val="4"/>
        <w:shd w:val="clear"/>
        <w:bidi w:val="0"/>
        <w:rPr>
          <w:rFonts w:hint="eastAsia"/>
          <w:color w:val="auto"/>
          <w:highlight w:val="none"/>
          <w:lang w:val="en-US" w:eastAsia="zh-CN"/>
        </w:rPr>
      </w:pPr>
      <w:r>
        <w:rPr>
          <w:rFonts w:hint="eastAsia"/>
          <w:color w:val="auto"/>
          <w:highlight w:val="none"/>
          <w:lang w:val="en-US" w:eastAsia="zh-CN"/>
        </w:rPr>
        <w:t>七、供应商基本情况表</w:t>
      </w:r>
    </w:p>
    <w:p w14:paraId="0391468C">
      <w:pPr>
        <w:numPr>
          <w:ilvl w:val="0"/>
          <w:numId w:val="0"/>
        </w:numPr>
        <w:shd w:val="clear"/>
        <w:jc w:val="center"/>
        <w:rPr>
          <w:rFonts w:hint="eastAsia" w:ascii="宋体" w:hAnsi="宋体" w:eastAsia="宋体" w:cs="Times New Roman"/>
          <w:b/>
          <w:bCs/>
          <w:color w:val="auto"/>
          <w:sz w:val="52"/>
          <w:szCs w:val="52"/>
          <w:highlight w:val="none"/>
          <w:lang w:val="en-US" w:eastAsia="zh-CN"/>
        </w:rPr>
      </w:pPr>
      <w:r>
        <w:rPr>
          <w:rFonts w:hint="eastAsia" w:ascii="宋体" w:hAnsi="宋体" w:eastAsia="宋体" w:cs="Times New Roman"/>
          <w:b/>
          <w:bCs/>
          <w:color w:val="auto"/>
          <w:sz w:val="52"/>
          <w:szCs w:val="52"/>
          <w:highlight w:val="none"/>
          <w:lang w:val="en-US" w:eastAsia="zh-CN"/>
        </w:rPr>
        <w:t>供应商基本情况表</w:t>
      </w:r>
    </w:p>
    <w:p w14:paraId="32DC4474">
      <w:pPr>
        <w:shd w:val="clear"/>
        <w:jc w:val="center"/>
        <w:rPr>
          <w:rFonts w:hint="eastAsia" w:ascii="方正仿宋_GBK" w:hAnsi="方正仿宋_GBK" w:eastAsia="方正仿宋_GBK" w:cs="方正仿宋_GBK"/>
          <w:color w:val="auto"/>
          <w:sz w:val="28"/>
          <w:szCs w:val="28"/>
          <w:highlight w:val="none"/>
          <w:lang w:val="en-US" w:eastAsia="zh-CN"/>
        </w:rPr>
      </w:pPr>
      <w:r>
        <w:rPr>
          <w:rFonts w:hint="eastAsia" w:ascii="方正仿宋_GBK" w:hAnsi="方正仿宋_GBK" w:eastAsia="方正仿宋_GBK" w:cs="方正仿宋_GBK"/>
          <w:color w:val="auto"/>
          <w:sz w:val="28"/>
          <w:szCs w:val="28"/>
          <w:highlight w:val="none"/>
          <w:lang w:val="en-US" w:eastAsia="zh-CN"/>
        </w:rPr>
        <w:t>填表单位：（加盖单位公章）</w:t>
      </w:r>
      <w:r>
        <w:rPr>
          <w:rFonts w:hint="eastAsia" w:ascii="方正仿宋_GBK" w:hAnsi="方正仿宋_GBK" w:eastAsia="方正仿宋_GBK" w:cs="方正仿宋_GBK"/>
          <w:color w:val="auto"/>
          <w:sz w:val="28"/>
          <w:szCs w:val="28"/>
          <w:highlight w:val="none"/>
          <w:lang w:val="en-US" w:eastAsia="zh-CN"/>
        </w:rPr>
        <w:tab/>
      </w:r>
      <w:r>
        <w:rPr>
          <w:rFonts w:hint="eastAsia" w:ascii="方正仿宋_GBK" w:hAnsi="方正仿宋_GBK" w:eastAsia="方正仿宋_GBK" w:cs="方正仿宋_GBK"/>
          <w:color w:val="auto"/>
          <w:sz w:val="28"/>
          <w:szCs w:val="28"/>
          <w:highlight w:val="none"/>
          <w:lang w:val="en-US" w:eastAsia="zh-CN"/>
        </w:rPr>
        <w:tab/>
      </w:r>
      <w:r>
        <w:rPr>
          <w:rFonts w:hint="eastAsia" w:ascii="方正仿宋_GBK" w:hAnsi="方正仿宋_GBK" w:eastAsia="方正仿宋_GBK" w:cs="方正仿宋_GBK"/>
          <w:color w:val="auto"/>
          <w:sz w:val="28"/>
          <w:szCs w:val="28"/>
          <w:highlight w:val="none"/>
          <w:lang w:val="en-US" w:eastAsia="zh-CN"/>
        </w:rPr>
        <w:t xml:space="preserve">   填表日期：    年   月   日</w:t>
      </w:r>
    </w:p>
    <w:tbl>
      <w:tblPr>
        <w:tblStyle w:val="25"/>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6"/>
        <w:gridCol w:w="676"/>
        <w:gridCol w:w="1606"/>
        <w:gridCol w:w="947"/>
        <w:gridCol w:w="791"/>
        <w:gridCol w:w="1200"/>
        <w:gridCol w:w="1500"/>
        <w:gridCol w:w="1485"/>
      </w:tblGrid>
      <w:tr w14:paraId="23C16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2" w:type="dxa"/>
            <w:gridSpan w:val="2"/>
            <w:noWrap w:val="0"/>
            <w:vAlign w:val="center"/>
          </w:tcPr>
          <w:p w14:paraId="20EAB8AB">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采购人</w:t>
            </w:r>
          </w:p>
        </w:tc>
        <w:tc>
          <w:tcPr>
            <w:tcW w:w="2553" w:type="dxa"/>
            <w:gridSpan w:val="2"/>
            <w:noWrap w:val="0"/>
            <w:vAlign w:val="center"/>
          </w:tcPr>
          <w:p w14:paraId="62B3DFBC">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noWrap w:val="0"/>
            <w:vAlign w:val="center"/>
          </w:tcPr>
          <w:p w14:paraId="3944A320">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项目名称</w:t>
            </w:r>
          </w:p>
        </w:tc>
        <w:tc>
          <w:tcPr>
            <w:tcW w:w="2985" w:type="dxa"/>
            <w:gridSpan w:val="2"/>
            <w:noWrap w:val="0"/>
            <w:vAlign w:val="center"/>
          </w:tcPr>
          <w:p w14:paraId="4F53C12F">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40C10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2" w:type="dxa"/>
            <w:gridSpan w:val="2"/>
            <w:noWrap w:val="0"/>
            <w:vAlign w:val="center"/>
          </w:tcPr>
          <w:p w14:paraId="0A1D2D1F">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投标（响应）供应商</w:t>
            </w:r>
          </w:p>
        </w:tc>
        <w:tc>
          <w:tcPr>
            <w:tcW w:w="2553" w:type="dxa"/>
            <w:gridSpan w:val="2"/>
            <w:noWrap w:val="0"/>
            <w:vAlign w:val="center"/>
          </w:tcPr>
          <w:p w14:paraId="58CCBE78">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noWrap w:val="0"/>
            <w:vAlign w:val="center"/>
          </w:tcPr>
          <w:p w14:paraId="67A3A1D6">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供应商统一社会信用代码</w:t>
            </w:r>
          </w:p>
        </w:tc>
        <w:tc>
          <w:tcPr>
            <w:tcW w:w="2985" w:type="dxa"/>
            <w:gridSpan w:val="2"/>
            <w:noWrap w:val="0"/>
            <w:vAlign w:val="center"/>
          </w:tcPr>
          <w:p w14:paraId="72E6CAC9">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4A321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1" w:type="dxa"/>
            <w:gridSpan w:val="8"/>
            <w:noWrap w:val="0"/>
            <w:vAlign w:val="center"/>
          </w:tcPr>
          <w:p w14:paraId="3F0F917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b/>
                <w:bCs/>
                <w:color w:val="auto"/>
                <w:sz w:val="24"/>
                <w:szCs w:val="24"/>
                <w:highlight w:val="none"/>
                <w:vertAlign w:val="baseline"/>
                <w:lang w:val="en-US" w:eastAsia="zh-CN"/>
              </w:rPr>
              <w:t>投标（响应）供应商相关人员情况</w:t>
            </w:r>
          </w:p>
        </w:tc>
      </w:tr>
      <w:tr w14:paraId="2B05A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bottom w:val="single" w:color="auto" w:sz="4" w:space="0"/>
            </w:tcBorders>
            <w:noWrap w:val="0"/>
            <w:vAlign w:val="center"/>
          </w:tcPr>
          <w:p w14:paraId="6068362A">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序号</w:t>
            </w:r>
          </w:p>
        </w:tc>
        <w:tc>
          <w:tcPr>
            <w:tcW w:w="2282" w:type="dxa"/>
            <w:gridSpan w:val="2"/>
            <w:tcBorders>
              <w:bottom w:val="single" w:color="auto" w:sz="4" w:space="0"/>
            </w:tcBorders>
            <w:noWrap w:val="0"/>
            <w:vAlign w:val="center"/>
          </w:tcPr>
          <w:p w14:paraId="7568007A">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职务</w:t>
            </w:r>
          </w:p>
        </w:tc>
        <w:tc>
          <w:tcPr>
            <w:tcW w:w="947" w:type="dxa"/>
            <w:tcBorders>
              <w:bottom w:val="single" w:color="auto" w:sz="4" w:space="0"/>
            </w:tcBorders>
            <w:noWrap w:val="0"/>
            <w:vAlign w:val="center"/>
          </w:tcPr>
          <w:p w14:paraId="4ECCF1FF">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姓名</w:t>
            </w:r>
          </w:p>
        </w:tc>
        <w:tc>
          <w:tcPr>
            <w:tcW w:w="1991" w:type="dxa"/>
            <w:gridSpan w:val="2"/>
            <w:tcBorders>
              <w:bottom w:val="single" w:color="auto" w:sz="4" w:space="0"/>
            </w:tcBorders>
            <w:noWrap w:val="0"/>
            <w:vAlign w:val="center"/>
          </w:tcPr>
          <w:p w14:paraId="45B5C447">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身份证号码</w:t>
            </w:r>
          </w:p>
        </w:tc>
        <w:tc>
          <w:tcPr>
            <w:tcW w:w="1500" w:type="dxa"/>
            <w:tcBorders>
              <w:bottom w:val="single" w:color="auto" w:sz="4" w:space="0"/>
            </w:tcBorders>
            <w:noWrap w:val="0"/>
            <w:vAlign w:val="center"/>
          </w:tcPr>
          <w:p w14:paraId="100ABC6C">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劳动合同</w:t>
            </w:r>
          </w:p>
          <w:p w14:paraId="0F46F4D5">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关系单位</w:t>
            </w:r>
          </w:p>
        </w:tc>
        <w:tc>
          <w:tcPr>
            <w:tcW w:w="1485" w:type="dxa"/>
            <w:tcBorders>
              <w:bottom w:val="single" w:color="auto" w:sz="4" w:space="0"/>
            </w:tcBorders>
            <w:noWrap w:val="0"/>
            <w:vAlign w:val="center"/>
          </w:tcPr>
          <w:p w14:paraId="474D7673">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缴纳社会</w:t>
            </w:r>
          </w:p>
          <w:p w14:paraId="53E3930F">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保险单位</w:t>
            </w:r>
          </w:p>
        </w:tc>
      </w:tr>
      <w:tr w14:paraId="3537D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750778AE">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1</w:t>
            </w:r>
          </w:p>
        </w:tc>
        <w:tc>
          <w:tcPr>
            <w:tcW w:w="2282" w:type="dxa"/>
            <w:gridSpan w:val="2"/>
            <w:tcBorders>
              <w:top w:val="single" w:color="auto" w:sz="4" w:space="0"/>
              <w:left w:val="single" w:color="auto" w:sz="4" w:space="0"/>
              <w:bottom w:val="single" w:color="auto" w:sz="4" w:space="0"/>
              <w:right w:val="single" w:color="auto" w:sz="4" w:space="0"/>
            </w:tcBorders>
            <w:noWrap w:val="0"/>
            <w:vAlign w:val="center"/>
          </w:tcPr>
          <w:p w14:paraId="5C0A0D71">
            <w:pPr>
              <w:widowControl w:val="0"/>
              <w:shd w:val="clear"/>
              <w:spacing w:line="460" w:lineRule="exact"/>
              <w:jc w:val="center"/>
              <w:rPr>
                <w:rFonts w:hint="eastAsia" w:ascii="方正仿宋_GBK" w:hAnsi="方正仿宋_GBK" w:eastAsia="方正仿宋_GBK" w:cs="方正仿宋_GBK"/>
                <w:color w:val="auto"/>
                <w:sz w:val="24"/>
                <w:szCs w:val="24"/>
                <w:highlight w:val="none"/>
                <w:lang w:eastAsia="zh-CN"/>
              </w:rPr>
            </w:pPr>
            <w:r>
              <w:rPr>
                <w:rFonts w:hint="eastAsia" w:ascii="方正仿宋_GBK" w:hAnsi="方正仿宋_GBK" w:eastAsia="方正仿宋_GBK" w:cs="方正仿宋_GBK"/>
                <w:color w:val="auto"/>
                <w:sz w:val="22"/>
                <w:szCs w:val="22"/>
                <w:highlight w:val="none"/>
              </w:rPr>
              <w:t>法定代表人</w:t>
            </w:r>
            <w:r>
              <w:rPr>
                <w:rFonts w:hint="eastAsia" w:ascii="方正仿宋_GBK" w:hAnsi="方正仿宋_GBK" w:eastAsia="方正仿宋_GBK" w:cs="方正仿宋_GBK"/>
                <w:color w:val="auto"/>
                <w:sz w:val="22"/>
                <w:szCs w:val="22"/>
                <w:highlight w:val="none"/>
                <w:lang w:val="en-US" w:eastAsia="zh-CN"/>
              </w:rPr>
              <w:t>/单位负责人/主要经营负责人</w:t>
            </w:r>
          </w:p>
        </w:tc>
        <w:tc>
          <w:tcPr>
            <w:tcW w:w="947" w:type="dxa"/>
            <w:tcBorders>
              <w:top w:val="single" w:color="auto" w:sz="4" w:space="0"/>
              <w:left w:val="single" w:color="auto" w:sz="4" w:space="0"/>
              <w:bottom w:val="single" w:color="auto" w:sz="4" w:space="0"/>
              <w:right w:val="single" w:color="auto" w:sz="4" w:space="0"/>
            </w:tcBorders>
            <w:noWrap w:val="0"/>
            <w:vAlign w:val="center"/>
          </w:tcPr>
          <w:p w14:paraId="68E2E0B7">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tcBorders>
              <w:top w:val="single" w:color="auto" w:sz="4" w:space="0"/>
              <w:left w:val="single" w:color="auto" w:sz="4" w:space="0"/>
              <w:bottom w:val="single" w:color="auto" w:sz="4" w:space="0"/>
              <w:right w:val="single" w:color="auto" w:sz="4" w:space="0"/>
            </w:tcBorders>
            <w:noWrap w:val="0"/>
            <w:vAlign w:val="center"/>
          </w:tcPr>
          <w:p w14:paraId="3A62404A">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A14E89B">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14:paraId="0F80C6C5">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3BFE3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6976DF8C">
            <w:pPr>
              <w:widowControl w:val="0"/>
              <w:shd w:val="clear"/>
              <w:spacing w:beforeLines="0" w:afterLines="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rPr>
              <w:t>2</w:t>
            </w:r>
          </w:p>
        </w:tc>
        <w:tc>
          <w:tcPr>
            <w:tcW w:w="2282" w:type="dxa"/>
            <w:gridSpan w:val="2"/>
            <w:tcBorders>
              <w:top w:val="single" w:color="auto" w:sz="4" w:space="0"/>
              <w:left w:val="single" w:color="auto" w:sz="4" w:space="0"/>
              <w:bottom w:val="single" w:color="auto" w:sz="4" w:space="0"/>
              <w:right w:val="single" w:color="auto" w:sz="4" w:space="0"/>
            </w:tcBorders>
            <w:noWrap w:val="0"/>
            <w:vAlign w:val="center"/>
          </w:tcPr>
          <w:p w14:paraId="0441D65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2"/>
                <w:szCs w:val="22"/>
                <w:highlight w:val="none"/>
              </w:rPr>
              <w:t>项目投标授权代表人</w:t>
            </w:r>
          </w:p>
        </w:tc>
        <w:tc>
          <w:tcPr>
            <w:tcW w:w="947" w:type="dxa"/>
            <w:tcBorders>
              <w:top w:val="single" w:color="auto" w:sz="4" w:space="0"/>
              <w:left w:val="single" w:color="auto" w:sz="4" w:space="0"/>
              <w:bottom w:val="single" w:color="auto" w:sz="4" w:space="0"/>
              <w:right w:val="single" w:color="auto" w:sz="4" w:space="0"/>
            </w:tcBorders>
            <w:noWrap w:val="0"/>
            <w:vAlign w:val="center"/>
          </w:tcPr>
          <w:p w14:paraId="72A48EE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tcBorders>
              <w:top w:val="single" w:color="auto" w:sz="4" w:space="0"/>
              <w:left w:val="single" w:color="auto" w:sz="4" w:space="0"/>
              <w:bottom w:val="single" w:color="auto" w:sz="4" w:space="0"/>
              <w:right w:val="single" w:color="auto" w:sz="4" w:space="0"/>
            </w:tcBorders>
            <w:noWrap w:val="0"/>
            <w:vAlign w:val="center"/>
          </w:tcPr>
          <w:p w14:paraId="2C590541">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1AB4B6B">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485" w:type="dxa"/>
            <w:tcBorders>
              <w:top w:val="single" w:color="auto" w:sz="4" w:space="0"/>
              <w:left w:val="single" w:color="auto" w:sz="4" w:space="0"/>
              <w:bottom w:val="single" w:color="auto" w:sz="4" w:space="0"/>
              <w:right w:val="single" w:color="auto" w:sz="4" w:space="0"/>
            </w:tcBorders>
            <w:noWrap w:val="0"/>
            <w:vAlign w:val="center"/>
          </w:tcPr>
          <w:p w14:paraId="5F0F377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4D4A6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tcBorders>
            <w:noWrap w:val="0"/>
            <w:vAlign w:val="center"/>
          </w:tcPr>
          <w:p w14:paraId="535D2DC3">
            <w:pPr>
              <w:widowControl w:val="0"/>
              <w:shd w:val="clear"/>
              <w:spacing w:beforeLines="0" w:afterLines="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lang w:bidi="ar"/>
              </w:rPr>
              <w:t>3</w:t>
            </w:r>
          </w:p>
        </w:tc>
        <w:tc>
          <w:tcPr>
            <w:tcW w:w="2282" w:type="dxa"/>
            <w:gridSpan w:val="2"/>
            <w:tcBorders>
              <w:top w:val="single" w:color="auto" w:sz="4" w:space="0"/>
            </w:tcBorders>
            <w:noWrap w:val="0"/>
            <w:vAlign w:val="center"/>
          </w:tcPr>
          <w:p w14:paraId="723A50EA">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rPr>
              <w:t>项目负责人</w:t>
            </w:r>
          </w:p>
        </w:tc>
        <w:tc>
          <w:tcPr>
            <w:tcW w:w="947" w:type="dxa"/>
            <w:tcBorders>
              <w:top w:val="single" w:color="auto" w:sz="4" w:space="0"/>
            </w:tcBorders>
            <w:noWrap w:val="0"/>
            <w:vAlign w:val="center"/>
          </w:tcPr>
          <w:p w14:paraId="2909514E">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tcBorders>
              <w:top w:val="single" w:color="auto" w:sz="4" w:space="0"/>
            </w:tcBorders>
            <w:noWrap w:val="0"/>
            <w:vAlign w:val="center"/>
          </w:tcPr>
          <w:p w14:paraId="4507C90B">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500" w:type="dxa"/>
            <w:tcBorders>
              <w:top w:val="single" w:color="auto" w:sz="4" w:space="0"/>
            </w:tcBorders>
            <w:noWrap w:val="0"/>
            <w:vAlign w:val="center"/>
          </w:tcPr>
          <w:p w14:paraId="0AEDC3B2">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485" w:type="dxa"/>
            <w:tcBorders>
              <w:top w:val="single" w:color="auto" w:sz="4" w:space="0"/>
            </w:tcBorders>
            <w:noWrap w:val="0"/>
            <w:vAlign w:val="center"/>
          </w:tcPr>
          <w:p w14:paraId="1F33E744">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386B8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14:paraId="195E10F3">
            <w:pPr>
              <w:widowControl w:val="0"/>
              <w:shd w:val="clear"/>
              <w:spacing w:beforeLines="0" w:afterLines="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lang w:bidi="ar"/>
              </w:rPr>
              <w:t>4</w:t>
            </w:r>
          </w:p>
        </w:tc>
        <w:tc>
          <w:tcPr>
            <w:tcW w:w="2282" w:type="dxa"/>
            <w:gridSpan w:val="2"/>
            <w:noWrap w:val="0"/>
            <w:vAlign w:val="center"/>
          </w:tcPr>
          <w:p w14:paraId="49005BBC">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rPr>
              <w:t>主要技术人员</w:t>
            </w:r>
          </w:p>
        </w:tc>
        <w:tc>
          <w:tcPr>
            <w:tcW w:w="947" w:type="dxa"/>
            <w:noWrap w:val="0"/>
            <w:vAlign w:val="center"/>
          </w:tcPr>
          <w:p w14:paraId="1FD71F42">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noWrap w:val="0"/>
            <w:vAlign w:val="center"/>
          </w:tcPr>
          <w:p w14:paraId="445B9A38">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500" w:type="dxa"/>
            <w:noWrap w:val="0"/>
            <w:vAlign w:val="center"/>
          </w:tcPr>
          <w:p w14:paraId="2076FDD6">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485" w:type="dxa"/>
            <w:noWrap w:val="0"/>
            <w:vAlign w:val="center"/>
          </w:tcPr>
          <w:p w14:paraId="22258CD8">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4A454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noWrap w:val="0"/>
            <w:vAlign w:val="center"/>
          </w:tcPr>
          <w:p w14:paraId="21A7B5B2">
            <w:pPr>
              <w:widowControl w:val="0"/>
              <w:shd w:val="clear"/>
              <w:spacing w:beforeLines="0" w:afterLines="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lang w:bidi="ar"/>
              </w:rPr>
              <w:t>5</w:t>
            </w:r>
          </w:p>
        </w:tc>
        <w:tc>
          <w:tcPr>
            <w:tcW w:w="2282" w:type="dxa"/>
            <w:gridSpan w:val="2"/>
            <w:noWrap w:val="0"/>
            <w:vAlign w:val="center"/>
          </w:tcPr>
          <w:p w14:paraId="1631F8DB">
            <w:pPr>
              <w:pStyle w:val="6"/>
              <w:widowControl w:val="0"/>
              <w:shd w:val="clear"/>
              <w:snapToGrid w:val="0"/>
              <w:ind w:left="0" w:leftChars="0" w:firstLine="0" w:firstLineChars="0"/>
              <w:jc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rPr>
              <w:t>投标文件</w:t>
            </w:r>
            <w:r>
              <w:rPr>
                <w:rFonts w:hint="eastAsia" w:ascii="方正仿宋_GBK" w:hAnsi="方正仿宋_GBK" w:eastAsia="方正仿宋_GBK" w:cs="方正仿宋_GBK"/>
                <w:color w:val="auto"/>
                <w:sz w:val="24"/>
                <w:szCs w:val="24"/>
                <w:highlight w:val="none"/>
                <w:lang w:eastAsia="zh-CN"/>
              </w:rPr>
              <w:t>编制人员</w:t>
            </w:r>
          </w:p>
        </w:tc>
        <w:tc>
          <w:tcPr>
            <w:tcW w:w="947" w:type="dxa"/>
            <w:noWrap w:val="0"/>
            <w:vAlign w:val="center"/>
          </w:tcPr>
          <w:p w14:paraId="7150350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991" w:type="dxa"/>
            <w:gridSpan w:val="2"/>
            <w:noWrap w:val="0"/>
            <w:vAlign w:val="center"/>
          </w:tcPr>
          <w:p w14:paraId="22D6701C">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500" w:type="dxa"/>
            <w:noWrap w:val="0"/>
            <w:vAlign w:val="center"/>
          </w:tcPr>
          <w:p w14:paraId="76417BAF">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1485" w:type="dxa"/>
            <w:noWrap w:val="0"/>
            <w:vAlign w:val="center"/>
          </w:tcPr>
          <w:p w14:paraId="1E37047B">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r>
      <w:tr w14:paraId="71152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1" w:type="dxa"/>
            <w:gridSpan w:val="8"/>
            <w:noWrap w:val="0"/>
            <w:vAlign w:val="center"/>
          </w:tcPr>
          <w:p w14:paraId="35B22C76">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b/>
                <w:bCs/>
                <w:color w:val="auto"/>
                <w:sz w:val="24"/>
                <w:szCs w:val="24"/>
                <w:highlight w:val="none"/>
                <w:vertAlign w:val="baseline"/>
                <w:lang w:val="en-US" w:eastAsia="zh-CN"/>
              </w:rPr>
              <w:t>说明：同一职务有多人担任（如主要技术人员），应分行填写。</w:t>
            </w:r>
          </w:p>
        </w:tc>
      </w:tr>
      <w:tr w14:paraId="71119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941" w:type="dxa"/>
            <w:gridSpan w:val="8"/>
            <w:noWrap w:val="0"/>
            <w:vAlign w:val="center"/>
          </w:tcPr>
          <w:p w14:paraId="2901178A">
            <w:pPr>
              <w:widowControl w:val="0"/>
              <w:shd w:val="clear"/>
              <w:jc w:val="center"/>
              <w:rPr>
                <w:rFonts w:hint="eastAsia" w:ascii="方正仿宋_GBK" w:hAnsi="方正仿宋_GBK" w:eastAsia="方正仿宋_GBK" w:cs="方正仿宋_GBK"/>
                <w:b/>
                <w:bCs/>
                <w:color w:val="auto"/>
                <w:sz w:val="24"/>
                <w:szCs w:val="24"/>
                <w:highlight w:val="none"/>
                <w:vertAlign w:val="baseline"/>
                <w:lang w:val="en-US" w:eastAsia="zh-CN"/>
              </w:rPr>
            </w:pPr>
            <w:r>
              <w:rPr>
                <w:rFonts w:hint="eastAsia" w:ascii="方正仿宋_GBK" w:hAnsi="方正仿宋_GBK" w:eastAsia="方正仿宋_GBK" w:cs="方正仿宋_GBK"/>
                <w:b/>
                <w:bCs/>
                <w:color w:val="auto"/>
                <w:sz w:val="24"/>
                <w:szCs w:val="24"/>
                <w:highlight w:val="none"/>
                <w:vertAlign w:val="baseline"/>
                <w:lang w:val="en-US" w:eastAsia="zh-CN"/>
              </w:rPr>
              <w:t>投标（响应）供应商关联关系情况</w:t>
            </w:r>
          </w:p>
        </w:tc>
      </w:tr>
      <w:tr w14:paraId="25AD7E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bottom w:val="single" w:color="auto" w:sz="4" w:space="0"/>
            </w:tcBorders>
            <w:noWrap w:val="0"/>
            <w:vAlign w:val="center"/>
          </w:tcPr>
          <w:p w14:paraId="6F0C6A78">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bidi="ar"/>
              </w:rPr>
            </w:pPr>
            <w:r>
              <w:rPr>
                <w:rFonts w:hint="eastAsia" w:ascii="方正仿宋_GBK" w:hAnsi="方正仿宋_GBK" w:eastAsia="方正仿宋_GBK" w:cs="方正仿宋_GBK"/>
                <w:color w:val="auto"/>
                <w:sz w:val="24"/>
                <w:szCs w:val="24"/>
                <w:highlight w:val="none"/>
                <w:vertAlign w:val="baseline"/>
                <w:lang w:val="en-US" w:eastAsia="zh-CN" w:bidi="ar"/>
              </w:rPr>
              <w:t>序号</w:t>
            </w:r>
          </w:p>
        </w:tc>
        <w:tc>
          <w:tcPr>
            <w:tcW w:w="2282" w:type="dxa"/>
            <w:gridSpan w:val="2"/>
            <w:tcBorders>
              <w:bottom w:val="single" w:color="auto" w:sz="4" w:space="0"/>
            </w:tcBorders>
            <w:noWrap w:val="0"/>
            <w:vAlign w:val="center"/>
          </w:tcPr>
          <w:p w14:paraId="25206684">
            <w:pPr>
              <w:widowControl w:val="0"/>
              <w:shd w:val="clear"/>
              <w:jc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关联关系类型</w:t>
            </w:r>
          </w:p>
        </w:tc>
        <w:tc>
          <w:tcPr>
            <w:tcW w:w="1738" w:type="dxa"/>
            <w:gridSpan w:val="2"/>
            <w:tcBorders>
              <w:bottom w:val="single" w:color="auto" w:sz="4" w:space="0"/>
            </w:tcBorders>
            <w:noWrap w:val="0"/>
            <w:vAlign w:val="center"/>
          </w:tcPr>
          <w:p w14:paraId="3E16AA1F">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关联主体名称</w:t>
            </w:r>
          </w:p>
        </w:tc>
        <w:tc>
          <w:tcPr>
            <w:tcW w:w="4185" w:type="dxa"/>
            <w:gridSpan w:val="3"/>
            <w:tcBorders>
              <w:bottom w:val="single" w:color="auto" w:sz="4" w:space="0"/>
            </w:tcBorders>
            <w:noWrap w:val="0"/>
            <w:vAlign w:val="center"/>
          </w:tcPr>
          <w:p w14:paraId="5C15B803">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备注</w:t>
            </w:r>
          </w:p>
        </w:tc>
      </w:tr>
      <w:tr w14:paraId="7D9FE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53E8FAB0">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bidi="ar"/>
              </w:rPr>
            </w:pPr>
            <w:r>
              <w:rPr>
                <w:rFonts w:hint="eastAsia" w:ascii="方正仿宋_GBK" w:hAnsi="方正仿宋_GBK" w:eastAsia="方正仿宋_GBK" w:cs="方正仿宋_GBK"/>
                <w:color w:val="auto"/>
                <w:sz w:val="24"/>
                <w:szCs w:val="24"/>
                <w:highlight w:val="none"/>
                <w:vertAlign w:val="baseline"/>
                <w:lang w:val="en-US" w:eastAsia="zh-CN" w:bidi="ar"/>
              </w:rPr>
              <w:t>1</w:t>
            </w:r>
          </w:p>
        </w:tc>
        <w:tc>
          <w:tcPr>
            <w:tcW w:w="2282" w:type="dxa"/>
            <w:gridSpan w:val="2"/>
            <w:tcBorders>
              <w:top w:val="single" w:color="auto" w:sz="4" w:space="0"/>
              <w:left w:val="single" w:color="auto" w:sz="4" w:space="0"/>
              <w:bottom w:val="single" w:color="auto" w:sz="4" w:space="0"/>
              <w:right w:val="single" w:color="auto" w:sz="4" w:space="0"/>
            </w:tcBorders>
            <w:noWrap w:val="0"/>
            <w:vAlign w:val="center"/>
          </w:tcPr>
          <w:p w14:paraId="67C6B29C">
            <w:pPr>
              <w:widowControl w:val="0"/>
              <w:shd w:val="clear"/>
              <w:jc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控股股东</w:t>
            </w:r>
          </w:p>
        </w:tc>
        <w:tc>
          <w:tcPr>
            <w:tcW w:w="1738" w:type="dxa"/>
            <w:gridSpan w:val="2"/>
            <w:tcBorders>
              <w:top w:val="single" w:color="auto" w:sz="4" w:space="0"/>
              <w:left w:val="single" w:color="auto" w:sz="4" w:space="0"/>
              <w:bottom w:val="single" w:color="auto" w:sz="4" w:space="0"/>
              <w:right w:val="single" w:color="auto" w:sz="4" w:space="0"/>
            </w:tcBorders>
            <w:noWrap w:val="0"/>
            <w:vAlign w:val="center"/>
          </w:tcPr>
          <w:p w14:paraId="434E29CC">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4185" w:type="dxa"/>
            <w:gridSpan w:val="3"/>
            <w:tcBorders>
              <w:top w:val="single" w:color="auto" w:sz="4" w:space="0"/>
              <w:left w:val="single" w:color="auto" w:sz="4" w:space="0"/>
              <w:bottom w:val="single" w:color="auto" w:sz="4" w:space="0"/>
              <w:right w:val="single" w:color="auto" w:sz="4" w:space="0"/>
            </w:tcBorders>
            <w:noWrap w:val="0"/>
            <w:vAlign w:val="center"/>
          </w:tcPr>
          <w:p w14:paraId="59670512">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18"/>
                <w:szCs w:val="18"/>
                <w:highlight w:val="none"/>
                <w:vertAlign w:val="baseline"/>
                <w:lang w:val="en-US" w:eastAsia="zh-CN"/>
              </w:rPr>
              <w:t>指出资额（或持有股份）占投标（响应）供应商资本总额（或股本总额）50%以上的股东，以及出资额（或持有股份）的比例虽然不足50%，但依其出资额（或持有股份）所享有的表决权已足以对投标（响应）供应商股东会（或股东大会）的决议产生重要影响的股东。</w:t>
            </w:r>
          </w:p>
        </w:tc>
      </w:tr>
      <w:tr w14:paraId="13ED64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6" w:type="dxa"/>
            <w:tcBorders>
              <w:top w:val="single" w:color="auto" w:sz="4" w:space="0"/>
              <w:left w:val="single" w:color="auto" w:sz="4" w:space="0"/>
              <w:bottom w:val="single" w:color="auto" w:sz="4" w:space="0"/>
              <w:right w:val="single" w:color="auto" w:sz="4" w:space="0"/>
            </w:tcBorders>
            <w:noWrap w:val="0"/>
            <w:vAlign w:val="center"/>
          </w:tcPr>
          <w:p w14:paraId="472D147D">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bidi="ar"/>
              </w:rPr>
            </w:pPr>
            <w:r>
              <w:rPr>
                <w:rFonts w:hint="eastAsia" w:ascii="方正仿宋_GBK" w:hAnsi="方正仿宋_GBK" w:eastAsia="方正仿宋_GBK" w:cs="方正仿宋_GBK"/>
                <w:color w:val="auto"/>
                <w:sz w:val="24"/>
                <w:szCs w:val="24"/>
                <w:highlight w:val="none"/>
                <w:vertAlign w:val="baseline"/>
                <w:lang w:val="en-US" w:eastAsia="zh-CN" w:bidi="ar"/>
              </w:rPr>
              <w:t>2</w:t>
            </w:r>
          </w:p>
        </w:tc>
        <w:tc>
          <w:tcPr>
            <w:tcW w:w="2282" w:type="dxa"/>
            <w:gridSpan w:val="2"/>
            <w:tcBorders>
              <w:top w:val="single" w:color="auto" w:sz="4" w:space="0"/>
              <w:left w:val="single" w:color="auto" w:sz="4" w:space="0"/>
              <w:bottom w:val="single" w:color="auto" w:sz="4" w:space="0"/>
              <w:right w:val="single" w:color="auto" w:sz="4" w:space="0"/>
            </w:tcBorders>
            <w:noWrap w:val="0"/>
            <w:vAlign w:val="center"/>
          </w:tcPr>
          <w:p w14:paraId="011A5AD1">
            <w:pPr>
              <w:widowControl w:val="0"/>
              <w:shd w:val="clear"/>
              <w:jc w:val="center"/>
              <w:rPr>
                <w:rFonts w:hint="eastAsia" w:ascii="方正仿宋_GBK" w:hAnsi="方正仿宋_GBK" w:eastAsia="方正仿宋_GBK" w:cs="方正仿宋_GBK"/>
                <w:color w:val="auto"/>
                <w:sz w:val="24"/>
                <w:szCs w:val="24"/>
                <w:highlight w:val="none"/>
                <w:lang w:val="en-US" w:eastAsia="zh-CN"/>
              </w:rPr>
            </w:pPr>
            <w:r>
              <w:rPr>
                <w:rFonts w:hint="eastAsia" w:ascii="方正仿宋_GBK" w:hAnsi="方正仿宋_GBK" w:eastAsia="方正仿宋_GBK" w:cs="方正仿宋_GBK"/>
                <w:color w:val="auto"/>
                <w:sz w:val="24"/>
                <w:szCs w:val="24"/>
                <w:highlight w:val="none"/>
                <w:lang w:val="en-US" w:eastAsia="zh-CN"/>
              </w:rPr>
              <w:t>管理关系</w:t>
            </w:r>
          </w:p>
        </w:tc>
        <w:tc>
          <w:tcPr>
            <w:tcW w:w="1738" w:type="dxa"/>
            <w:gridSpan w:val="2"/>
            <w:tcBorders>
              <w:top w:val="single" w:color="auto" w:sz="4" w:space="0"/>
              <w:left w:val="single" w:color="auto" w:sz="4" w:space="0"/>
              <w:bottom w:val="single" w:color="auto" w:sz="4" w:space="0"/>
              <w:right w:val="single" w:color="auto" w:sz="4" w:space="0"/>
            </w:tcBorders>
            <w:noWrap w:val="0"/>
            <w:vAlign w:val="center"/>
          </w:tcPr>
          <w:p w14:paraId="34F6C9C0">
            <w:pPr>
              <w:widowControl w:val="0"/>
              <w:shd w:val="clear"/>
              <w:jc w:val="center"/>
              <w:rPr>
                <w:rFonts w:hint="eastAsia" w:ascii="方正仿宋_GBK" w:hAnsi="方正仿宋_GBK" w:eastAsia="方正仿宋_GBK" w:cs="方正仿宋_GBK"/>
                <w:color w:val="auto"/>
                <w:sz w:val="24"/>
                <w:szCs w:val="24"/>
                <w:highlight w:val="none"/>
                <w:vertAlign w:val="baseline"/>
                <w:lang w:val="en-US" w:eastAsia="zh-CN"/>
              </w:rPr>
            </w:pPr>
          </w:p>
        </w:tc>
        <w:tc>
          <w:tcPr>
            <w:tcW w:w="4185" w:type="dxa"/>
            <w:gridSpan w:val="3"/>
            <w:tcBorders>
              <w:top w:val="single" w:color="auto" w:sz="4" w:space="0"/>
              <w:left w:val="single" w:color="auto" w:sz="4" w:space="0"/>
              <w:bottom w:val="single" w:color="auto" w:sz="4" w:space="0"/>
              <w:right w:val="single" w:color="auto" w:sz="4" w:space="0"/>
            </w:tcBorders>
            <w:noWrap w:val="0"/>
            <w:vAlign w:val="center"/>
          </w:tcPr>
          <w:p w14:paraId="16D2B652">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color w:val="auto"/>
                <w:sz w:val="24"/>
                <w:szCs w:val="24"/>
                <w:highlight w:val="none"/>
                <w:vertAlign w:val="baseline"/>
                <w:lang w:val="en-US" w:eastAsia="zh-CN"/>
              </w:rPr>
              <w:t>指对投标（响应）供应商不具有出资持股关系，但对其存在管理关系的主体。</w:t>
            </w:r>
          </w:p>
        </w:tc>
      </w:tr>
      <w:tr w14:paraId="71D95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941" w:type="dxa"/>
            <w:gridSpan w:val="8"/>
            <w:tcBorders>
              <w:top w:val="single" w:color="auto" w:sz="4" w:space="0"/>
              <w:left w:val="single" w:color="auto" w:sz="4" w:space="0"/>
              <w:bottom w:val="single" w:color="auto" w:sz="4" w:space="0"/>
              <w:right w:val="single" w:color="auto" w:sz="4" w:space="0"/>
            </w:tcBorders>
            <w:noWrap w:val="0"/>
            <w:vAlign w:val="center"/>
          </w:tcPr>
          <w:p w14:paraId="3C9D78F9">
            <w:pPr>
              <w:widowControl w:val="0"/>
              <w:shd w:val="clear"/>
              <w:snapToGrid w:val="0"/>
              <w:jc w:val="center"/>
              <w:rPr>
                <w:rFonts w:hint="eastAsia" w:ascii="方正仿宋_GBK" w:hAnsi="方正仿宋_GBK" w:eastAsia="方正仿宋_GBK" w:cs="方正仿宋_GBK"/>
                <w:color w:val="auto"/>
                <w:sz w:val="24"/>
                <w:szCs w:val="24"/>
                <w:highlight w:val="none"/>
                <w:vertAlign w:val="baseline"/>
                <w:lang w:val="en-US" w:eastAsia="zh-CN"/>
              </w:rPr>
            </w:pPr>
            <w:r>
              <w:rPr>
                <w:rFonts w:hint="eastAsia" w:ascii="方正仿宋_GBK" w:hAnsi="方正仿宋_GBK" w:eastAsia="方正仿宋_GBK" w:cs="方正仿宋_GBK"/>
                <w:b/>
                <w:bCs/>
                <w:color w:val="auto"/>
                <w:sz w:val="24"/>
                <w:szCs w:val="24"/>
                <w:highlight w:val="none"/>
                <w:vertAlign w:val="baseline"/>
                <w:lang w:val="en-US" w:eastAsia="zh-CN"/>
              </w:rPr>
              <w:t>说明：同一关联关系类型有多个主体的，应分行填写。</w:t>
            </w:r>
          </w:p>
        </w:tc>
      </w:tr>
    </w:tbl>
    <w:p w14:paraId="34C46C61">
      <w:pPr>
        <w:shd w:val="clear"/>
        <w:rPr>
          <w:rFonts w:hint="eastAsia"/>
          <w:color w:val="auto"/>
          <w:highlight w:val="none"/>
        </w:rPr>
      </w:pPr>
    </w:p>
    <w:p w14:paraId="7B3B0C57">
      <w:pPr>
        <w:shd w:val="clear"/>
        <w:bidi w:val="0"/>
        <w:rPr>
          <w:rFonts w:hint="eastAsia"/>
          <w:color w:val="auto"/>
          <w:highlight w:val="none"/>
        </w:rPr>
      </w:pPr>
    </w:p>
    <w:p w14:paraId="7227074A">
      <w:pPr>
        <w:pStyle w:val="22"/>
        <w:shd w:val="clear"/>
        <w:rPr>
          <w:rFonts w:hint="eastAsia"/>
          <w:color w:val="auto"/>
          <w:highlight w:val="none"/>
        </w:rPr>
      </w:pPr>
    </w:p>
    <w:p w14:paraId="1DB0BCBE">
      <w:pPr>
        <w:pStyle w:val="22"/>
        <w:shd w:val="clear"/>
        <w:rPr>
          <w:rFonts w:hint="eastAsia"/>
          <w:color w:val="auto"/>
          <w:highlight w:val="none"/>
        </w:rPr>
      </w:pPr>
    </w:p>
    <w:p w14:paraId="43319A10">
      <w:pPr>
        <w:pStyle w:val="4"/>
        <w:shd w:val="clear"/>
        <w:bidi w:val="0"/>
        <w:rPr>
          <w:rFonts w:hint="eastAsia"/>
          <w:color w:val="auto"/>
          <w:highlight w:val="none"/>
          <w:lang w:val="en-US" w:eastAsia="zh-CN"/>
        </w:rPr>
      </w:pPr>
      <w:r>
        <w:rPr>
          <w:rFonts w:hint="eastAsia"/>
          <w:color w:val="auto"/>
          <w:highlight w:val="none"/>
          <w:lang w:val="en-US" w:eastAsia="zh-CN"/>
        </w:rPr>
        <w:t>八、</w:t>
      </w:r>
      <w:r>
        <w:rPr>
          <w:rFonts w:hint="eastAsia" w:asciiTheme="minorEastAsia" w:hAnsiTheme="minorEastAsia" w:eastAsiaTheme="minorEastAsia" w:cstheme="minorEastAsia"/>
          <w:color w:val="auto"/>
          <w:highlight w:val="none"/>
        </w:rPr>
        <w:t>投标人廉政责任承诺书</w:t>
      </w:r>
    </w:p>
    <w:p w14:paraId="689A1C1D">
      <w:pPr>
        <w:shd w:val="clear"/>
        <w:spacing w:before="0" w:after="0" w:line="360" w:lineRule="auto"/>
        <w:ind w:firstLine="420"/>
        <w:jc w:val="center"/>
        <w:rPr>
          <w:rFonts w:hint="eastAsia" w:ascii="宋体" w:hAnsi="宋体" w:eastAsia="宋体" w:cs="宋体"/>
          <w:color w:val="auto"/>
          <w:highlight w:val="none"/>
          <w:u w:val="single"/>
        </w:rPr>
      </w:pPr>
      <w:r>
        <w:rPr>
          <w:rFonts w:hint="eastAsia" w:ascii="宋体" w:hAnsi="宋体" w:eastAsia="宋体" w:cs="宋体"/>
          <w:b/>
          <w:bCs/>
          <w:color w:val="auto"/>
          <w:sz w:val="32"/>
          <w:szCs w:val="32"/>
          <w:highlight w:val="none"/>
          <w:u w:val="none"/>
        </w:rPr>
        <w:t>投标人廉政责任承诺书</w:t>
      </w:r>
    </w:p>
    <w:p w14:paraId="25C9D43B">
      <w:pPr>
        <w:shd w:val="clear"/>
        <w:bidi w:val="0"/>
        <w:ind w:firstLine="480" w:firstLineChars="200"/>
        <w:jc w:val="both"/>
        <w:rPr>
          <w:rFonts w:hint="eastAsia" w:ascii="宋体" w:hAnsi="宋体" w:eastAsia="宋体" w:cs="宋体"/>
          <w:color w:val="auto"/>
          <w:highlight w:val="none"/>
          <w:u w:val="none"/>
        </w:rPr>
      </w:pPr>
      <w:r>
        <w:rPr>
          <w:rFonts w:hint="eastAsia" w:ascii="宋体" w:hAnsi="宋体" w:eastAsia="宋体" w:cs="宋体"/>
          <w:color w:val="auto"/>
          <w:highlight w:val="none"/>
          <w:u w:val="none"/>
        </w:rPr>
        <w:t>致招标人:深圳市盐田区建筑工程事务署</w:t>
      </w:r>
    </w:p>
    <w:p w14:paraId="01066FB9">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我方已仔细阅读了本工程的招标文件等资料，我方决定参加本工程的竞标，并且完全接受贵方招标文件的所有内容，同时在廉政责任方面作出如下承诺:</w:t>
      </w:r>
    </w:p>
    <w:p w14:paraId="07C56C07">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无论我方是否中标，我方保证严格遵守贵方廉政建设各项规定，规范自身廉政行为，保证在竞标及工程建设过程中不发生不廉洁行为。</w:t>
      </w:r>
    </w:p>
    <w:p w14:paraId="338BBB01">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1.不以任何理由向贵方工作人员赠送礼金、有价证券、支付凭证、贵重物品、娱乐场所门票、会员卡、现金卡等。</w:t>
      </w:r>
    </w:p>
    <w:p w14:paraId="45D96B72">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2.不以任何理由为贵方工作人员报销应由其支付的费用。</w:t>
      </w:r>
    </w:p>
    <w:p w14:paraId="7474AE29">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3.不以任何理由为贵方工作人员在装修住房、婚丧嫁娶 配偶子女的工作安排及出国(境)旅游等方面提供方便。</w:t>
      </w:r>
    </w:p>
    <w:p w14:paraId="3A4B3FFF">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4.不以任何理由为贵方工作人员组织有可能影响公正执行公务的宴请 、健身、娱乐等活动。</w:t>
      </w:r>
    </w:p>
    <w:p w14:paraId="387EE848">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5.不发生其他违反廉洁从业规定的行为。</w:t>
      </w:r>
    </w:p>
    <w:p w14:paraId="7795DFE9">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6.切实遵守《中华人民共和国招标投标法》《中华人民共和国民法典》《中华人民共和国政府采购法》《中华人民共和国反不正当竞争法》《中华人民共和国建筑法》等各项法律法规:严格遵守各项诚信经营制度，合法经营。</w:t>
      </w:r>
    </w:p>
    <w:p w14:paraId="00B6920C">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rPr>
        <w:t>7.切实接受政府行业主管部门的监督管理，对于主管部门提出的监管意见建议，从严从速整改</w:t>
      </w:r>
      <w:r>
        <w:rPr>
          <w:rFonts w:hint="eastAsia" w:ascii="Times New Roman" w:hAnsi="Times New Roman" w:eastAsia="Times New Roman" w:cs="Times New Roman"/>
          <w:color w:val="auto"/>
          <w:highlight w:val="none"/>
          <w:lang w:eastAsia="zh-CN"/>
        </w:rPr>
        <w:t>。</w:t>
      </w:r>
    </w:p>
    <w:p w14:paraId="7F641EDC">
      <w:pPr>
        <w:shd w:val="clear"/>
        <w:bidi w:val="0"/>
        <w:ind w:firstLine="480" w:firstLineChars="200"/>
        <w:jc w:val="both"/>
        <w:rPr>
          <w:rFonts w:hint="eastAsia" w:ascii="Times New Roman" w:hAnsi="Times New Roman" w:eastAsia="Times New Roman" w:cs="Times New Roman"/>
          <w:color w:val="auto"/>
          <w:highlight w:val="none"/>
        </w:rPr>
      </w:pPr>
    </w:p>
    <w:p w14:paraId="27DF291E">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rPr>
        <w:t>如我方若违反上述承诺，自愿承担一切责任并接受有关处罚</w:t>
      </w:r>
      <w:r>
        <w:rPr>
          <w:rFonts w:hint="eastAsia" w:ascii="Times New Roman" w:hAnsi="Times New Roman" w:eastAsia="Times New Roman" w:cs="Times New Roman"/>
          <w:color w:val="auto"/>
          <w:highlight w:val="none"/>
          <w:lang w:eastAsia="zh-CN"/>
        </w:rPr>
        <w:t>。</w:t>
      </w:r>
    </w:p>
    <w:p w14:paraId="374E472D">
      <w:pPr>
        <w:shd w:val="clear"/>
        <w:bidi w:val="0"/>
        <w:ind w:firstLine="480" w:firstLineChars="200"/>
        <w:jc w:val="both"/>
        <w:rPr>
          <w:rFonts w:hint="eastAsia" w:ascii="Times New Roman" w:hAnsi="Times New Roman" w:eastAsia="Times New Roman" w:cs="Times New Roman"/>
          <w:color w:val="auto"/>
          <w:highlight w:val="none"/>
        </w:rPr>
      </w:pPr>
      <w:r>
        <w:rPr>
          <w:rFonts w:hint="eastAsia" w:ascii="Times New Roman" w:hAnsi="Times New Roman" w:eastAsia="Times New Roman" w:cs="Times New Roman"/>
          <w:color w:val="auto"/>
          <w:highlight w:val="none"/>
        </w:rPr>
        <w:t>特此承诺。</w:t>
      </w:r>
    </w:p>
    <w:p w14:paraId="3A7EBE6E">
      <w:pPr>
        <w:shd w:val="clear"/>
        <w:spacing w:before="0" w:after="0" w:line="360" w:lineRule="auto"/>
        <w:ind w:firstLine="960" w:firstLineChars="400"/>
        <w:rPr>
          <w:rFonts w:hint="eastAsia" w:ascii="宋体" w:hAnsi="宋体" w:eastAsia="宋体" w:cs="宋体"/>
          <w:color w:val="auto"/>
          <w:highlight w:val="none"/>
          <w:u w:val="none"/>
        </w:rPr>
      </w:pPr>
    </w:p>
    <w:p w14:paraId="762DA8AC">
      <w:pPr>
        <w:shd w:val="clear"/>
        <w:bidi w:val="0"/>
        <w:ind w:firstLine="480" w:firstLineChars="200"/>
        <w:jc w:val="both"/>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rPr>
        <w:t>投标人(单位公章)</w:t>
      </w:r>
      <w:r>
        <w:rPr>
          <w:rFonts w:hint="eastAsia" w:ascii="宋体" w:hAnsi="宋体" w:eastAsia="宋体" w:cs="宋体"/>
          <w:color w:val="auto"/>
          <w:highlight w:val="none"/>
          <w:u w:val="none"/>
          <w:lang w:eastAsia="zh-CN"/>
        </w:rPr>
        <w:t>：</w:t>
      </w:r>
    </w:p>
    <w:p w14:paraId="44332618">
      <w:pPr>
        <w:shd w:val="clear"/>
        <w:bidi w:val="0"/>
        <w:ind w:firstLine="480" w:firstLineChars="200"/>
        <w:jc w:val="both"/>
        <w:rPr>
          <w:rFonts w:hint="eastAsia" w:ascii="宋体" w:hAnsi="宋体" w:eastAsia="宋体" w:cs="宋体"/>
          <w:color w:val="auto"/>
          <w:highlight w:val="none"/>
          <w:u w:val="none"/>
          <w:lang w:eastAsia="zh-CN"/>
        </w:rPr>
      </w:pPr>
      <w:r>
        <w:rPr>
          <w:rFonts w:hint="eastAsia" w:ascii="宋体" w:hAnsi="宋体" w:eastAsia="宋体" w:cs="宋体"/>
          <w:color w:val="auto"/>
          <w:highlight w:val="none"/>
          <w:u w:val="none"/>
        </w:rPr>
        <w:t>地址</w:t>
      </w:r>
      <w:r>
        <w:rPr>
          <w:rFonts w:hint="eastAsia" w:ascii="宋体" w:hAnsi="宋体" w:eastAsia="宋体" w:cs="宋体"/>
          <w:color w:val="auto"/>
          <w:highlight w:val="none"/>
          <w:u w:val="none"/>
          <w:lang w:eastAsia="zh-CN"/>
        </w:rPr>
        <w:t>：</w:t>
      </w:r>
    </w:p>
    <w:p w14:paraId="680B703D">
      <w:pPr>
        <w:shd w:val="clear"/>
        <w:bidi w:val="0"/>
        <w:ind w:firstLine="480" w:firstLineChars="200"/>
        <w:jc w:val="both"/>
        <w:rPr>
          <w:rFonts w:hint="eastAsia" w:ascii="宋体" w:hAnsi="宋体" w:eastAsia="宋体" w:cs="宋体"/>
          <w:color w:val="auto"/>
          <w:highlight w:val="none"/>
          <w:u w:val="none"/>
          <w:lang w:val="en-US" w:eastAsia="zh-CN"/>
        </w:rPr>
      </w:pPr>
      <w:r>
        <w:rPr>
          <w:rFonts w:hint="eastAsia" w:ascii="宋体" w:hAnsi="宋体" w:eastAsia="宋体" w:cs="宋体"/>
          <w:color w:val="auto"/>
          <w:highlight w:val="none"/>
          <w:u w:val="none"/>
        </w:rPr>
        <w:t>邮政编码</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 xml:space="preserve">          </w:t>
      </w:r>
      <w:r>
        <w:rPr>
          <w:rFonts w:hint="eastAsia" w:ascii="宋体" w:hAnsi="宋体" w:eastAsia="宋体" w:cs="宋体"/>
          <w:color w:val="auto"/>
          <w:highlight w:val="none"/>
          <w:u w:val="none"/>
        </w:rPr>
        <w:t>电话</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 xml:space="preserve">        </w:t>
      </w:r>
      <w:r>
        <w:rPr>
          <w:rFonts w:hint="eastAsia" w:ascii="宋体" w:hAnsi="宋体" w:eastAsia="宋体" w:cs="宋体"/>
          <w:color w:val="auto"/>
          <w:highlight w:val="none"/>
          <w:u w:val="none"/>
        </w:rPr>
        <w:t>传真</w:t>
      </w:r>
      <w:r>
        <w:rPr>
          <w:rFonts w:hint="eastAsia" w:ascii="宋体" w:hAnsi="宋体" w:eastAsia="宋体" w:cs="宋体"/>
          <w:color w:val="auto"/>
          <w:highlight w:val="none"/>
          <w:u w:val="none"/>
          <w:lang w:eastAsia="zh-CN"/>
        </w:rPr>
        <w:t>：</w:t>
      </w:r>
      <w:r>
        <w:rPr>
          <w:rFonts w:hint="eastAsia" w:ascii="宋体" w:hAnsi="宋体" w:eastAsia="宋体" w:cs="宋体"/>
          <w:color w:val="auto"/>
          <w:highlight w:val="none"/>
          <w:u w:val="none"/>
          <w:lang w:val="en-US" w:eastAsia="zh-CN"/>
        </w:rPr>
        <w:t xml:space="preserve">   </w:t>
      </w:r>
    </w:p>
    <w:p w14:paraId="1158D98C">
      <w:pPr>
        <w:shd w:val="clear"/>
        <w:bidi w:val="0"/>
        <w:ind w:firstLine="480" w:firstLineChars="200"/>
        <w:jc w:val="both"/>
        <w:rPr>
          <w:rFonts w:ascii="宋体" w:hAnsi="宋体" w:eastAsia="宋体" w:cs="宋体"/>
          <w:color w:val="auto"/>
          <w:highlight w:val="none"/>
          <w:u w:val="none"/>
        </w:rPr>
      </w:pPr>
      <w:r>
        <w:rPr>
          <w:rFonts w:hint="eastAsia" w:ascii="宋体" w:hAnsi="宋体" w:eastAsia="宋体" w:cs="宋体"/>
          <w:color w:val="auto"/>
          <w:highlight w:val="none"/>
          <w:u w:val="none"/>
        </w:rPr>
        <w:t>年</w:t>
      </w:r>
      <w:r>
        <w:rPr>
          <w:rFonts w:hint="eastAsia" w:ascii="宋体" w:hAnsi="宋体" w:eastAsia="宋体" w:cs="宋体"/>
          <w:color w:val="auto"/>
          <w:highlight w:val="none"/>
          <w:u w:val="none"/>
          <w:lang w:val="en-US" w:eastAsia="zh-CN"/>
        </w:rPr>
        <w:t xml:space="preserve">    </w:t>
      </w:r>
      <w:r>
        <w:rPr>
          <w:rFonts w:hint="eastAsia" w:ascii="宋体" w:hAnsi="宋体" w:eastAsia="宋体" w:cs="宋体"/>
          <w:color w:val="auto"/>
          <w:highlight w:val="none"/>
          <w:u w:val="none"/>
        </w:rPr>
        <w:t>月</w:t>
      </w:r>
      <w:r>
        <w:rPr>
          <w:rFonts w:hint="eastAsia" w:ascii="宋体" w:hAnsi="宋体" w:eastAsia="宋体" w:cs="宋体"/>
          <w:color w:val="auto"/>
          <w:highlight w:val="none"/>
          <w:u w:val="none"/>
          <w:lang w:val="en-US" w:eastAsia="zh-CN"/>
        </w:rPr>
        <w:t xml:space="preserve">    </w:t>
      </w:r>
      <w:r>
        <w:rPr>
          <w:rFonts w:hint="eastAsia" w:ascii="宋体" w:hAnsi="宋体" w:eastAsia="宋体" w:cs="宋体"/>
          <w:color w:val="auto"/>
          <w:highlight w:val="none"/>
          <w:u w:val="none"/>
        </w:rPr>
        <w:t>日</w:t>
      </w:r>
    </w:p>
    <w:p w14:paraId="743DF488">
      <w:pPr>
        <w:shd w:val="clear"/>
        <w:spacing w:before="0" w:after="0" w:line="360" w:lineRule="auto"/>
        <w:ind w:firstLine="420"/>
        <w:rPr>
          <w:rFonts w:ascii="宋体" w:hAnsi="宋体" w:eastAsia="宋体" w:cs="宋体"/>
          <w:color w:val="auto"/>
          <w:highlight w:val="none"/>
          <w:u w:val="single"/>
        </w:rPr>
      </w:pPr>
    </w:p>
    <w:p w14:paraId="1340C22C">
      <w:pPr>
        <w:shd w:val="clear"/>
        <w:spacing w:before="0" w:after="0" w:line="360" w:lineRule="auto"/>
        <w:ind w:firstLine="420"/>
        <w:jc w:val="center"/>
        <w:rPr>
          <w:rFonts w:hint="eastAsia" w:ascii="宋体" w:hAnsi="宋体" w:eastAsia="宋体" w:cs="宋体"/>
          <w:b/>
          <w:bCs/>
          <w:color w:val="auto"/>
          <w:sz w:val="32"/>
          <w:szCs w:val="32"/>
          <w:highlight w:val="none"/>
          <w:u w:val="none"/>
          <w:lang w:eastAsia="zh-CN"/>
        </w:rPr>
      </w:pPr>
      <w:r>
        <w:rPr>
          <w:rFonts w:hint="eastAsia" w:ascii="宋体" w:hAnsi="宋体" w:eastAsia="宋体" w:cs="宋体"/>
          <w:b/>
          <w:bCs/>
          <w:color w:val="auto"/>
          <w:sz w:val="32"/>
          <w:szCs w:val="32"/>
          <w:highlight w:val="none"/>
          <w:u w:val="none"/>
          <w:lang w:eastAsia="zh-CN"/>
        </w:rPr>
        <w:t>盐田区建筑工程事务署建设工程</w:t>
      </w:r>
    </w:p>
    <w:p w14:paraId="11F1DBE4">
      <w:pPr>
        <w:shd w:val="clear"/>
        <w:spacing w:before="0" w:after="0" w:line="360" w:lineRule="auto"/>
        <w:ind w:firstLine="420"/>
        <w:jc w:val="center"/>
        <w:rPr>
          <w:rFonts w:hint="eastAsia" w:ascii="宋体" w:hAnsi="宋体" w:eastAsia="宋体" w:cs="宋体"/>
          <w:b/>
          <w:bCs/>
          <w:color w:val="auto"/>
          <w:sz w:val="32"/>
          <w:szCs w:val="32"/>
          <w:highlight w:val="none"/>
          <w:u w:val="none"/>
          <w:lang w:eastAsia="zh-CN"/>
        </w:rPr>
      </w:pPr>
      <w:r>
        <w:rPr>
          <w:rFonts w:hint="eastAsia" w:ascii="宋体" w:hAnsi="宋体" w:eastAsia="宋体" w:cs="宋体"/>
          <w:b/>
          <w:bCs/>
          <w:color w:val="auto"/>
          <w:sz w:val="32"/>
          <w:szCs w:val="32"/>
          <w:highlight w:val="none"/>
          <w:u w:val="none"/>
          <w:lang w:eastAsia="zh-CN"/>
        </w:rPr>
        <w:t>参建单位廉政管理办法</w:t>
      </w:r>
    </w:p>
    <w:p w14:paraId="26219285">
      <w:pPr>
        <w:shd w:val="clear"/>
        <w:spacing w:before="0" w:after="0" w:line="360" w:lineRule="auto"/>
        <w:ind w:firstLine="420"/>
        <w:jc w:val="center"/>
        <w:rPr>
          <w:rFonts w:hint="eastAsia"/>
          <w:color w:val="auto"/>
          <w:highlight w:val="none"/>
          <w:lang w:eastAsia="zh-CN"/>
        </w:rPr>
      </w:pPr>
    </w:p>
    <w:p w14:paraId="0078DFEF">
      <w:pPr>
        <w:shd w:val="clear"/>
        <w:bidi w:val="0"/>
        <w:ind w:firstLine="480" w:firstLineChars="200"/>
        <w:jc w:val="both"/>
        <w:rPr>
          <w:rFonts w:hint="eastAsia"/>
          <w:color w:val="auto"/>
          <w:highlight w:val="none"/>
          <w:lang w:eastAsia="zh-CN"/>
        </w:rPr>
      </w:pPr>
      <w:r>
        <w:rPr>
          <w:rFonts w:hint="eastAsia"/>
          <w:color w:val="auto"/>
          <w:highlight w:val="none"/>
          <w:lang w:eastAsia="zh-CN"/>
        </w:rPr>
        <w:t>第一条  为进一步规范深圳市盐田区建筑工程事务署（以下简称“工务署”）项目参建单位的行为，共同打造廉洁政府工程，特制定本办法。</w:t>
      </w:r>
    </w:p>
    <w:p w14:paraId="30FA585A">
      <w:pPr>
        <w:shd w:val="clear"/>
        <w:bidi w:val="0"/>
        <w:ind w:firstLine="480" w:firstLineChars="200"/>
        <w:jc w:val="both"/>
        <w:rPr>
          <w:rFonts w:hint="eastAsia"/>
          <w:color w:val="auto"/>
          <w:highlight w:val="none"/>
          <w:lang w:eastAsia="zh-CN"/>
        </w:rPr>
      </w:pPr>
      <w:r>
        <w:rPr>
          <w:rFonts w:hint="eastAsia"/>
          <w:color w:val="auto"/>
          <w:highlight w:val="none"/>
          <w:lang w:eastAsia="zh-CN"/>
        </w:rPr>
        <w:t>第二条  本办法所称项目参建单位，是指参与工务署负责的建设工程投标及建设的勘察、设计、施工、监理、咨询、材料设备供应等业务的法人、其他组织或个人。本办法所称工务署工作人员，是指在工务署从事公务的人员，包括</w:t>
      </w:r>
      <w:r>
        <w:rPr>
          <w:rFonts w:hint="eastAsia" w:ascii="Times New Roman" w:hAnsi="Times New Roman" w:eastAsia="Times New Roman" w:cs="Times New Roman"/>
          <w:color w:val="auto"/>
          <w:highlight w:val="none"/>
          <w:lang w:eastAsia="zh-CN"/>
        </w:rPr>
        <w:t>在编</w:t>
      </w:r>
      <w:r>
        <w:rPr>
          <w:rFonts w:hint="eastAsia"/>
          <w:color w:val="auto"/>
          <w:highlight w:val="none"/>
          <w:lang w:eastAsia="zh-CN"/>
        </w:rPr>
        <w:t>和劳务派遣人员。本办法所称责任人员，是指项目参建单位中对廉洁问题负有责任的管理人员或直接责任人员。本办法所称责任单位，是指对廉洁问题负有责任的项目参建单位。</w:t>
      </w:r>
    </w:p>
    <w:p w14:paraId="4E157520">
      <w:pPr>
        <w:shd w:val="clear"/>
        <w:bidi w:val="0"/>
        <w:ind w:firstLine="480" w:firstLineChars="200"/>
        <w:jc w:val="both"/>
        <w:rPr>
          <w:rFonts w:hint="eastAsia"/>
          <w:color w:val="auto"/>
          <w:highlight w:val="none"/>
          <w:lang w:eastAsia="zh-CN"/>
        </w:rPr>
      </w:pPr>
      <w:r>
        <w:rPr>
          <w:rFonts w:hint="eastAsia"/>
          <w:color w:val="auto"/>
          <w:highlight w:val="none"/>
          <w:lang w:eastAsia="zh-CN"/>
        </w:rPr>
        <w:t>第三条  违反廉政条款相关规定的，视情形给予责任单位和责任人员以下处理措施：</w:t>
      </w:r>
    </w:p>
    <w:p w14:paraId="00804D5B">
      <w:pPr>
        <w:shd w:val="clear"/>
        <w:bidi w:val="0"/>
        <w:ind w:firstLine="480" w:firstLineChars="200"/>
        <w:jc w:val="both"/>
        <w:rPr>
          <w:rFonts w:hint="eastAsia"/>
          <w:color w:val="auto"/>
          <w:highlight w:val="none"/>
          <w:lang w:eastAsia="zh-CN"/>
        </w:rPr>
      </w:pPr>
      <w:r>
        <w:rPr>
          <w:rFonts w:hint="eastAsia"/>
          <w:color w:val="auto"/>
          <w:highlight w:val="none"/>
          <w:lang w:eastAsia="zh-CN"/>
        </w:rPr>
        <w:t>（一）存在以下行为的，给予责任单位和责任人员书面警告处理：</w:t>
      </w:r>
    </w:p>
    <w:p w14:paraId="33B63293">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color w:val="auto"/>
          <w:highlight w:val="none"/>
          <w:lang w:eastAsia="zh-CN"/>
        </w:rPr>
        <w:t>1.为利益相关人和工务署工作人员牵线搭桥、创造条件进行利益输送，或者</w:t>
      </w:r>
      <w:r>
        <w:rPr>
          <w:rFonts w:hint="eastAsia" w:ascii="Times New Roman" w:hAnsi="Times New Roman" w:eastAsia="Times New Roman" w:cs="Times New Roman"/>
          <w:color w:val="auto"/>
          <w:highlight w:val="none"/>
          <w:lang w:eastAsia="zh-CN"/>
        </w:rPr>
        <w:t>代为传递信息、转递财物的；</w:t>
      </w:r>
    </w:p>
    <w:p w14:paraId="6BE13C92">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2.安排与工务署工作人员有近亲属关系的员工从事同一项目的管理工作的；</w:t>
      </w:r>
    </w:p>
    <w:p w14:paraId="44FFDAE4">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3.将车辆、住房等违规借予工务署工作人员使用的；</w:t>
      </w:r>
    </w:p>
    <w:p w14:paraId="34CA3DE2">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4.邀约或接受工务署工作人员资格证挂靠及支付报酬的。</w:t>
      </w:r>
    </w:p>
    <w:p w14:paraId="286A69B4">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（二）存在以下行为的，给予责任单位和责任人员书面严重警告处理：</w:t>
      </w:r>
    </w:p>
    <w:p w14:paraId="1643FC29">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1.在工程招投标、材料设备采购、品牌选用、专业分包、变更签证、质量安全检查、履约评价、工程款支付等业务活动中，向工务署或其他参建单位工作人员赠送红包礼金或输送利益（包括财物、财产性利益与非财产性利益）的；</w:t>
      </w:r>
    </w:p>
    <w:p w14:paraId="219065E2">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2.邀请工务署或其他参建单位的工作人员参加可能影响客观、公正履职的宴请、旅游、健身、娱乐、麻将等活动，以及出入私人会所、高尔夫球场等高消费场所的；</w:t>
      </w:r>
    </w:p>
    <w:p w14:paraId="68B169B8">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3.通过给予专业分包、劳务分包开设商店等方式，为工务署或其他参建单位的工作人员及其近亲属违规谋利提供便利的；</w:t>
      </w:r>
    </w:p>
    <w:p w14:paraId="5120338D">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4.为工务署工作人员报销应由其个人支付的费用的；</w:t>
      </w:r>
    </w:p>
    <w:p w14:paraId="3DF5D631">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5.其他由项目参建单位支付费用或被认定为可能影响工务署工作人员公正履职的活动。</w:t>
      </w:r>
    </w:p>
    <w:p w14:paraId="45269A82">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第四条  经工务署认定项目参建单位存在向工务署工作人员利益输送行为的，按照不低于工务署工作人员受党纪政纪处分、司法处理的影响期限，视情形给予责任单位和责任人员以下处理措施：</w:t>
      </w:r>
    </w:p>
    <w:p w14:paraId="1F224DBF">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（一）利益输送累计数额在一万（含）以上不满二万元的，给予责任单位一年内拒绝参与工务署工程投标及以上处理措施，给予责任人员一年内拒绝参与工务署工程建设及以上处理措施，年度履约评价为不合格；</w:t>
      </w:r>
    </w:p>
    <w:p w14:paraId="240B28A1">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二）利益输送累计数额在二万元（含）以上不满三万元但未达刑法规定的行贿罪量刑标准的，给予责任单位两年内拒绝参与工务署工程投标及以上处理措施，给予责任人员两年内拒绝参与工务署工程建设及以上处理措施，年度履约评价为不合格；</w:t>
      </w:r>
    </w:p>
    <w:p w14:paraId="625D7A11">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三）利益输送累计数额在三万元（含）以上或向工务署工作人员三人（含）以上进行利益输送累计数额在一万（含）以上的，给予责任单位三年内拒绝其参与工务署工程投标的处理措施，给予责任人员三年内拒绝其参与工务署工程建设的处理措施，最终履约评价结果为不合格。</w:t>
      </w:r>
    </w:p>
    <w:p w14:paraId="6A52A106">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第五条  相关利益输送行为经司法机关认定为犯行贿罪的，给予责任单位三年内拒绝参与工务署工程投标的处理措施，给予责任人员三年内拒绝参与工务署工程建设的处理措施。</w:t>
      </w:r>
    </w:p>
    <w:p w14:paraId="5B240C76">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第六条  有关责任单位的分包单位及其人员存在廉洁问题的，视情形给予责任单位以下处理措施：</w:t>
      </w:r>
    </w:p>
    <w:p w14:paraId="6A811B8E">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（一）责任单位未将有关廉洁规定纳入分包合同，或未能有效履行对分包单位及其人员的日常廉洁教育、管理和监督责任，分包单位及其人员发生廉洁问题的，视情形给予责任单位书面警告或书面严重警告处理；</w:t>
      </w:r>
    </w:p>
    <w:p w14:paraId="6380F5DD">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（二）责任单位及其责任人员纵容、唆使、强迫分包单位及其人员发生廉洁问题的，对责任单位和责任人员按照办法第三至五条进行处理。</w:t>
      </w:r>
    </w:p>
    <w:p w14:paraId="389134FF">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第七条  本办法由深圳市盐田区建筑工程事务署负责解释。</w:t>
      </w:r>
    </w:p>
    <w:p w14:paraId="33AA8364">
      <w:pPr>
        <w:shd w:val="clear"/>
        <w:bidi w:val="0"/>
        <w:ind w:firstLine="480" w:firstLineChars="200"/>
        <w:jc w:val="both"/>
        <w:rPr>
          <w:rFonts w:hint="eastAsia" w:ascii="Times New Roman" w:hAnsi="Times New Roman" w:eastAsia="Times New Roman" w:cs="Times New Roman"/>
          <w:color w:val="auto"/>
          <w:highlight w:val="none"/>
          <w:lang w:eastAsia="zh-CN"/>
        </w:rPr>
      </w:pPr>
      <w:r>
        <w:rPr>
          <w:rFonts w:hint="eastAsia" w:ascii="Times New Roman" w:hAnsi="Times New Roman" w:eastAsia="Times New Roman" w:cs="Times New Roman"/>
          <w:color w:val="auto"/>
          <w:highlight w:val="none"/>
          <w:lang w:eastAsia="zh-CN"/>
        </w:rPr>
        <w:t>第八条  本办法自印发之日起实施，有效期5年。</w:t>
      </w:r>
    </w:p>
    <w:p w14:paraId="1B12B61C">
      <w:pPr>
        <w:shd w:val="clear"/>
        <w:rPr>
          <w:color w:val="auto"/>
          <w:highlight w:val="none"/>
        </w:rPr>
      </w:pPr>
    </w:p>
    <w:p w14:paraId="0CFBCE36">
      <w:pPr>
        <w:shd w:val="clear"/>
        <w:bidi w:val="0"/>
        <w:rPr>
          <w:rFonts w:hint="eastAsia"/>
          <w:color w:val="auto"/>
          <w:highlight w:val="none"/>
        </w:rPr>
      </w:pPr>
    </w:p>
    <w:p w14:paraId="3CBD8D55">
      <w:pPr>
        <w:shd w:val="clear"/>
        <w:bidi w:val="0"/>
        <w:rPr>
          <w:rFonts w:hint="eastAsia"/>
          <w:color w:val="auto"/>
          <w:highlight w:val="none"/>
        </w:rPr>
      </w:pPr>
    </w:p>
    <w:p w14:paraId="77AFB87C">
      <w:pPr>
        <w:pStyle w:val="4"/>
        <w:shd w:val="clear"/>
        <w:jc w:val="center"/>
        <w:rPr>
          <w:rFonts w:hint="eastAsia" w:ascii="黑体" w:eastAsia="黑体"/>
          <w:b/>
          <w:bCs/>
          <w:color w:val="auto"/>
          <w:sz w:val="24"/>
          <w:szCs w:val="20"/>
          <w:highlight w:val="none"/>
        </w:rPr>
        <w:sectPr>
          <w:headerReference r:id="rId4" w:type="default"/>
          <w:footerReference r:id="rId5" w:type="default"/>
          <w:footerReference r:id="rId6" w:type="even"/>
          <w:pgSz w:w="11906" w:h="16838"/>
          <w:pgMar w:top="1440" w:right="1800" w:bottom="1440" w:left="1800" w:header="851" w:footer="992" w:gutter="0"/>
          <w:pgNumType w:fmt="decimal"/>
          <w:cols w:space="720" w:num="1"/>
          <w:docGrid w:type="lines" w:linePitch="312" w:charSpace="0"/>
        </w:sectPr>
      </w:pPr>
      <w:r>
        <w:rPr>
          <w:rFonts w:hint="eastAsia" w:ascii="黑体" w:eastAsia="黑体"/>
          <w:b/>
          <w:bCs/>
          <w:color w:val="auto"/>
          <w:sz w:val="24"/>
          <w:szCs w:val="20"/>
          <w:highlight w:val="none"/>
          <w:lang w:val="en-US" w:eastAsia="zh-CN"/>
        </w:rPr>
        <w:t>九、</w:t>
      </w:r>
      <w:r>
        <w:rPr>
          <w:rFonts w:hint="eastAsia" w:ascii="黑体" w:eastAsia="黑体"/>
          <w:b/>
          <w:bCs/>
          <w:color w:val="auto"/>
          <w:sz w:val="24"/>
          <w:szCs w:val="20"/>
          <w:highlight w:val="none"/>
        </w:rPr>
        <w:t>投标人认为需要加以说明的其他内容</w:t>
      </w:r>
    </w:p>
    <w:p w14:paraId="69574390">
      <w:pPr>
        <w:rPr>
          <w:color w:val="auto"/>
          <w:highlight w:val="none"/>
        </w:rPr>
      </w:pPr>
    </w:p>
    <w:p w14:paraId="1D5D9500">
      <w:pPr>
        <w:pStyle w:val="3"/>
        <w:shd w:val="clear"/>
        <w:rPr>
          <w:color w:val="auto"/>
          <w:highlight w:val="none"/>
        </w:rPr>
      </w:pPr>
      <w:r>
        <w:rPr>
          <w:rFonts w:hint="eastAsia"/>
          <w:color w:val="auto"/>
          <w:highlight w:val="none"/>
        </w:rPr>
        <w:t>合同条款及格式</w:t>
      </w:r>
      <w:r>
        <w:rPr>
          <w:rFonts w:hint="eastAsia" w:ascii="宋体" w:hAnsi="宋体" w:eastAsia="宋体" w:cs="Times New Roman"/>
          <w:b/>
          <w:bCs/>
          <w:color w:val="auto"/>
          <w:szCs w:val="32"/>
          <w:highlight w:val="none"/>
        </w:rPr>
        <w:t>（仅供参考）</w:t>
      </w:r>
    </w:p>
    <w:p w14:paraId="09FD847E">
      <w:pPr>
        <w:shd w:val="clear"/>
        <w:rPr>
          <w:color w:val="auto"/>
          <w:highlight w:val="none"/>
        </w:rPr>
      </w:pPr>
    </w:p>
    <w:p w14:paraId="5005BB35">
      <w:pPr>
        <w:shd w:val="clear"/>
        <w:jc w:val="center"/>
        <w:outlineLvl w:val="9"/>
        <w:rPr>
          <w:rFonts w:hint="eastAsia"/>
          <w:b/>
          <w:color w:val="auto"/>
          <w:sz w:val="24"/>
          <w:highlight w:val="none"/>
        </w:rPr>
      </w:pPr>
      <w:r>
        <w:rPr>
          <w:rFonts w:hint="eastAsia"/>
          <w:b/>
          <w:color w:val="auto"/>
          <w:sz w:val="24"/>
          <w:highlight w:val="none"/>
        </w:rPr>
        <w:t>（仅供参考，具体以项目需求</w:t>
      </w:r>
      <w:r>
        <w:rPr>
          <w:rFonts w:hint="eastAsia" w:eastAsia="宋体"/>
          <w:b/>
          <w:color w:val="auto"/>
          <w:sz w:val="24"/>
          <w:highlight w:val="none"/>
          <w:lang w:eastAsia="zh-CN"/>
        </w:rPr>
        <w:t>、</w:t>
      </w:r>
      <w:r>
        <w:rPr>
          <w:rFonts w:hint="eastAsia"/>
          <w:b/>
          <w:color w:val="auto"/>
          <w:sz w:val="24"/>
          <w:highlight w:val="none"/>
        </w:rPr>
        <w:t>采购结果</w:t>
      </w:r>
      <w:r>
        <w:rPr>
          <w:rFonts w:hint="eastAsia" w:eastAsia="宋体"/>
          <w:b/>
          <w:color w:val="auto"/>
          <w:sz w:val="24"/>
          <w:highlight w:val="none"/>
          <w:lang w:val="en-US" w:eastAsia="zh-CN"/>
        </w:rPr>
        <w:t>及签订的合同</w:t>
      </w:r>
      <w:r>
        <w:rPr>
          <w:rFonts w:hint="eastAsia"/>
          <w:b/>
          <w:color w:val="auto"/>
          <w:sz w:val="24"/>
          <w:highlight w:val="none"/>
        </w:rPr>
        <w:t>为准）</w:t>
      </w:r>
    </w:p>
    <w:p w14:paraId="4EC54B6F">
      <w:pPr>
        <w:pStyle w:val="6"/>
        <w:shd w:val="clear"/>
        <w:rPr>
          <w:color w:val="auto"/>
          <w:highlight w:val="none"/>
        </w:rPr>
      </w:pPr>
    </w:p>
    <w:p w14:paraId="5DBD55EA">
      <w:pPr>
        <w:jc w:val="both"/>
        <w:rPr>
          <w:rFonts w:ascii="宋体" w:hAnsi="宋体"/>
          <w:b/>
          <w:bCs/>
          <w:color w:val="auto"/>
          <w:szCs w:val="21"/>
          <w:highlight w:val="none"/>
        </w:rPr>
      </w:pPr>
      <w:r>
        <w:rPr>
          <w:rFonts w:hint="eastAsia" w:ascii="宋体" w:hAnsi="宋体" w:eastAsia="宋体"/>
          <w:b/>
          <w:bCs/>
          <w:color w:val="auto"/>
          <w:szCs w:val="21"/>
          <w:highlight w:val="none"/>
          <w:lang w:val="en-US" w:eastAsia="zh-CN"/>
        </w:rPr>
        <w:t>采购单位</w:t>
      </w:r>
      <w:r>
        <w:rPr>
          <w:rFonts w:hint="eastAsia" w:ascii="宋体" w:hAnsi="宋体"/>
          <w:b/>
          <w:bCs/>
          <w:color w:val="auto"/>
          <w:szCs w:val="21"/>
          <w:highlight w:val="none"/>
        </w:rPr>
        <w:t>：</w:t>
      </w:r>
      <w:r>
        <w:rPr>
          <w:rFonts w:hint="eastAsia" w:ascii="宋体" w:hAnsi="宋体"/>
          <w:b w:val="0"/>
          <w:bCs w:val="0"/>
          <w:color w:val="auto"/>
          <w:szCs w:val="21"/>
          <w:highlight w:val="none"/>
          <w:lang w:eastAsia="zh-CN"/>
        </w:rPr>
        <w:t>深圳市盐田区建筑工程事务署</w:t>
      </w:r>
    </w:p>
    <w:p w14:paraId="389E27C4">
      <w:pPr>
        <w:jc w:val="both"/>
        <w:rPr>
          <w:rFonts w:ascii="宋体" w:hAnsi="宋体"/>
          <w:color w:val="auto"/>
          <w:szCs w:val="21"/>
          <w:highlight w:val="none"/>
        </w:rPr>
      </w:pPr>
      <w:r>
        <w:rPr>
          <w:rFonts w:hint="eastAsia" w:ascii="宋体" w:hAnsi="宋体"/>
          <w:color w:val="auto"/>
          <w:szCs w:val="21"/>
          <w:highlight w:val="none"/>
        </w:rPr>
        <w:t>地址：</w:t>
      </w:r>
      <w:r>
        <w:rPr>
          <w:rFonts w:hint="eastAsia" w:ascii="宋体" w:hAnsi="宋体" w:cs="宋体"/>
          <w:b w:val="0"/>
          <w:bCs w:val="0"/>
          <w:color w:val="auto"/>
          <w:szCs w:val="21"/>
          <w:highlight w:val="none"/>
        </w:rPr>
        <w:t>深圳市盐田区海山街道海景二路工青妇活动中心17楼</w:t>
      </w:r>
    </w:p>
    <w:p w14:paraId="4D3F20C1">
      <w:pPr>
        <w:jc w:val="both"/>
        <w:rPr>
          <w:rFonts w:ascii="宋体" w:hAnsi="宋体"/>
          <w:color w:val="auto"/>
          <w:szCs w:val="21"/>
          <w:highlight w:val="none"/>
        </w:rPr>
      </w:pPr>
      <w:r>
        <w:rPr>
          <w:rFonts w:hint="eastAsia" w:ascii="宋体" w:hAnsi="宋体"/>
          <w:color w:val="auto"/>
          <w:szCs w:val="21"/>
          <w:highlight w:val="none"/>
        </w:rPr>
        <w:t>联系人：</w:t>
      </w:r>
      <w:r>
        <w:rPr>
          <w:rFonts w:ascii="宋体" w:hAnsi="宋体"/>
          <w:color w:val="auto"/>
          <w:szCs w:val="21"/>
          <w:highlight w:val="none"/>
        </w:rPr>
        <w:t xml:space="preserve">                          </w:t>
      </w:r>
    </w:p>
    <w:p w14:paraId="78BA4AEC">
      <w:pPr>
        <w:jc w:val="both"/>
        <w:rPr>
          <w:rFonts w:ascii="宋体" w:hAnsi="宋体"/>
          <w:b/>
          <w:bCs/>
          <w:color w:val="auto"/>
          <w:szCs w:val="21"/>
          <w:highlight w:val="none"/>
        </w:rPr>
      </w:pPr>
      <w:r>
        <w:rPr>
          <w:rFonts w:hint="eastAsia" w:ascii="宋体" w:hAnsi="宋体"/>
          <w:color w:val="auto"/>
          <w:szCs w:val="21"/>
          <w:highlight w:val="none"/>
        </w:rPr>
        <w:t>联系电话：</w:t>
      </w:r>
    </w:p>
    <w:p w14:paraId="59BEF1D6">
      <w:pPr>
        <w:jc w:val="both"/>
        <w:rPr>
          <w:rFonts w:ascii="宋体" w:hAnsi="宋体"/>
          <w:b/>
          <w:bCs/>
          <w:color w:val="auto"/>
          <w:szCs w:val="21"/>
          <w:highlight w:val="none"/>
        </w:rPr>
      </w:pPr>
      <w:r>
        <w:rPr>
          <w:rFonts w:ascii="宋体" w:hAnsi="宋体"/>
          <w:b/>
          <w:bCs/>
          <w:color w:val="auto"/>
          <w:szCs w:val="21"/>
          <w:highlight w:val="none"/>
        </w:rPr>
        <w:t xml:space="preserve"> </w:t>
      </w:r>
      <w:r>
        <w:rPr>
          <w:rFonts w:hint="eastAsia" w:ascii="宋体" w:hAnsi="宋体"/>
          <w:b/>
          <w:bCs/>
          <w:color w:val="auto"/>
          <w:szCs w:val="21"/>
          <w:highlight w:val="none"/>
        </w:rPr>
        <w:t xml:space="preserve"> </w:t>
      </w:r>
      <w:r>
        <w:rPr>
          <w:rFonts w:ascii="宋体" w:hAnsi="宋体"/>
          <w:b/>
          <w:bCs/>
          <w:color w:val="auto"/>
          <w:szCs w:val="21"/>
          <w:highlight w:val="none"/>
        </w:rPr>
        <w:t xml:space="preserve"> </w:t>
      </w:r>
    </w:p>
    <w:p w14:paraId="1524F2CE">
      <w:pPr>
        <w:jc w:val="both"/>
        <w:rPr>
          <w:rFonts w:ascii="宋体" w:hAnsi="宋体"/>
          <w:b/>
          <w:bCs/>
          <w:color w:val="auto"/>
          <w:szCs w:val="21"/>
          <w:highlight w:val="none"/>
        </w:rPr>
      </w:pPr>
      <w:r>
        <w:rPr>
          <w:rFonts w:hint="eastAsia" w:ascii="宋体" w:hAnsi="宋体" w:eastAsia="宋体"/>
          <w:b/>
          <w:bCs/>
          <w:color w:val="auto"/>
          <w:szCs w:val="21"/>
          <w:highlight w:val="none"/>
          <w:lang w:val="en-US" w:eastAsia="zh-CN"/>
        </w:rPr>
        <w:t>供应商</w:t>
      </w:r>
      <w:r>
        <w:rPr>
          <w:rFonts w:hint="eastAsia" w:ascii="宋体" w:hAnsi="宋体"/>
          <w:b/>
          <w:bCs/>
          <w:color w:val="auto"/>
          <w:szCs w:val="21"/>
          <w:highlight w:val="none"/>
        </w:rPr>
        <w:t>：</w:t>
      </w:r>
    </w:p>
    <w:p w14:paraId="5C52BBE2">
      <w:pPr>
        <w:jc w:val="both"/>
        <w:rPr>
          <w:rFonts w:ascii="宋体" w:hAnsi="宋体"/>
          <w:color w:val="auto"/>
          <w:szCs w:val="21"/>
          <w:highlight w:val="none"/>
        </w:rPr>
      </w:pPr>
      <w:r>
        <w:rPr>
          <w:rFonts w:hint="eastAsia" w:ascii="宋体" w:hAnsi="宋体"/>
          <w:color w:val="auto"/>
          <w:szCs w:val="21"/>
          <w:highlight w:val="none"/>
        </w:rPr>
        <w:t>地址：</w:t>
      </w:r>
    </w:p>
    <w:p w14:paraId="06F22E8E">
      <w:pPr>
        <w:jc w:val="both"/>
        <w:rPr>
          <w:rFonts w:ascii="宋体" w:hAnsi="宋体"/>
          <w:color w:val="auto"/>
          <w:szCs w:val="21"/>
          <w:highlight w:val="none"/>
        </w:rPr>
      </w:pPr>
      <w:r>
        <w:rPr>
          <w:rFonts w:hint="eastAsia" w:ascii="宋体" w:hAnsi="宋体"/>
          <w:color w:val="auto"/>
          <w:szCs w:val="21"/>
          <w:highlight w:val="none"/>
        </w:rPr>
        <w:t>联系人：</w:t>
      </w:r>
      <w:r>
        <w:rPr>
          <w:rFonts w:ascii="宋体" w:hAnsi="宋体"/>
          <w:color w:val="auto"/>
          <w:szCs w:val="21"/>
          <w:highlight w:val="none"/>
        </w:rPr>
        <w:t xml:space="preserve">                          </w:t>
      </w:r>
    </w:p>
    <w:p w14:paraId="50F09E42">
      <w:pPr>
        <w:jc w:val="both"/>
        <w:rPr>
          <w:rFonts w:ascii="宋体" w:hAnsi="宋体"/>
          <w:b/>
          <w:bCs/>
          <w:color w:val="auto"/>
          <w:szCs w:val="21"/>
          <w:highlight w:val="none"/>
        </w:rPr>
      </w:pPr>
      <w:r>
        <w:rPr>
          <w:rFonts w:hint="eastAsia" w:ascii="宋体" w:hAnsi="宋体"/>
          <w:color w:val="auto"/>
          <w:szCs w:val="21"/>
          <w:highlight w:val="none"/>
        </w:rPr>
        <w:t>联系电话：</w:t>
      </w:r>
    </w:p>
    <w:p w14:paraId="222B47C9">
      <w:pPr>
        <w:jc w:val="both"/>
        <w:rPr>
          <w:rFonts w:ascii="宋体" w:hAnsi="宋体"/>
          <w:color w:val="auto"/>
          <w:szCs w:val="21"/>
          <w:highlight w:val="none"/>
        </w:rPr>
      </w:pPr>
      <w:r>
        <w:rPr>
          <w:rFonts w:ascii="宋体" w:hAnsi="宋体"/>
          <w:b/>
          <w:bCs/>
          <w:color w:val="auto"/>
          <w:szCs w:val="21"/>
          <w:highlight w:val="none"/>
        </w:rPr>
        <w:t xml:space="preserve">            </w:t>
      </w:r>
      <w:r>
        <w:rPr>
          <w:rFonts w:hint="eastAsia" w:ascii="宋体" w:hAnsi="宋体"/>
          <w:b/>
          <w:bCs/>
          <w:color w:val="auto"/>
          <w:szCs w:val="21"/>
          <w:highlight w:val="none"/>
        </w:rPr>
        <w:t xml:space="preserve">          </w:t>
      </w:r>
    </w:p>
    <w:p w14:paraId="14439E82">
      <w:pPr>
        <w:jc w:val="both"/>
        <w:rPr>
          <w:rFonts w:ascii="宋体" w:hAnsi="宋体"/>
          <w:color w:val="auto"/>
          <w:szCs w:val="21"/>
          <w:highlight w:val="none"/>
        </w:rPr>
      </w:pPr>
    </w:p>
    <w:p w14:paraId="25207FAC">
      <w:pPr>
        <w:ind w:firstLine="480" w:firstLineChars="200"/>
        <w:jc w:val="both"/>
        <w:rPr>
          <w:rFonts w:ascii="宋体" w:hAnsi="宋体"/>
          <w:color w:val="auto"/>
          <w:szCs w:val="21"/>
          <w:highlight w:val="none"/>
        </w:rPr>
      </w:pPr>
      <w:r>
        <w:rPr>
          <w:rFonts w:hint="eastAsia" w:ascii="宋体" w:hAnsi="宋体"/>
          <w:color w:val="auto"/>
          <w:szCs w:val="21"/>
          <w:highlight w:val="none"/>
        </w:rPr>
        <w:t>根据</w:t>
      </w:r>
      <w:r>
        <w:rPr>
          <w:rFonts w:hint="eastAsia" w:ascii="宋体" w:hAnsi="宋体"/>
          <w:b w:val="0"/>
          <w:bCs w:val="0"/>
          <w:color w:val="auto"/>
          <w:szCs w:val="21"/>
          <w:highlight w:val="none"/>
          <w:lang w:eastAsia="zh-CN"/>
        </w:rPr>
        <w:t>深圳市盐田区建筑工程事务署</w:t>
      </w:r>
      <w:r>
        <w:rPr>
          <w:rFonts w:hint="eastAsia" w:ascii="宋体" w:hAnsi="宋体" w:eastAsia="宋体"/>
          <w:color w:val="auto"/>
          <w:szCs w:val="21"/>
          <w:highlight w:val="none"/>
          <w:lang w:val="en-US" w:eastAsia="zh-CN"/>
        </w:rPr>
        <w:t>采购的</w:t>
      </w:r>
      <w:r>
        <w:rPr>
          <w:rFonts w:hint="eastAsia" w:ascii="宋体" w:hAnsi="宋体"/>
          <w:color w:val="auto"/>
          <w:szCs w:val="21"/>
          <w:highlight w:val="none"/>
          <w:u w:val="single"/>
          <w:lang w:eastAsia="zh-CN"/>
        </w:rPr>
        <w:t>盐田区人民医院发热门诊大楼及配套设施项目手机信号覆盖工程（重新招标第1次）</w:t>
      </w:r>
      <w:r>
        <w:rPr>
          <w:rFonts w:hint="eastAsia" w:ascii="宋体" w:hAnsi="宋体" w:eastAsia="宋体" w:cs="宋体"/>
          <w:color w:val="auto"/>
          <w:sz w:val="24"/>
          <w:szCs w:val="24"/>
          <w:highlight w:val="none"/>
        </w:rPr>
        <w:t>项目（招标编号：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）结果，</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为中标人。按照《中华人民共和国民法典》（第三编 合同）》和《深圳经济特区政府采购条例》，经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深圳市盐田区建筑工程事务署</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（以下简称</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）和</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（以下简称</w:t>
      </w:r>
      <w:r>
        <w:rPr>
          <w:rFonts w:hint="eastAsia" w:ascii="宋体" w:hAnsi="宋体" w:eastAsia="宋体" w:cs="宋体"/>
          <w:b/>
          <w:bCs/>
          <w:color w:val="auto"/>
          <w:sz w:val="24"/>
          <w:szCs w:val="24"/>
          <w:highlight w:val="none"/>
          <w:lang w:val="en-US" w:eastAsia="zh-CN"/>
        </w:rPr>
        <w:t>中标单位</w:t>
      </w:r>
      <w:r>
        <w:rPr>
          <w:rFonts w:hint="eastAsia" w:ascii="宋体" w:hAnsi="宋体" w:eastAsia="宋体" w:cs="宋体"/>
          <w:color w:val="auto"/>
          <w:sz w:val="24"/>
          <w:szCs w:val="24"/>
          <w:highlight w:val="none"/>
        </w:rPr>
        <w:t>）协商，达成本合同条款。</w:t>
      </w:r>
    </w:p>
    <w:p w14:paraId="65BDC2F6">
      <w:pPr>
        <w:ind w:firstLine="480" w:firstLineChars="200"/>
        <w:jc w:val="both"/>
        <w:rPr>
          <w:rFonts w:ascii="宋体" w:hAnsi="宋体"/>
          <w:b/>
          <w:bCs/>
          <w:color w:val="auto"/>
          <w:szCs w:val="21"/>
          <w:highlight w:val="none"/>
        </w:rPr>
      </w:pPr>
      <w:r>
        <w:rPr>
          <w:rFonts w:hint="eastAsia" w:ascii="宋体" w:hAnsi="宋体"/>
          <w:b/>
          <w:bCs/>
          <w:color w:val="auto"/>
          <w:szCs w:val="21"/>
          <w:highlight w:val="none"/>
        </w:rPr>
        <w:t>第一条　项目概况</w:t>
      </w:r>
    </w:p>
    <w:p w14:paraId="191901D4">
      <w:pPr>
        <w:ind w:firstLine="480" w:firstLineChars="200"/>
        <w:jc w:val="both"/>
        <w:rPr>
          <w:rFonts w:hint="eastAsia" w:ascii="宋体" w:hAnsi="宋体"/>
          <w:color w:val="auto"/>
          <w:szCs w:val="21"/>
          <w:highlight w:val="none"/>
          <w:u w:val="single"/>
        </w:rPr>
      </w:pPr>
      <w:r>
        <w:rPr>
          <w:rFonts w:hint="eastAsia" w:ascii="宋体" w:hAnsi="宋体"/>
          <w:color w:val="auto"/>
          <w:szCs w:val="21"/>
          <w:highlight w:val="none"/>
        </w:rPr>
        <w:t>项目名称：</w:t>
      </w:r>
      <w:r>
        <w:rPr>
          <w:rFonts w:hint="eastAsia" w:ascii="宋体" w:hAnsi="宋体"/>
          <w:color w:val="auto"/>
          <w:szCs w:val="21"/>
          <w:highlight w:val="none"/>
          <w:u w:val="single"/>
          <w:lang w:eastAsia="zh-CN"/>
        </w:rPr>
        <w:t>盐田区人民医院发热门诊大楼及配套设施项目手机信号覆盖工程（重新招标第1次）</w:t>
      </w:r>
      <w:r>
        <w:rPr>
          <w:rFonts w:hint="eastAsia" w:ascii="宋体" w:hAnsi="宋体"/>
          <w:color w:val="auto"/>
          <w:szCs w:val="21"/>
          <w:highlight w:val="none"/>
          <w:u w:val="single"/>
        </w:rPr>
        <w:t xml:space="preserve"> </w:t>
      </w:r>
    </w:p>
    <w:p w14:paraId="28F25541">
      <w:pPr>
        <w:ind w:firstLine="480" w:firstLineChars="200"/>
        <w:jc w:val="both"/>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工程地点：</w:t>
      </w:r>
      <w:r>
        <w:rPr>
          <w:rFonts w:hint="eastAsia" w:ascii="宋体" w:hAnsi="宋体"/>
          <w:color w:val="auto"/>
          <w:szCs w:val="21"/>
          <w:highlight w:val="none"/>
          <w:u w:val="single"/>
          <w:lang w:eastAsia="zh-CN"/>
        </w:rPr>
        <w:t>盐田区人民医院发热门诊大楼</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76E1F3FF">
      <w:pPr>
        <w:ind w:firstLine="480" w:firstLineChars="200"/>
        <w:jc w:val="both"/>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工程规模及特征：</w:t>
      </w:r>
      <w:r>
        <w:rPr>
          <w:rFonts w:hint="eastAsia" w:ascii="宋体" w:hAnsi="宋体" w:eastAsia="宋体" w:cs="宋体"/>
          <w:color w:val="auto"/>
          <w:sz w:val="24"/>
          <w:szCs w:val="24"/>
          <w:highlight w:val="none"/>
          <w:u w:val="single"/>
          <w:shd w:val="clear" w:color="auto" w:fill="auto"/>
          <w:lang w:val="en-US" w:eastAsia="zh-CN"/>
        </w:rPr>
        <w:t>区人民医院发热门诊,主要建筑包括1栋楼宇,其楼高6层,有3部电梯,有1层地下室。总体覆盖面积约1.8万平方。</w:t>
      </w:r>
      <w:r>
        <w:rPr>
          <w:rFonts w:hint="eastAsia" w:ascii="宋体" w:hAnsi="宋体" w:eastAsia="宋体" w:cs="宋体"/>
          <w:color w:val="auto"/>
          <w:sz w:val="24"/>
          <w:szCs w:val="24"/>
          <w:highlight w:val="none"/>
          <w:u w:val="single"/>
          <w:shd w:val="clear" w:color="auto" w:fill="auto"/>
        </w:rPr>
        <w:t xml:space="preserve"> </w:t>
      </w:r>
    </w:p>
    <w:p w14:paraId="0956EB41">
      <w:pPr>
        <w:ind w:firstLine="480" w:firstLineChars="200"/>
        <w:jc w:val="both"/>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工程承包范围：</w:t>
      </w:r>
      <w:r>
        <w:rPr>
          <w:rFonts w:hint="eastAsia" w:ascii="宋体" w:hAnsi="宋体"/>
          <w:color w:val="auto"/>
          <w:szCs w:val="21"/>
          <w:highlight w:val="none"/>
          <w:u w:val="single"/>
          <w:lang w:eastAsia="zh-CN"/>
        </w:rPr>
        <w:t>工程量及工程内容包括但不限于：盐田区人民医院发热门诊大楼及配套设施项目手机信号覆盖工程（重新招标第1次）</w:t>
      </w:r>
      <w:r>
        <w:rPr>
          <w:rFonts w:hint="eastAsia" w:ascii="宋体" w:hAnsi="宋体"/>
          <w:color w:val="auto"/>
          <w:szCs w:val="21"/>
          <w:highlight w:val="none"/>
          <w:u w:val="single"/>
          <w:lang w:val="en-US" w:eastAsia="zh-CN"/>
        </w:rPr>
        <w:t>施工设计图纸包含的全部工程内容、《招标控制价》包含的全部内容、采购单位在实施工程中根据本工程实际情况有权增减部分内容，中标人不能拒绝执行。具体详见施工图纸及工程量清单。</w:t>
      </w:r>
      <w:r>
        <w:rPr>
          <w:rFonts w:hint="eastAsia" w:ascii="宋体" w:hAnsi="宋体" w:eastAsia="宋体" w:cs="宋体"/>
          <w:color w:val="auto"/>
          <w:sz w:val="24"/>
          <w:szCs w:val="24"/>
          <w:highlight w:val="none"/>
          <w:u w:val="single"/>
          <w:shd w:val="clear" w:color="auto" w:fill="auto"/>
        </w:rPr>
        <w:t xml:space="preserve">                  </w:t>
      </w:r>
    </w:p>
    <w:p w14:paraId="4EC2F22A">
      <w:pPr>
        <w:ind w:firstLine="480" w:firstLineChars="200"/>
        <w:jc w:val="both"/>
        <w:rPr>
          <w:rFonts w:ascii="宋体" w:hAnsi="宋体"/>
          <w:color w:val="auto"/>
          <w:szCs w:val="21"/>
          <w:highlight w:val="none"/>
        </w:rPr>
      </w:pPr>
      <w:r>
        <w:rPr>
          <w:rFonts w:hint="eastAsia" w:ascii="宋体" w:hAnsi="宋体" w:eastAsia="宋体" w:cs="宋体"/>
          <w:color w:val="auto"/>
          <w:sz w:val="24"/>
          <w:szCs w:val="24"/>
          <w:highlight w:val="none"/>
          <w:u w:val="single"/>
          <w:shd w:val="clear" w:color="auto" w:fill="auto"/>
        </w:rPr>
        <w:t>资金来源：</w:t>
      </w:r>
      <w:r>
        <w:rPr>
          <w:rFonts w:hint="eastAsia" w:ascii="宋体" w:hAnsi="宋体" w:eastAsia="宋体" w:cs="宋体"/>
          <w:color w:val="auto"/>
          <w:sz w:val="24"/>
          <w:szCs w:val="24"/>
          <w:highlight w:val="none"/>
          <w:u w:val="single"/>
          <w:shd w:val="clear" w:color="auto" w:fill="auto"/>
          <w:lang w:eastAsia="zh-CN"/>
        </w:rPr>
        <w:t>在</w:t>
      </w:r>
      <w:r>
        <w:rPr>
          <w:rFonts w:hint="eastAsia" w:ascii="宋体" w:hAnsi="宋体"/>
          <w:color w:val="auto"/>
          <w:szCs w:val="21"/>
          <w:highlight w:val="none"/>
          <w:u w:val="single"/>
          <w:lang w:eastAsia="zh-CN"/>
        </w:rPr>
        <w:t>盐田区人民医院发热门诊大楼及配套设施项目计划中列支</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p>
    <w:p w14:paraId="19AB998E">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rPr>
        <w:t>二、合同工期</w:t>
      </w:r>
    </w:p>
    <w:p w14:paraId="43662D47">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 xml:space="preserve">计划开工日期：                              </w:t>
      </w:r>
    </w:p>
    <w:p w14:paraId="15B86E7C">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 xml:space="preserve">计划竣工日期：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FB46A2A">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合同工期总日历天数</w:t>
      </w:r>
      <w:r>
        <w:rPr>
          <w:rFonts w:hint="eastAsia" w:ascii="宋体" w:hAnsi="宋体" w:eastAsia="宋体" w:cs="宋体"/>
          <w:color w:val="auto"/>
          <w:sz w:val="24"/>
          <w:szCs w:val="24"/>
          <w:highlight w:val="none"/>
          <w:u w:val="single"/>
          <w:shd w:val="clear" w:color="auto" w:fill="auto"/>
          <w:lang w:eastAsia="zh-CN"/>
        </w:rPr>
        <w:t>：总工期为</w:t>
      </w:r>
      <w:r>
        <w:rPr>
          <w:rFonts w:hint="eastAsia" w:ascii="宋体" w:hAnsi="宋体" w:eastAsia="宋体" w:cs="宋体"/>
          <w:color w:val="auto"/>
          <w:sz w:val="24"/>
          <w:szCs w:val="24"/>
          <w:highlight w:val="none"/>
          <w:u w:val="single"/>
          <w:shd w:val="clear" w:color="auto" w:fill="auto"/>
          <w:lang w:val="en-US" w:eastAsia="zh-CN"/>
        </w:rPr>
        <w:t>30个日历日</w:t>
      </w:r>
      <w:r>
        <w:rPr>
          <w:rFonts w:hint="eastAsia" w:ascii="宋体" w:hAnsi="宋体" w:eastAsia="宋体" w:cs="宋体"/>
          <w:color w:val="auto"/>
          <w:sz w:val="24"/>
          <w:szCs w:val="24"/>
          <w:highlight w:val="none"/>
          <w:u w:val="single"/>
          <w:shd w:val="clear" w:color="auto" w:fill="auto"/>
          <w:lang w:eastAsia="zh-CN"/>
        </w:rPr>
        <w:t>，具体开工时间以采购单位通知为准</w:t>
      </w:r>
      <w:r>
        <w:rPr>
          <w:rFonts w:hint="eastAsia" w:ascii="宋体" w:hAnsi="宋体" w:eastAsia="宋体" w:cs="宋体"/>
          <w:color w:val="auto"/>
          <w:sz w:val="24"/>
          <w:szCs w:val="24"/>
          <w:highlight w:val="none"/>
          <w:u w:val="single"/>
          <w:shd w:val="clear" w:color="auto" w:fill="auto"/>
        </w:rPr>
        <w:t>。</w:t>
      </w:r>
    </w:p>
    <w:p w14:paraId="74137EDC">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1、因采购单位原因导致本合同项目不能在约定日期开工的，以具备开工条件的时间为开工日期，工期相应顺延。采购单位与中标单位双方应书面确认具体开工时间。</w:t>
      </w:r>
    </w:p>
    <w:p w14:paraId="11EB4C1E">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2、因中标单位原因导致本合同项目不能在约定的日期开工的，工期不予顺延。</w:t>
      </w:r>
    </w:p>
    <w:p w14:paraId="5A7F365B">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3、自工程完工之日起</w:t>
      </w:r>
      <w:r>
        <w:rPr>
          <w:rFonts w:hint="eastAsia" w:ascii="宋体" w:hAnsi="宋体" w:eastAsia="宋体" w:cs="宋体"/>
          <w:color w:val="auto"/>
          <w:sz w:val="24"/>
          <w:szCs w:val="24"/>
          <w:highlight w:val="none"/>
          <w:u w:val="single"/>
          <w:shd w:val="clear" w:color="auto" w:fill="auto"/>
        </w:rPr>
        <w:t xml:space="preserve">  </w:t>
      </w:r>
      <w:r>
        <w:rPr>
          <w:rFonts w:ascii="宋体" w:hAnsi="宋体" w:eastAsia="宋体" w:cs="宋体"/>
          <w:color w:val="auto"/>
          <w:sz w:val="24"/>
          <w:szCs w:val="24"/>
          <w:highlight w:val="none"/>
          <w:u w:val="single"/>
        </w:rPr>
        <w:t>7 个工作日</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内，中标单位通知采购单位验收。经采购单位确认验收通过的时间为竣工日期。因采购单位原因不进行验收的，中标单位向采购单位发出验收通知的时间为竣工日期。采购单位在中标单位发出验收通知前擅自使用的，视为已经验收，采购单位开始使用的时间为竣工日期。</w:t>
      </w:r>
    </w:p>
    <w:p w14:paraId="19505284">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rPr>
        <w:t>三、质量标准</w:t>
      </w:r>
    </w:p>
    <w:p w14:paraId="5A9FA8E3">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本工程质量标准应当符合中华人民共和国《建筑工程施工质量验收统一标准》等国家、行业、施工项目所在地政府部门制定的质量标准及其他有关法律法规的规定。</w:t>
      </w:r>
    </w:p>
    <w:p w14:paraId="000F4DC0">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rPr>
        <w:t>四、合同价款</w:t>
      </w:r>
    </w:p>
    <w:p w14:paraId="03B08746">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 xml:space="preserve">1、币种：            </w:t>
      </w:r>
    </w:p>
    <w:p w14:paraId="591B579D">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u w:val="single"/>
          <w:shd w:val="clear" w:color="auto" w:fill="auto"/>
        </w:rPr>
        <w:t xml:space="preserve">2、合同总价（大写）：             </w:t>
      </w:r>
    </w:p>
    <w:p w14:paraId="32AA14EC">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lang w:val="zh-CN"/>
        </w:rPr>
      </w:pPr>
      <w:r>
        <w:rPr>
          <w:rFonts w:hint="eastAsia" w:ascii="宋体" w:hAnsi="宋体" w:eastAsia="宋体" w:cs="宋体"/>
          <w:color w:val="auto"/>
          <w:sz w:val="24"/>
          <w:szCs w:val="24"/>
          <w:highlight w:val="none"/>
          <w:u w:val="single"/>
          <w:shd w:val="clear" w:color="auto" w:fill="auto"/>
        </w:rPr>
        <w:t>（小写）：¥</w:t>
      </w:r>
      <w:r>
        <w:rPr>
          <w:rFonts w:hint="eastAsia" w:ascii="宋体" w:hAnsi="宋体" w:eastAsia="宋体" w:cs="宋体"/>
          <w:color w:val="auto"/>
          <w:sz w:val="24"/>
          <w:szCs w:val="24"/>
          <w:highlight w:val="none"/>
          <w:u w:val="single"/>
          <w:shd w:val="clear" w:color="auto" w:fill="auto"/>
          <w:lang w:val="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zh-CN"/>
        </w:rPr>
        <w:t xml:space="preserve">  元 </w:t>
      </w:r>
    </w:p>
    <w:p w14:paraId="7B8143F0">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default" w:eastAsia="宋体"/>
          <w:color w:val="auto"/>
          <w:highlight w:val="none"/>
          <w:lang w:val="en-US" w:eastAsia="zh-CN"/>
        </w:rPr>
        <w:t>其中：安全文明施工措施费</w:t>
      </w:r>
      <w:r>
        <w:rPr>
          <w:rFonts w:hint="eastAsia" w:eastAsia="宋体" w:cs="Times New Roman"/>
          <w:color w:val="auto"/>
          <w:highlight w:val="none"/>
          <w:u w:val="single"/>
          <w:lang w:val="en-US" w:eastAsia="zh-CN"/>
        </w:rPr>
        <w:t>7,455.21</w:t>
      </w:r>
      <w:r>
        <w:rPr>
          <w:rFonts w:hint="default" w:eastAsia="宋体"/>
          <w:color w:val="auto"/>
          <w:highlight w:val="none"/>
          <w:lang w:val="en-US" w:eastAsia="zh-CN"/>
        </w:rPr>
        <w:t>元，不可竞争费合计</w:t>
      </w:r>
      <w:r>
        <w:rPr>
          <w:rFonts w:hint="default" w:ascii="Times New Roman" w:hAnsi="Times New Roman" w:eastAsia="宋体" w:cs="Times New Roman"/>
          <w:color w:val="auto"/>
          <w:highlight w:val="none"/>
          <w:u w:val="none"/>
          <w:lang w:val="en-US" w:eastAsia="zh-CN"/>
        </w:rPr>
        <w:t>：</w:t>
      </w:r>
      <w:r>
        <w:rPr>
          <w:rFonts w:hint="eastAsia" w:eastAsia="宋体" w:cs="Times New Roman"/>
          <w:color w:val="auto"/>
          <w:highlight w:val="none"/>
          <w:u w:val="single"/>
          <w:lang w:val="en-US" w:eastAsia="zh-CN"/>
        </w:rPr>
        <w:t>7,455.21</w:t>
      </w:r>
      <w:r>
        <w:rPr>
          <w:rFonts w:hint="default" w:eastAsia="宋体"/>
          <w:color w:val="auto"/>
          <w:highlight w:val="none"/>
          <w:lang w:val="en-US" w:eastAsia="zh-CN"/>
        </w:rPr>
        <w:t>元；</w:t>
      </w:r>
    </w:p>
    <w:p w14:paraId="064D2B2E">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ascii="宋体" w:hAnsi="宋体" w:eastAsia="宋体" w:cs="宋体"/>
          <w:color w:val="auto"/>
          <w:sz w:val="24"/>
          <w:szCs w:val="24"/>
          <w:highlight w:val="none"/>
          <w:shd w:val="clear" w:color="auto" w:fill="auto"/>
        </w:rPr>
        <w:t>项目单价：</w:t>
      </w:r>
      <w:r>
        <w:rPr>
          <w:rFonts w:hint="eastAsia" w:ascii="Times New Roman" w:hAnsi="Times New Roman" w:eastAsia="宋体" w:cs="Times New Roman"/>
          <w:color w:val="auto"/>
          <w:highlight w:val="none"/>
          <w:lang w:val="en-US" w:eastAsia="zh-CN"/>
        </w:rPr>
        <w:t>中标价相对建设单位确认的造价咨询单位的预算审核价净下浮率</w:t>
      </w:r>
      <w:r>
        <w:rPr>
          <w:rFonts w:hint="eastAsia" w:eastAsia="宋体" w:cs="Times New Roman"/>
          <w:color w:val="auto"/>
          <w:highlight w:val="none"/>
          <w:u w:val="single"/>
          <w:lang w:val="en-US" w:eastAsia="zh-CN"/>
        </w:rPr>
        <w:t xml:space="preserve">      </w:t>
      </w:r>
      <w:r>
        <w:rPr>
          <w:rFonts w:hint="eastAsia" w:ascii="Times New Roman" w:hAnsi="Times New Roman" w:eastAsia="宋体" w:cs="Times New Roman"/>
          <w:color w:val="auto"/>
          <w:highlight w:val="none"/>
          <w:lang w:val="en-US" w:eastAsia="zh-CN"/>
        </w:rPr>
        <w:t xml:space="preserve"> % 。</w:t>
      </w:r>
    </w:p>
    <w:p w14:paraId="09BEC7F3">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该项目结算</w:t>
      </w:r>
      <w:r>
        <w:rPr>
          <w:rFonts w:hint="default" w:ascii="Times New Roman" w:hAnsi="Times New Roman" w:eastAsia="宋体" w:cs="Times New Roman"/>
          <w:color w:val="auto"/>
          <w:highlight w:val="none"/>
          <w:lang w:val="en-US" w:eastAsia="zh-CN"/>
        </w:rPr>
        <w:t>上限价</w:t>
      </w:r>
      <w:r>
        <w:rPr>
          <w:rFonts w:hint="eastAsia" w:ascii="Times New Roman" w:hAnsi="Times New Roman" w:eastAsia="宋体" w:cs="Times New Roman"/>
          <w:color w:val="auto"/>
          <w:highlight w:val="none"/>
          <w:lang w:val="en-US" w:eastAsia="zh-CN"/>
        </w:rPr>
        <w:t>为</w:t>
      </w:r>
      <w:r>
        <w:rPr>
          <w:rFonts w:hint="eastAsia" w:eastAsia="宋体" w:cs="Times New Roman"/>
          <w:color w:val="auto"/>
          <w:highlight w:val="none"/>
          <w:u w:val="single"/>
          <w:lang w:val="en-US" w:eastAsia="zh-CN"/>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eastAsia="宋体" w:cs="Times New Roman"/>
          <w:color w:val="auto"/>
          <w:highlight w:val="none"/>
          <w:u w:val="single"/>
          <w:lang w:val="en-US" w:eastAsia="zh-CN"/>
        </w:rPr>
        <w:t>523,835.01</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eastAsia="宋体" w:cs="Times New Roman"/>
          <w:color w:val="auto"/>
          <w:highlight w:val="none"/>
          <w:u w:val="single"/>
          <w:lang w:val="en-US" w:eastAsia="zh-CN"/>
        </w:rPr>
        <w:t xml:space="preserve"> </w:t>
      </w:r>
      <w:r>
        <w:rPr>
          <w:rFonts w:hint="default" w:ascii="Times New Roman" w:hAnsi="Times New Roman" w:eastAsia="宋体" w:cs="Times New Roman"/>
          <w:color w:val="auto"/>
          <w:highlight w:val="none"/>
          <w:lang w:val="en-US" w:eastAsia="zh-CN"/>
        </w:rPr>
        <w:t>元；</w:t>
      </w:r>
      <w:r>
        <w:rPr>
          <w:rFonts w:hint="eastAsia" w:ascii="Times New Roman" w:hAnsi="Times New Roman" w:eastAsia="宋体" w:cs="Times New Roman"/>
          <w:color w:val="auto"/>
          <w:highlight w:val="none"/>
          <w:lang w:val="en-US" w:eastAsia="zh-CN"/>
        </w:rPr>
        <w:t>最终结算造价以政府财政审计部门出具的财政投资评审结果为准。</w:t>
      </w:r>
    </w:p>
    <w:p w14:paraId="6D018206">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lang w:eastAsia="zh-CN"/>
        </w:rPr>
      </w:pPr>
      <w:r>
        <w:rPr>
          <w:rFonts w:hint="eastAsia" w:ascii="宋体" w:hAnsi="宋体" w:eastAsia="宋体" w:cs="宋体"/>
          <w:b/>
          <w:bCs/>
          <w:color w:val="auto"/>
          <w:sz w:val="24"/>
          <w:szCs w:val="24"/>
          <w:highlight w:val="none"/>
          <w:shd w:val="clear" w:color="auto" w:fill="auto"/>
        </w:rPr>
        <w:t>五、工程款支付</w:t>
      </w:r>
      <w:r>
        <w:rPr>
          <w:rFonts w:hint="eastAsia" w:ascii="宋体" w:hAnsi="宋体" w:eastAsia="宋体" w:cs="宋体"/>
          <w:b/>
          <w:bCs/>
          <w:color w:val="auto"/>
          <w:sz w:val="24"/>
          <w:szCs w:val="24"/>
          <w:highlight w:val="none"/>
          <w:shd w:val="clear" w:color="auto" w:fill="auto"/>
          <w:lang w:eastAsia="zh-CN"/>
        </w:rPr>
        <w:t>（</w:t>
      </w:r>
      <w:r>
        <w:rPr>
          <w:rFonts w:hint="eastAsia" w:ascii="Times New Roman" w:hAnsi="Times New Roman" w:eastAsia="宋体" w:cs="Times New Roman"/>
          <w:color w:val="auto"/>
          <w:highlight w:val="none"/>
          <w:lang w:val="en-US" w:eastAsia="zh-CN"/>
        </w:rPr>
        <w:t>以下不能为空</w:t>
      </w:r>
      <w:r>
        <w:rPr>
          <w:rFonts w:hint="eastAsia" w:ascii="宋体" w:hAnsi="宋体" w:eastAsia="宋体" w:cs="宋体"/>
          <w:b/>
          <w:bCs/>
          <w:color w:val="auto"/>
          <w:sz w:val="24"/>
          <w:szCs w:val="24"/>
          <w:highlight w:val="none"/>
          <w:shd w:val="clear" w:color="auto" w:fill="auto"/>
          <w:lang w:eastAsia="zh-CN"/>
        </w:rPr>
        <w:t>）</w:t>
      </w:r>
    </w:p>
    <w:p w14:paraId="74FB7C39">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1、采购单位向中标单位支付工程预付款的时间：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15</w:t>
      </w:r>
      <w:r>
        <w:rPr>
          <w:rFonts w:hint="eastAsia" w:ascii="宋体" w:hAnsi="宋体" w:eastAsia="宋体" w:cs="宋体"/>
          <w:color w:val="auto"/>
          <w:sz w:val="24"/>
          <w:szCs w:val="24"/>
          <w:highlight w:val="none"/>
          <w:u w:val="single"/>
          <w:shd w:val="clear" w:color="auto" w:fill="auto"/>
        </w:rPr>
        <w:t xml:space="preserve">个工作日内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2CE4CF87">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2、采购单位向中标单位支付工程预付款的数额：</w:t>
      </w:r>
      <w:r>
        <w:rPr>
          <w:rFonts w:hint="eastAsia" w:ascii="宋体" w:hAnsi="宋体" w:eastAsia="宋体" w:cs="宋体"/>
          <w:color w:val="auto"/>
          <w:sz w:val="24"/>
          <w:szCs w:val="24"/>
          <w:highlight w:val="none"/>
          <w:u w:val="single"/>
          <w:shd w:val="clear" w:color="auto" w:fill="auto"/>
        </w:rPr>
        <w:t xml:space="preserve"> 预付款比例为合同总价的</w:t>
      </w:r>
      <w:r>
        <w:rPr>
          <w:rFonts w:hint="eastAsia" w:ascii="宋体" w:hAnsi="宋体" w:eastAsia="宋体" w:cs="宋体"/>
          <w:color w:val="auto"/>
          <w:sz w:val="24"/>
          <w:szCs w:val="24"/>
          <w:highlight w:val="none"/>
          <w:u w:val="single"/>
          <w:shd w:val="clear" w:color="auto" w:fill="auto"/>
          <w:lang w:val="en-US" w:eastAsia="zh-CN"/>
        </w:rPr>
        <w:t>15</w:t>
      </w:r>
      <w:r>
        <w:rPr>
          <w:rFonts w:hint="eastAsia" w:ascii="宋体" w:hAnsi="宋体" w:eastAsia="宋体" w:cs="宋体"/>
          <w:color w:val="auto"/>
          <w:sz w:val="24"/>
          <w:szCs w:val="24"/>
          <w:highlight w:val="none"/>
          <w:u w:val="single"/>
          <w:shd w:val="clear" w:color="auto" w:fill="auto"/>
        </w:rPr>
        <w:t>%</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p>
    <w:p w14:paraId="5CC3B53C">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3、办理期中结算与支付的时间间隔和要求：本合同工程进度款按月进度申报，中标单位向采购单位提交已完成工程量报表，经监理人和采购单位审核确认后进行支付。</w:t>
      </w:r>
    </w:p>
    <w:p w14:paraId="4DC9638B">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采购单位自本合同工程竣工验收合格之</w:t>
      </w:r>
      <w:r>
        <w:rPr>
          <w:rFonts w:hint="eastAsia" w:ascii="宋体" w:hAnsi="宋体" w:eastAsia="宋体" w:cs="宋体"/>
          <w:color w:val="auto"/>
          <w:sz w:val="24"/>
          <w:szCs w:val="24"/>
          <w:highlight w:val="none"/>
          <w:u w:val="single"/>
          <w:shd w:val="clear" w:color="auto" w:fill="auto"/>
        </w:rPr>
        <w:t>日起</w:t>
      </w:r>
      <w:r>
        <w:rPr>
          <w:rFonts w:hint="eastAsia" w:ascii="宋体" w:hAnsi="宋体" w:eastAsia="宋体" w:cs="宋体"/>
          <w:color w:val="auto"/>
          <w:sz w:val="24"/>
          <w:szCs w:val="24"/>
          <w:highlight w:val="none"/>
          <w:u w:val="single"/>
          <w:shd w:val="clear" w:color="auto" w:fill="auto"/>
          <w:lang w:val="en-US" w:eastAsia="zh-CN"/>
        </w:rPr>
        <w:t>15</w:t>
      </w:r>
      <w:r>
        <w:rPr>
          <w:rFonts w:hint="eastAsia" w:ascii="宋体" w:hAnsi="宋体" w:eastAsia="宋体" w:cs="宋体"/>
          <w:color w:val="auto"/>
          <w:sz w:val="24"/>
          <w:szCs w:val="24"/>
          <w:highlight w:val="none"/>
          <w:u w:val="single"/>
          <w:shd w:val="clear" w:color="auto" w:fill="auto"/>
        </w:rPr>
        <w:t>日内</w:t>
      </w:r>
      <w:r>
        <w:rPr>
          <w:rFonts w:hint="eastAsia" w:ascii="宋体" w:hAnsi="宋体" w:eastAsia="宋体" w:cs="宋体"/>
          <w:color w:val="auto"/>
          <w:sz w:val="24"/>
          <w:szCs w:val="24"/>
          <w:highlight w:val="none"/>
          <w:shd w:val="clear" w:color="auto" w:fill="auto"/>
        </w:rPr>
        <w:t>，向中标单位支付至合同总价的</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85</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eastAsia="zh-CN"/>
        </w:rPr>
        <w:t>；采购单位提交结算资料，经财政评审部门审定</w:t>
      </w:r>
      <w:r>
        <w:rPr>
          <w:rFonts w:hint="eastAsia" w:ascii="宋体" w:hAnsi="宋体" w:eastAsia="宋体" w:cs="宋体"/>
          <w:color w:val="auto"/>
          <w:sz w:val="24"/>
          <w:szCs w:val="24"/>
          <w:highlight w:val="none"/>
          <w:shd w:val="clear" w:color="auto" w:fill="auto"/>
        </w:rPr>
        <w:t>审定造价</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15</w:t>
      </w:r>
      <w:r>
        <w:rPr>
          <w:rFonts w:hint="eastAsia" w:ascii="宋体" w:hAnsi="宋体" w:eastAsia="宋体" w:cs="宋体"/>
          <w:color w:val="auto"/>
          <w:sz w:val="24"/>
          <w:szCs w:val="24"/>
          <w:highlight w:val="none"/>
          <w:u w:val="single"/>
          <w:shd w:val="clear" w:color="auto" w:fill="auto"/>
        </w:rPr>
        <w:t xml:space="preserve"> 日内</w:t>
      </w:r>
      <w:r>
        <w:rPr>
          <w:rFonts w:hint="eastAsia" w:ascii="宋体" w:hAnsi="宋体" w:eastAsia="宋体" w:cs="宋体"/>
          <w:color w:val="auto"/>
          <w:sz w:val="24"/>
          <w:szCs w:val="24"/>
          <w:highlight w:val="none"/>
          <w:shd w:val="clear" w:color="auto" w:fill="auto"/>
        </w:rPr>
        <w:t>向中标单位支付至合同</w:t>
      </w:r>
      <w:r>
        <w:rPr>
          <w:rFonts w:hint="eastAsia" w:ascii="宋体" w:hAnsi="宋体" w:eastAsia="宋体" w:cs="宋体"/>
          <w:color w:val="auto"/>
          <w:sz w:val="24"/>
          <w:szCs w:val="24"/>
          <w:highlight w:val="none"/>
          <w:u w:val="single"/>
          <w:shd w:val="clear" w:color="auto" w:fill="auto"/>
        </w:rPr>
        <w:t xml:space="preserve">总价的 </w:t>
      </w:r>
      <w:r>
        <w:rPr>
          <w:rFonts w:hint="eastAsia" w:ascii="宋体" w:hAnsi="宋体" w:eastAsia="宋体" w:cs="宋体"/>
          <w:color w:val="auto"/>
          <w:sz w:val="24"/>
          <w:szCs w:val="24"/>
          <w:highlight w:val="none"/>
          <w:u w:val="single"/>
          <w:shd w:val="clear" w:color="auto" w:fill="auto"/>
          <w:lang w:val="en-US" w:eastAsia="zh-CN"/>
        </w:rPr>
        <w:t>95</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剩余的 </w:t>
      </w:r>
      <w:r>
        <w:rPr>
          <w:rFonts w:hint="eastAsia" w:ascii="宋体" w:hAnsi="宋体" w:eastAsia="宋体" w:cs="宋体"/>
          <w:color w:val="auto"/>
          <w:sz w:val="24"/>
          <w:szCs w:val="24"/>
          <w:highlight w:val="none"/>
          <w:u w:val="single"/>
          <w:shd w:val="clear" w:color="auto" w:fill="auto"/>
          <w:lang w:val="en-US" w:eastAsia="zh-CN"/>
        </w:rPr>
        <w:t>5</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作为工程质量缺陷保修金，采购单位应自本合同工程项目保修期满之日</w:t>
      </w:r>
      <w:r>
        <w:rPr>
          <w:rFonts w:hint="eastAsia" w:ascii="宋体" w:hAnsi="宋体" w:eastAsia="宋体" w:cs="宋体"/>
          <w:color w:val="auto"/>
          <w:sz w:val="24"/>
          <w:szCs w:val="24"/>
          <w:highlight w:val="none"/>
          <w:u w:val="none"/>
          <w:shd w:val="clear" w:color="auto" w:fill="auto"/>
        </w:rPr>
        <w:t>起</w:t>
      </w:r>
      <w:r>
        <w:rPr>
          <w:rFonts w:hint="eastAsia" w:ascii="宋体" w:hAnsi="宋体" w:eastAsia="宋体" w:cs="宋体"/>
          <w:color w:val="auto"/>
          <w:sz w:val="24"/>
          <w:szCs w:val="24"/>
          <w:highlight w:val="none"/>
          <w:u w:val="single"/>
          <w:shd w:val="clear" w:color="auto" w:fill="auto"/>
          <w:lang w:val="en-US" w:eastAsia="zh-CN"/>
        </w:rPr>
        <w:t>15</w:t>
      </w:r>
      <w:r>
        <w:rPr>
          <w:rFonts w:hint="eastAsia" w:ascii="宋体" w:hAnsi="宋体" w:eastAsia="宋体" w:cs="宋体"/>
          <w:color w:val="auto"/>
          <w:sz w:val="24"/>
          <w:szCs w:val="24"/>
          <w:highlight w:val="none"/>
          <w:u w:val="single"/>
          <w:shd w:val="clear" w:color="auto" w:fill="auto"/>
        </w:rPr>
        <w:t>个</w:t>
      </w:r>
      <w:r>
        <w:rPr>
          <w:rFonts w:hint="eastAsia" w:ascii="宋体" w:hAnsi="宋体" w:eastAsia="宋体" w:cs="宋体"/>
          <w:color w:val="auto"/>
          <w:sz w:val="24"/>
          <w:szCs w:val="24"/>
          <w:highlight w:val="none"/>
          <w:u w:val="none"/>
          <w:shd w:val="clear" w:color="auto" w:fill="auto"/>
        </w:rPr>
        <w:t>工作</w:t>
      </w:r>
      <w:r>
        <w:rPr>
          <w:rFonts w:hint="eastAsia" w:ascii="宋体" w:hAnsi="宋体" w:eastAsia="宋体" w:cs="宋体"/>
          <w:color w:val="auto"/>
          <w:sz w:val="24"/>
          <w:szCs w:val="24"/>
          <w:highlight w:val="none"/>
          <w:shd w:val="clear" w:color="auto" w:fill="auto"/>
        </w:rPr>
        <w:t>日内将尾支付至中标单位。</w:t>
      </w:r>
    </w:p>
    <w:p w14:paraId="3813E816">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default" w:ascii="Times New Roman" w:hAnsi="Times New Roman" w:eastAsia="宋体" w:cs="Times New Roman"/>
          <w:color w:val="auto"/>
          <w:sz w:val="24"/>
          <w:szCs w:val="20"/>
          <w:highlight w:val="none"/>
          <w:lang w:val="en-US" w:eastAsia="zh-CN" w:bidi="ar-SA"/>
        </w:rPr>
      </w:pPr>
      <w:r>
        <w:rPr>
          <w:rFonts w:hint="eastAsia" w:eastAsia="宋体" w:cs="Times New Roman"/>
          <w:color w:val="auto"/>
          <w:sz w:val="24"/>
          <w:szCs w:val="20"/>
          <w:highlight w:val="none"/>
          <w:lang w:val="en-US" w:eastAsia="zh-CN" w:bidi="ar-SA"/>
        </w:rPr>
        <w:t>4、工程结算依据及变更要求：</w:t>
      </w:r>
    </w:p>
    <w:p w14:paraId="0031A004">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sz w:val="24"/>
          <w:szCs w:val="20"/>
          <w:highlight w:val="none"/>
          <w:lang w:val="en-US" w:eastAsia="zh-CN" w:bidi="ar-SA"/>
        </w:rPr>
        <w:t>（1）</w:t>
      </w:r>
      <w:r>
        <w:rPr>
          <w:rFonts w:hint="eastAsia" w:ascii="Times New Roman" w:hAnsi="Times New Roman" w:eastAsia="宋体" w:cs="Times New Roman"/>
          <w:color w:val="auto"/>
          <w:highlight w:val="none"/>
          <w:lang w:val="en-US" w:eastAsia="zh-CN"/>
        </w:rPr>
        <w:t>结算依据</w:t>
      </w:r>
    </w:p>
    <w:p w14:paraId="19498D3B">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本项目结算以采购合同、补充协议、工程量清单、设计变更文件、现场签证单、验收记录及双方确认的其他相关资料为依据。</w:t>
      </w:r>
    </w:p>
    <w:p w14:paraId="50D646A9">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sz w:val="24"/>
          <w:szCs w:val="20"/>
          <w:highlight w:val="none"/>
          <w:lang w:val="en-US" w:eastAsia="zh-CN" w:bidi="ar-SA"/>
        </w:rPr>
        <w:t>（2）</w:t>
      </w:r>
      <w:r>
        <w:rPr>
          <w:rFonts w:hint="eastAsia" w:ascii="Times New Roman" w:hAnsi="Times New Roman" w:eastAsia="宋体" w:cs="Times New Roman"/>
          <w:color w:val="auto"/>
          <w:highlight w:val="none"/>
          <w:lang w:val="en-US" w:eastAsia="zh-CN"/>
        </w:rPr>
        <w:t>工程量确认</w:t>
      </w:r>
    </w:p>
    <w:p w14:paraId="3459EE7B">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工程量按双方在施工过程中共同计量或完工验收时确认的实际完成量为准。如对工程量存在异议，应以现场实测数据为依据协商确定；协商不成的，可委托双方认可的第三方进行复核。</w:t>
      </w:r>
    </w:p>
    <w:p w14:paraId="12D9CA45">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（3）</w:t>
      </w:r>
      <w:r>
        <w:rPr>
          <w:rFonts w:hint="eastAsia" w:ascii="Times New Roman" w:hAnsi="Times New Roman" w:eastAsia="宋体" w:cs="Times New Roman"/>
          <w:color w:val="auto"/>
          <w:highlight w:val="none"/>
          <w:lang w:val="en-US" w:eastAsia="zh-CN"/>
        </w:rPr>
        <w:t>计价原则</w:t>
      </w:r>
    </w:p>
    <w:p w14:paraId="6A66F334">
      <w:pPr>
        <w:pStyle w:val="6"/>
        <w:keepNext w:val="0"/>
        <w:keepLines w:val="0"/>
        <w:pageBreakBefore w:val="0"/>
        <w:widowControl/>
        <w:numPr>
          <w:ilvl w:val="0"/>
          <w:numId w:val="0"/>
        </w:numPr>
        <w:kinsoku/>
        <w:wordWrap/>
        <w:overflowPunct/>
        <w:topLinePunct w:val="0"/>
        <w:autoSpaceDE/>
        <w:autoSpaceDN/>
        <w:bidi w:val="0"/>
        <w:adjustRightInd/>
        <w:spacing w:line="240" w:lineRule="auto"/>
        <w:ind w:firstLine="480" w:firstLineChars="200"/>
        <w:jc w:val="both"/>
        <w:textAlignment w:val="auto"/>
        <w:rPr>
          <w:rFonts w:hint="default"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1.</w:t>
      </w:r>
      <w:r>
        <w:rPr>
          <w:rFonts w:hint="eastAsia" w:ascii="Times New Roman" w:hAnsi="Times New Roman" w:eastAsia="宋体" w:cs="Times New Roman"/>
          <w:color w:val="auto"/>
          <w:highlight w:val="none"/>
          <w:lang w:val="en-US" w:eastAsia="zh-CN"/>
        </w:rPr>
        <w:t>合同中已有单价的项目，按合同单价执行；</w:t>
      </w:r>
      <w:r>
        <w:rPr>
          <w:rFonts w:hint="eastAsia" w:eastAsia="宋体" w:cs="Times New Roman"/>
          <w:color w:val="auto"/>
          <w:highlight w:val="none"/>
          <w:lang w:val="en-US" w:eastAsia="zh-CN"/>
        </w:rPr>
        <w:t>(具体按发布招标预算书编制说明的要求执行)</w:t>
      </w:r>
    </w:p>
    <w:p w14:paraId="4CBA0A91">
      <w:pPr>
        <w:pStyle w:val="6"/>
        <w:keepNext w:val="0"/>
        <w:keepLines w:val="0"/>
        <w:pageBreakBefore w:val="0"/>
        <w:widowControl/>
        <w:numPr>
          <w:ilvl w:val="0"/>
          <w:numId w:val="0"/>
        </w:numPr>
        <w:kinsoku/>
        <w:wordWrap/>
        <w:overflowPunct/>
        <w:topLinePunct w:val="0"/>
        <w:autoSpaceDE/>
        <w:autoSpaceDN/>
        <w:bidi w:val="0"/>
        <w:adjustRightInd/>
        <w:spacing w:line="240" w:lineRule="auto"/>
        <w:ind w:firstLine="480" w:firstLineChars="200"/>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2.</w:t>
      </w:r>
      <w:r>
        <w:rPr>
          <w:rFonts w:hint="eastAsia" w:ascii="Times New Roman" w:hAnsi="Times New Roman" w:eastAsia="宋体" w:cs="Times New Roman"/>
          <w:color w:val="auto"/>
          <w:highlight w:val="none"/>
          <w:lang w:val="en-US" w:eastAsia="zh-CN"/>
        </w:rPr>
        <w:t>合同中无对应单价的新增项目，由双方参照合同类似项目或市场价格协商确定；</w:t>
      </w:r>
    </w:p>
    <w:p w14:paraId="38011AD3">
      <w:pPr>
        <w:pStyle w:val="6"/>
        <w:keepNext w:val="0"/>
        <w:keepLines w:val="0"/>
        <w:pageBreakBefore w:val="0"/>
        <w:widowControl/>
        <w:numPr>
          <w:ilvl w:val="0"/>
          <w:numId w:val="0"/>
        </w:numPr>
        <w:kinsoku/>
        <w:wordWrap/>
        <w:overflowPunct/>
        <w:topLinePunct w:val="0"/>
        <w:autoSpaceDE/>
        <w:autoSpaceDN/>
        <w:bidi w:val="0"/>
        <w:adjustRightInd/>
        <w:spacing w:line="240" w:lineRule="auto"/>
        <w:ind w:firstLine="480" w:firstLineChars="200"/>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3.</w:t>
      </w:r>
      <w:r>
        <w:rPr>
          <w:rFonts w:hint="eastAsia" w:ascii="Times New Roman" w:hAnsi="Times New Roman" w:eastAsia="宋体" w:cs="Times New Roman"/>
          <w:color w:val="auto"/>
          <w:highlight w:val="none"/>
          <w:lang w:val="en-US" w:eastAsia="zh-CN"/>
        </w:rPr>
        <w:t>所有单价均包含人工、材料、机械、管理费、利润、税费等全部费用，除合同另有约定外，不再另行计取。</w:t>
      </w:r>
    </w:p>
    <w:p w14:paraId="4E756D14">
      <w:pPr>
        <w:pStyle w:val="6"/>
        <w:keepNext w:val="0"/>
        <w:keepLines w:val="0"/>
        <w:pageBreakBefore w:val="0"/>
        <w:widowControl/>
        <w:kinsoku/>
        <w:wordWrap/>
        <w:overflowPunct/>
        <w:topLinePunct w:val="0"/>
        <w:autoSpaceDE/>
        <w:autoSpaceDN/>
        <w:bidi w:val="0"/>
        <w:adjustRightInd/>
        <w:spacing w:line="240" w:lineRule="auto"/>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（4）</w:t>
      </w:r>
      <w:r>
        <w:rPr>
          <w:rFonts w:hint="eastAsia" w:ascii="Times New Roman" w:hAnsi="Times New Roman" w:eastAsia="宋体" w:cs="Times New Roman"/>
          <w:color w:val="auto"/>
          <w:highlight w:val="none"/>
          <w:lang w:val="en-US" w:eastAsia="zh-CN"/>
        </w:rPr>
        <w:t>变更与签证</w:t>
      </w:r>
    </w:p>
    <w:p w14:paraId="47B8EE75">
      <w:pPr>
        <w:pStyle w:val="6"/>
        <w:keepNext w:val="0"/>
        <w:keepLines w:val="0"/>
        <w:pageBreakBefore w:val="0"/>
        <w:widowControl/>
        <w:kinsoku/>
        <w:wordWrap/>
        <w:overflowPunct/>
        <w:topLinePunct w:val="0"/>
        <w:autoSpaceDE/>
        <w:autoSpaceDN/>
        <w:bidi w:val="0"/>
        <w:adjustRightInd/>
        <w:spacing w:line="240" w:lineRule="auto"/>
        <w:jc w:val="both"/>
        <w:textAlignment w:val="auto"/>
        <w:rPr>
          <w:rFonts w:hint="eastAsia" w:ascii="Times New Roman" w:hAnsi="Times New Roman" w:eastAsia="宋体" w:cs="Times New Roman"/>
          <w:color w:val="auto"/>
          <w:highlight w:val="none"/>
          <w:lang w:val="en-US" w:eastAsia="zh-CN"/>
        </w:rPr>
      </w:pPr>
      <w:r>
        <w:rPr>
          <w:rFonts w:hint="eastAsia" w:ascii="Times New Roman" w:hAnsi="Times New Roman" w:eastAsia="宋体" w:cs="Times New Roman"/>
          <w:color w:val="auto"/>
          <w:highlight w:val="none"/>
          <w:lang w:val="en-US" w:eastAsia="zh-CN"/>
        </w:rPr>
        <w:t>因设计变更、现场条件变化等导致工程量增减或施工内容调整的，应办理书面变更或签证手续，并作为结算依据。未按规定办理变更或签证的，原则上不予结算。</w:t>
      </w:r>
    </w:p>
    <w:p w14:paraId="751E7C2B">
      <w:pPr>
        <w:pStyle w:val="6"/>
        <w:keepNext w:val="0"/>
        <w:keepLines w:val="0"/>
        <w:pageBreakBefore w:val="0"/>
        <w:widowControl/>
        <w:kinsoku/>
        <w:wordWrap/>
        <w:overflowPunct/>
        <w:topLinePunct w:val="0"/>
        <w:autoSpaceDE/>
        <w:autoSpaceDN/>
        <w:bidi w:val="0"/>
        <w:adjustRightInd/>
        <w:spacing w:line="240" w:lineRule="auto"/>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（5）</w:t>
      </w:r>
      <w:r>
        <w:rPr>
          <w:rFonts w:hint="eastAsia" w:ascii="Times New Roman" w:hAnsi="Times New Roman" w:eastAsia="宋体" w:cs="Times New Roman"/>
          <w:color w:val="auto"/>
          <w:highlight w:val="none"/>
          <w:lang w:val="en-US" w:eastAsia="zh-CN"/>
        </w:rPr>
        <w:t>结算资料</w:t>
      </w:r>
    </w:p>
    <w:p w14:paraId="28802215">
      <w:pPr>
        <w:pStyle w:val="6"/>
        <w:keepNext w:val="0"/>
        <w:keepLines w:val="0"/>
        <w:pageBreakBefore w:val="0"/>
        <w:widowControl/>
        <w:kinsoku/>
        <w:wordWrap/>
        <w:overflowPunct/>
        <w:topLinePunct w:val="0"/>
        <w:autoSpaceDE/>
        <w:autoSpaceDN/>
        <w:bidi w:val="0"/>
        <w:adjustRightInd/>
        <w:spacing w:line="240" w:lineRule="auto"/>
        <w:jc w:val="both"/>
        <w:textAlignment w:val="auto"/>
        <w:rPr>
          <w:rFonts w:hint="eastAsia" w:ascii="Times New Roman" w:hAnsi="Times New Roman" w:eastAsia="宋体" w:cs="Times New Roman"/>
          <w:color w:val="auto"/>
          <w:highlight w:val="none"/>
          <w:lang w:val="en-US" w:eastAsia="zh-CN"/>
        </w:rPr>
      </w:pPr>
      <w:r>
        <w:rPr>
          <w:rFonts w:hint="eastAsia" w:eastAsia="宋体" w:cs="Times New Roman"/>
          <w:color w:val="auto"/>
          <w:highlight w:val="none"/>
          <w:lang w:val="en-US" w:eastAsia="zh-CN"/>
        </w:rPr>
        <w:t>中标单位</w:t>
      </w:r>
      <w:r>
        <w:rPr>
          <w:rFonts w:hint="eastAsia" w:ascii="Times New Roman" w:hAnsi="Times New Roman" w:eastAsia="宋体" w:cs="Times New Roman"/>
          <w:color w:val="auto"/>
          <w:highlight w:val="none"/>
          <w:lang w:val="en-US" w:eastAsia="zh-CN"/>
        </w:rPr>
        <w:t>应在工程完工并通过验收后，向采购方提交完整的结算资料，包括但不限于：结算书、工程量计算书、变更及签证文件、验收记录等。</w:t>
      </w:r>
    </w:p>
    <w:p w14:paraId="5215A16D">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rPr>
        <w:t>六、承诺</w:t>
      </w:r>
    </w:p>
    <w:p w14:paraId="0B536732">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1、采购单位向中标单位承诺按照本合同约定的期限和方式支付合同价款及其它应当支付的款项,并履行本合同所约定的全部义务。</w:t>
      </w:r>
    </w:p>
    <w:p w14:paraId="39E71A2E">
      <w:pPr>
        <w:pStyle w:val="6"/>
        <w:keepNext w:val="0"/>
        <w:keepLines w:val="0"/>
        <w:pageBreakBefore w:val="0"/>
        <w:widowControl/>
        <w:kinsoku/>
        <w:wordWrap/>
        <w:overflowPunct/>
        <w:topLinePunct w:val="0"/>
        <w:autoSpaceDE/>
        <w:autoSpaceDN/>
        <w:bidi w:val="0"/>
        <w:adjustRightInd/>
        <w:spacing w:line="240" w:lineRule="auto"/>
        <w:ind w:firstLine="448" w:firstLineChars="187"/>
        <w:jc w:val="both"/>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2、中标单位向采购单位承诺按照本合同约定进行施工、竣工并在缺陷责任期内及保修期内承担工程质量缺陷保修责任,并履行本合同书所约定的全部义务。</w:t>
      </w:r>
    </w:p>
    <w:p w14:paraId="611E5088">
      <w:pPr>
        <w:jc w:val="both"/>
        <w:rPr>
          <w:rFonts w:hint="eastAsia" w:ascii="Times New Roman" w:hAnsi="Times New Roman" w:eastAsia="宋体" w:cs="Times New Roman"/>
          <w:color w:val="auto"/>
          <w:sz w:val="24"/>
          <w:szCs w:val="20"/>
          <w:highlight w:val="none"/>
          <w:lang w:val="en-US" w:eastAsia="zh-CN" w:bidi="ar-SA"/>
        </w:rPr>
      </w:pPr>
      <w:r>
        <w:rPr>
          <w:rFonts w:hint="eastAsia" w:ascii="宋体" w:hAnsi="宋体" w:eastAsia="宋体" w:cs="宋体"/>
          <w:color w:val="auto"/>
          <w:sz w:val="24"/>
          <w:szCs w:val="24"/>
          <w:highlight w:val="none"/>
          <w:shd w:val="clear" w:color="auto" w:fill="auto"/>
          <w:lang w:val="en-US" w:eastAsia="zh-CN"/>
        </w:rPr>
        <w:t xml:space="preserve">    </w:t>
      </w:r>
      <w:r>
        <w:rPr>
          <w:rFonts w:hint="eastAsia" w:ascii="Times New Roman" w:hAnsi="Times New Roman" w:eastAsia="宋体" w:cs="Times New Roman"/>
          <w:color w:val="auto"/>
          <w:sz w:val="24"/>
          <w:szCs w:val="20"/>
          <w:highlight w:val="none"/>
          <w:lang w:val="en-US" w:eastAsia="zh-CN" w:bidi="ar-SA"/>
        </w:rPr>
        <w:t>3、按深圳市城建档案馆</w:t>
      </w:r>
      <w:r>
        <w:rPr>
          <w:rFonts w:hint="eastAsia" w:eastAsia="宋体" w:cs="Times New Roman"/>
          <w:color w:val="auto"/>
          <w:sz w:val="24"/>
          <w:szCs w:val="20"/>
          <w:highlight w:val="none"/>
          <w:lang w:val="en-US" w:eastAsia="zh-CN" w:bidi="ar-SA"/>
        </w:rPr>
        <w:t>或采购人文件材料归档管理</w:t>
      </w:r>
      <w:r>
        <w:rPr>
          <w:rFonts w:hint="eastAsia" w:ascii="Times New Roman" w:hAnsi="Times New Roman" w:eastAsia="宋体" w:cs="Times New Roman"/>
          <w:color w:val="auto"/>
          <w:sz w:val="24"/>
          <w:szCs w:val="20"/>
          <w:highlight w:val="none"/>
          <w:lang w:val="en-US" w:eastAsia="zh-CN" w:bidi="ar-SA"/>
        </w:rPr>
        <w:t>有关规定移交</w:t>
      </w:r>
      <w:r>
        <w:rPr>
          <w:rFonts w:hint="eastAsia" w:eastAsia="宋体" w:cs="Times New Roman"/>
          <w:color w:val="auto"/>
          <w:sz w:val="24"/>
          <w:szCs w:val="20"/>
          <w:highlight w:val="none"/>
          <w:lang w:val="en-US" w:eastAsia="zh-CN" w:bidi="ar-SA"/>
        </w:rPr>
        <w:t>工程</w:t>
      </w:r>
      <w:r>
        <w:rPr>
          <w:rFonts w:hint="eastAsia" w:ascii="Times New Roman" w:hAnsi="Times New Roman" w:eastAsia="宋体" w:cs="Times New Roman"/>
          <w:color w:val="auto"/>
          <w:sz w:val="24"/>
          <w:szCs w:val="20"/>
          <w:highlight w:val="none"/>
          <w:lang w:val="en-US" w:eastAsia="zh-CN" w:bidi="ar-SA"/>
        </w:rPr>
        <w:t>档案资料。</w:t>
      </w:r>
    </w:p>
    <w:p w14:paraId="76786B8E">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shd w:val="clear" w:color="auto" w:fill="auto"/>
          <w:lang w:val="en-US" w:eastAsia="zh-CN"/>
        </w:rPr>
        <w:t>七</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违约责任与争议解决办法</w:t>
      </w:r>
    </w:p>
    <w:p w14:paraId="341C930B">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未按时竣工，每延迟工期一日历天，按工程结算价款1‰的违约金给</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。如延迟工期</w:t>
      </w:r>
      <w:r>
        <w:rPr>
          <w:rFonts w:hint="eastAsia" w:ascii="宋体" w:hAnsi="宋体" w:eastAsia="宋体" w:cs="宋体"/>
          <w:color w:val="auto"/>
          <w:sz w:val="24"/>
          <w:szCs w:val="24"/>
          <w:highlight w:val="none"/>
          <w:lang w:val="en-US" w:eastAsia="zh-CN"/>
        </w:rPr>
        <w:t>超过15日</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可以单方解除合同，</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须立即清场，</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有权另行委托第三方完成剩余工程，因此增加的全部费用及损失由</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承担，</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有权从应付款项中直接扣除。</w:t>
      </w:r>
    </w:p>
    <w:p w14:paraId="522E7EFD">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工程质量达不到合同约定的质量标准，</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承担给</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带来的全部损失，改正返工至合格为止，并支付工程结算价款30％的违约金给</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。同时，</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需赔偿因此给</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造成的全部经济损失</w:t>
      </w:r>
      <w:r>
        <w:rPr>
          <w:rFonts w:hint="eastAsia" w:ascii="宋体" w:hAnsi="宋体" w:eastAsia="宋体" w:cs="宋体"/>
          <w:color w:val="auto"/>
          <w:sz w:val="24"/>
          <w:szCs w:val="24"/>
          <w:highlight w:val="none"/>
          <w:lang w:eastAsia="zh-CN"/>
        </w:rPr>
        <w:t>。</w:t>
      </w:r>
    </w:p>
    <w:p w14:paraId="2B7E0402">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如</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擅自将本工程的一部分或全部分包、或转包给其他承包商施工，</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将上报财政主管部门依法处理，由此造成的一切损失和法律责任由</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承担。</w:t>
      </w:r>
    </w:p>
    <w:p w14:paraId="14027859">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发生其它使合同无法履行的行为，按损害程度支付相应的违约金。</w:t>
      </w:r>
    </w:p>
    <w:p w14:paraId="3FE22CF3">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合同双方之任何一方不能全面履行合同条款，均属违约。违约所造成的经济损失概由违约方承担赔偿。违约造成工期延误责任分担：</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违约，工期相应顺延；</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违约，工期不得顺延。</w:t>
      </w:r>
    </w:p>
    <w:p w14:paraId="2CF1694C">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协商或仲裁：如果发生与本合同的解释或执行中的有关争议，双方首先应通过友好协商解决，否则任何一方可将该争议提交仲裁。仲裁事项应提交深圳仲裁委员会进行裁决。</w:t>
      </w:r>
    </w:p>
    <w:p w14:paraId="41FE26DB">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lang w:val="en-US" w:eastAsia="zh-CN"/>
        </w:rPr>
        <w:t>八、</w:t>
      </w:r>
      <w:r>
        <w:rPr>
          <w:rFonts w:hint="eastAsia" w:ascii="宋体" w:hAnsi="宋体" w:eastAsia="宋体" w:cs="宋体"/>
          <w:b/>
          <w:bCs/>
          <w:color w:val="auto"/>
          <w:sz w:val="24"/>
          <w:szCs w:val="24"/>
          <w:highlight w:val="none"/>
          <w:shd w:val="clear" w:color="auto" w:fill="auto"/>
        </w:rPr>
        <w:t>不可抗力</w:t>
      </w:r>
    </w:p>
    <w:p w14:paraId="06704285">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自然灾害外，任何一方由于不可抗力的原因不能履行合同时，应及时向对方通报不能履行或不能完全履行的理由，在取得双方商议后，允许延期履行、部分履行或者不履行合同，并根据情况可部分或全部免予承担违约责任。</w:t>
      </w:r>
    </w:p>
    <w:p w14:paraId="3E53E87D">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lang w:val="en-US" w:eastAsia="zh-CN"/>
        </w:rPr>
        <w:t>九、</w:t>
      </w:r>
      <w:r>
        <w:rPr>
          <w:rFonts w:hint="eastAsia" w:ascii="宋体" w:hAnsi="宋体" w:eastAsia="宋体" w:cs="宋体"/>
          <w:b/>
          <w:bCs/>
          <w:color w:val="auto"/>
          <w:sz w:val="24"/>
          <w:szCs w:val="24"/>
          <w:highlight w:val="none"/>
          <w:shd w:val="clear" w:color="auto" w:fill="auto"/>
        </w:rPr>
        <w:t>争议解决办法</w:t>
      </w:r>
    </w:p>
    <w:p w14:paraId="063CB246">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因履行本合同引起的或与本合同有关的争议，采购单位、中标单位双方应首先通过友好协商解决，如果协商不能解决争议，则向采购单位所在地有管辖权的人民法院提起诉讼。</w:t>
      </w:r>
    </w:p>
    <w:p w14:paraId="4E02CC67">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rPr>
      </w:pPr>
      <w:r>
        <w:rPr>
          <w:rFonts w:hint="eastAsia" w:ascii="宋体" w:hAnsi="宋体" w:eastAsia="宋体" w:cs="宋体"/>
          <w:b/>
          <w:bCs/>
          <w:color w:val="auto"/>
          <w:sz w:val="24"/>
          <w:szCs w:val="24"/>
          <w:highlight w:val="none"/>
          <w:shd w:val="clear" w:color="auto" w:fill="auto"/>
          <w:lang w:val="en-US" w:eastAsia="zh-CN"/>
        </w:rPr>
        <w:t>十</w:t>
      </w:r>
      <w:r>
        <w:rPr>
          <w:rFonts w:hint="eastAsia" w:ascii="宋体" w:hAnsi="宋体" w:eastAsia="宋体" w:cs="宋体"/>
          <w:b/>
          <w:bCs/>
          <w:color w:val="auto"/>
          <w:sz w:val="24"/>
          <w:szCs w:val="24"/>
          <w:highlight w:val="none"/>
          <w:shd w:val="clear" w:color="auto" w:fill="auto"/>
          <w:lang w:eastAsia="zh-CN"/>
        </w:rPr>
        <w:t>、</w:t>
      </w:r>
      <w:r>
        <w:rPr>
          <w:rFonts w:hint="eastAsia" w:ascii="宋体" w:hAnsi="宋体" w:eastAsia="宋体" w:cs="宋体"/>
          <w:b/>
          <w:bCs/>
          <w:color w:val="auto"/>
          <w:sz w:val="24"/>
          <w:szCs w:val="24"/>
          <w:highlight w:val="none"/>
          <w:shd w:val="clear" w:color="auto" w:fill="auto"/>
        </w:rPr>
        <w:t>合同的变更、解除或终止</w:t>
      </w:r>
    </w:p>
    <w:p w14:paraId="22A33B3E">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除政府采购合同继续履行将损害国家利益和社会公共利益外，双方当事人不得擅自变更、中止或者终止合同。</w:t>
      </w:r>
    </w:p>
    <w:p w14:paraId="7FF45967">
      <w:pPr>
        <w:pStyle w:val="6"/>
        <w:keepNext w:val="0"/>
        <w:keepLines w:val="0"/>
        <w:pageBreakBefore w:val="0"/>
        <w:widowControl/>
        <w:kinsoku/>
        <w:wordWrap/>
        <w:overflowPunct/>
        <w:topLinePunct w:val="0"/>
        <w:autoSpaceDE/>
        <w:autoSpaceDN/>
        <w:bidi w:val="0"/>
        <w:adjustRightInd/>
        <w:spacing w:line="240" w:lineRule="auto"/>
        <w:ind w:firstLine="451" w:firstLineChars="187"/>
        <w:jc w:val="both"/>
        <w:textAlignment w:val="auto"/>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en-US" w:eastAsia="zh-CN"/>
        </w:rPr>
        <w:t>十二、其他</w:t>
      </w:r>
    </w:p>
    <w:p w14:paraId="5C11AF94">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（一）本协议未尽事宜，双方协商解决，并签订补充协议。</w:t>
      </w:r>
    </w:p>
    <w:p w14:paraId="1440C10C">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（二）本合同如发生纠纷，当事人双方应当及时协商解决，协商不成时，向工程所在地法院提起诉讼解决。</w:t>
      </w:r>
    </w:p>
    <w:p w14:paraId="68E8002E">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三）采购单位、中标单位共同确认本合同上的送达信息作为合同履行、诉讼、仲裁程序的有效送达信息，发送的快递送达预留的地址即使被退回或拒签也视为送达，通过短信或者邮件送达的，短信或者邮件成功发出即视为送达；如一方书面通知送达信息变更后应将快件、短信、邮件等发送到变更后的送达信息。</w:t>
      </w:r>
    </w:p>
    <w:p w14:paraId="6D532A19">
      <w:pPr>
        <w:keepNext w:val="0"/>
        <w:keepLines w:val="0"/>
        <w:pageBreakBefore w:val="0"/>
        <w:widowControl/>
        <w:tabs>
          <w:tab w:val="left" w:pos="0"/>
        </w:tabs>
        <w:kinsoku/>
        <w:wordWrap/>
        <w:overflowPunct/>
        <w:topLinePunct w:val="0"/>
        <w:autoSpaceDE/>
        <w:autoSpaceDN/>
        <w:bidi w:val="0"/>
        <w:adjustRightInd/>
        <w:snapToGrid w:val="0"/>
        <w:spacing w:line="24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（四）本合同一式</w:t>
      </w:r>
      <w:r>
        <w:rPr>
          <w:rFonts w:hint="eastAsia" w:ascii="宋体" w:hAnsi="宋体" w:eastAsia="宋体" w:cs="宋体"/>
          <w:color w:val="auto"/>
          <w:sz w:val="24"/>
          <w:szCs w:val="24"/>
          <w:highlight w:val="none"/>
          <w:u w:val="single"/>
          <w:lang w:val="en-US" w:eastAsia="zh-CN"/>
        </w:rPr>
        <w:t xml:space="preserve"> 肆 </w:t>
      </w:r>
      <w:r>
        <w:rPr>
          <w:rFonts w:hint="eastAsia" w:ascii="宋体" w:hAnsi="宋体" w:eastAsia="宋体" w:cs="宋体"/>
          <w:color w:val="auto"/>
          <w:sz w:val="24"/>
          <w:szCs w:val="24"/>
          <w:highlight w:val="none"/>
          <w:lang w:val="en-US" w:eastAsia="zh-CN"/>
        </w:rPr>
        <w:t>份，采购单位、中标单位双方各执</w:t>
      </w:r>
      <w:r>
        <w:rPr>
          <w:rFonts w:hint="eastAsia" w:ascii="宋体" w:hAnsi="宋体" w:eastAsia="宋体" w:cs="宋体"/>
          <w:color w:val="auto"/>
          <w:sz w:val="24"/>
          <w:szCs w:val="24"/>
          <w:highlight w:val="none"/>
          <w:u w:val="single"/>
          <w:lang w:val="en-US" w:eastAsia="zh-CN"/>
        </w:rPr>
        <w:t xml:space="preserve"> 贰 </w:t>
      </w:r>
      <w:r>
        <w:rPr>
          <w:rFonts w:hint="eastAsia" w:ascii="宋体" w:hAnsi="宋体" w:eastAsia="宋体" w:cs="宋体"/>
          <w:color w:val="auto"/>
          <w:sz w:val="24"/>
          <w:szCs w:val="24"/>
          <w:highlight w:val="none"/>
          <w:lang w:val="en-US" w:eastAsia="zh-CN"/>
        </w:rPr>
        <w:t>份，自签字盖章之日起生效，均具有同等法律效力。</w:t>
      </w:r>
    </w:p>
    <w:p w14:paraId="791353AA">
      <w:pPr>
        <w:snapToGrid w:val="0"/>
        <w:spacing w:line="360" w:lineRule="auto"/>
        <w:ind w:firstLine="200"/>
        <w:jc w:val="both"/>
        <w:rPr>
          <w:rFonts w:hint="eastAsia" w:ascii="宋体" w:hAnsi="宋体" w:eastAsia="宋体" w:cs="宋体"/>
          <w:color w:val="auto"/>
          <w:highlight w:val="none"/>
        </w:rPr>
      </w:pPr>
    </w:p>
    <w:p w14:paraId="58C4BD5E">
      <w:pPr>
        <w:pStyle w:val="8"/>
        <w:rPr>
          <w:rFonts w:hint="eastAsia" w:ascii="宋体" w:hAnsi="宋体" w:eastAsia="宋体" w:cs="宋体"/>
          <w:color w:val="auto"/>
          <w:highlight w:val="none"/>
        </w:rPr>
      </w:pPr>
    </w:p>
    <w:p w14:paraId="7947A096">
      <w:pPr>
        <w:pStyle w:val="9"/>
        <w:rPr>
          <w:rFonts w:hint="eastAsia"/>
          <w:color w:val="auto"/>
          <w:highlight w:val="none"/>
        </w:rPr>
      </w:pPr>
    </w:p>
    <w:p w14:paraId="7BC970F5">
      <w:pPr>
        <w:snapToGrid w:val="0"/>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lang w:eastAsia="zh-CN"/>
        </w:rPr>
        <w:t>采购单位</w:t>
      </w:r>
      <w:r>
        <w:rPr>
          <w:rFonts w:hint="eastAsia" w:ascii="宋体" w:hAnsi="宋体" w:eastAsia="宋体" w:cs="宋体"/>
          <w:color w:val="auto"/>
          <w:highlight w:val="none"/>
        </w:rPr>
        <w:t xml:space="preserve">（公章）：                          </w:t>
      </w:r>
      <w:r>
        <w:rPr>
          <w:rFonts w:hint="eastAsia" w:ascii="宋体" w:hAnsi="宋体" w:eastAsia="宋体" w:cs="宋体"/>
          <w:color w:val="auto"/>
          <w:highlight w:val="none"/>
          <w:lang w:val="en-US" w:eastAsia="zh-CN"/>
        </w:rPr>
        <w:t>中标单位</w:t>
      </w:r>
      <w:r>
        <w:rPr>
          <w:rFonts w:hint="eastAsia" w:ascii="宋体" w:hAnsi="宋体" w:eastAsia="宋体" w:cs="宋体"/>
          <w:color w:val="auto"/>
          <w:highlight w:val="none"/>
        </w:rPr>
        <w:t>（公章）：</w:t>
      </w:r>
    </w:p>
    <w:p w14:paraId="56828B65">
      <w:pPr>
        <w:snapToGrid w:val="0"/>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rPr>
        <w:t>法定代表人（签章）</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法定代表人（签章）</w:t>
      </w:r>
    </w:p>
    <w:p w14:paraId="7A583BAC">
      <w:pPr>
        <w:snapToGrid w:val="0"/>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rPr>
        <w:t>或授权代表：</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或授权代表：</w:t>
      </w:r>
    </w:p>
    <w:p w14:paraId="6CC62D68">
      <w:pPr>
        <w:snapToGrid w:val="0"/>
        <w:spacing w:line="360" w:lineRule="auto"/>
        <w:jc w:val="both"/>
        <w:rPr>
          <w:rFonts w:hint="eastAsia" w:ascii="宋体" w:hAnsi="宋体" w:eastAsia="宋体" w:cs="宋体"/>
          <w:color w:val="auto"/>
          <w:highlight w:val="none"/>
        </w:rPr>
      </w:pPr>
      <w:r>
        <w:rPr>
          <w:rFonts w:hint="eastAsia" w:ascii="宋体" w:hAnsi="宋体" w:eastAsia="宋体" w:cs="宋体"/>
          <w:color w:val="auto"/>
          <w:highlight w:val="none"/>
        </w:rPr>
        <w:t xml:space="preserve">日期：    年   月   日     </w:t>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ab/>
      </w:r>
      <w:r>
        <w:rPr>
          <w:rFonts w:hint="eastAsia" w:ascii="宋体" w:hAnsi="宋体" w:eastAsia="宋体" w:cs="宋体"/>
          <w:color w:val="auto"/>
          <w:highlight w:val="none"/>
        </w:rPr>
        <w:t>日期：    年   月   日</w:t>
      </w:r>
    </w:p>
    <w:p w14:paraId="27D0AC6E">
      <w:pPr>
        <w:pStyle w:val="23"/>
        <w:shd w:val="clear"/>
        <w:rPr>
          <w:rFonts w:hint="eastAsia" w:ascii="宋体" w:hAnsi="宋体" w:eastAsia="宋体"/>
          <w:color w:val="auto"/>
          <w:sz w:val="21"/>
          <w:szCs w:val="21"/>
          <w:highlight w:val="none"/>
        </w:rPr>
      </w:pPr>
    </w:p>
    <w:p w14:paraId="4DFF77C7">
      <w:pPr>
        <w:pStyle w:val="23"/>
        <w:shd w:val="clear"/>
        <w:rPr>
          <w:rFonts w:hint="eastAsia" w:ascii="宋体" w:hAnsi="宋体" w:eastAsia="宋体"/>
          <w:color w:val="auto"/>
          <w:sz w:val="21"/>
          <w:szCs w:val="21"/>
          <w:highlight w:val="none"/>
        </w:rPr>
      </w:pPr>
    </w:p>
    <w:p w14:paraId="0B526805">
      <w:pPr>
        <w:pStyle w:val="23"/>
        <w:shd w:val="clear"/>
        <w:rPr>
          <w:rFonts w:hint="eastAsia" w:ascii="宋体" w:hAnsi="宋体" w:eastAsia="宋体"/>
          <w:color w:val="auto"/>
          <w:sz w:val="21"/>
          <w:szCs w:val="21"/>
          <w:highlight w:val="none"/>
        </w:rPr>
      </w:pPr>
    </w:p>
    <w:p w14:paraId="54DB4132">
      <w:pPr>
        <w:pStyle w:val="23"/>
        <w:shd w:val="clear"/>
        <w:rPr>
          <w:rFonts w:hint="eastAsia" w:ascii="宋体" w:hAnsi="宋体" w:eastAsia="宋体"/>
          <w:color w:val="auto"/>
          <w:sz w:val="21"/>
          <w:szCs w:val="21"/>
          <w:highlight w:val="none"/>
        </w:rPr>
      </w:pPr>
    </w:p>
    <w:p w14:paraId="7B2F8B1C">
      <w:pPr>
        <w:pStyle w:val="23"/>
        <w:shd w:val="clear"/>
        <w:rPr>
          <w:rFonts w:hint="eastAsia" w:ascii="宋体" w:hAnsi="宋体" w:eastAsia="宋体"/>
          <w:color w:val="auto"/>
          <w:sz w:val="21"/>
          <w:szCs w:val="21"/>
          <w:highlight w:val="none"/>
        </w:rPr>
      </w:pPr>
    </w:p>
    <w:p w14:paraId="67300991">
      <w:pPr>
        <w:shd w:val="clear"/>
        <w:jc w:val="left"/>
        <w:rPr>
          <w:rFonts w:eastAsia="宋体"/>
          <w:color w:val="auto"/>
          <w:highlight w:val="none"/>
        </w:rPr>
      </w:pPr>
    </w:p>
    <w:p w14:paraId="01801223">
      <w:pPr>
        <w:snapToGrid w:val="0"/>
        <w:spacing w:line="360" w:lineRule="auto"/>
        <w:jc w:val="both"/>
        <w:rPr>
          <w:rFonts w:hint="eastAsia" w:ascii="宋体" w:hAnsi="宋体" w:eastAsia="宋体" w:cs="宋体"/>
          <w:color w:val="auto"/>
          <w:highlight w:val="none"/>
        </w:rPr>
      </w:pPr>
    </w:p>
    <w:p w14:paraId="6F780675">
      <w:pPr>
        <w:pStyle w:val="23"/>
        <w:shd w:val="clear"/>
        <w:rPr>
          <w:rFonts w:hint="eastAsia" w:ascii="宋体" w:hAnsi="宋体" w:eastAsia="宋体"/>
          <w:color w:val="auto"/>
          <w:sz w:val="21"/>
          <w:szCs w:val="21"/>
          <w:highlight w:val="none"/>
        </w:rPr>
      </w:pPr>
    </w:p>
    <w:p w14:paraId="2C24527F">
      <w:pPr>
        <w:pStyle w:val="23"/>
        <w:shd w:val="clear"/>
        <w:rPr>
          <w:rFonts w:hint="eastAsia" w:ascii="宋体" w:hAnsi="宋体" w:eastAsia="宋体"/>
          <w:color w:val="auto"/>
          <w:sz w:val="21"/>
          <w:szCs w:val="21"/>
          <w:highlight w:val="none"/>
        </w:rPr>
      </w:pPr>
    </w:p>
    <w:p w14:paraId="3971E7AB">
      <w:pPr>
        <w:pStyle w:val="23"/>
        <w:shd w:val="clear"/>
        <w:rPr>
          <w:rFonts w:hint="eastAsia" w:ascii="宋体" w:hAnsi="宋体" w:eastAsia="宋体"/>
          <w:color w:val="auto"/>
          <w:sz w:val="21"/>
          <w:szCs w:val="21"/>
          <w:highlight w:val="none"/>
        </w:rPr>
      </w:pPr>
    </w:p>
    <w:p w14:paraId="23AFFCEC">
      <w:pPr>
        <w:pStyle w:val="23"/>
        <w:shd w:val="clear"/>
        <w:rPr>
          <w:rFonts w:hint="eastAsia" w:ascii="宋体" w:hAnsi="宋体" w:eastAsia="宋体"/>
          <w:color w:val="auto"/>
          <w:sz w:val="21"/>
          <w:szCs w:val="21"/>
          <w:highlight w:val="none"/>
        </w:rPr>
      </w:pPr>
    </w:p>
    <w:p w14:paraId="22AD701A">
      <w:pPr>
        <w:pStyle w:val="23"/>
        <w:shd w:val="clear"/>
        <w:rPr>
          <w:rFonts w:hint="eastAsia" w:ascii="宋体" w:hAnsi="宋体" w:eastAsia="宋体"/>
          <w:color w:val="auto"/>
          <w:sz w:val="21"/>
          <w:szCs w:val="21"/>
          <w:highlight w:val="none"/>
        </w:rPr>
      </w:pPr>
    </w:p>
    <w:p w14:paraId="10B2AFEF">
      <w:pPr>
        <w:shd w:val="clear"/>
        <w:jc w:val="left"/>
        <w:rPr>
          <w:rFonts w:eastAsia="宋体"/>
          <w:color w:val="auto"/>
          <w:highlight w:val="none"/>
        </w:rPr>
      </w:pPr>
    </w:p>
    <w:p w14:paraId="53207384">
      <w:pPr>
        <w:pStyle w:val="23"/>
        <w:shd w:val="clear"/>
        <w:rPr>
          <w:rFonts w:hint="eastAsia" w:ascii="宋体" w:hAnsi="宋体" w:eastAsia="宋体"/>
          <w:color w:val="auto"/>
          <w:sz w:val="21"/>
          <w:szCs w:val="21"/>
          <w:highlight w:val="none"/>
        </w:rPr>
      </w:pPr>
    </w:p>
    <w:p w14:paraId="28039CF9">
      <w:pPr>
        <w:pStyle w:val="23"/>
        <w:shd w:val="clear"/>
        <w:rPr>
          <w:rFonts w:hint="eastAsia" w:ascii="宋体" w:hAnsi="宋体" w:eastAsia="宋体"/>
          <w:color w:val="auto"/>
          <w:sz w:val="21"/>
          <w:szCs w:val="21"/>
          <w:highlight w:val="none"/>
        </w:rPr>
      </w:pPr>
    </w:p>
    <w:p w14:paraId="423489B8">
      <w:pPr>
        <w:pStyle w:val="23"/>
        <w:shd w:val="clear"/>
        <w:rPr>
          <w:rFonts w:hint="eastAsia" w:ascii="宋体" w:hAnsi="宋体" w:eastAsia="宋体"/>
          <w:color w:val="auto"/>
          <w:sz w:val="21"/>
          <w:szCs w:val="21"/>
          <w:highlight w:val="none"/>
        </w:rPr>
      </w:pPr>
    </w:p>
    <w:p w14:paraId="0C566CD3">
      <w:pPr>
        <w:pStyle w:val="23"/>
        <w:shd w:val="clear"/>
        <w:rPr>
          <w:rFonts w:hint="eastAsia" w:ascii="宋体" w:hAnsi="宋体" w:eastAsia="宋体"/>
          <w:color w:val="auto"/>
          <w:sz w:val="21"/>
          <w:szCs w:val="21"/>
          <w:highlight w:val="none"/>
        </w:rPr>
      </w:pPr>
    </w:p>
    <w:p w14:paraId="70E01C91">
      <w:pPr>
        <w:pStyle w:val="23"/>
        <w:shd w:val="clear"/>
        <w:rPr>
          <w:rFonts w:hint="eastAsia" w:ascii="宋体" w:hAnsi="宋体" w:eastAsia="宋体"/>
          <w:color w:val="auto"/>
          <w:sz w:val="21"/>
          <w:szCs w:val="21"/>
          <w:highlight w:val="none"/>
        </w:rPr>
      </w:pPr>
    </w:p>
    <w:p w14:paraId="6631703F">
      <w:pPr>
        <w:pStyle w:val="23"/>
        <w:shd w:val="clear"/>
        <w:rPr>
          <w:rFonts w:hint="eastAsia" w:ascii="宋体" w:hAnsi="宋体" w:eastAsia="宋体"/>
          <w:color w:val="auto"/>
          <w:sz w:val="21"/>
          <w:szCs w:val="21"/>
          <w:highlight w:val="none"/>
        </w:rPr>
      </w:pPr>
    </w:p>
    <w:p w14:paraId="0AC58F04">
      <w:pPr>
        <w:pStyle w:val="23"/>
        <w:shd w:val="clear"/>
        <w:rPr>
          <w:rFonts w:hint="eastAsia" w:ascii="宋体" w:hAnsi="宋体" w:eastAsia="宋体"/>
          <w:color w:val="auto"/>
          <w:sz w:val="21"/>
          <w:szCs w:val="21"/>
          <w:highlight w:val="none"/>
        </w:rPr>
      </w:pPr>
    </w:p>
    <w:p w14:paraId="507518EA">
      <w:pPr>
        <w:pStyle w:val="23"/>
        <w:shd w:val="clear"/>
        <w:rPr>
          <w:rFonts w:hint="eastAsia" w:ascii="宋体" w:hAnsi="宋体" w:eastAsia="宋体"/>
          <w:color w:val="auto"/>
          <w:sz w:val="21"/>
          <w:szCs w:val="21"/>
          <w:highlight w:val="none"/>
        </w:rPr>
      </w:pPr>
    </w:p>
    <w:p w14:paraId="28198A17">
      <w:pPr>
        <w:pStyle w:val="2"/>
        <w:shd w:val="clear"/>
        <w:spacing w:before="120" w:beforeLines="50" w:after="120" w:afterLines="50"/>
        <w:ind w:left="562"/>
        <w:rPr>
          <w:color w:val="auto"/>
          <w:highlight w:val="none"/>
        </w:rPr>
      </w:pPr>
      <w:r>
        <w:rPr>
          <w:rFonts w:hint="eastAsia"/>
          <w:color w:val="auto"/>
          <w:highlight w:val="none"/>
        </w:rPr>
        <w:t>第二册  通用条款（公开</w:t>
      </w:r>
      <w:r>
        <w:rPr>
          <w:rFonts w:hint="eastAsia"/>
          <w:color w:val="auto"/>
          <w:highlight w:val="none"/>
          <w:lang w:val="en-US" w:eastAsia="zh-CN"/>
        </w:rPr>
        <w:t>招标/公开征集</w:t>
      </w:r>
      <w:r>
        <w:rPr>
          <w:rFonts w:hint="eastAsia"/>
          <w:color w:val="auto"/>
          <w:highlight w:val="none"/>
        </w:rPr>
        <w:t>）</w:t>
      </w:r>
    </w:p>
    <w:p w14:paraId="612B2E24">
      <w:pPr>
        <w:pStyle w:val="3"/>
        <w:numPr>
          <w:ilvl w:val="0"/>
          <w:numId w:val="3"/>
        </w:numPr>
        <w:shd w:val="clear"/>
        <w:spacing w:before="120" w:beforeLines="50" w:after="120" w:afterLines="50"/>
        <w:ind w:left="562" w:hanging="562"/>
        <w:rPr>
          <w:rFonts w:hint="eastAsia"/>
          <w:color w:val="auto"/>
          <w:sz w:val="28"/>
          <w:szCs w:val="28"/>
          <w:highlight w:val="none"/>
        </w:rPr>
      </w:pPr>
      <w:bookmarkStart w:id="66" w:name="_Hlk72399513"/>
      <w:r>
        <w:rPr>
          <w:rFonts w:hint="eastAsia"/>
          <w:color w:val="auto"/>
          <w:sz w:val="28"/>
          <w:szCs w:val="28"/>
          <w:highlight w:val="none"/>
        </w:rPr>
        <w:t>总则</w:t>
      </w:r>
    </w:p>
    <w:bookmarkEnd w:id="66"/>
    <w:p w14:paraId="0A3C1836">
      <w:pPr>
        <w:shd w:val="clear"/>
        <w:jc w:val="left"/>
        <w:rPr>
          <w:rFonts w:ascii="黑体" w:hAnsi="宋体" w:eastAsia="黑体"/>
          <w:color w:val="auto"/>
          <w:highlight w:val="none"/>
        </w:rPr>
      </w:pPr>
      <w:r>
        <w:rPr>
          <w:rFonts w:hint="eastAsia" w:ascii="黑体" w:hAnsi="宋体" w:eastAsia="黑体"/>
          <w:color w:val="auto"/>
          <w:highlight w:val="none"/>
        </w:rPr>
        <w:t>1. 通用条款说明</w:t>
      </w:r>
    </w:p>
    <w:p w14:paraId="4D8DEC3F">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1.1</w:t>
      </w:r>
      <w:r>
        <w:rPr>
          <w:rFonts w:hint="eastAsia" w:ascii="宋体" w:hAnsi="宋体" w:eastAsia="宋体"/>
          <w:color w:val="auto"/>
          <w:szCs w:val="21"/>
          <w:highlight w:val="none"/>
        </w:rPr>
        <w:t>招标代理</w:t>
      </w:r>
      <w:r>
        <w:rPr>
          <w:rFonts w:hint="eastAsia" w:ascii="宋体" w:hAnsi="宋体"/>
          <w:color w:val="auto"/>
          <w:szCs w:val="21"/>
          <w:highlight w:val="none"/>
        </w:rPr>
        <w:t>机构发出招标文件通用条款版本，列出深圳市政府采购项目进行招标采购所适用的通用条款内容。</w:t>
      </w:r>
      <w:bookmarkStart w:id="67" w:name="_Hlk72399729"/>
      <w:r>
        <w:rPr>
          <w:rFonts w:hint="eastAsia" w:ascii="宋体" w:hAnsi="宋体"/>
          <w:color w:val="auto"/>
          <w:szCs w:val="21"/>
          <w:highlight w:val="none"/>
        </w:rPr>
        <w:t>如有需要，</w:t>
      </w:r>
      <w:r>
        <w:rPr>
          <w:rFonts w:hint="eastAsia" w:ascii="宋体" w:hAnsi="宋体" w:eastAsia="宋体"/>
          <w:color w:val="auto"/>
          <w:szCs w:val="21"/>
          <w:highlight w:val="none"/>
        </w:rPr>
        <w:t>招标代理</w:t>
      </w:r>
      <w:r>
        <w:rPr>
          <w:rFonts w:hint="eastAsia" w:ascii="宋体" w:hAnsi="宋体"/>
          <w:color w:val="auto"/>
          <w:szCs w:val="21"/>
          <w:highlight w:val="none"/>
        </w:rPr>
        <w:t>机构可以对通用条款的内容进行补充。</w:t>
      </w:r>
      <w:bookmarkEnd w:id="67"/>
    </w:p>
    <w:p w14:paraId="65B6F8EC">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1.2招标文件分为第一册“专用条款”和第二册“通用条款”。</w:t>
      </w:r>
    </w:p>
    <w:p w14:paraId="195A622D">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1.3“专用条款”是对本次采购项目的具体要求，包含招标公告、对通用条款的补充内容及其他关键信息、用户需求书、投标文件格式及附件、合同条款及格式等内容。</w:t>
      </w:r>
    </w:p>
    <w:p w14:paraId="14030425">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1.4“通用条款”是适用于政府采购</w:t>
      </w:r>
      <w:r>
        <w:rPr>
          <w:rFonts w:hint="eastAsia" w:ascii="宋体" w:hAnsi="宋体" w:eastAsia="宋体"/>
          <w:color w:val="auto"/>
          <w:szCs w:val="21"/>
          <w:highlight w:val="none"/>
          <w:lang w:eastAsia="zh-CN"/>
        </w:rPr>
        <w:t>公开招标/公开征集</w:t>
      </w:r>
      <w:r>
        <w:rPr>
          <w:rFonts w:hint="eastAsia" w:ascii="宋体" w:hAnsi="宋体"/>
          <w:color w:val="auto"/>
          <w:szCs w:val="21"/>
          <w:highlight w:val="none"/>
        </w:rPr>
        <w:t>的基础性条款，具有普遍性和通用性。</w:t>
      </w:r>
    </w:p>
    <w:p w14:paraId="6681734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1.5 “专用条款”和“通用条款”表述不一致或有冲突时，以“专用条款”为准。</w:t>
      </w:r>
    </w:p>
    <w:p w14:paraId="20EF0B6E">
      <w:pPr>
        <w:shd w:val="clear"/>
        <w:jc w:val="left"/>
        <w:rPr>
          <w:rFonts w:ascii="黑体" w:hAnsi="宋体" w:eastAsia="黑体"/>
          <w:color w:val="auto"/>
          <w:highlight w:val="none"/>
        </w:rPr>
      </w:pPr>
      <w:r>
        <w:rPr>
          <w:rFonts w:hint="eastAsia" w:ascii="黑体" w:hAnsi="宋体" w:eastAsia="黑体"/>
          <w:color w:val="auto"/>
          <w:highlight w:val="none"/>
        </w:rPr>
        <w:t>2</w:t>
      </w:r>
      <w:r>
        <w:rPr>
          <w:rFonts w:ascii="黑体" w:hAnsi="宋体" w:eastAsia="黑体"/>
          <w:color w:val="auto"/>
          <w:highlight w:val="none"/>
        </w:rPr>
        <w:t>．</w:t>
      </w:r>
      <w:r>
        <w:rPr>
          <w:rFonts w:hint="eastAsia" w:ascii="黑体" w:hAnsi="宋体" w:eastAsia="黑体"/>
          <w:color w:val="auto"/>
          <w:highlight w:val="none"/>
        </w:rPr>
        <w:t>招标说明</w:t>
      </w:r>
    </w:p>
    <w:p w14:paraId="2689C94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本项目按照《深圳经济特区政府采购条例》、《深圳经济特区政府采购条例实施细则》及政府采购其他法律法规，通过</w:t>
      </w:r>
      <w:r>
        <w:rPr>
          <w:rFonts w:hint="eastAsia" w:ascii="宋体" w:hAnsi="宋体" w:eastAsia="宋体"/>
          <w:color w:val="auto"/>
          <w:szCs w:val="21"/>
          <w:highlight w:val="none"/>
          <w:lang w:eastAsia="zh-CN"/>
        </w:rPr>
        <w:t>公开招标/公开征集</w:t>
      </w:r>
      <w:r>
        <w:rPr>
          <w:rFonts w:hint="eastAsia" w:ascii="宋体" w:hAnsi="宋体"/>
          <w:color w:val="auto"/>
          <w:szCs w:val="21"/>
          <w:highlight w:val="none"/>
        </w:rPr>
        <w:t>方式确定中标供应商。</w:t>
      </w:r>
    </w:p>
    <w:p w14:paraId="21AA2F59">
      <w:pPr>
        <w:shd w:val="clear"/>
        <w:jc w:val="left"/>
        <w:rPr>
          <w:rFonts w:ascii="黑体" w:hAnsi="宋体" w:eastAsia="黑体"/>
          <w:color w:val="auto"/>
          <w:highlight w:val="none"/>
        </w:rPr>
      </w:pPr>
      <w:r>
        <w:rPr>
          <w:rFonts w:hint="eastAsia" w:ascii="黑体" w:hAnsi="宋体" w:eastAsia="黑体"/>
          <w:color w:val="auto"/>
          <w:highlight w:val="none"/>
        </w:rPr>
        <w:t>3．定义</w:t>
      </w:r>
    </w:p>
    <w:p w14:paraId="50185A6E">
      <w:pPr>
        <w:shd w:val="clear"/>
        <w:ind w:firstLine="480" w:firstLineChars="200"/>
        <w:jc w:val="left"/>
        <w:rPr>
          <w:rFonts w:ascii="宋体" w:hAnsi="宋体"/>
          <w:color w:val="auto"/>
          <w:szCs w:val="21"/>
          <w:highlight w:val="none"/>
        </w:rPr>
      </w:pPr>
      <w:r>
        <w:rPr>
          <w:rFonts w:ascii="宋体" w:hAnsi="宋体"/>
          <w:color w:val="auto"/>
          <w:szCs w:val="21"/>
          <w:highlight w:val="none"/>
        </w:rPr>
        <w:t>招标文件中下列术语应解释为：</w:t>
      </w:r>
    </w:p>
    <w:p w14:paraId="11347FA5">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w:t>
      </w:r>
      <w:r>
        <w:rPr>
          <w:rFonts w:ascii="宋体" w:hAnsi="宋体"/>
          <w:color w:val="auto"/>
          <w:szCs w:val="21"/>
          <w:highlight w:val="none"/>
        </w:rPr>
        <w:t>1</w:t>
      </w:r>
      <w:r>
        <w:rPr>
          <w:rFonts w:hint="eastAsia" w:ascii="宋体" w:hAnsi="宋体"/>
          <w:color w:val="auto"/>
          <w:szCs w:val="21"/>
          <w:highlight w:val="none"/>
        </w:rPr>
        <w:t>“采购人”：指利用财政性资金依法进行政府采购的国家机关、事业单位、团体组织；</w:t>
      </w:r>
      <w:r>
        <w:rPr>
          <w:rFonts w:ascii="宋体" w:hAnsi="宋体"/>
          <w:color w:val="auto"/>
          <w:szCs w:val="21"/>
          <w:highlight w:val="none"/>
        </w:rPr>
        <w:t xml:space="preserve"> </w:t>
      </w:r>
    </w:p>
    <w:p w14:paraId="586E656E">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3.2 “投标人”，即供应商，指参加投标竞争并愿意按照招标文件要求向采购人提供货物、工程或者服务的依法成立的法人、其他组织或者自然人；</w:t>
      </w:r>
    </w:p>
    <w:p w14:paraId="07B43129">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3.3“评审委员会”是依据《深圳经济特区政府采购条例》、《深圳经济特区政府采购条例实施细则》等有关规定组建的专门负责本次招标其评审工作的临时性机构；</w:t>
      </w:r>
    </w:p>
    <w:p w14:paraId="757389D8">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3.4“日期”</w:t>
      </w:r>
      <w:r>
        <w:rPr>
          <w:rFonts w:ascii="宋体" w:hAnsi="宋体"/>
          <w:color w:val="auto"/>
          <w:szCs w:val="21"/>
          <w:highlight w:val="none"/>
        </w:rPr>
        <w:t>指</w:t>
      </w:r>
      <w:r>
        <w:rPr>
          <w:rFonts w:hint="eastAsia" w:ascii="宋体" w:hAnsi="宋体"/>
          <w:color w:val="auto"/>
          <w:szCs w:val="21"/>
          <w:highlight w:val="none"/>
        </w:rPr>
        <w:t>公历日；</w:t>
      </w:r>
    </w:p>
    <w:p w14:paraId="0D5D1A8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3.5“合同”指由本次招标所产生的合同或合约文件；</w:t>
      </w:r>
    </w:p>
    <w:p w14:paraId="4771DC1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3.6“</w:t>
      </w:r>
      <w:r>
        <w:rPr>
          <w:rFonts w:hint="eastAsia" w:ascii="宋体" w:hAnsi="宋体" w:eastAsia="宋体"/>
          <w:color w:val="auto"/>
          <w:szCs w:val="21"/>
          <w:highlight w:val="none"/>
        </w:rPr>
        <w:t>线下投标文件指投标人制作的纸质版本投标文件</w:t>
      </w:r>
      <w:r>
        <w:rPr>
          <w:rFonts w:hint="eastAsia" w:ascii="宋体" w:hAnsi="宋体"/>
          <w:color w:val="auto"/>
          <w:szCs w:val="21"/>
          <w:highlight w:val="none"/>
        </w:rPr>
        <w:t>；</w:t>
      </w:r>
    </w:p>
    <w:p w14:paraId="4C004B2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3.7“招标文件中的标题或题名仅起引导作用，而不应视为对招标文件内容的理解和解释。</w:t>
      </w:r>
    </w:p>
    <w:p w14:paraId="5605E79A">
      <w:pPr>
        <w:shd w:val="clear"/>
        <w:jc w:val="left"/>
        <w:rPr>
          <w:rFonts w:ascii="黑体" w:hAnsi="宋体" w:eastAsia="黑体"/>
          <w:color w:val="auto"/>
          <w:highlight w:val="none"/>
        </w:rPr>
      </w:pPr>
      <w:r>
        <w:rPr>
          <w:rFonts w:hint="eastAsia" w:ascii="黑体" w:hAnsi="宋体" w:eastAsia="黑体"/>
          <w:color w:val="auto"/>
          <w:highlight w:val="none"/>
        </w:rPr>
        <w:t xml:space="preserve">4. </w:t>
      </w:r>
      <w:bookmarkStart w:id="68" w:name="_Hlk72398643"/>
      <w:r>
        <w:rPr>
          <w:rFonts w:hint="eastAsia" w:ascii="黑体" w:hAnsi="宋体" w:eastAsia="黑体"/>
          <w:color w:val="auto"/>
          <w:highlight w:val="none"/>
        </w:rPr>
        <w:t>政府采购供应商责任</w:t>
      </w:r>
    </w:p>
    <w:p w14:paraId="22F9E321">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4.1欢迎诚信、有实力和有社会责任心的供应商参与政府采购事业。</w:t>
      </w:r>
    </w:p>
    <w:p w14:paraId="2AA6C169">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4.2投标人应当遵循公平竞争的原则，不得恶意串通，不得妨碍其他投标人的竞争行为，不得损害采购人或者其他投标人的合法权益。如违反上述要求，经核实后，供应商的投标无效。</w:t>
      </w:r>
    </w:p>
    <w:p w14:paraId="50D2C779">
      <w:pPr>
        <w:shd w:val="clear"/>
        <w:jc w:val="left"/>
        <w:rPr>
          <w:rFonts w:ascii="黑体" w:hAnsi="宋体" w:eastAsia="黑体"/>
          <w:color w:val="auto"/>
          <w:highlight w:val="none"/>
        </w:rPr>
      </w:pPr>
      <w:r>
        <w:rPr>
          <w:rFonts w:hint="eastAsia" w:ascii="黑体" w:hAnsi="宋体" w:eastAsia="黑体"/>
          <w:color w:val="auto"/>
          <w:highlight w:val="none"/>
        </w:rPr>
        <w:t>5．投标人参加政府采购的条件</w:t>
      </w:r>
    </w:p>
    <w:p w14:paraId="4DE2EA67">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5.1投标人应在</w:t>
      </w:r>
      <w:r>
        <w:rPr>
          <w:rFonts w:hint="eastAsia" w:ascii="宋体" w:hAnsi="宋体" w:eastAsia="宋体"/>
          <w:color w:val="auto"/>
          <w:szCs w:val="21"/>
          <w:highlight w:val="none"/>
        </w:rPr>
        <w:t>截标之日前向递交招标文件。</w:t>
      </w:r>
      <w:r>
        <w:rPr>
          <w:rFonts w:hint="eastAsia" w:ascii="宋体" w:hAnsi="宋体"/>
          <w:color w:val="auto"/>
          <w:szCs w:val="21"/>
          <w:highlight w:val="none"/>
        </w:rPr>
        <w:t>。</w:t>
      </w:r>
    </w:p>
    <w:p w14:paraId="2B300057">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5.2投标人资格要求</w:t>
      </w:r>
    </w:p>
    <w:p w14:paraId="7EFCE26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参加本项目的投标人应具备的资格条件详见本项目招标公告中 “投标人资格要求”（即申请人的资格要求）的内容。</w:t>
      </w:r>
    </w:p>
    <w:p w14:paraId="22887A8F">
      <w:pPr>
        <w:shd w:val="clear"/>
        <w:jc w:val="left"/>
        <w:rPr>
          <w:rFonts w:ascii="黑体" w:hAnsi="宋体" w:eastAsia="黑体"/>
          <w:color w:val="auto"/>
          <w:highlight w:val="none"/>
        </w:rPr>
      </w:pPr>
      <w:r>
        <w:rPr>
          <w:rFonts w:hint="eastAsia" w:ascii="黑体" w:hAnsi="宋体" w:eastAsia="黑体"/>
          <w:color w:val="auto"/>
          <w:highlight w:val="none"/>
        </w:rPr>
        <w:t>6．政策导向</w:t>
      </w:r>
    </w:p>
    <w:p w14:paraId="2A155C15">
      <w:pPr>
        <w:shd w:val="clear"/>
        <w:ind w:firstLine="470" w:firstLineChars="196"/>
        <w:jc w:val="left"/>
        <w:rPr>
          <w:rFonts w:ascii="宋体" w:hAnsi="宋体"/>
          <w:color w:val="auto"/>
          <w:highlight w:val="none"/>
        </w:rPr>
      </w:pPr>
      <w:r>
        <w:rPr>
          <w:rFonts w:hint="eastAsia" w:ascii="宋体" w:hAnsi="宋体"/>
          <w:color w:val="auto"/>
          <w:highlight w:val="none"/>
        </w:rPr>
        <w:t>6.1</w:t>
      </w:r>
      <w:r>
        <w:rPr>
          <w:rFonts w:ascii="宋体" w:hAnsi="宋体"/>
          <w:color w:val="auto"/>
          <w:highlight w:val="none"/>
        </w:rPr>
        <w:t xml:space="preserve">  </w:t>
      </w:r>
      <w:r>
        <w:rPr>
          <w:rFonts w:hint="eastAsia" w:ascii="宋体" w:hAnsi="宋体"/>
          <w:color w:val="auto"/>
          <w:highlight w:val="none"/>
        </w:rPr>
        <w:t>政府采购扶持贫困地区、中小企业、监狱企业和残疾人福利性单位发展，支持节能减排、环境保护。</w:t>
      </w:r>
    </w:p>
    <w:p w14:paraId="5A8A80F3">
      <w:pPr>
        <w:shd w:val="clear"/>
        <w:ind w:firstLine="405"/>
        <w:jc w:val="left"/>
        <w:rPr>
          <w:color w:val="auto"/>
          <w:highlight w:val="none"/>
          <w:shd w:val="clear" w:color="auto" w:fill="FFFFFF"/>
        </w:rPr>
      </w:pPr>
      <w:r>
        <w:rPr>
          <w:rFonts w:hint="eastAsia" w:ascii="宋体" w:hAnsi="宋体"/>
          <w:color w:val="auto"/>
          <w:highlight w:val="none"/>
        </w:rPr>
        <w:t>6.2</w:t>
      </w:r>
      <w:r>
        <w:rPr>
          <w:rFonts w:ascii="宋体" w:hAnsi="宋体"/>
          <w:color w:val="auto"/>
          <w:highlight w:val="none"/>
        </w:rPr>
        <w:t xml:space="preserve">  </w:t>
      </w:r>
      <w:r>
        <w:rPr>
          <w:rFonts w:hint="eastAsia" w:ascii="宋体" w:hAnsi="宋体"/>
          <w:color w:val="auto"/>
          <w:highlight w:val="none"/>
        </w:rPr>
        <w:t>本项目落实深圳市政府采购供应商诚信管理政策要求。</w:t>
      </w:r>
    </w:p>
    <w:p w14:paraId="1C94AD46">
      <w:pPr>
        <w:shd w:val="clear"/>
        <w:jc w:val="left"/>
        <w:rPr>
          <w:rFonts w:ascii="黑体" w:hAnsi="宋体" w:eastAsia="黑体"/>
          <w:color w:val="auto"/>
          <w:highlight w:val="none"/>
        </w:rPr>
      </w:pPr>
      <w:r>
        <w:rPr>
          <w:rFonts w:hint="eastAsia" w:ascii="黑体" w:hAnsi="宋体" w:eastAsia="黑体"/>
          <w:color w:val="auto"/>
          <w:highlight w:val="none"/>
        </w:rPr>
        <w:t>7. 本项目若涉及采购货物，则合格的货物及相应服务应满足以下要求：</w:t>
      </w:r>
    </w:p>
    <w:p w14:paraId="22CB5CA8">
      <w:pPr>
        <w:shd w:val="clear"/>
        <w:ind w:firstLine="470" w:firstLineChars="196"/>
        <w:jc w:val="left"/>
        <w:rPr>
          <w:rFonts w:ascii="宋体" w:hAnsi="宋体"/>
          <w:color w:val="auto"/>
          <w:highlight w:val="none"/>
        </w:rPr>
      </w:pPr>
      <w:r>
        <w:rPr>
          <w:rFonts w:hint="eastAsia" w:ascii="宋体" w:hAnsi="宋体"/>
          <w:color w:val="auto"/>
          <w:highlight w:val="none"/>
        </w:rPr>
        <w:t>7</w:t>
      </w:r>
      <w:r>
        <w:rPr>
          <w:rFonts w:ascii="宋体" w:hAnsi="宋体"/>
          <w:color w:val="auto"/>
          <w:highlight w:val="none"/>
        </w:rPr>
        <w:t xml:space="preserve">.1  </w:t>
      </w:r>
      <w:r>
        <w:rPr>
          <w:rFonts w:hint="eastAsia" w:ascii="宋体" w:hAnsi="宋体"/>
          <w:color w:val="auto"/>
          <w:highlight w:val="none"/>
        </w:rPr>
        <w:t>必须是全新、未使用过的原装合格正品（包括零部件），如安装或配置了软件的，须为正版软件。</w:t>
      </w:r>
    </w:p>
    <w:p w14:paraId="5A2BD8E1">
      <w:pPr>
        <w:shd w:val="clear"/>
        <w:ind w:firstLine="470" w:firstLineChars="196"/>
        <w:jc w:val="left"/>
        <w:rPr>
          <w:rFonts w:ascii="宋体" w:hAnsi="宋体"/>
          <w:color w:val="auto"/>
          <w:highlight w:val="none"/>
        </w:rPr>
      </w:pPr>
      <w:r>
        <w:rPr>
          <w:rFonts w:hint="eastAsia" w:ascii="宋体" w:hAnsi="宋体"/>
          <w:color w:val="auto"/>
          <w:highlight w:val="none"/>
        </w:rPr>
        <w:t>7.2  国产的货物及其有关服务必须符合中华人民共和国的设计、制造生产标准及行业标准。招标公告有其他要求的，亦应符合其要求。</w:t>
      </w:r>
    </w:p>
    <w:p w14:paraId="06BD37E4">
      <w:pPr>
        <w:shd w:val="clear"/>
        <w:ind w:firstLine="470" w:firstLineChars="196"/>
        <w:jc w:val="left"/>
        <w:rPr>
          <w:rFonts w:ascii="宋体" w:hAnsi="宋体"/>
          <w:color w:val="auto"/>
          <w:highlight w:val="none"/>
        </w:rPr>
      </w:pPr>
      <w:r>
        <w:rPr>
          <w:rFonts w:hint="eastAsia" w:ascii="宋体" w:hAnsi="宋体"/>
          <w:color w:val="auto"/>
          <w:highlight w:val="none"/>
        </w:rPr>
        <w:t>7</w:t>
      </w:r>
      <w:r>
        <w:rPr>
          <w:rFonts w:ascii="宋体" w:hAnsi="宋体"/>
          <w:color w:val="auto"/>
          <w:highlight w:val="none"/>
        </w:rPr>
        <w:t>.</w:t>
      </w:r>
      <w:r>
        <w:rPr>
          <w:rFonts w:hint="eastAsia" w:ascii="宋体" w:hAnsi="宋体"/>
          <w:color w:val="auto"/>
          <w:highlight w:val="none"/>
        </w:rPr>
        <w:t>3</w:t>
      </w:r>
      <w:r>
        <w:rPr>
          <w:rFonts w:ascii="宋体" w:hAnsi="宋体"/>
          <w:color w:val="auto"/>
          <w:highlight w:val="none"/>
        </w:rPr>
        <w:t xml:space="preserve">  </w:t>
      </w:r>
      <w:r>
        <w:rPr>
          <w:rFonts w:hint="eastAsia" w:ascii="宋体" w:hAnsi="宋体"/>
          <w:color w:val="auto"/>
          <w:highlight w:val="none"/>
        </w:rPr>
        <w:t>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14:paraId="718EE4AB">
      <w:pPr>
        <w:shd w:val="clear"/>
        <w:ind w:firstLine="470" w:firstLineChars="196"/>
        <w:jc w:val="left"/>
        <w:rPr>
          <w:rFonts w:ascii="宋体" w:hAnsi="宋体"/>
          <w:color w:val="auto"/>
          <w:highlight w:val="none"/>
        </w:rPr>
      </w:pPr>
      <w:r>
        <w:rPr>
          <w:rFonts w:hint="eastAsia" w:ascii="宋体" w:hAnsi="宋体"/>
          <w:color w:val="auto"/>
          <w:highlight w:val="none"/>
        </w:rPr>
        <w:t>7</w:t>
      </w:r>
      <w:r>
        <w:rPr>
          <w:rFonts w:ascii="宋体" w:hAnsi="宋体"/>
          <w:color w:val="auto"/>
          <w:highlight w:val="none"/>
        </w:rPr>
        <w:t>.</w:t>
      </w:r>
      <w:r>
        <w:rPr>
          <w:rFonts w:hint="eastAsia" w:ascii="宋体" w:hAnsi="宋体"/>
          <w:color w:val="auto"/>
          <w:highlight w:val="none"/>
        </w:rPr>
        <w:t>4</w:t>
      </w:r>
      <w:r>
        <w:rPr>
          <w:rFonts w:ascii="宋体" w:hAnsi="宋体"/>
          <w:color w:val="auto"/>
          <w:highlight w:val="none"/>
        </w:rPr>
        <w:t xml:space="preserve">  </w:t>
      </w:r>
      <w:r>
        <w:rPr>
          <w:rFonts w:hint="eastAsia" w:ascii="宋体" w:hAnsi="宋体"/>
          <w:color w:val="auto"/>
          <w:highlight w:val="none"/>
        </w:rPr>
        <w:t>投标人</w:t>
      </w:r>
      <w:bookmarkStart w:id="69" w:name="_Hlk72152753"/>
      <w:r>
        <w:rPr>
          <w:rFonts w:hint="eastAsia" w:ascii="宋体" w:hAnsi="宋体"/>
          <w:color w:val="auto"/>
          <w:highlight w:val="none"/>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69"/>
    </w:p>
    <w:p w14:paraId="52A913DE">
      <w:pPr>
        <w:shd w:val="clear"/>
        <w:ind w:firstLine="470" w:firstLineChars="196"/>
        <w:jc w:val="left"/>
        <w:rPr>
          <w:rFonts w:ascii="宋体" w:hAnsi="宋体"/>
          <w:color w:val="auto"/>
          <w:highlight w:val="none"/>
        </w:rPr>
      </w:pPr>
      <w:r>
        <w:rPr>
          <w:rFonts w:hint="eastAsia" w:ascii="宋体" w:hAnsi="宋体"/>
          <w:color w:val="auto"/>
          <w:highlight w:val="none"/>
        </w:rPr>
        <w:t>7.5  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14:paraId="56D35952">
      <w:pPr>
        <w:shd w:val="clear"/>
        <w:ind w:firstLine="470" w:firstLineChars="196"/>
        <w:jc w:val="left"/>
        <w:rPr>
          <w:rFonts w:ascii="宋体" w:hAnsi="宋体"/>
          <w:color w:val="auto"/>
          <w:highlight w:val="none"/>
        </w:rPr>
      </w:pPr>
      <w:r>
        <w:rPr>
          <w:rFonts w:hint="eastAsia" w:ascii="宋体" w:hAnsi="宋体"/>
          <w:color w:val="auto"/>
          <w:highlight w:val="none"/>
        </w:rPr>
        <w:t>7.6  工期要求：投标人在投标时对其所投项目应提交交货进度、交货计划等，在合同规定的时间内完成项目实施工作。</w:t>
      </w:r>
    </w:p>
    <w:p w14:paraId="367EA130">
      <w:pPr>
        <w:shd w:val="clear"/>
        <w:ind w:firstLine="470" w:firstLineChars="196"/>
        <w:jc w:val="left"/>
        <w:rPr>
          <w:rFonts w:ascii="宋体" w:hAnsi="宋体"/>
          <w:color w:val="auto"/>
          <w:highlight w:val="none"/>
        </w:rPr>
      </w:pPr>
      <w:r>
        <w:rPr>
          <w:rFonts w:hint="eastAsia" w:ascii="宋体" w:hAnsi="宋体"/>
          <w:color w:val="auto"/>
          <w:highlight w:val="none"/>
        </w:rPr>
        <w:t>7.7  投标人必须承担的设备运输、安装调试、验收检测和提供设备操作说明书、图纸等其他相关及类似的义务。</w:t>
      </w:r>
    </w:p>
    <w:p w14:paraId="0035BEA8">
      <w:pPr>
        <w:shd w:val="clear"/>
        <w:jc w:val="left"/>
        <w:rPr>
          <w:rFonts w:ascii="黑体" w:hAnsi="宋体" w:eastAsia="黑体"/>
          <w:color w:val="auto"/>
          <w:highlight w:val="none"/>
        </w:rPr>
      </w:pPr>
      <w:r>
        <w:rPr>
          <w:rFonts w:hint="eastAsia" w:ascii="黑体" w:hAnsi="宋体" w:eastAsia="黑体"/>
          <w:color w:val="auto"/>
          <w:highlight w:val="none"/>
        </w:rPr>
        <w:t>8．投标费用</w:t>
      </w:r>
    </w:p>
    <w:p w14:paraId="147029B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不论投标结果如何，投标人应承担其编制投标文件与递交投标文件所涉及的一切费用。</w:t>
      </w:r>
    </w:p>
    <w:p w14:paraId="14C32440">
      <w:pPr>
        <w:shd w:val="clear"/>
        <w:jc w:val="left"/>
        <w:rPr>
          <w:rFonts w:ascii="黑体" w:hAnsi="宋体" w:eastAsia="黑体"/>
          <w:color w:val="auto"/>
          <w:highlight w:val="none"/>
        </w:rPr>
      </w:pPr>
      <w:r>
        <w:rPr>
          <w:rFonts w:hint="eastAsia" w:ascii="黑体" w:hAnsi="宋体" w:eastAsia="黑体"/>
          <w:color w:val="auto"/>
          <w:highlight w:val="none"/>
        </w:rPr>
        <w:t>9．踏勘现场</w:t>
      </w:r>
    </w:p>
    <w:p w14:paraId="5F65227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9.1如有需要（详见专用条款），采购人或</w:t>
      </w:r>
      <w:r>
        <w:rPr>
          <w:rFonts w:hint="eastAsia" w:ascii="宋体" w:hAnsi="宋体" w:eastAsia="宋体"/>
          <w:color w:val="auto"/>
          <w:szCs w:val="21"/>
          <w:highlight w:val="none"/>
        </w:rPr>
        <w:t>招标代理</w:t>
      </w:r>
      <w:r>
        <w:rPr>
          <w:rFonts w:hint="eastAsia" w:ascii="宋体" w:hAnsi="宋体"/>
          <w:color w:val="auto"/>
          <w:szCs w:val="21"/>
          <w:highlight w:val="none"/>
        </w:rPr>
        <w:t>机构将组织投标人对项目现场及周围环境进行踏勘，以便投标人获取有关编制投标文件和签署合同所需的资料。踏勘现场所发生的费用由投标人自行承担。投标人应按招标文件所约定的时间、地点踏勘现场。</w:t>
      </w:r>
    </w:p>
    <w:p w14:paraId="68093305">
      <w:pPr>
        <w:shd w:val="clear"/>
        <w:ind w:firstLine="470" w:firstLineChars="196"/>
        <w:jc w:val="left"/>
        <w:rPr>
          <w:rFonts w:ascii="宋体" w:hAnsi="宋体"/>
          <w:color w:val="auto"/>
          <w:highlight w:val="none"/>
        </w:rPr>
      </w:pPr>
      <w:r>
        <w:rPr>
          <w:rFonts w:hint="eastAsia" w:ascii="宋体" w:hAnsi="宋体"/>
          <w:color w:val="auto"/>
          <w:highlight w:val="none"/>
        </w:rPr>
        <w:t>9.2投标人及其人员经过采购人的允许，可以进入采购人的项目现场踏勘。若招标文件要求投标人于统一时间地点踏勘现场的，投标人应当按时前往。</w:t>
      </w:r>
    </w:p>
    <w:p w14:paraId="4C804528">
      <w:pPr>
        <w:shd w:val="clear"/>
        <w:ind w:firstLine="470" w:firstLineChars="196"/>
        <w:jc w:val="left"/>
        <w:rPr>
          <w:rFonts w:ascii="宋体" w:hAnsi="宋体"/>
          <w:color w:val="auto"/>
          <w:highlight w:val="none"/>
        </w:rPr>
      </w:pPr>
      <w:r>
        <w:rPr>
          <w:rFonts w:hint="eastAsia" w:ascii="宋体" w:hAnsi="宋体"/>
          <w:color w:val="auto"/>
          <w:highlight w:val="none"/>
        </w:rPr>
        <w:t>9.3采购人应当通过</w:t>
      </w:r>
      <w:r>
        <w:rPr>
          <w:rFonts w:hint="eastAsia" w:ascii="宋体" w:hAnsi="宋体" w:eastAsia="宋体"/>
          <w:color w:val="auto"/>
          <w:highlight w:val="none"/>
        </w:rPr>
        <w:t>招标代理</w:t>
      </w:r>
      <w:r>
        <w:rPr>
          <w:rFonts w:hint="eastAsia" w:ascii="宋体" w:hAnsi="宋体"/>
          <w:color w:val="auto"/>
          <w:highlight w:val="none"/>
        </w:rPr>
        <w:t>机构向投标人提供有关现场的书面资料和数据。</w:t>
      </w:r>
    </w:p>
    <w:p w14:paraId="6CBB99F7">
      <w:pPr>
        <w:shd w:val="clear"/>
        <w:ind w:firstLine="470" w:firstLineChars="196"/>
        <w:jc w:val="left"/>
        <w:rPr>
          <w:rFonts w:ascii="宋体" w:hAnsi="宋体"/>
          <w:color w:val="auto"/>
          <w:highlight w:val="none"/>
        </w:rPr>
      </w:pPr>
      <w:r>
        <w:rPr>
          <w:rFonts w:hint="eastAsia" w:ascii="宋体" w:hAnsi="宋体"/>
          <w:color w:val="auto"/>
          <w:highlight w:val="none"/>
        </w:rPr>
        <w:t>9.4任何人或任何组织在踏勘现场时向投标人提供的任何书面资料或口头承诺，未经</w:t>
      </w:r>
      <w:r>
        <w:rPr>
          <w:rFonts w:hint="eastAsia" w:ascii="宋体" w:hAnsi="宋体" w:eastAsia="宋体"/>
          <w:color w:val="auto"/>
          <w:highlight w:val="none"/>
        </w:rPr>
        <w:t>招标代理</w:t>
      </w:r>
      <w:r>
        <w:rPr>
          <w:rFonts w:hint="eastAsia" w:ascii="宋体" w:hAnsi="宋体"/>
          <w:color w:val="auto"/>
          <w:highlight w:val="none"/>
        </w:rPr>
        <w:t>机构在网上发布或书面通知，均作无效处理。</w:t>
      </w:r>
    </w:p>
    <w:p w14:paraId="2665A58D">
      <w:pPr>
        <w:shd w:val="clear"/>
        <w:ind w:firstLine="470" w:firstLineChars="196"/>
        <w:jc w:val="left"/>
        <w:rPr>
          <w:rFonts w:ascii="宋体" w:hAnsi="宋体"/>
          <w:color w:val="auto"/>
          <w:highlight w:val="none"/>
        </w:rPr>
      </w:pPr>
      <w:r>
        <w:rPr>
          <w:rFonts w:ascii="宋体" w:hAnsi="宋体"/>
          <w:color w:val="auto"/>
          <w:szCs w:val="21"/>
          <w:highlight w:val="none"/>
        </w:rPr>
        <w:t>9</w:t>
      </w:r>
      <w:r>
        <w:rPr>
          <w:rFonts w:hint="eastAsia" w:ascii="宋体" w:hAnsi="宋体"/>
          <w:color w:val="auto"/>
          <w:szCs w:val="21"/>
          <w:highlight w:val="none"/>
        </w:rPr>
        <w:t>.</w:t>
      </w:r>
      <w:r>
        <w:rPr>
          <w:rFonts w:ascii="宋体" w:hAnsi="宋体"/>
          <w:color w:val="auto"/>
          <w:szCs w:val="21"/>
          <w:highlight w:val="none"/>
        </w:rPr>
        <w:t>5</w:t>
      </w:r>
      <w:r>
        <w:rPr>
          <w:rFonts w:hint="eastAsia" w:ascii="宋体" w:hAnsi="宋体"/>
          <w:color w:val="auto"/>
          <w:szCs w:val="21"/>
          <w:highlight w:val="none"/>
        </w:rPr>
        <w:t>未参与踏勘现场不作为否定投标人资格的理由。</w:t>
      </w:r>
    </w:p>
    <w:p w14:paraId="5D772269">
      <w:pPr>
        <w:shd w:val="clear"/>
        <w:jc w:val="left"/>
        <w:rPr>
          <w:rFonts w:ascii="宋体" w:hAnsi="宋体"/>
          <w:color w:val="auto"/>
          <w:szCs w:val="21"/>
          <w:highlight w:val="none"/>
        </w:rPr>
      </w:pPr>
      <w:r>
        <w:rPr>
          <w:rFonts w:hint="eastAsia" w:ascii="黑体" w:hAnsi="宋体" w:eastAsia="黑体"/>
          <w:color w:val="auto"/>
          <w:highlight w:val="none"/>
        </w:rPr>
        <w:t>1</w:t>
      </w:r>
      <w:r>
        <w:rPr>
          <w:rFonts w:ascii="黑体" w:hAnsi="宋体" w:eastAsia="黑体"/>
          <w:color w:val="auto"/>
          <w:highlight w:val="none"/>
        </w:rPr>
        <w:t>0</w:t>
      </w:r>
      <w:r>
        <w:rPr>
          <w:rFonts w:hint="eastAsia" w:ascii="黑体" w:hAnsi="宋体" w:eastAsia="黑体"/>
          <w:color w:val="auto"/>
          <w:highlight w:val="none"/>
        </w:rPr>
        <w:t>．标前会议</w:t>
      </w:r>
    </w:p>
    <w:p w14:paraId="281C982D">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0</w:t>
      </w:r>
      <w:r>
        <w:rPr>
          <w:rFonts w:hint="eastAsia" w:ascii="宋体" w:hAnsi="宋体"/>
          <w:color w:val="auto"/>
          <w:szCs w:val="21"/>
          <w:highlight w:val="none"/>
        </w:rPr>
        <w:t>.</w:t>
      </w:r>
      <w:r>
        <w:rPr>
          <w:rFonts w:ascii="宋体" w:hAnsi="宋体"/>
          <w:color w:val="auto"/>
          <w:szCs w:val="21"/>
          <w:highlight w:val="none"/>
        </w:rPr>
        <w:t>1</w:t>
      </w:r>
      <w:r>
        <w:rPr>
          <w:rFonts w:hint="eastAsia" w:ascii="宋体" w:hAnsi="宋体"/>
          <w:color w:val="auto"/>
          <w:szCs w:val="21"/>
          <w:highlight w:val="none"/>
        </w:rPr>
        <w:t>如采购人或</w:t>
      </w:r>
      <w:r>
        <w:rPr>
          <w:rFonts w:hint="eastAsia" w:ascii="宋体" w:hAnsi="宋体" w:eastAsia="宋体"/>
          <w:color w:val="auto"/>
          <w:szCs w:val="21"/>
          <w:highlight w:val="none"/>
        </w:rPr>
        <w:t>招标代理</w:t>
      </w:r>
      <w:r>
        <w:rPr>
          <w:rFonts w:hint="eastAsia" w:ascii="宋体" w:hAnsi="宋体"/>
          <w:color w:val="auto"/>
          <w:szCs w:val="21"/>
          <w:highlight w:val="none"/>
        </w:rPr>
        <w:t>机构认为有必要组织标前会议，投标人应按照招标文件规定的时间或</w:t>
      </w:r>
      <w:r>
        <w:rPr>
          <w:rFonts w:hint="eastAsia" w:ascii="宋体" w:hAnsi="宋体" w:eastAsia="宋体"/>
          <w:color w:val="auto"/>
          <w:szCs w:val="21"/>
          <w:highlight w:val="none"/>
        </w:rPr>
        <w:t>招标代理</w:t>
      </w:r>
      <w:r>
        <w:rPr>
          <w:rFonts w:hint="eastAsia" w:ascii="宋体" w:hAnsi="宋体"/>
          <w:color w:val="auto"/>
          <w:szCs w:val="21"/>
          <w:highlight w:val="none"/>
        </w:rPr>
        <w:t>机构另行书面通知（包括</w:t>
      </w:r>
      <w:r>
        <w:rPr>
          <w:rFonts w:hint="eastAsia" w:ascii="宋体" w:hAnsi="宋体" w:eastAsia="宋体"/>
          <w:color w:val="auto"/>
          <w:szCs w:val="21"/>
          <w:highlight w:val="none"/>
        </w:rPr>
        <w:t>招标代理</w:t>
      </w:r>
      <w:r>
        <w:rPr>
          <w:rFonts w:hint="eastAsia" w:ascii="宋体" w:hAnsi="宋体"/>
          <w:color w:val="auto"/>
          <w:szCs w:val="21"/>
          <w:highlight w:val="none"/>
        </w:rPr>
        <w:t>机构网站发布方式，如更正公告等）的时间和地点，参与标前会议。</w:t>
      </w:r>
    </w:p>
    <w:p w14:paraId="3E6889BF">
      <w:pPr>
        <w:shd w:val="clear"/>
        <w:ind w:firstLine="470" w:firstLineChars="196"/>
        <w:jc w:val="left"/>
        <w:rPr>
          <w:rFonts w:ascii="宋体" w:hAnsi="宋体"/>
          <w:color w:val="auto"/>
          <w:szCs w:val="21"/>
          <w:highlight w:val="none"/>
        </w:rPr>
      </w:pPr>
      <w:r>
        <w:rPr>
          <w:rFonts w:ascii="宋体" w:hAnsi="宋体"/>
          <w:color w:val="auto"/>
          <w:highlight w:val="none"/>
        </w:rPr>
        <w:t>10</w:t>
      </w:r>
      <w:r>
        <w:rPr>
          <w:rFonts w:hint="eastAsia" w:ascii="宋体" w:hAnsi="宋体"/>
          <w:color w:val="auto"/>
          <w:highlight w:val="none"/>
        </w:rPr>
        <w:t>.</w:t>
      </w:r>
      <w:r>
        <w:rPr>
          <w:rFonts w:ascii="宋体" w:hAnsi="宋体"/>
          <w:color w:val="auto"/>
          <w:highlight w:val="none"/>
        </w:rPr>
        <w:t>2</w:t>
      </w:r>
      <w:r>
        <w:rPr>
          <w:rFonts w:hint="eastAsia" w:ascii="宋体" w:hAnsi="宋体"/>
          <w:color w:val="auto"/>
          <w:highlight w:val="none"/>
        </w:rPr>
        <w:t>任何人或任何组织在标前会议时向投标人提供的任何书面资料或口头承诺，未经</w:t>
      </w:r>
      <w:r>
        <w:rPr>
          <w:rFonts w:hint="eastAsia" w:ascii="宋体" w:hAnsi="宋体" w:eastAsia="宋体"/>
          <w:color w:val="auto"/>
          <w:highlight w:val="none"/>
        </w:rPr>
        <w:t>招标代理</w:t>
      </w:r>
      <w:r>
        <w:rPr>
          <w:rFonts w:hint="eastAsia" w:ascii="宋体" w:hAnsi="宋体"/>
          <w:color w:val="auto"/>
          <w:highlight w:val="none"/>
        </w:rPr>
        <w:t>机构在网上发布或书面通知，均作无效处理。</w:t>
      </w:r>
    </w:p>
    <w:p w14:paraId="0A258DD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0</w:t>
      </w:r>
      <w:r>
        <w:rPr>
          <w:rFonts w:hint="eastAsia" w:ascii="宋体" w:hAnsi="宋体"/>
          <w:color w:val="auto"/>
          <w:szCs w:val="21"/>
          <w:highlight w:val="none"/>
        </w:rPr>
        <w:t>.</w:t>
      </w:r>
      <w:r>
        <w:rPr>
          <w:rFonts w:ascii="宋体" w:hAnsi="宋体"/>
          <w:color w:val="auto"/>
          <w:szCs w:val="21"/>
          <w:highlight w:val="none"/>
        </w:rPr>
        <w:t>3</w:t>
      </w:r>
      <w:r>
        <w:rPr>
          <w:rFonts w:hint="eastAsia" w:ascii="宋体" w:hAnsi="宋体"/>
          <w:color w:val="auto"/>
          <w:szCs w:val="21"/>
          <w:highlight w:val="none"/>
        </w:rPr>
        <w:t>未参与标前会议不作为否定投标人资格的理由。</w:t>
      </w:r>
    </w:p>
    <w:bookmarkEnd w:id="68"/>
    <w:p w14:paraId="6DE9361E">
      <w:pPr>
        <w:shd w:val="clear"/>
        <w:ind w:firstLine="470" w:firstLineChars="196"/>
        <w:rPr>
          <w:rFonts w:ascii="宋体" w:hAnsi="宋体"/>
          <w:color w:val="auto"/>
          <w:highlight w:val="none"/>
        </w:rPr>
      </w:pPr>
    </w:p>
    <w:p w14:paraId="7246ED98">
      <w:pPr>
        <w:pStyle w:val="3"/>
        <w:numPr>
          <w:ilvl w:val="0"/>
          <w:numId w:val="3"/>
        </w:numPr>
        <w:shd w:val="clear"/>
        <w:spacing w:before="120" w:beforeLines="50" w:after="120" w:afterLines="50"/>
        <w:ind w:left="562" w:hanging="562"/>
        <w:rPr>
          <w:color w:val="auto"/>
          <w:sz w:val="28"/>
          <w:szCs w:val="28"/>
          <w:highlight w:val="none"/>
        </w:rPr>
      </w:pPr>
      <w:r>
        <w:rPr>
          <w:rFonts w:hint="eastAsia"/>
          <w:color w:val="auto"/>
          <w:sz w:val="28"/>
          <w:szCs w:val="28"/>
          <w:highlight w:val="none"/>
        </w:rPr>
        <w:t>招标文件</w:t>
      </w:r>
    </w:p>
    <w:p w14:paraId="0DFB1A48">
      <w:pPr>
        <w:shd w:val="clear"/>
        <w:jc w:val="left"/>
        <w:rPr>
          <w:rFonts w:ascii="黑体" w:hAnsi="宋体" w:eastAsia="黑体"/>
          <w:color w:val="auto"/>
          <w:highlight w:val="none"/>
        </w:rPr>
      </w:pPr>
      <w:r>
        <w:rPr>
          <w:rFonts w:hint="eastAsia" w:ascii="黑体" w:hAnsi="宋体" w:eastAsia="黑体"/>
          <w:color w:val="auto"/>
          <w:highlight w:val="none"/>
        </w:rPr>
        <w:t>1</w:t>
      </w:r>
      <w:r>
        <w:rPr>
          <w:rFonts w:ascii="黑体" w:hAnsi="宋体" w:eastAsia="黑体"/>
          <w:color w:val="auto"/>
          <w:highlight w:val="none"/>
        </w:rPr>
        <w:t>1</w:t>
      </w:r>
      <w:r>
        <w:rPr>
          <w:rFonts w:hint="eastAsia" w:ascii="黑体" w:hAnsi="宋体" w:eastAsia="黑体"/>
          <w:color w:val="auto"/>
          <w:highlight w:val="none"/>
        </w:rPr>
        <w:t>．</w:t>
      </w:r>
      <w:bookmarkStart w:id="70" w:name="_Hlk72399819"/>
      <w:r>
        <w:rPr>
          <w:rFonts w:hint="eastAsia" w:ascii="黑体" w:hAnsi="宋体" w:eastAsia="黑体"/>
          <w:color w:val="auto"/>
          <w:highlight w:val="none"/>
        </w:rPr>
        <w:t>招标文件的编制与组成</w:t>
      </w:r>
    </w:p>
    <w:p w14:paraId="16E3EE86">
      <w:pPr>
        <w:shd w:val="clear"/>
        <w:snapToGrid w:val="0"/>
        <w:ind w:firstLine="480" w:firstLineChars="200"/>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1</w:t>
      </w:r>
      <w:r>
        <w:rPr>
          <w:rFonts w:hint="eastAsia" w:ascii="宋体" w:hAnsi="宋体"/>
          <w:color w:val="auto"/>
          <w:szCs w:val="21"/>
          <w:highlight w:val="none"/>
        </w:rPr>
        <w:t>.1招标文件除以下内容外，</w:t>
      </w:r>
      <w:r>
        <w:rPr>
          <w:rFonts w:hint="eastAsia" w:ascii="宋体" w:hAnsi="宋体" w:eastAsia="宋体"/>
          <w:color w:val="auto"/>
          <w:szCs w:val="21"/>
          <w:highlight w:val="none"/>
        </w:rPr>
        <w:t>招标代理</w:t>
      </w:r>
      <w:r>
        <w:rPr>
          <w:rFonts w:hint="eastAsia" w:ascii="宋体" w:hAnsi="宋体"/>
          <w:color w:val="auto"/>
          <w:szCs w:val="21"/>
          <w:highlight w:val="none"/>
        </w:rPr>
        <w:t>机构在招标期间发出的澄清或修改等相关公告或通知内容，均是招标文件的组成部分，对投标人起约束作用；</w:t>
      </w:r>
    </w:p>
    <w:p w14:paraId="6FC6D337">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招标文件包括下列内容：</w:t>
      </w:r>
    </w:p>
    <w:p w14:paraId="1A74A65C">
      <w:pPr>
        <w:shd w:val="clear"/>
        <w:ind w:left="480" w:leftChars="200" w:firstLine="471" w:firstLineChars="196"/>
        <w:jc w:val="left"/>
        <w:rPr>
          <w:rFonts w:ascii="宋体" w:hAnsi="宋体"/>
          <w:b/>
          <w:color w:val="auto"/>
          <w:szCs w:val="21"/>
          <w:highlight w:val="none"/>
        </w:rPr>
      </w:pPr>
      <w:r>
        <w:rPr>
          <w:rFonts w:hint="eastAsia" w:ascii="宋体" w:hAnsi="宋体"/>
          <w:b/>
          <w:color w:val="auto"/>
          <w:szCs w:val="21"/>
          <w:highlight w:val="none"/>
        </w:rPr>
        <w:t>第一册  专用条款</w:t>
      </w:r>
    </w:p>
    <w:p w14:paraId="597F3B59">
      <w:pPr>
        <w:shd w:val="clear"/>
        <w:ind w:left="1234" w:leftChars="514"/>
        <w:jc w:val="left"/>
        <w:rPr>
          <w:rFonts w:ascii="宋体" w:hAnsi="宋体"/>
          <w:b/>
          <w:color w:val="auto"/>
          <w:szCs w:val="21"/>
          <w:highlight w:val="none"/>
        </w:rPr>
      </w:pPr>
      <w:r>
        <w:rPr>
          <w:rFonts w:hint="eastAsia" w:ascii="宋体" w:hAnsi="宋体"/>
          <w:b/>
          <w:color w:val="auto"/>
          <w:szCs w:val="21"/>
          <w:highlight w:val="none"/>
        </w:rPr>
        <w:t>关键信息</w:t>
      </w:r>
    </w:p>
    <w:p w14:paraId="34902908">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第一章  招标公告</w:t>
      </w:r>
    </w:p>
    <w:p w14:paraId="2851FBDC">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第二章  对通用条款的补充内容及其他关键信息</w:t>
      </w:r>
    </w:p>
    <w:p w14:paraId="3B78837B">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第三章  用户需求书</w:t>
      </w:r>
    </w:p>
    <w:p w14:paraId="6F849D77">
      <w:pPr>
        <w:shd w:val="clear"/>
        <w:ind w:left="720" w:leftChars="300" w:firstLine="470" w:firstLineChars="196"/>
        <w:jc w:val="left"/>
        <w:rPr>
          <w:rFonts w:ascii="宋体" w:hAnsi="宋体"/>
          <w:color w:val="auto"/>
          <w:szCs w:val="21"/>
          <w:highlight w:val="none"/>
        </w:rPr>
      </w:pPr>
      <w:r>
        <w:rPr>
          <w:rFonts w:hint="eastAsia"/>
          <w:color w:val="auto"/>
          <w:highlight w:val="none"/>
        </w:rPr>
        <w:t xml:space="preserve">第四章 </w:t>
      </w:r>
      <w:r>
        <w:rPr>
          <w:color w:val="auto"/>
          <w:highlight w:val="none"/>
        </w:rPr>
        <w:t xml:space="preserve"> </w:t>
      </w:r>
      <w:r>
        <w:rPr>
          <w:rFonts w:hint="eastAsia"/>
          <w:color w:val="auto"/>
          <w:highlight w:val="none"/>
        </w:rPr>
        <w:t>投标文件格式及附件</w:t>
      </w:r>
    </w:p>
    <w:p w14:paraId="73B8FC72">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第五章  合同条款及格式</w:t>
      </w:r>
    </w:p>
    <w:p w14:paraId="11C97DBC">
      <w:pPr>
        <w:shd w:val="clear"/>
        <w:ind w:left="480" w:leftChars="200" w:firstLine="471" w:firstLineChars="196"/>
        <w:jc w:val="left"/>
        <w:rPr>
          <w:rFonts w:ascii="宋体" w:hAnsi="宋体"/>
          <w:b/>
          <w:color w:val="auto"/>
          <w:szCs w:val="21"/>
          <w:highlight w:val="none"/>
        </w:rPr>
      </w:pPr>
      <w:r>
        <w:rPr>
          <w:rFonts w:hint="eastAsia" w:ascii="宋体" w:hAnsi="宋体"/>
          <w:b/>
          <w:color w:val="auto"/>
          <w:szCs w:val="21"/>
          <w:highlight w:val="none"/>
        </w:rPr>
        <w:t>第二册  通用条款</w:t>
      </w:r>
    </w:p>
    <w:p w14:paraId="696C914E">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第一章  总则</w:t>
      </w:r>
    </w:p>
    <w:p w14:paraId="718DBE3D">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第二章  招标文件</w:t>
      </w:r>
    </w:p>
    <w:p w14:paraId="24585D2A">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第三章  投标文件的编制</w:t>
      </w:r>
    </w:p>
    <w:p w14:paraId="7E1F0A44">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第四章  投标文件的递交</w:t>
      </w:r>
    </w:p>
    <w:p w14:paraId="39829B94">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第五章  开标</w:t>
      </w:r>
    </w:p>
    <w:p w14:paraId="7D0529AA">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第六章  评审要求</w:t>
      </w:r>
    </w:p>
    <w:p w14:paraId="132E36AD">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第七章  评审程序及评审方法</w:t>
      </w:r>
    </w:p>
    <w:p w14:paraId="56E28FE4">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第八章  定标及公示</w:t>
      </w:r>
    </w:p>
    <w:p w14:paraId="42EEA434">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 xml:space="preserve">第九章  </w:t>
      </w:r>
      <w:r>
        <w:rPr>
          <w:rFonts w:hint="eastAsia" w:ascii="宋体" w:hAnsi="宋体" w:eastAsia="宋体"/>
          <w:color w:val="auto"/>
          <w:szCs w:val="21"/>
          <w:highlight w:val="none"/>
          <w:lang w:eastAsia="zh-CN"/>
        </w:rPr>
        <w:t>公开招标/公开征集</w:t>
      </w:r>
      <w:r>
        <w:rPr>
          <w:rFonts w:hint="eastAsia" w:ascii="宋体" w:hAnsi="宋体"/>
          <w:color w:val="auto"/>
          <w:szCs w:val="21"/>
          <w:highlight w:val="none"/>
        </w:rPr>
        <w:t>失败的后续处理</w:t>
      </w:r>
    </w:p>
    <w:p w14:paraId="231E498F">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第十章  合同的授予与备案</w:t>
      </w:r>
    </w:p>
    <w:p w14:paraId="3C0A5144">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第十一章  质疑处理</w:t>
      </w:r>
    </w:p>
    <w:p w14:paraId="5C622A56">
      <w:pPr>
        <w:shd w:val="clear"/>
        <w:ind w:left="720" w:leftChars="300" w:firstLine="470" w:firstLineChars="196"/>
        <w:jc w:val="left"/>
        <w:rPr>
          <w:rFonts w:ascii="宋体" w:hAnsi="宋体"/>
          <w:color w:val="auto"/>
          <w:szCs w:val="21"/>
          <w:highlight w:val="none"/>
        </w:rPr>
      </w:pPr>
      <w:r>
        <w:rPr>
          <w:rFonts w:hint="eastAsia" w:ascii="宋体" w:hAnsi="宋体"/>
          <w:color w:val="auto"/>
          <w:szCs w:val="21"/>
          <w:highlight w:val="none"/>
        </w:rPr>
        <w:t>第十二章  招标代理服务费（可选项）</w:t>
      </w:r>
    </w:p>
    <w:p w14:paraId="7692F0FA">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1</w:t>
      </w:r>
      <w:r>
        <w:rPr>
          <w:rFonts w:hint="eastAsia" w:ascii="宋体" w:hAnsi="宋体"/>
          <w:color w:val="auto"/>
          <w:szCs w:val="21"/>
          <w:highlight w:val="none"/>
        </w:rPr>
        <w:t>.2 投标人</w:t>
      </w:r>
      <w:r>
        <w:rPr>
          <w:rFonts w:hint="eastAsia" w:ascii="宋体" w:hAnsi="宋体" w:eastAsia="宋体"/>
          <w:color w:val="auto"/>
          <w:szCs w:val="21"/>
          <w:highlight w:val="none"/>
        </w:rPr>
        <w:t>取得</w:t>
      </w:r>
      <w:r>
        <w:rPr>
          <w:rFonts w:hint="eastAsia" w:ascii="宋体" w:hAnsi="宋体"/>
          <w:color w:val="auto"/>
          <w:szCs w:val="21"/>
          <w:highlight w:val="none"/>
        </w:rPr>
        <w:t>招标文件后，应仔细检查招标文件的所有内容，如有疑问应在答疑截止时间之前向</w:t>
      </w:r>
      <w:r>
        <w:rPr>
          <w:rFonts w:hint="eastAsia" w:ascii="宋体" w:hAnsi="宋体" w:eastAsia="宋体"/>
          <w:color w:val="auto"/>
          <w:szCs w:val="21"/>
          <w:highlight w:val="none"/>
        </w:rPr>
        <w:t>招标代理</w:t>
      </w:r>
      <w:r>
        <w:rPr>
          <w:rFonts w:hint="eastAsia" w:ascii="宋体" w:hAnsi="宋体"/>
          <w:color w:val="auto"/>
          <w:szCs w:val="21"/>
          <w:highlight w:val="none"/>
        </w:rPr>
        <w:t>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14:paraId="2047DB39">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1</w:t>
      </w:r>
      <w:r>
        <w:rPr>
          <w:rFonts w:hint="eastAsia" w:ascii="宋体" w:hAnsi="宋体"/>
          <w:color w:val="auto"/>
          <w:szCs w:val="21"/>
          <w:highlight w:val="none"/>
        </w:rPr>
        <w:t>.3</w:t>
      </w:r>
      <w:r>
        <w:rPr>
          <w:rFonts w:hint="eastAsia" w:ascii="宋体" w:hAnsi="宋体"/>
          <w:color w:val="auto"/>
          <w:highlight w:val="none"/>
        </w:rPr>
        <w:t>任何人或任何组织向投标人提交的任何书面或口头资料，未经</w:t>
      </w:r>
      <w:r>
        <w:rPr>
          <w:rFonts w:hint="eastAsia" w:ascii="宋体" w:hAnsi="宋体" w:eastAsia="宋体"/>
          <w:color w:val="auto"/>
          <w:highlight w:val="none"/>
        </w:rPr>
        <w:t>招标代理</w:t>
      </w:r>
      <w:r>
        <w:rPr>
          <w:rFonts w:hint="eastAsia" w:ascii="宋体" w:hAnsi="宋体"/>
          <w:color w:val="auto"/>
          <w:highlight w:val="none"/>
        </w:rPr>
        <w:t>机构在网上发布或书面通知，均作无效处理，不得作为招标文件的组成部分。</w:t>
      </w:r>
      <w:r>
        <w:rPr>
          <w:rFonts w:hint="eastAsia" w:ascii="宋体" w:hAnsi="宋体" w:eastAsia="宋体"/>
          <w:color w:val="auto"/>
          <w:szCs w:val="21"/>
          <w:highlight w:val="none"/>
        </w:rPr>
        <w:t>招标代理</w:t>
      </w:r>
      <w:r>
        <w:rPr>
          <w:rFonts w:hint="eastAsia" w:ascii="宋体" w:hAnsi="宋体"/>
          <w:color w:val="auto"/>
          <w:highlight w:val="none"/>
        </w:rPr>
        <w:t>机构对投标人由此而做出的推论、理解和结论概不负责。</w:t>
      </w:r>
    </w:p>
    <w:p w14:paraId="15D2BC65">
      <w:pPr>
        <w:shd w:val="clear"/>
        <w:jc w:val="left"/>
        <w:rPr>
          <w:rFonts w:ascii="黑体" w:hAnsi="宋体" w:eastAsia="黑体"/>
          <w:color w:val="auto"/>
          <w:highlight w:val="none"/>
        </w:rPr>
      </w:pPr>
      <w:r>
        <w:rPr>
          <w:rFonts w:hint="eastAsia" w:ascii="黑体" w:hAnsi="宋体" w:eastAsia="黑体"/>
          <w:color w:val="auto"/>
          <w:highlight w:val="none"/>
        </w:rPr>
        <w:t>1</w:t>
      </w:r>
      <w:r>
        <w:rPr>
          <w:rFonts w:ascii="黑体" w:hAnsi="宋体" w:eastAsia="黑体"/>
          <w:color w:val="auto"/>
          <w:highlight w:val="none"/>
        </w:rPr>
        <w:t>2</w:t>
      </w:r>
      <w:r>
        <w:rPr>
          <w:rFonts w:hint="eastAsia" w:ascii="黑体" w:hAnsi="宋体" w:eastAsia="黑体"/>
          <w:color w:val="auto"/>
          <w:highlight w:val="none"/>
        </w:rPr>
        <w:t>．招标文件的澄清</w:t>
      </w:r>
    </w:p>
    <w:p w14:paraId="6CD4E9BA">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2</w:t>
      </w:r>
      <w:r>
        <w:rPr>
          <w:rFonts w:hint="eastAsia" w:ascii="宋体" w:hAnsi="宋体"/>
          <w:color w:val="auto"/>
          <w:szCs w:val="21"/>
          <w:highlight w:val="none"/>
        </w:rPr>
        <w:t>.1招标文件澄清的目的是澄清、解答投标人在查阅招标文件后或现场踏勘中可能提出的与投标有关的疑问或询问。</w:t>
      </w:r>
    </w:p>
    <w:p w14:paraId="545EB2B7">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2</w:t>
      </w:r>
      <w:r>
        <w:rPr>
          <w:rFonts w:hint="eastAsia" w:ascii="宋体" w:hAnsi="宋体"/>
          <w:color w:val="auto"/>
          <w:szCs w:val="21"/>
          <w:highlight w:val="none"/>
        </w:rPr>
        <w:t>.2投标人如对招标文件内容有疑问，应当在招标公告规定的澄清（提问）截止时间前以</w:t>
      </w:r>
      <w:r>
        <w:rPr>
          <w:rFonts w:hint="eastAsia" w:ascii="宋体" w:hAnsi="宋体" w:eastAsia="宋体"/>
          <w:color w:val="auto"/>
          <w:szCs w:val="21"/>
          <w:highlight w:val="none"/>
        </w:rPr>
        <w:t>线下文件</w:t>
      </w:r>
      <w:r>
        <w:rPr>
          <w:rFonts w:hint="eastAsia" w:ascii="宋体" w:hAnsi="宋体"/>
          <w:color w:val="auto"/>
          <w:szCs w:val="21"/>
          <w:highlight w:val="none"/>
        </w:rPr>
        <w:t>的形式提交</w:t>
      </w:r>
      <w:r>
        <w:rPr>
          <w:rFonts w:hint="eastAsia" w:ascii="宋体" w:hAnsi="宋体" w:eastAsia="宋体"/>
          <w:color w:val="auto"/>
          <w:szCs w:val="21"/>
          <w:highlight w:val="none"/>
        </w:rPr>
        <w:t>招标代理</w:t>
      </w:r>
      <w:r>
        <w:rPr>
          <w:rFonts w:hint="eastAsia" w:ascii="宋体" w:hAnsi="宋体"/>
          <w:color w:val="auto"/>
          <w:szCs w:val="21"/>
          <w:highlight w:val="none"/>
        </w:rPr>
        <w:t>机构。</w:t>
      </w:r>
    </w:p>
    <w:p w14:paraId="35977293">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2</w:t>
      </w:r>
      <w:r>
        <w:rPr>
          <w:rFonts w:hint="eastAsia" w:ascii="宋体" w:hAnsi="宋体"/>
          <w:color w:val="auto"/>
          <w:szCs w:val="21"/>
          <w:highlight w:val="none"/>
        </w:rPr>
        <w:t>.3不论是</w:t>
      </w:r>
      <w:r>
        <w:rPr>
          <w:rFonts w:hint="eastAsia" w:ascii="宋体" w:hAnsi="宋体" w:eastAsia="宋体"/>
          <w:color w:val="auto"/>
          <w:szCs w:val="21"/>
          <w:highlight w:val="none"/>
        </w:rPr>
        <w:t>招标代理</w:t>
      </w:r>
      <w:r>
        <w:rPr>
          <w:rFonts w:hint="eastAsia" w:ascii="宋体" w:hAnsi="宋体"/>
          <w:color w:val="auto"/>
          <w:szCs w:val="21"/>
          <w:highlight w:val="none"/>
        </w:rPr>
        <w:t>机构根据需要主动对招标文件进行必要的澄清或是根据投标人的要求对招标文件做出澄清，</w:t>
      </w:r>
      <w:r>
        <w:rPr>
          <w:rFonts w:hint="eastAsia" w:ascii="宋体" w:hAnsi="宋体" w:eastAsia="宋体"/>
          <w:color w:val="auto"/>
          <w:szCs w:val="21"/>
          <w:highlight w:val="none"/>
        </w:rPr>
        <w:t>招标代理</w:t>
      </w:r>
      <w:r>
        <w:rPr>
          <w:rFonts w:hint="eastAsia" w:ascii="宋体" w:hAnsi="宋体"/>
          <w:color w:val="auto"/>
          <w:szCs w:val="21"/>
          <w:highlight w:val="none"/>
        </w:rPr>
        <w:t>机构都将在投标截止日期前以书面形式（包括</w:t>
      </w:r>
      <w:r>
        <w:rPr>
          <w:rFonts w:hint="eastAsia" w:ascii="宋体" w:hAnsi="宋体" w:eastAsia="宋体"/>
          <w:color w:val="auto"/>
          <w:szCs w:val="21"/>
          <w:highlight w:val="none"/>
        </w:rPr>
        <w:t>指定</w:t>
      </w:r>
      <w:r>
        <w:rPr>
          <w:rFonts w:hint="eastAsia" w:ascii="宋体" w:hAnsi="宋体"/>
          <w:color w:val="auto"/>
          <w:szCs w:val="21"/>
          <w:highlight w:val="none"/>
        </w:rPr>
        <w:t>网站发布方式）答复或发送给所有投标人。答复内容是招标文件的组成部分，对投标人起约束作用，其有效性按照本通用条款第1</w:t>
      </w:r>
      <w:r>
        <w:rPr>
          <w:rFonts w:ascii="宋体" w:hAnsi="宋体"/>
          <w:color w:val="auto"/>
          <w:szCs w:val="21"/>
          <w:highlight w:val="none"/>
        </w:rPr>
        <w:t>3.3</w:t>
      </w:r>
      <w:r>
        <w:rPr>
          <w:rFonts w:hint="eastAsia" w:ascii="宋体" w:hAnsi="宋体"/>
          <w:color w:val="auto"/>
          <w:szCs w:val="21"/>
          <w:highlight w:val="none"/>
        </w:rPr>
        <w:t>、1</w:t>
      </w:r>
      <w:r>
        <w:rPr>
          <w:rFonts w:ascii="宋体" w:hAnsi="宋体"/>
          <w:color w:val="auto"/>
          <w:szCs w:val="21"/>
          <w:highlight w:val="none"/>
        </w:rPr>
        <w:t>3.4</w:t>
      </w:r>
      <w:r>
        <w:rPr>
          <w:rFonts w:hint="eastAsia" w:ascii="宋体" w:hAnsi="宋体"/>
          <w:color w:val="auto"/>
          <w:szCs w:val="21"/>
          <w:highlight w:val="none"/>
        </w:rPr>
        <w:t>款规定执行。</w:t>
      </w:r>
    </w:p>
    <w:p w14:paraId="010A1CB9">
      <w:pPr>
        <w:shd w:val="clear"/>
        <w:ind w:firstLine="471" w:firstLineChars="196"/>
        <w:jc w:val="left"/>
        <w:rPr>
          <w:rFonts w:ascii="宋体" w:hAnsi="宋体"/>
          <w:b/>
          <w:color w:val="auto"/>
          <w:szCs w:val="21"/>
          <w:highlight w:val="none"/>
        </w:rPr>
      </w:pPr>
      <w:r>
        <w:rPr>
          <w:rFonts w:hint="eastAsia" w:ascii="宋体" w:hAnsi="宋体"/>
          <w:b/>
          <w:color w:val="auto"/>
          <w:szCs w:val="21"/>
          <w:highlight w:val="none"/>
        </w:rPr>
        <w:t>12.4对于没有提出澄清又参与了该项目投标的供应商将被视为完全认同该招标文件（含澄清纪要），投标截止期后不再受理针对招标文件的相关质疑或投诉。</w:t>
      </w:r>
    </w:p>
    <w:p w14:paraId="65C9D0CE">
      <w:pPr>
        <w:shd w:val="clear"/>
        <w:jc w:val="left"/>
        <w:rPr>
          <w:rFonts w:ascii="黑体" w:hAnsi="宋体" w:eastAsia="黑体"/>
          <w:color w:val="auto"/>
          <w:highlight w:val="none"/>
        </w:rPr>
      </w:pPr>
      <w:r>
        <w:rPr>
          <w:rFonts w:ascii="黑体" w:hAnsi="宋体" w:eastAsia="黑体"/>
          <w:color w:val="auto"/>
          <w:highlight w:val="none"/>
        </w:rPr>
        <w:t>1</w:t>
      </w:r>
      <w:r>
        <w:rPr>
          <w:rFonts w:hint="eastAsia" w:ascii="黑体" w:hAnsi="宋体" w:eastAsia="黑体"/>
          <w:color w:val="auto"/>
          <w:highlight w:val="none"/>
        </w:rPr>
        <w:t>3．招标文件的修改</w:t>
      </w:r>
    </w:p>
    <w:p w14:paraId="09D1226E">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3.1招标文件发出后，在投标截止日期前任何时候，确需要变更招标文件内容的，</w:t>
      </w:r>
      <w:r>
        <w:rPr>
          <w:rFonts w:hint="eastAsia" w:ascii="宋体" w:hAnsi="宋体" w:eastAsia="宋体"/>
          <w:color w:val="auto"/>
          <w:szCs w:val="21"/>
          <w:highlight w:val="none"/>
        </w:rPr>
        <w:t>招标代理</w:t>
      </w:r>
      <w:r>
        <w:rPr>
          <w:rFonts w:hint="eastAsia" w:ascii="宋体" w:hAnsi="宋体"/>
          <w:color w:val="auto"/>
          <w:szCs w:val="21"/>
          <w:highlight w:val="none"/>
        </w:rPr>
        <w:t>机构可主动或在解答投标人提出的澄清问题时对招标文件进行修改。</w:t>
      </w:r>
    </w:p>
    <w:p w14:paraId="0569A1BE">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3.2招标文件的修改以书面形式（包括</w:t>
      </w:r>
      <w:r>
        <w:rPr>
          <w:rFonts w:hint="eastAsia" w:ascii="宋体" w:hAnsi="宋体" w:eastAsia="宋体"/>
          <w:color w:val="auto"/>
          <w:szCs w:val="21"/>
          <w:highlight w:val="none"/>
        </w:rPr>
        <w:t>指定</w:t>
      </w:r>
      <w:r>
        <w:rPr>
          <w:rFonts w:hint="eastAsia" w:ascii="宋体" w:hAnsi="宋体"/>
          <w:color w:val="auto"/>
          <w:szCs w:val="21"/>
          <w:highlight w:val="none"/>
        </w:rPr>
        <w:t>网站发布方式，如更正公告等）发送给所有投标人，招标文件的修改内容作为招标文件的组成部分，并具有约束力。</w:t>
      </w:r>
    </w:p>
    <w:p w14:paraId="1903C580">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3.3招标文件、招标文件澄清答复内容、招标文件修改补充内容均以书面形式（包括</w:t>
      </w:r>
      <w:r>
        <w:rPr>
          <w:rFonts w:hint="eastAsia" w:ascii="宋体" w:hAnsi="宋体" w:eastAsia="宋体"/>
          <w:color w:val="auto"/>
          <w:szCs w:val="21"/>
          <w:highlight w:val="none"/>
        </w:rPr>
        <w:t>指定</w:t>
      </w:r>
      <w:r>
        <w:rPr>
          <w:rFonts w:hint="eastAsia" w:ascii="宋体" w:hAnsi="宋体"/>
          <w:color w:val="auto"/>
          <w:szCs w:val="21"/>
          <w:highlight w:val="none"/>
        </w:rPr>
        <w:t>网站公开发布方式，如更正公告等）明确的内容为准。当招标文件、修改补充通知、招标文件澄清答复内容相互矛盾时，以最后发出的内容为准。</w:t>
      </w:r>
    </w:p>
    <w:p w14:paraId="7C824AC7">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3.4</w:t>
      </w:r>
      <w:r>
        <w:rPr>
          <w:rFonts w:hint="eastAsia" w:ascii="宋体" w:hAnsi="宋体" w:eastAsia="宋体"/>
          <w:color w:val="auto"/>
          <w:szCs w:val="21"/>
          <w:highlight w:val="none"/>
        </w:rPr>
        <w:t>招标代理</w:t>
      </w:r>
      <w:r>
        <w:rPr>
          <w:rFonts w:hint="eastAsia" w:ascii="宋体" w:hAnsi="宋体"/>
          <w:color w:val="auto"/>
          <w:szCs w:val="21"/>
          <w:highlight w:val="none"/>
        </w:rPr>
        <w:t>机构保证招标文件澄清答复内容和招标文件修改补充内容在投标截止时间前以书面形式（包括</w:t>
      </w:r>
      <w:r>
        <w:rPr>
          <w:rFonts w:hint="eastAsia" w:ascii="宋体" w:hAnsi="宋体" w:eastAsia="宋体"/>
          <w:color w:val="auto"/>
          <w:szCs w:val="21"/>
          <w:highlight w:val="none"/>
        </w:rPr>
        <w:t>指定</w:t>
      </w:r>
      <w:r>
        <w:rPr>
          <w:rFonts w:hint="eastAsia" w:ascii="宋体" w:hAnsi="宋体"/>
          <w:color w:val="auto"/>
          <w:szCs w:val="21"/>
          <w:highlight w:val="none"/>
        </w:rPr>
        <w:t>网站发布方式，如更正公告等）发送给所有投标人。为使投标人在编制投标文件时有充分时间对招标文件的修改部分进行研究，</w:t>
      </w:r>
      <w:r>
        <w:rPr>
          <w:rFonts w:hint="eastAsia" w:ascii="宋体" w:hAnsi="宋体" w:eastAsia="宋体"/>
          <w:color w:val="auto"/>
          <w:szCs w:val="21"/>
          <w:highlight w:val="none"/>
        </w:rPr>
        <w:t>招标代理</w:t>
      </w:r>
      <w:r>
        <w:rPr>
          <w:rFonts w:hint="eastAsia" w:ascii="宋体" w:hAnsi="宋体"/>
          <w:color w:val="auto"/>
          <w:szCs w:val="21"/>
          <w:highlight w:val="none"/>
        </w:rPr>
        <w:t>机构可以酌情延长递交投标文件的截止日期</w:t>
      </w:r>
      <w:bookmarkEnd w:id="70"/>
      <w:r>
        <w:rPr>
          <w:rFonts w:hint="eastAsia" w:ascii="宋体" w:hAnsi="宋体"/>
          <w:color w:val="auto"/>
          <w:szCs w:val="21"/>
          <w:highlight w:val="none"/>
        </w:rPr>
        <w:t>，具体时间将在修改补充通知中明确。</w:t>
      </w:r>
    </w:p>
    <w:p w14:paraId="523A6864">
      <w:pPr>
        <w:shd w:val="clear"/>
        <w:jc w:val="left"/>
        <w:rPr>
          <w:rFonts w:ascii="宋体" w:hAnsi="宋体"/>
          <w:color w:val="auto"/>
          <w:szCs w:val="21"/>
          <w:highlight w:val="none"/>
        </w:rPr>
      </w:pPr>
    </w:p>
    <w:p w14:paraId="7D360666">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投标文件的编制</w:t>
      </w:r>
    </w:p>
    <w:p w14:paraId="690F84CB">
      <w:pPr>
        <w:shd w:val="clear"/>
        <w:jc w:val="left"/>
        <w:rPr>
          <w:rFonts w:ascii="黑体" w:hAnsi="宋体" w:eastAsia="黑体"/>
          <w:color w:val="auto"/>
          <w:highlight w:val="none"/>
        </w:rPr>
      </w:pPr>
      <w:r>
        <w:rPr>
          <w:rFonts w:hint="eastAsia" w:ascii="黑体" w:hAnsi="宋体" w:eastAsia="黑体"/>
          <w:color w:val="auto"/>
          <w:highlight w:val="none"/>
        </w:rPr>
        <w:t>14．</w:t>
      </w:r>
      <w:bookmarkStart w:id="71" w:name="_Hlk72400236"/>
      <w:r>
        <w:rPr>
          <w:rFonts w:hint="eastAsia" w:ascii="黑体" w:hAnsi="宋体" w:eastAsia="黑体"/>
          <w:color w:val="auto"/>
          <w:highlight w:val="none"/>
        </w:rPr>
        <w:t>投标文件的语言及度量单位</w:t>
      </w:r>
    </w:p>
    <w:p w14:paraId="1C0B5F15">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14.1 投标人与</w:t>
      </w:r>
      <w:r>
        <w:rPr>
          <w:rFonts w:hint="eastAsia" w:ascii="宋体" w:hAnsi="宋体" w:eastAsia="宋体"/>
          <w:color w:val="auto"/>
          <w:szCs w:val="21"/>
          <w:highlight w:val="none"/>
        </w:rPr>
        <w:t>招标代理</w:t>
      </w:r>
      <w:r>
        <w:rPr>
          <w:rFonts w:hint="eastAsia" w:ascii="宋体" w:hAnsi="宋体"/>
          <w:color w:val="auto"/>
          <w:szCs w:val="21"/>
          <w:highlight w:val="none"/>
        </w:rPr>
        <w:t>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14:paraId="6ED93215">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14.2 除技术规范另有规定外，投标文件使用的度量单位，均采用中华人民共和国法定计量单位。</w:t>
      </w:r>
    </w:p>
    <w:bookmarkEnd w:id="71"/>
    <w:p w14:paraId="53839504">
      <w:pPr>
        <w:shd w:val="clear"/>
        <w:jc w:val="left"/>
        <w:rPr>
          <w:rFonts w:ascii="黑体" w:hAnsi="宋体" w:eastAsia="黑体"/>
          <w:color w:val="auto"/>
          <w:highlight w:val="none"/>
        </w:rPr>
      </w:pPr>
      <w:r>
        <w:rPr>
          <w:rFonts w:hint="eastAsia" w:ascii="黑体" w:hAnsi="宋体" w:eastAsia="黑体"/>
          <w:color w:val="auto"/>
          <w:highlight w:val="none"/>
        </w:rPr>
        <w:t>15．</w:t>
      </w:r>
      <w:bookmarkStart w:id="72" w:name="_Hlk72401567"/>
      <w:r>
        <w:rPr>
          <w:rFonts w:hint="eastAsia" w:ascii="黑体" w:hAnsi="宋体" w:eastAsia="黑体"/>
          <w:color w:val="auto"/>
          <w:highlight w:val="none"/>
        </w:rPr>
        <w:t>投标文件的组成</w:t>
      </w:r>
    </w:p>
    <w:p w14:paraId="712BD38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具体内容在招标文件专用条款中进行规定。</w:t>
      </w:r>
    </w:p>
    <w:p w14:paraId="10F09E47">
      <w:pPr>
        <w:shd w:val="clear"/>
        <w:jc w:val="left"/>
        <w:rPr>
          <w:rFonts w:ascii="黑体" w:hAnsi="宋体" w:eastAsia="黑体"/>
          <w:color w:val="auto"/>
          <w:highlight w:val="none"/>
        </w:rPr>
      </w:pPr>
      <w:r>
        <w:rPr>
          <w:rFonts w:ascii="黑体" w:hAnsi="宋体" w:eastAsia="黑体"/>
          <w:color w:val="auto"/>
          <w:highlight w:val="none"/>
        </w:rPr>
        <w:t>16．投标文件格式</w:t>
      </w:r>
    </w:p>
    <w:p w14:paraId="33BF5457">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投标文件包括本通用条款第</w:t>
      </w:r>
      <w:r>
        <w:rPr>
          <w:rFonts w:ascii="宋体" w:hAnsi="宋体"/>
          <w:color w:val="auto"/>
          <w:szCs w:val="21"/>
          <w:highlight w:val="none"/>
        </w:rPr>
        <w:t>15条中规定的内容。如招标文件提供了投标文件格式，则</w:t>
      </w:r>
      <w:r>
        <w:rPr>
          <w:rFonts w:hint="eastAsia" w:ascii="宋体" w:hAnsi="宋体"/>
          <w:b/>
          <w:bCs/>
          <w:color w:val="auto"/>
          <w:szCs w:val="21"/>
          <w:highlight w:val="none"/>
        </w:rPr>
        <w:t>投标人提交的投标文件应毫无例外地使用招标文件所提供的相应格式</w:t>
      </w:r>
      <w:r>
        <w:rPr>
          <w:rFonts w:hint="eastAsia" w:ascii="宋体" w:hAnsi="宋体"/>
          <w:color w:val="auto"/>
          <w:szCs w:val="21"/>
          <w:highlight w:val="none"/>
        </w:rPr>
        <w:t>（表格均可按同样格式扩展）。</w:t>
      </w:r>
    </w:p>
    <w:p w14:paraId="62237E3F">
      <w:pPr>
        <w:shd w:val="clear"/>
        <w:jc w:val="left"/>
        <w:rPr>
          <w:rFonts w:ascii="黑体" w:hAnsi="宋体" w:eastAsia="黑体"/>
          <w:color w:val="auto"/>
          <w:highlight w:val="none"/>
        </w:rPr>
      </w:pPr>
      <w:r>
        <w:rPr>
          <w:rFonts w:hint="eastAsia" w:ascii="黑体" w:hAnsi="宋体" w:eastAsia="黑体"/>
          <w:color w:val="auto"/>
          <w:highlight w:val="none"/>
        </w:rPr>
        <w:t>17．投标货币</w:t>
      </w:r>
    </w:p>
    <w:p w14:paraId="4D1F589F">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本项目的投标报价应以人民币计。</w:t>
      </w:r>
    </w:p>
    <w:bookmarkEnd w:id="72"/>
    <w:p w14:paraId="6CF3F66D">
      <w:pPr>
        <w:shd w:val="clear"/>
        <w:jc w:val="left"/>
        <w:rPr>
          <w:rFonts w:ascii="黑体" w:hAnsi="宋体" w:eastAsia="黑体"/>
          <w:color w:val="auto"/>
          <w:highlight w:val="none"/>
        </w:rPr>
      </w:pPr>
      <w:r>
        <w:rPr>
          <w:rFonts w:hint="eastAsia" w:ascii="黑体" w:hAnsi="宋体" w:eastAsia="黑体"/>
          <w:color w:val="auto"/>
          <w:highlight w:val="none"/>
        </w:rPr>
        <w:t>18．</w:t>
      </w:r>
      <w:bookmarkStart w:id="73" w:name="_Hlk72401735"/>
      <w:r>
        <w:rPr>
          <w:rFonts w:hint="eastAsia" w:ascii="黑体" w:hAnsi="宋体" w:eastAsia="黑体"/>
          <w:color w:val="auto"/>
          <w:highlight w:val="none"/>
        </w:rPr>
        <w:t>证明投标文件投标技术方案的合格性和符合招标文件规定的文件要求</w:t>
      </w:r>
    </w:p>
    <w:p w14:paraId="529D0E2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w:t>
      </w:r>
      <w:r>
        <w:rPr>
          <w:rFonts w:ascii="宋体" w:hAnsi="宋体"/>
          <w:color w:val="auto"/>
          <w:szCs w:val="21"/>
          <w:highlight w:val="none"/>
        </w:rPr>
        <w:t xml:space="preserve">.1 </w:t>
      </w:r>
      <w:r>
        <w:rPr>
          <w:rFonts w:hint="eastAsia" w:ascii="宋体" w:hAnsi="宋体"/>
          <w:color w:val="auto"/>
          <w:szCs w:val="21"/>
          <w:highlight w:val="none"/>
        </w:rPr>
        <w:t>投标人应提交证明文件，证明其投标技术方案项下的货物和服务的合格性符合招标文件规定。该投标技术方案及其证明文件均作为投标文件组成部分。</w:t>
      </w:r>
    </w:p>
    <w:p w14:paraId="2E6C9CC9">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8</w:t>
      </w:r>
      <w:r>
        <w:rPr>
          <w:rFonts w:ascii="宋体" w:hAnsi="宋体"/>
          <w:color w:val="auto"/>
          <w:szCs w:val="21"/>
          <w:highlight w:val="none"/>
        </w:rPr>
        <w:t xml:space="preserve">.2 </w:t>
      </w:r>
      <w:r>
        <w:rPr>
          <w:rFonts w:hint="eastAsia" w:ascii="宋体" w:hAnsi="宋体"/>
          <w:color w:val="auto"/>
          <w:szCs w:val="21"/>
          <w:highlight w:val="none"/>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14:paraId="30E8F2B1">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18.2.1主要技术指标和性能的详细说明。</w:t>
      </w:r>
    </w:p>
    <w:p w14:paraId="1A03604D">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18.2.</w:t>
      </w:r>
      <w:r>
        <w:rPr>
          <w:rFonts w:ascii="宋体" w:hAnsi="宋体"/>
          <w:color w:val="auto"/>
          <w:szCs w:val="21"/>
          <w:highlight w:val="none"/>
        </w:rPr>
        <w:t>2</w:t>
      </w:r>
      <w:r>
        <w:rPr>
          <w:rFonts w:hint="eastAsia" w:ascii="宋体" w:hAnsi="宋体"/>
          <w:color w:val="auto"/>
          <w:szCs w:val="21"/>
          <w:highlight w:val="none"/>
        </w:rPr>
        <w:t>投标产品从采购人开始使用至招标文件中规定的周期内正常、连续地使用所必须的备件和专用工具清单，包括备件和专用工具的货源及现行价格。</w:t>
      </w:r>
    </w:p>
    <w:p w14:paraId="03A142B8">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18.2.</w:t>
      </w:r>
      <w:r>
        <w:rPr>
          <w:rFonts w:ascii="宋体" w:hAnsi="宋体"/>
          <w:color w:val="auto"/>
          <w:szCs w:val="21"/>
          <w:highlight w:val="none"/>
        </w:rPr>
        <w:t>3</w:t>
      </w:r>
      <w:r>
        <w:rPr>
          <w:rFonts w:hint="eastAsia" w:ascii="宋体" w:hAnsi="宋体"/>
          <w:color w:val="auto"/>
          <w:szCs w:val="21"/>
          <w:highlight w:val="none"/>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14:paraId="7BC95B74">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hint="eastAsia"/>
          <w:color w:val="auto"/>
          <w:highlight w:val="none"/>
        </w:rPr>
        <w:t>清晰度要求能够使用电脑阅读、识别和判断</w:t>
      </w:r>
      <w:r>
        <w:rPr>
          <w:rFonts w:hint="eastAsia" w:ascii="宋体" w:hAnsi="宋体"/>
          <w:color w:val="auto"/>
          <w:szCs w:val="21"/>
          <w:highlight w:val="none"/>
        </w:rPr>
        <w:t>；</w:t>
      </w:r>
    </w:p>
    <w:p w14:paraId="26C15241">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18.2.5我国政府机构出具的产品检验和核准证件应为证件正面、背面和附件标注的全部具体内容；产品检验和核准证件的尺寸和清晰度应该能够在电脑上被阅读、识别和判断，提供原件扫描件。</w:t>
      </w:r>
    </w:p>
    <w:p w14:paraId="41F95F83">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18.3相关资料不符合18.2款要求的，评审委员会有权认定为投标技术方案不合格响应，其相关分数予以扣减或作投标无效处理。</w:t>
      </w:r>
    </w:p>
    <w:p w14:paraId="1F23ED65">
      <w:pPr>
        <w:shd w:val="clear"/>
        <w:ind w:firstLine="470" w:firstLineChars="196"/>
        <w:jc w:val="left"/>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rPr>
        <w:t>8</w:t>
      </w:r>
      <w:r>
        <w:rPr>
          <w:rFonts w:ascii="宋体" w:hAnsi="宋体"/>
          <w:color w:val="auto"/>
          <w:szCs w:val="21"/>
          <w:highlight w:val="none"/>
        </w:rPr>
        <w:t>.</w:t>
      </w:r>
      <w:r>
        <w:rPr>
          <w:rFonts w:hint="eastAsia" w:ascii="宋体" w:hAnsi="宋体"/>
          <w:color w:val="auto"/>
          <w:szCs w:val="21"/>
          <w:highlight w:val="none"/>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hint="eastAsia"/>
          <w:color w:val="auto"/>
          <w:highlight w:val="none"/>
        </w:rPr>
        <w:t>满足要求</w:t>
      </w:r>
      <w:r>
        <w:rPr>
          <w:rFonts w:hint="eastAsia" w:ascii="宋体" w:hAnsi="宋体"/>
          <w:color w:val="auto"/>
          <w:szCs w:val="21"/>
          <w:highlight w:val="none"/>
        </w:rPr>
        <w:t>，由评审委员会来评判。</w:t>
      </w:r>
    </w:p>
    <w:p w14:paraId="14860A19">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18.5除非另有规定或说明，投标人对同一项目投标时，不得同时提供两套或两套以上的投标方案。</w:t>
      </w:r>
    </w:p>
    <w:bookmarkEnd w:id="73"/>
    <w:p w14:paraId="002B0FF4">
      <w:pPr>
        <w:shd w:val="clear"/>
        <w:jc w:val="left"/>
        <w:rPr>
          <w:rFonts w:ascii="黑体" w:hAnsi="宋体" w:eastAsia="黑体"/>
          <w:color w:val="auto"/>
          <w:highlight w:val="none"/>
        </w:rPr>
      </w:pPr>
      <w:r>
        <w:rPr>
          <w:rFonts w:hint="eastAsia" w:ascii="黑体" w:hAnsi="宋体" w:eastAsia="黑体"/>
          <w:color w:val="auto"/>
          <w:highlight w:val="none"/>
        </w:rPr>
        <w:t>19．</w:t>
      </w:r>
      <w:bookmarkStart w:id="74" w:name="_Hlk72402034"/>
      <w:r>
        <w:rPr>
          <w:rFonts w:hint="eastAsia" w:ascii="黑体" w:hAnsi="宋体" w:eastAsia="黑体"/>
          <w:color w:val="auto"/>
          <w:highlight w:val="none"/>
        </w:rPr>
        <w:t>投标文件其他证明文件的要求</w:t>
      </w:r>
    </w:p>
    <w:p w14:paraId="6413F67F">
      <w:pPr>
        <w:shd w:val="clear"/>
        <w:jc w:val="left"/>
        <w:rPr>
          <w:rFonts w:ascii="宋体" w:hAnsi="宋体"/>
          <w:color w:val="auto"/>
          <w:szCs w:val="21"/>
          <w:highlight w:val="none"/>
        </w:rPr>
      </w:pPr>
      <w:r>
        <w:rPr>
          <w:rFonts w:hint="eastAsia" w:ascii="黑体" w:hAnsi="宋体" w:eastAsia="黑体"/>
          <w:color w:val="auto"/>
          <w:highlight w:val="none"/>
        </w:rPr>
        <w:t xml:space="preserve">    </w:t>
      </w:r>
      <w:r>
        <w:rPr>
          <w:rFonts w:hint="eastAsia" w:ascii="宋体" w:hAnsi="宋体"/>
          <w:color w:val="auto"/>
          <w:szCs w:val="21"/>
          <w:highlight w:val="none"/>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75" w:name="_Hlk71407299"/>
    </w:p>
    <w:bookmarkEnd w:id="75"/>
    <w:p w14:paraId="6FC7230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14:paraId="01B5AAE0">
      <w:pPr>
        <w:shd w:val="clear"/>
        <w:jc w:val="left"/>
        <w:rPr>
          <w:rFonts w:ascii="黑体" w:hAnsi="宋体" w:eastAsia="黑体"/>
          <w:color w:val="auto"/>
          <w:highlight w:val="none"/>
        </w:rPr>
      </w:pPr>
      <w:r>
        <w:rPr>
          <w:rFonts w:hint="eastAsia" w:ascii="黑体" w:hAnsi="宋体" w:eastAsia="黑体"/>
          <w:color w:val="auto"/>
          <w:highlight w:val="none"/>
        </w:rPr>
        <w:t>20．投标有效期</w:t>
      </w:r>
    </w:p>
    <w:bookmarkEnd w:id="74"/>
    <w:p w14:paraId="26ED1F63">
      <w:pPr>
        <w:shd w:val="clear"/>
        <w:ind w:firstLine="470" w:firstLineChars="196"/>
        <w:jc w:val="left"/>
        <w:rPr>
          <w:rFonts w:ascii="宋体" w:hAnsi="宋体"/>
          <w:color w:val="auto"/>
          <w:szCs w:val="21"/>
          <w:highlight w:val="none"/>
        </w:rPr>
      </w:pPr>
      <w:bookmarkStart w:id="76" w:name="_Hlk72402214"/>
      <w:r>
        <w:rPr>
          <w:rFonts w:hint="eastAsia" w:ascii="宋体" w:hAnsi="宋体"/>
          <w:color w:val="auto"/>
          <w:szCs w:val="21"/>
          <w:highlight w:val="none"/>
        </w:rPr>
        <w:t>20.1 投标有效期为</w:t>
      </w:r>
      <w:r>
        <w:rPr>
          <w:rFonts w:hint="eastAsia" w:ascii="Arial" w:hAnsi="Arial" w:cs="Arial"/>
          <w:color w:val="auto"/>
          <w:szCs w:val="21"/>
          <w:highlight w:val="none"/>
        </w:rPr>
        <w:t>从投标截止之日算起的日历天数。</w:t>
      </w:r>
      <w:r>
        <w:rPr>
          <w:rFonts w:hint="eastAsia" w:ascii="宋体" w:hAnsi="宋体"/>
          <w:color w:val="auto"/>
          <w:szCs w:val="21"/>
          <w:highlight w:val="none"/>
        </w:rPr>
        <w:t>在此期限内，所有投标文件均保持有效。</w:t>
      </w:r>
    </w:p>
    <w:p w14:paraId="1AEC35B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20.2 在特殊情况下，</w:t>
      </w:r>
      <w:r>
        <w:rPr>
          <w:rFonts w:hint="eastAsia" w:ascii="宋体" w:hAnsi="宋体" w:eastAsia="宋体"/>
          <w:color w:val="auto"/>
          <w:szCs w:val="21"/>
          <w:highlight w:val="none"/>
        </w:rPr>
        <w:t>招标代理</w:t>
      </w:r>
      <w:r>
        <w:rPr>
          <w:rFonts w:hint="eastAsia" w:ascii="宋体" w:hAnsi="宋体"/>
          <w:color w:val="auto"/>
          <w:szCs w:val="21"/>
          <w:highlight w:val="none"/>
        </w:rPr>
        <w:t>机构在原定的投标有效期满之前，</w:t>
      </w:r>
      <w:r>
        <w:rPr>
          <w:rFonts w:hint="eastAsia" w:ascii="宋体" w:hAnsi="宋体" w:eastAsia="宋体"/>
          <w:color w:val="auto"/>
          <w:szCs w:val="21"/>
          <w:highlight w:val="none"/>
        </w:rPr>
        <w:t>招标代理</w:t>
      </w:r>
      <w:r>
        <w:rPr>
          <w:rFonts w:hint="eastAsia" w:ascii="宋体" w:hAnsi="宋体"/>
          <w:color w:val="auto"/>
          <w:szCs w:val="21"/>
          <w:highlight w:val="none"/>
        </w:rPr>
        <w:t>机构可以根据需要以书面形式（包括</w:t>
      </w:r>
      <w:r>
        <w:rPr>
          <w:rFonts w:hint="eastAsia" w:ascii="宋体" w:hAnsi="宋体" w:eastAsia="宋体"/>
          <w:color w:val="auto"/>
          <w:szCs w:val="21"/>
          <w:highlight w:val="none"/>
        </w:rPr>
        <w:t>指定网站</w:t>
      </w:r>
      <w:r>
        <w:rPr>
          <w:rFonts w:hint="eastAsia" w:ascii="宋体" w:hAnsi="宋体"/>
          <w:color w:val="auto"/>
          <w:szCs w:val="21"/>
          <w:highlight w:val="none"/>
        </w:rPr>
        <w:t>公开发布方式）向投标人提出延长投标有效期的要求，对此要求投标人须以书面形式予以答复，投标人可以拒绝</w:t>
      </w:r>
      <w:r>
        <w:rPr>
          <w:rFonts w:hint="eastAsia" w:ascii="宋体" w:hAnsi="宋体" w:eastAsia="宋体"/>
          <w:color w:val="auto"/>
          <w:szCs w:val="21"/>
          <w:highlight w:val="none"/>
        </w:rPr>
        <w:t>招标代理</w:t>
      </w:r>
      <w:r>
        <w:rPr>
          <w:rFonts w:hint="eastAsia" w:ascii="宋体" w:hAnsi="宋体"/>
          <w:color w:val="auto"/>
          <w:szCs w:val="21"/>
          <w:highlight w:val="none"/>
        </w:rPr>
        <w:t>机构此项要求，其投标在原投标有效期满后不再有效。同意延长投标有效期的投标人不能要求也不允许修改其投标文件。</w:t>
      </w:r>
    </w:p>
    <w:p w14:paraId="5368A7A4">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20</w:t>
      </w:r>
      <w:r>
        <w:rPr>
          <w:rFonts w:ascii="宋体" w:hAnsi="宋体"/>
          <w:color w:val="auto"/>
          <w:szCs w:val="21"/>
          <w:highlight w:val="none"/>
        </w:rPr>
        <w:t>.3</w:t>
      </w:r>
      <w:r>
        <w:rPr>
          <w:rFonts w:hint="eastAsia" w:ascii="宋体" w:hAnsi="宋体"/>
          <w:color w:val="auto"/>
          <w:szCs w:val="21"/>
          <w:highlight w:val="none"/>
        </w:rPr>
        <w:t xml:space="preserve"> 中标供应商的投标文件有效期，截止于完成本招标文件规定的全部项目内容，并通过竣工验收及保修期结束。</w:t>
      </w:r>
    </w:p>
    <w:bookmarkEnd w:id="76"/>
    <w:p w14:paraId="00842885">
      <w:pPr>
        <w:shd w:val="clear"/>
        <w:jc w:val="left"/>
        <w:rPr>
          <w:rFonts w:ascii="黑体" w:hAnsi="宋体" w:eastAsia="黑体"/>
          <w:color w:val="auto"/>
          <w:highlight w:val="none"/>
        </w:rPr>
      </w:pPr>
      <w:r>
        <w:rPr>
          <w:rFonts w:hint="eastAsia" w:ascii="黑体" w:hAnsi="宋体" w:eastAsia="黑体"/>
          <w:color w:val="auto"/>
          <w:highlight w:val="none"/>
        </w:rPr>
        <w:t>21．</w:t>
      </w:r>
      <w:bookmarkStart w:id="77" w:name="_Hlk72402325"/>
      <w:r>
        <w:rPr>
          <w:rFonts w:hint="eastAsia" w:ascii="黑体" w:hAnsi="宋体" w:eastAsia="黑体"/>
          <w:color w:val="auto"/>
          <w:highlight w:val="none"/>
        </w:rPr>
        <w:t xml:space="preserve">关于投标保证金 </w:t>
      </w:r>
    </w:p>
    <w:p w14:paraId="14C42416">
      <w:pPr>
        <w:shd w:val="clear"/>
        <w:ind w:firstLine="432"/>
        <w:jc w:val="left"/>
        <w:rPr>
          <w:color w:val="auto"/>
          <w:highlight w:val="none"/>
        </w:rPr>
      </w:pPr>
      <w:r>
        <w:rPr>
          <w:rFonts w:hint="eastAsia" w:ascii="宋体" w:hAnsi="宋体"/>
          <w:color w:val="auto"/>
          <w:szCs w:val="21"/>
          <w:highlight w:val="none"/>
        </w:rPr>
        <w:t xml:space="preserve">21.1 </w:t>
      </w:r>
      <w:r>
        <w:rPr>
          <w:rFonts w:hint="eastAsia"/>
          <w:color w:val="auto"/>
          <w:highlight w:val="none"/>
        </w:rPr>
        <w:t>根据《深圳市财政局关于调整政府采购投标（响应）保证金管理政策的通知》（深财购〔2021〕51 号）文的规定，本项目不收取投标保证金。</w:t>
      </w:r>
    </w:p>
    <w:p w14:paraId="54748323">
      <w:pPr>
        <w:shd w:val="clear"/>
        <w:jc w:val="left"/>
        <w:rPr>
          <w:rFonts w:ascii="黑体" w:hAnsi="宋体" w:eastAsia="黑体"/>
          <w:color w:val="auto"/>
          <w:highlight w:val="none"/>
        </w:rPr>
      </w:pPr>
      <w:r>
        <w:rPr>
          <w:rFonts w:hint="eastAsia" w:ascii="黑体" w:hAnsi="宋体" w:eastAsia="黑体"/>
          <w:color w:val="auto"/>
          <w:highlight w:val="none"/>
        </w:rPr>
        <w:t>22．投标人的替代方案</w:t>
      </w:r>
    </w:p>
    <w:p w14:paraId="52984A4B">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22.1投标人所提交的投标文件应完全满足招标文件（包括图纸和技术规范所示的基本技术设计）的要求。除非项目明确允许投标人提交替代方案，否则投标人有关替代方案的条款将初审不通过，作投标无效处理。</w:t>
      </w:r>
    </w:p>
    <w:p w14:paraId="1D875FAC">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bookmarkEnd w:id="77"/>
    <w:p w14:paraId="24C95997">
      <w:pPr>
        <w:shd w:val="clear"/>
        <w:jc w:val="left"/>
        <w:rPr>
          <w:rFonts w:ascii="黑体" w:hAnsi="宋体" w:eastAsia="黑体"/>
          <w:color w:val="auto"/>
          <w:highlight w:val="none"/>
        </w:rPr>
      </w:pPr>
      <w:r>
        <w:rPr>
          <w:rFonts w:hint="eastAsia" w:ascii="黑体" w:hAnsi="宋体" w:eastAsia="黑体"/>
          <w:color w:val="auto"/>
          <w:highlight w:val="none"/>
        </w:rPr>
        <w:t>23．</w:t>
      </w:r>
      <w:bookmarkStart w:id="78" w:name="_Hlk72402860"/>
      <w:r>
        <w:rPr>
          <w:rFonts w:ascii="黑体" w:hAnsi="宋体" w:eastAsia="黑体"/>
          <w:color w:val="auto"/>
          <w:highlight w:val="none"/>
        </w:rPr>
        <w:t>投标文件的</w:t>
      </w:r>
      <w:r>
        <w:rPr>
          <w:rFonts w:hint="eastAsia" w:ascii="黑体" w:hAnsi="宋体" w:eastAsia="黑体"/>
          <w:color w:val="auto"/>
          <w:highlight w:val="none"/>
        </w:rPr>
        <w:t>制作</w:t>
      </w:r>
      <w:r>
        <w:rPr>
          <w:rFonts w:ascii="黑体" w:hAnsi="宋体" w:eastAsia="黑体"/>
          <w:color w:val="auto"/>
          <w:highlight w:val="none"/>
        </w:rPr>
        <w:t>要求</w:t>
      </w:r>
    </w:p>
    <w:p w14:paraId="5538E6C1">
      <w:pPr>
        <w:shd w:val="clear"/>
        <w:ind w:firstLine="470" w:firstLineChars="196"/>
        <w:jc w:val="left"/>
        <w:rPr>
          <w:rFonts w:ascii="宋体" w:hAnsi="宋体"/>
          <w:color w:val="auto"/>
          <w:highlight w:val="none"/>
        </w:rPr>
      </w:pPr>
      <w:r>
        <w:rPr>
          <w:rFonts w:hint="eastAsia" w:ascii="宋体" w:hAnsi="宋体"/>
          <w:color w:val="auto"/>
          <w:highlight w:val="none"/>
        </w:rPr>
        <w:t>23.1投标人应准备所投项目的</w:t>
      </w:r>
      <w:r>
        <w:rPr>
          <w:rFonts w:hint="eastAsia" w:ascii="宋体" w:hAnsi="宋体" w:eastAsia="宋体"/>
          <w:color w:val="auto"/>
          <w:highlight w:val="none"/>
        </w:rPr>
        <w:t>纸质投标文件一式</w:t>
      </w:r>
      <w:r>
        <w:rPr>
          <w:rFonts w:hint="eastAsia" w:ascii="宋体" w:hAnsi="宋体" w:eastAsia="宋体"/>
          <w:color w:val="auto"/>
          <w:highlight w:val="none"/>
          <w:lang w:val="en-US" w:eastAsia="zh-CN"/>
        </w:rPr>
        <w:t>四</w:t>
      </w:r>
      <w:r>
        <w:rPr>
          <w:rFonts w:hint="eastAsia" w:ascii="宋体" w:hAnsi="宋体" w:eastAsia="宋体"/>
          <w:color w:val="auto"/>
          <w:highlight w:val="none"/>
        </w:rPr>
        <w:t>份</w:t>
      </w:r>
      <w:r>
        <w:rPr>
          <w:rFonts w:hint="eastAsia" w:ascii="宋体" w:hAnsi="宋体"/>
          <w:color w:val="auto"/>
          <w:highlight w:val="none"/>
        </w:rPr>
        <w:t>。</w:t>
      </w:r>
    </w:p>
    <w:p w14:paraId="2F408038">
      <w:pPr>
        <w:shd w:val="clear"/>
        <w:ind w:firstLine="470" w:firstLineChars="196"/>
        <w:jc w:val="left"/>
        <w:rPr>
          <w:rFonts w:ascii="宋体" w:hAnsi="宋体"/>
          <w:color w:val="auto"/>
          <w:highlight w:val="none"/>
        </w:rPr>
      </w:pPr>
      <w:r>
        <w:rPr>
          <w:rFonts w:hint="eastAsia" w:ascii="宋体" w:hAnsi="宋体"/>
          <w:color w:val="auto"/>
          <w:highlight w:val="none"/>
        </w:rPr>
        <w:t>23.2 各类资格（资质）文件提供扫描件，专用条款另有要求的除外。</w:t>
      </w:r>
      <w:bookmarkEnd w:id="78"/>
    </w:p>
    <w:p w14:paraId="3FC3D53A">
      <w:pPr>
        <w:shd w:val="clear"/>
        <w:ind w:firstLine="470" w:firstLineChars="196"/>
        <w:jc w:val="left"/>
        <w:rPr>
          <w:rFonts w:ascii="宋体" w:hAnsi="宋体"/>
          <w:color w:val="auto"/>
          <w:szCs w:val="21"/>
          <w:highlight w:val="none"/>
        </w:rPr>
      </w:pPr>
    </w:p>
    <w:p w14:paraId="7820B550">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投标文件的递交</w:t>
      </w:r>
    </w:p>
    <w:p w14:paraId="6E1D07E2">
      <w:pPr>
        <w:shd w:val="clear"/>
        <w:jc w:val="left"/>
        <w:rPr>
          <w:rFonts w:ascii="黑体" w:hAnsi="宋体" w:eastAsia="黑体"/>
          <w:color w:val="auto"/>
          <w:highlight w:val="none"/>
        </w:rPr>
      </w:pPr>
      <w:bookmarkStart w:id="79" w:name="_Hlk72405459"/>
      <w:r>
        <w:rPr>
          <w:rFonts w:hint="eastAsia" w:ascii="黑体" w:hAnsi="宋体" w:eastAsia="黑体"/>
          <w:color w:val="auto"/>
          <w:highlight w:val="none"/>
        </w:rPr>
        <w:t>24．投标文件的保密</w:t>
      </w:r>
    </w:p>
    <w:p w14:paraId="010EFFED">
      <w:pPr>
        <w:shd w:val="clear"/>
        <w:ind w:firstLine="480" w:firstLineChars="200"/>
        <w:jc w:val="left"/>
        <w:rPr>
          <w:rFonts w:ascii="宋体" w:hAnsi="宋体" w:eastAsia="宋体" w:cs="宋体"/>
          <w:color w:val="auto"/>
          <w:highlight w:val="none"/>
        </w:rPr>
      </w:pPr>
      <w:r>
        <w:rPr>
          <w:rFonts w:hint="eastAsia" w:ascii="宋体" w:hAnsi="宋体"/>
          <w:color w:val="auto"/>
          <w:highlight w:val="none"/>
        </w:rPr>
        <w:t>24.1在投标文件制作完成后，</w:t>
      </w:r>
      <w:r>
        <w:rPr>
          <w:rFonts w:hint="eastAsia" w:ascii="宋体" w:hAnsi="宋体" w:eastAsia="宋体"/>
          <w:color w:val="auto"/>
          <w:highlight w:val="none"/>
        </w:rPr>
        <w:t>对纸质投标文件（</w:t>
      </w:r>
      <w:r>
        <w:rPr>
          <w:rFonts w:hint="eastAsia" w:ascii="宋体" w:hAnsi="宋体" w:eastAsia="宋体"/>
          <w:color w:val="auto"/>
          <w:highlight w:val="none"/>
          <w:lang w:val="en-US" w:eastAsia="zh-CN"/>
        </w:rPr>
        <w:t>一份</w:t>
      </w:r>
      <w:r>
        <w:rPr>
          <w:rFonts w:hint="eastAsia" w:ascii="宋体" w:hAnsi="宋体" w:eastAsia="宋体"/>
          <w:color w:val="auto"/>
          <w:highlight w:val="none"/>
        </w:rPr>
        <w:t>正本和副本</w:t>
      </w:r>
      <w:r>
        <w:rPr>
          <w:rFonts w:hint="eastAsia" w:ascii="宋体" w:hAnsi="宋体" w:eastAsia="宋体"/>
          <w:color w:val="auto"/>
          <w:highlight w:val="none"/>
          <w:lang w:val="en-US" w:eastAsia="zh-CN"/>
        </w:rPr>
        <w:t>叁</w:t>
      </w:r>
      <w:r>
        <w:rPr>
          <w:rFonts w:hint="eastAsia" w:ascii="宋体" w:hAnsi="宋体" w:eastAsia="宋体"/>
          <w:color w:val="auto"/>
          <w:highlight w:val="none"/>
        </w:rPr>
        <w:t>份）进行密封，封面要求标注清楚项目名称、投标单位，并加盖公章。</w:t>
      </w:r>
    </w:p>
    <w:p w14:paraId="4EA5512C">
      <w:pPr>
        <w:shd w:val="clear"/>
        <w:jc w:val="left"/>
        <w:rPr>
          <w:color w:val="auto"/>
          <w:highlight w:val="none"/>
        </w:rPr>
      </w:pPr>
    </w:p>
    <w:p w14:paraId="34910F00">
      <w:pPr>
        <w:shd w:val="clear"/>
        <w:jc w:val="left"/>
        <w:rPr>
          <w:rFonts w:ascii="宋体" w:hAnsi="宋体"/>
          <w:b/>
          <w:color w:val="auto"/>
          <w:highlight w:val="none"/>
        </w:rPr>
      </w:pPr>
      <w:r>
        <w:rPr>
          <w:rFonts w:hint="eastAsia" w:ascii="宋体" w:hAnsi="宋体"/>
          <w:b/>
          <w:color w:val="auto"/>
          <w:highlight w:val="none"/>
        </w:rPr>
        <w:t>24.2若采购项目出现延期情况：</w:t>
      </w:r>
    </w:p>
    <w:p w14:paraId="3F1CB798">
      <w:pPr>
        <w:shd w:val="clear"/>
        <w:ind w:firstLine="482" w:firstLineChars="200"/>
        <w:jc w:val="left"/>
        <w:rPr>
          <w:rFonts w:ascii="黑体" w:hAnsi="宋体" w:eastAsia="黑体"/>
          <w:b/>
          <w:color w:val="auto"/>
          <w:highlight w:val="none"/>
        </w:rPr>
      </w:pPr>
    </w:p>
    <w:p w14:paraId="2AD71315">
      <w:pPr>
        <w:shd w:val="clear"/>
        <w:jc w:val="left"/>
        <w:rPr>
          <w:rFonts w:ascii="黑体" w:hAnsi="宋体" w:eastAsia="黑体"/>
          <w:color w:val="auto"/>
          <w:highlight w:val="none"/>
        </w:rPr>
      </w:pPr>
      <w:r>
        <w:rPr>
          <w:rFonts w:hint="eastAsia" w:ascii="黑体" w:hAnsi="宋体" w:eastAsia="黑体"/>
          <w:color w:val="auto"/>
          <w:highlight w:val="none"/>
        </w:rPr>
        <w:t>25．上传投标文件及投标截止日期</w:t>
      </w:r>
    </w:p>
    <w:bookmarkEnd w:id="79"/>
    <w:p w14:paraId="2E2C12E0">
      <w:pPr>
        <w:shd w:val="clear"/>
        <w:ind w:firstLine="470" w:firstLineChars="196"/>
        <w:jc w:val="left"/>
        <w:rPr>
          <w:rFonts w:ascii="宋体" w:hAnsi="宋体"/>
          <w:color w:val="auto"/>
          <w:highlight w:val="none"/>
        </w:rPr>
      </w:pPr>
      <w:r>
        <w:rPr>
          <w:rFonts w:hint="eastAsia" w:ascii="宋体" w:hAnsi="宋体"/>
          <w:color w:val="auto"/>
          <w:highlight w:val="none"/>
        </w:rPr>
        <w:t>25</w:t>
      </w:r>
      <w:r>
        <w:rPr>
          <w:rFonts w:ascii="宋体" w:hAnsi="宋体"/>
          <w:color w:val="auto"/>
          <w:highlight w:val="none"/>
        </w:rPr>
        <w:t>.</w:t>
      </w:r>
      <w:r>
        <w:rPr>
          <w:rFonts w:hint="eastAsia" w:ascii="宋体" w:hAnsi="宋体"/>
          <w:color w:val="auto"/>
          <w:highlight w:val="none"/>
        </w:rPr>
        <w:t>1请在投标截止时间之前携带</w:t>
      </w:r>
      <w:r>
        <w:rPr>
          <w:rFonts w:hint="eastAsia" w:ascii="宋体" w:hAnsi="宋体" w:eastAsia="宋体"/>
          <w:color w:val="auto"/>
          <w:highlight w:val="none"/>
        </w:rPr>
        <w:t>密封的</w:t>
      </w:r>
      <w:r>
        <w:rPr>
          <w:rFonts w:hint="eastAsia" w:ascii="宋体" w:hAnsi="宋体"/>
          <w:color w:val="auto"/>
          <w:highlight w:val="none"/>
        </w:rPr>
        <w:t>投标文件送达至</w:t>
      </w:r>
      <w:r>
        <w:rPr>
          <w:rFonts w:hint="eastAsia" w:ascii="宋体" w:hAnsi="宋体"/>
          <w:b/>
          <w:bCs/>
          <w:color w:val="auto"/>
          <w:szCs w:val="21"/>
          <w:highlight w:val="none"/>
        </w:rPr>
        <w:t>深圳</w:t>
      </w:r>
      <w:r>
        <w:rPr>
          <w:rFonts w:hint="eastAsia" w:ascii="宋体" w:hAnsi="宋体" w:eastAsia="宋体"/>
          <w:b/>
          <w:bCs/>
          <w:color w:val="auto"/>
          <w:szCs w:val="21"/>
          <w:highlight w:val="none"/>
        </w:rPr>
        <w:t>市城投全过程工程咨询有限公司</w:t>
      </w:r>
      <w:r>
        <w:rPr>
          <w:rFonts w:hint="eastAsia" w:ascii="宋体" w:hAnsi="宋体"/>
          <w:b/>
          <w:bCs/>
          <w:color w:val="auto"/>
          <w:szCs w:val="21"/>
          <w:highlight w:val="none"/>
        </w:rPr>
        <w:t>（地址：深圳市</w:t>
      </w:r>
      <w:r>
        <w:rPr>
          <w:rFonts w:hint="eastAsia" w:ascii="宋体" w:hAnsi="宋体" w:eastAsia="宋体"/>
          <w:b/>
          <w:bCs/>
          <w:color w:val="auto"/>
          <w:szCs w:val="21"/>
          <w:highlight w:val="none"/>
        </w:rPr>
        <w:t>盐田区沙头角街道建工大厦14楼</w:t>
      </w:r>
      <w:r>
        <w:rPr>
          <w:rFonts w:hint="eastAsia" w:ascii="宋体" w:hAnsi="宋体"/>
          <w:b/>
          <w:bCs/>
          <w:color w:val="auto"/>
          <w:szCs w:val="21"/>
          <w:highlight w:val="none"/>
        </w:rPr>
        <w:t>），联系方式：</w:t>
      </w:r>
      <w:r>
        <w:rPr>
          <w:rFonts w:hint="eastAsia" w:ascii="宋体" w:hAnsi="宋体" w:eastAsia="宋体"/>
          <w:b/>
          <w:bCs/>
          <w:color w:val="auto"/>
          <w:szCs w:val="21"/>
          <w:highlight w:val="none"/>
        </w:rPr>
        <w:t>0755-25559696</w:t>
      </w:r>
      <w:r>
        <w:rPr>
          <w:rFonts w:hint="eastAsia" w:ascii="宋体" w:hAnsi="宋体"/>
          <w:b/>
          <w:bCs/>
          <w:color w:val="auto"/>
          <w:szCs w:val="21"/>
          <w:highlight w:val="none"/>
        </w:rPr>
        <w:t>。</w:t>
      </w:r>
    </w:p>
    <w:p w14:paraId="29E1A8CC">
      <w:pPr>
        <w:shd w:val="clear"/>
        <w:ind w:firstLine="470" w:firstLineChars="196"/>
        <w:jc w:val="left"/>
        <w:rPr>
          <w:rFonts w:ascii="宋体" w:hAnsi="宋体"/>
          <w:color w:val="auto"/>
          <w:highlight w:val="none"/>
        </w:rPr>
      </w:pPr>
      <w:r>
        <w:rPr>
          <w:rFonts w:hint="eastAsia" w:ascii="宋体" w:hAnsi="宋体"/>
          <w:color w:val="auto"/>
          <w:highlight w:val="none"/>
        </w:rPr>
        <w:t>25</w:t>
      </w:r>
      <w:r>
        <w:rPr>
          <w:rFonts w:ascii="宋体" w:hAnsi="宋体"/>
          <w:color w:val="auto"/>
          <w:highlight w:val="none"/>
        </w:rPr>
        <w:t>.</w:t>
      </w:r>
      <w:r>
        <w:rPr>
          <w:rFonts w:hint="eastAsia" w:ascii="宋体" w:hAnsi="宋体"/>
          <w:color w:val="auto"/>
          <w:highlight w:val="none"/>
        </w:rPr>
        <w:t>3投标截止时间以后</w:t>
      </w:r>
      <w:r>
        <w:rPr>
          <w:rFonts w:hint="eastAsia" w:ascii="宋体" w:hAnsi="宋体" w:eastAsia="宋体"/>
          <w:color w:val="auto"/>
          <w:highlight w:val="none"/>
        </w:rPr>
        <w:t>不接收投标文件</w:t>
      </w:r>
      <w:r>
        <w:rPr>
          <w:rFonts w:hint="eastAsia" w:ascii="宋体" w:hAnsi="宋体"/>
          <w:color w:val="auto"/>
          <w:highlight w:val="none"/>
        </w:rPr>
        <w:t>。</w:t>
      </w:r>
    </w:p>
    <w:p w14:paraId="7A59E8C4">
      <w:pPr>
        <w:shd w:val="clear"/>
        <w:jc w:val="left"/>
        <w:rPr>
          <w:rFonts w:ascii="黑体" w:hAnsi="宋体" w:eastAsia="黑体"/>
          <w:color w:val="auto"/>
          <w:highlight w:val="none"/>
        </w:rPr>
      </w:pPr>
      <w:r>
        <w:rPr>
          <w:rFonts w:hint="eastAsia" w:ascii="黑体" w:hAnsi="宋体" w:eastAsia="黑体"/>
          <w:color w:val="auto"/>
          <w:highlight w:val="none"/>
        </w:rPr>
        <w:t>26. 样品、现场演示、方案讲解</w:t>
      </w:r>
    </w:p>
    <w:p w14:paraId="05137AA3">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26.1 样品、现场演示、方案讲解等事项在招标文件专用条款中进行规定。</w:t>
      </w:r>
    </w:p>
    <w:p w14:paraId="6FDD3204">
      <w:pPr>
        <w:shd w:val="clear"/>
        <w:jc w:val="left"/>
        <w:rPr>
          <w:rFonts w:ascii="黑体" w:hAnsi="宋体" w:eastAsia="黑体"/>
          <w:color w:val="auto"/>
          <w:highlight w:val="none"/>
        </w:rPr>
      </w:pPr>
      <w:bookmarkStart w:id="80" w:name="_Hlk72428346"/>
      <w:r>
        <w:rPr>
          <w:rFonts w:ascii="黑体" w:hAnsi="宋体" w:eastAsia="黑体"/>
          <w:color w:val="auto"/>
          <w:highlight w:val="none"/>
        </w:rPr>
        <w:t>2</w:t>
      </w:r>
      <w:r>
        <w:rPr>
          <w:rFonts w:hint="eastAsia" w:ascii="黑体" w:hAnsi="宋体" w:eastAsia="黑体"/>
          <w:color w:val="auto"/>
          <w:highlight w:val="none"/>
        </w:rPr>
        <w:t>7．</w:t>
      </w:r>
      <w:r>
        <w:rPr>
          <w:rFonts w:ascii="黑体" w:hAnsi="宋体" w:eastAsia="黑体"/>
          <w:color w:val="auto"/>
          <w:highlight w:val="none"/>
        </w:rPr>
        <w:t>投标文件的修改和撤销</w:t>
      </w:r>
    </w:p>
    <w:p w14:paraId="562328D7">
      <w:pPr>
        <w:shd w:val="clear"/>
        <w:ind w:firstLine="470" w:firstLineChars="196"/>
        <w:jc w:val="left"/>
        <w:rPr>
          <w:rFonts w:ascii="宋体" w:hAnsi="宋体"/>
          <w:color w:val="auto"/>
          <w:highlight w:val="none"/>
        </w:rPr>
      </w:pPr>
      <w:r>
        <w:rPr>
          <w:rFonts w:ascii="宋体" w:hAnsi="宋体"/>
          <w:color w:val="auto"/>
          <w:highlight w:val="none"/>
        </w:rPr>
        <w:t>2</w:t>
      </w:r>
      <w:r>
        <w:rPr>
          <w:rFonts w:hint="eastAsia" w:ascii="宋体" w:hAnsi="宋体"/>
          <w:color w:val="auto"/>
          <w:highlight w:val="none"/>
        </w:rPr>
        <w:t>7</w:t>
      </w:r>
      <w:r>
        <w:rPr>
          <w:rFonts w:ascii="宋体" w:hAnsi="宋体"/>
          <w:color w:val="auto"/>
          <w:highlight w:val="none"/>
        </w:rPr>
        <w:t>.</w:t>
      </w:r>
      <w:r>
        <w:rPr>
          <w:rFonts w:hint="eastAsia" w:ascii="宋体" w:hAnsi="宋体"/>
          <w:color w:val="auto"/>
          <w:highlight w:val="none"/>
        </w:rPr>
        <w:t>1</w:t>
      </w:r>
      <w:r>
        <w:rPr>
          <w:rFonts w:ascii="宋体" w:hAnsi="宋体"/>
          <w:color w:val="auto"/>
          <w:highlight w:val="none"/>
        </w:rPr>
        <w:t>投标方在提交投标文件后可对其投标文件进行修改</w:t>
      </w:r>
      <w:r>
        <w:rPr>
          <w:rFonts w:hint="eastAsia" w:ascii="宋体" w:hAnsi="宋体"/>
          <w:color w:val="auto"/>
          <w:highlight w:val="none"/>
        </w:rPr>
        <w:t>并重新上传投标文件</w:t>
      </w:r>
      <w:r>
        <w:rPr>
          <w:rFonts w:ascii="宋体" w:hAnsi="宋体"/>
          <w:color w:val="auto"/>
          <w:highlight w:val="none"/>
        </w:rPr>
        <w:t>或</w:t>
      </w:r>
      <w:r>
        <w:rPr>
          <w:rFonts w:hint="eastAsia" w:ascii="宋体" w:hAnsi="宋体"/>
          <w:color w:val="auto"/>
          <w:highlight w:val="none"/>
        </w:rPr>
        <w:t>在网上进行</w:t>
      </w:r>
      <w:r>
        <w:rPr>
          <w:rFonts w:ascii="宋体" w:hAnsi="宋体"/>
          <w:color w:val="auto"/>
          <w:highlight w:val="none"/>
        </w:rPr>
        <w:t>撤销</w:t>
      </w:r>
      <w:r>
        <w:rPr>
          <w:rFonts w:hint="eastAsia" w:ascii="宋体" w:hAnsi="宋体"/>
          <w:color w:val="auto"/>
          <w:highlight w:val="none"/>
        </w:rPr>
        <w:t>投标的操作</w:t>
      </w:r>
      <w:r>
        <w:rPr>
          <w:rFonts w:ascii="宋体" w:hAnsi="宋体"/>
          <w:color w:val="auto"/>
          <w:highlight w:val="none"/>
        </w:rPr>
        <w:t>。</w:t>
      </w:r>
    </w:p>
    <w:p w14:paraId="61B95678">
      <w:pPr>
        <w:shd w:val="clear"/>
        <w:ind w:firstLine="470" w:firstLineChars="196"/>
        <w:jc w:val="left"/>
        <w:rPr>
          <w:rFonts w:ascii="宋体" w:hAnsi="宋体"/>
          <w:color w:val="auto"/>
          <w:highlight w:val="none"/>
        </w:rPr>
      </w:pPr>
      <w:r>
        <w:rPr>
          <w:rFonts w:ascii="宋体" w:hAnsi="宋体"/>
          <w:color w:val="auto"/>
          <w:highlight w:val="none"/>
        </w:rPr>
        <w:t>2</w:t>
      </w:r>
      <w:r>
        <w:rPr>
          <w:rFonts w:hint="eastAsia" w:ascii="宋体" w:hAnsi="宋体"/>
          <w:color w:val="auto"/>
          <w:highlight w:val="none"/>
        </w:rPr>
        <w:t>7</w:t>
      </w:r>
      <w:r>
        <w:rPr>
          <w:rFonts w:ascii="宋体" w:hAnsi="宋体"/>
          <w:color w:val="auto"/>
          <w:highlight w:val="none"/>
        </w:rPr>
        <w:t>.</w:t>
      </w:r>
      <w:r>
        <w:rPr>
          <w:rFonts w:hint="eastAsia" w:ascii="宋体" w:hAnsi="宋体"/>
          <w:color w:val="auto"/>
          <w:highlight w:val="none"/>
        </w:rPr>
        <w:t>2</w:t>
      </w:r>
      <w:r>
        <w:rPr>
          <w:rFonts w:ascii="宋体" w:hAnsi="宋体"/>
          <w:color w:val="auto"/>
          <w:highlight w:val="none"/>
        </w:rPr>
        <w:t>投标截止时间以后不得修改投标文件。</w:t>
      </w:r>
    </w:p>
    <w:p w14:paraId="259AC779">
      <w:pPr>
        <w:shd w:val="clear"/>
        <w:ind w:firstLine="470" w:firstLineChars="196"/>
        <w:jc w:val="left"/>
        <w:rPr>
          <w:rFonts w:ascii="宋体" w:hAnsi="宋体"/>
          <w:color w:val="auto"/>
          <w:highlight w:val="none"/>
        </w:rPr>
      </w:pPr>
      <w:r>
        <w:rPr>
          <w:rFonts w:ascii="宋体" w:hAnsi="宋体"/>
          <w:color w:val="auto"/>
          <w:highlight w:val="none"/>
        </w:rPr>
        <w:t>2</w:t>
      </w:r>
      <w:r>
        <w:rPr>
          <w:rFonts w:hint="eastAsia" w:ascii="宋体" w:hAnsi="宋体"/>
          <w:color w:val="auto"/>
          <w:highlight w:val="none"/>
        </w:rPr>
        <w:t>7</w:t>
      </w:r>
      <w:r>
        <w:rPr>
          <w:rFonts w:ascii="宋体" w:hAnsi="宋体"/>
          <w:color w:val="auto"/>
          <w:highlight w:val="none"/>
        </w:rPr>
        <w:t>.</w:t>
      </w:r>
      <w:r>
        <w:rPr>
          <w:rFonts w:hint="eastAsia" w:ascii="宋体" w:hAnsi="宋体"/>
          <w:color w:val="auto"/>
          <w:highlight w:val="none"/>
        </w:rPr>
        <w:t>3从投标截止期至投标人在投标文件中确定的投标有效期之间的这段时间内，投标人不得撤回其投标。</w:t>
      </w:r>
    </w:p>
    <w:p w14:paraId="39F3DBF4">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27.4</w:t>
      </w:r>
      <w:r>
        <w:rPr>
          <w:rFonts w:hint="eastAsia" w:ascii="宋体" w:hAnsi="宋体" w:eastAsia="宋体"/>
          <w:color w:val="auto"/>
          <w:szCs w:val="21"/>
          <w:highlight w:val="none"/>
        </w:rPr>
        <w:t>招标代理</w:t>
      </w:r>
      <w:r>
        <w:rPr>
          <w:rFonts w:hint="eastAsia" w:ascii="宋体" w:hAnsi="宋体"/>
          <w:color w:val="auto"/>
          <w:szCs w:val="21"/>
          <w:highlight w:val="none"/>
        </w:rPr>
        <w:t>机构不退还投标文件，专用条款另有规定的除外。</w:t>
      </w:r>
    </w:p>
    <w:bookmarkEnd w:id="80"/>
    <w:p w14:paraId="13C103B6">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开标</w:t>
      </w:r>
    </w:p>
    <w:p w14:paraId="78F16011">
      <w:pPr>
        <w:shd w:val="clear"/>
        <w:jc w:val="left"/>
        <w:rPr>
          <w:rFonts w:ascii="黑体" w:hAnsi="宋体" w:eastAsia="黑体"/>
          <w:color w:val="auto"/>
          <w:highlight w:val="none"/>
        </w:rPr>
      </w:pPr>
      <w:r>
        <w:rPr>
          <w:rFonts w:hint="eastAsia" w:ascii="黑体" w:hAnsi="宋体" w:eastAsia="黑体"/>
          <w:color w:val="auto"/>
          <w:highlight w:val="none"/>
        </w:rPr>
        <w:t>28．开标</w:t>
      </w:r>
    </w:p>
    <w:p w14:paraId="420651F8">
      <w:pPr>
        <w:shd w:val="clear"/>
        <w:ind w:firstLine="480" w:firstLineChars="200"/>
        <w:jc w:val="left"/>
        <w:rPr>
          <w:rFonts w:ascii="宋体" w:hAnsi="宋体" w:eastAsia="宋体"/>
          <w:color w:val="auto"/>
          <w:highlight w:val="none"/>
        </w:rPr>
      </w:pPr>
      <w:r>
        <w:rPr>
          <w:rFonts w:ascii="宋体" w:hAnsi="宋体"/>
          <w:color w:val="auto"/>
          <w:szCs w:val="21"/>
          <w:highlight w:val="none"/>
        </w:rPr>
        <w:t>2</w:t>
      </w:r>
      <w:r>
        <w:rPr>
          <w:rFonts w:hint="eastAsia" w:ascii="宋体" w:hAnsi="宋体"/>
          <w:color w:val="auto"/>
          <w:szCs w:val="21"/>
          <w:highlight w:val="none"/>
        </w:rPr>
        <w:t>8</w:t>
      </w:r>
      <w:r>
        <w:rPr>
          <w:rFonts w:ascii="宋体" w:hAnsi="宋体"/>
          <w:color w:val="auto"/>
          <w:szCs w:val="21"/>
          <w:highlight w:val="none"/>
        </w:rPr>
        <w:t>.</w:t>
      </w:r>
      <w:r>
        <w:rPr>
          <w:rFonts w:hint="eastAsia" w:ascii="宋体" w:hAnsi="宋体"/>
          <w:color w:val="auto"/>
          <w:szCs w:val="21"/>
          <w:highlight w:val="none"/>
        </w:rPr>
        <w:t>1</w:t>
      </w:r>
      <w:r>
        <w:rPr>
          <w:rFonts w:hint="eastAsia" w:ascii="宋体" w:hAnsi="宋体"/>
          <w:color w:val="auto"/>
          <w:highlight w:val="none"/>
        </w:rPr>
        <w:t>投标人须在开标当日的开标时间</w:t>
      </w:r>
      <w:r>
        <w:rPr>
          <w:rFonts w:hint="eastAsia" w:ascii="宋体" w:hAnsi="宋体" w:eastAsia="宋体"/>
          <w:color w:val="auto"/>
          <w:highlight w:val="none"/>
        </w:rPr>
        <w:t>现场公开打开各投标单位标书，并现场公布各投标单位报价等基本信息。</w:t>
      </w:r>
    </w:p>
    <w:p w14:paraId="0E11502E">
      <w:pPr>
        <w:shd w:val="clear"/>
        <w:ind w:firstLine="360" w:firstLineChars="150"/>
        <w:jc w:val="left"/>
        <w:rPr>
          <w:rFonts w:ascii="宋体" w:hAnsi="宋体"/>
          <w:color w:val="auto"/>
          <w:szCs w:val="21"/>
          <w:highlight w:val="none"/>
        </w:rPr>
      </w:pPr>
    </w:p>
    <w:p w14:paraId="2CAC6643">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评审要求</w:t>
      </w:r>
    </w:p>
    <w:p w14:paraId="362DC702">
      <w:pPr>
        <w:shd w:val="clear"/>
        <w:jc w:val="left"/>
        <w:rPr>
          <w:rFonts w:ascii="黑体" w:hAnsi="宋体" w:eastAsia="黑体"/>
          <w:color w:val="auto"/>
          <w:highlight w:val="none"/>
        </w:rPr>
      </w:pPr>
      <w:r>
        <w:rPr>
          <w:rFonts w:hint="eastAsia" w:ascii="黑体" w:hAnsi="宋体" w:eastAsia="黑体"/>
          <w:color w:val="auto"/>
          <w:highlight w:val="none"/>
        </w:rPr>
        <w:t>29．评审委员会组成</w:t>
      </w:r>
    </w:p>
    <w:p w14:paraId="2AE34AED">
      <w:pPr>
        <w:shd w:val="clear"/>
        <w:ind w:firstLine="470" w:firstLineChars="196"/>
        <w:jc w:val="left"/>
        <w:rPr>
          <w:rFonts w:ascii="宋体" w:hAnsi="宋体"/>
          <w:color w:val="auto"/>
          <w:highlight w:val="none"/>
        </w:rPr>
      </w:pPr>
      <w:r>
        <w:rPr>
          <w:rFonts w:hint="eastAsia" w:ascii="宋体" w:hAnsi="宋体"/>
          <w:color w:val="auto"/>
          <w:highlight w:val="none"/>
        </w:rPr>
        <w:t>29.1开标结束后召开评审会议，</w:t>
      </w:r>
      <w:r>
        <w:rPr>
          <w:rFonts w:hint="eastAsia" w:ascii="宋体" w:hAnsi="宋体"/>
          <w:color w:val="auto"/>
          <w:szCs w:val="21"/>
          <w:highlight w:val="none"/>
        </w:rPr>
        <w:t>评审委员会</w:t>
      </w:r>
      <w:r>
        <w:rPr>
          <w:rFonts w:hint="eastAsia" w:ascii="宋体" w:hAnsi="宋体"/>
          <w:color w:val="auto"/>
          <w:highlight w:val="none"/>
        </w:rPr>
        <w:t>由</w:t>
      </w:r>
      <w:r>
        <w:rPr>
          <w:rFonts w:hint="eastAsia" w:ascii="宋体" w:hAnsi="宋体" w:eastAsia="宋体"/>
          <w:color w:val="auto"/>
          <w:highlight w:val="none"/>
        </w:rPr>
        <w:t>招标代理</w:t>
      </w:r>
      <w:r>
        <w:rPr>
          <w:rFonts w:hint="eastAsia" w:ascii="宋体" w:hAnsi="宋体"/>
          <w:color w:val="auto"/>
          <w:highlight w:val="none"/>
        </w:rPr>
        <w:t>机构依法组建，负责评审活动。</w:t>
      </w:r>
    </w:p>
    <w:p w14:paraId="708025CB">
      <w:pPr>
        <w:shd w:val="clear"/>
        <w:ind w:firstLine="470" w:firstLineChars="196"/>
        <w:jc w:val="left"/>
        <w:rPr>
          <w:rFonts w:ascii="宋体" w:hAnsi="宋体"/>
          <w:color w:val="auto"/>
          <w:highlight w:val="none"/>
        </w:rPr>
      </w:pPr>
      <w:bookmarkStart w:id="81" w:name="_Hlk72436580"/>
      <w:r>
        <w:rPr>
          <w:rFonts w:hint="eastAsia" w:ascii="宋体" w:hAnsi="宋体"/>
          <w:color w:val="auto"/>
          <w:highlight w:val="none"/>
        </w:rPr>
        <w:t>评审委员会由采购人代表和评审专家组成，成员人数应当为</w:t>
      </w:r>
      <w:r>
        <w:rPr>
          <w:rFonts w:hint="eastAsia" w:ascii="宋体" w:hAnsi="宋体" w:eastAsia="宋体"/>
          <w:color w:val="auto"/>
          <w:highlight w:val="none"/>
          <w:lang w:val="en-US" w:eastAsia="zh-CN"/>
        </w:rPr>
        <w:t>3</w:t>
      </w:r>
      <w:r>
        <w:rPr>
          <w:rFonts w:hint="eastAsia" w:ascii="宋体" w:hAnsi="宋体"/>
          <w:color w:val="auto"/>
          <w:highlight w:val="none"/>
        </w:rPr>
        <w:t>人</w:t>
      </w:r>
      <w:r>
        <w:rPr>
          <w:rFonts w:hint="eastAsia" w:ascii="宋体" w:hAnsi="宋体" w:eastAsia="宋体"/>
          <w:color w:val="auto"/>
          <w:highlight w:val="none"/>
        </w:rPr>
        <w:t>及</w:t>
      </w:r>
      <w:r>
        <w:rPr>
          <w:rFonts w:hint="eastAsia" w:ascii="宋体" w:hAnsi="宋体"/>
          <w:color w:val="auto"/>
          <w:highlight w:val="none"/>
        </w:rPr>
        <w:t>以上单数（部分条件下为7人以上单数），其中评审专家不得少于成员总数的三分之二。</w:t>
      </w:r>
      <w:bookmarkEnd w:id="81"/>
      <w:r>
        <w:rPr>
          <w:rFonts w:hint="eastAsia" w:ascii="宋体" w:hAnsi="宋体"/>
          <w:color w:val="auto"/>
          <w:highlight w:val="none"/>
        </w:rPr>
        <w:t>评定</w:t>
      </w:r>
      <w:r>
        <w:rPr>
          <w:rFonts w:hint="eastAsia"/>
          <w:color w:val="auto"/>
          <w:highlight w:val="none"/>
        </w:rPr>
        <w:t>分离项目</w:t>
      </w:r>
      <w:r>
        <w:rPr>
          <w:color w:val="auto"/>
          <w:highlight w:val="none"/>
        </w:rPr>
        <w:t>评审专家</w:t>
      </w:r>
      <w:r>
        <w:rPr>
          <w:rFonts w:hint="eastAsia"/>
          <w:color w:val="auto"/>
          <w:highlight w:val="none"/>
        </w:rPr>
        <w:t>均</w:t>
      </w:r>
      <w:r>
        <w:rPr>
          <w:color w:val="auto"/>
          <w:highlight w:val="none"/>
        </w:rPr>
        <w:t>由</w:t>
      </w:r>
      <w:r>
        <w:rPr>
          <w:rFonts w:hint="eastAsia"/>
          <w:color w:val="auto"/>
          <w:highlight w:val="none"/>
        </w:rPr>
        <w:t>评审专家组成。</w:t>
      </w:r>
      <w:r>
        <w:rPr>
          <w:rFonts w:hint="eastAsia" w:ascii="宋体" w:hAnsi="宋体"/>
          <w:color w:val="auto"/>
          <w:szCs w:val="21"/>
          <w:highlight w:val="none"/>
        </w:rPr>
        <w:t>评审专家一般是</w:t>
      </w:r>
      <w:r>
        <w:rPr>
          <w:rFonts w:hint="eastAsia" w:ascii="宋体" w:hAnsi="宋体"/>
          <w:color w:val="auto"/>
          <w:highlight w:val="none"/>
        </w:rPr>
        <w:t>从深圳市政府采购评审专家库中随机抽取。</w:t>
      </w:r>
    </w:p>
    <w:p w14:paraId="6389774A">
      <w:pPr>
        <w:shd w:val="clear"/>
        <w:ind w:firstLine="470" w:firstLineChars="196"/>
        <w:jc w:val="left"/>
        <w:rPr>
          <w:rFonts w:ascii="宋体" w:hAnsi="宋体"/>
          <w:color w:val="auto"/>
          <w:highlight w:val="none"/>
        </w:rPr>
      </w:pPr>
      <w:r>
        <w:rPr>
          <w:rFonts w:hint="eastAsia" w:ascii="宋体" w:hAnsi="宋体"/>
          <w:color w:val="auto"/>
          <w:highlight w:val="none"/>
        </w:rPr>
        <w:t>29.2评审定标应当遵循公平、公正、科学、择优的原则。</w:t>
      </w:r>
    </w:p>
    <w:p w14:paraId="496EB6E0">
      <w:pPr>
        <w:shd w:val="clear"/>
        <w:ind w:firstLine="470" w:firstLineChars="196"/>
        <w:jc w:val="left"/>
        <w:rPr>
          <w:rFonts w:ascii="宋体" w:hAnsi="宋体"/>
          <w:color w:val="auto"/>
          <w:highlight w:val="none"/>
        </w:rPr>
      </w:pPr>
      <w:r>
        <w:rPr>
          <w:rFonts w:hint="eastAsia" w:ascii="宋体" w:hAnsi="宋体"/>
          <w:color w:val="auto"/>
          <w:highlight w:val="none"/>
        </w:rPr>
        <w:t>29.3评审活动依法进行，任何单位和个人不得非法干预评标过程和结果。</w:t>
      </w:r>
    </w:p>
    <w:p w14:paraId="272212BD">
      <w:pPr>
        <w:shd w:val="clear"/>
        <w:ind w:firstLine="470" w:firstLineChars="196"/>
        <w:jc w:val="left"/>
        <w:rPr>
          <w:rFonts w:ascii="宋体" w:hAnsi="宋体"/>
          <w:color w:val="auto"/>
          <w:highlight w:val="none"/>
        </w:rPr>
      </w:pPr>
      <w:r>
        <w:rPr>
          <w:rFonts w:hint="eastAsia" w:ascii="宋体" w:hAnsi="宋体"/>
          <w:color w:val="auto"/>
          <w:highlight w:val="none"/>
        </w:rPr>
        <w:t>29.4评审过程中不允许违背评标程序或采用招标文件未载明的评标方法或评标因素进行评标。</w:t>
      </w:r>
    </w:p>
    <w:p w14:paraId="53639640">
      <w:pPr>
        <w:shd w:val="clear"/>
        <w:ind w:firstLine="470" w:firstLineChars="196"/>
        <w:jc w:val="left"/>
        <w:rPr>
          <w:rFonts w:ascii="宋体" w:hAnsi="宋体"/>
          <w:bCs/>
          <w:color w:val="auto"/>
          <w:highlight w:val="none"/>
        </w:rPr>
      </w:pPr>
      <w:r>
        <w:rPr>
          <w:rFonts w:hint="eastAsia" w:ascii="宋体" w:hAnsi="宋体"/>
          <w:bCs/>
          <w:color w:val="auto"/>
          <w:highlight w:val="none"/>
        </w:rPr>
        <w:t>29.5 开标后，直到签订合同为止，凡属于对投标文件的审查、澄清、评价和比较的有关资料以及中标候选人的推荐情况、与评审有关的其他任何情况均严格保密（</w:t>
      </w:r>
      <w:r>
        <w:rPr>
          <w:rFonts w:hint="eastAsia"/>
          <w:color w:val="auto"/>
          <w:highlight w:val="none"/>
        </w:rPr>
        <w:t>信息公开的内容除外</w:t>
      </w:r>
      <w:r>
        <w:rPr>
          <w:rFonts w:hint="eastAsia" w:ascii="宋体" w:hAnsi="宋体"/>
          <w:bCs/>
          <w:color w:val="auto"/>
          <w:highlight w:val="none"/>
        </w:rPr>
        <w:t>）。</w:t>
      </w:r>
    </w:p>
    <w:p w14:paraId="5472C8DB">
      <w:pPr>
        <w:shd w:val="clear"/>
        <w:jc w:val="left"/>
        <w:rPr>
          <w:rFonts w:ascii="黑体" w:hAnsi="宋体" w:eastAsia="黑体"/>
          <w:color w:val="auto"/>
          <w:highlight w:val="none"/>
        </w:rPr>
      </w:pPr>
      <w:r>
        <w:rPr>
          <w:rFonts w:hint="eastAsia" w:ascii="黑体" w:hAnsi="宋体" w:eastAsia="黑体"/>
          <w:color w:val="auto"/>
          <w:highlight w:val="none"/>
        </w:rPr>
        <w:t>30．向评审委员会提供的资料</w:t>
      </w:r>
    </w:p>
    <w:p w14:paraId="3F1D0275">
      <w:pPr>
        <w:shd w:val="clear"/>
        <w:ind w:firstLine="470" w:firstLineChars="196"/>
        <w:jc w:val="left"/>
        <w:rPr>
          <w:rFonts w:ascii="宋体" w:hAnsi="宋体"/>
          <w:color w:val="auto"/>
          <w:highlight w:val="none"/>
        </w:rPr>
      </w:pPr>
      <w:r>
        <w:rPr>
          <w:rFonts w:hint="eastAsia" w:ascii="宋体" w:hAnsi="宋体"/>
          <w:color w:val="auto"/>
          <w:highlight w:val="none"/>
        </w:rPr>
        <w:t>30.1公开发布的招标文件，包括图纸、服务清单、答疑文件等；</w:t>
      </w:r>
    </w:p>
    <w:p w14:paraId="6F8AF435">
      <w:pPr>
        <w:shd w:val="clear"/>
        <w:ind w:firstLine="470" w:firstLineChars="196"/>
        <w:jc w:val="left"/>
        <w:rPr>
          <w:rFonts w:ascii="宋体" w:hAnsi="宋体"/>
          <w:color w:val="auto"/>
          <w:highlight w:val="none"/>
        </w:rPr>
      </w:pPr>
      <w:r>
        <w:rPr>
          <w:rFonts w:hint="eastAsia" w:ascii="宋体" w:hAnsi="宋体"/>
          <w:color w:val="auto"/>
          <w:highlight w:val="none"/>
        </w:rPr>
        <w:t>30.2其他评标必须的资料。</w:t>
      </w:r>
    </w:p>
    <w:p w14:paraId="272335FC">
      <w:pPr>
        <w:shd w:val="clear"/>
        <w:ind w:firstLine="470" w:firstLineChars="196"/>
        <w:jc w:val="left"/>
        <w:rPr>
          <w:rFonts w:ascii="宋体" w:hAnsi="宋体"/>
          <w:color w:val="auto"/>
          <w:highlight w:val="none"/>
        </w:rPr>
      </w:pPr>
      <w:r>
        <w:rPr>
          <w:rFonts w:hint="eastAsia" w:ascii="宋体" w:hAnsi="宋体"/>
          <w:color w:val="auto"/>
          <w:highlight w:val="none"/>
        </w:rPr>
        <w:t>30.3</w:t>
      </w:r>
      <w:r>
        <w:rPr>
          <w:rFonts w:hint="eastAsia" w:ascii="宋体" w:hAnsi="宋体"/>
          <w:color w:val="auto"/>
          <w:szCs w:val="21"/>
          <w:highlight w:val="none"/>
        </w:rPr>
        <w:t>评审委员会</w:t>
      </w:r>
      <w:r>
        <w:rPr>
          <w:rFonts w:hint="eastAsia" w:ascii="宋体" w:hAnsi="宋体"/>
          <w:color w:val="auto"/>
          <w:highlight w:val="none"/>
        </w:rPr>
        <w:t>应当认真研究招标文件，至少应了解熟悉以下内容：</w:t>
      </w:r>
    </w:p>
    <w:p w14:paraId="04B7CF23">
      <w:pPr>
        <w:shd w:val="clear"/>
        <w:ind w:firstLine="470" w:firstLineChars="196"/>
        <w:jc w:val="left"/>
        <w:rPr>
          <w:rFonts w:ascii="宋体" w:hAnsi="宋体"/>
          <w:color w:val="auto"/>
          <w:highlight w:val="none"/>
        </w:rPr>
      </w:pPr>
      <w:r>
        <w:rPr>
          <w:rFonts w:hint="eastAsia" w:ascii="宋体" w:hAnsi="宋体"/>
          <w:color w:val="auto"/>
          <w:highlight w:val="none"/>
        </w:rPr>
        <w:t>（1）招标的目的；</w:t>
      </w:r>
    </w:p>
    <w:p w14:paraId="25AE0A12">
      <w:pPr>
        <w:shd w:val="clear"/>
        <w:ind w:firstLine="470" w:firstLineChars="196"/>
        <w:jc w:val="left"/>
        <w:rPr>
          <w:rFonts w:ascii="宋体" w:hAnsi="宋体"/>
          <w:color w:val="auto"/>
          <w:highlight w:val="none"/>
        </w:rPr>
      </w:pPr>
      <w:r>
        <w:rPr>
          <w:rFonts w:hint="eastAsia" w:ascii="宋体" w:hAnsi="宋体"/>
          <w:color w:val="auto"/>
          <w:highlight w:val="none"/>
        </w:rPr>
        <w:t>（2）招标项目需求的范围和性质；</w:t>
      </w:r>
    </w:p>
    <w:p w14:paraId="7C8C6638">
      <w:pPr>
        <w:shd w:val="clear"/>
        <w:ind w:firstLine="470" w:firstLineChars="196"/>
        <w:jc w:val="left"/>
        <w:rPr>
          <w:rFonts w:ascii="宋体" w:hAnsi="宋体"/>
          <w:color w:val="auto"/>
          <w:highlight w:val="none"/>
        </w:rPr>
      </w:pPr>
      <w:r>
        <w:rPr>
          <w:rFonts w:hint="eastAsia" w:ascii="宋体" w:hAnsi="宋体"/>
          <w:color w:val="auto"/>
          <w:highlight w:val="none"/>
        </w:rPr>
        <w:t>（3）招标文件规定的投标人的资格、财政预算限额、商务条款；</w:t>
      </w:r>
    </w:p>
    <w:p w14:paraId="0D2CD85D">
      <w:pPr>
        <w:shd w:val="clear"/>
        <w:ind w:firstLine="470" w:firstLineChars="196"/>
        <w:jc w:val="left"/>
        <w:rPr>
          <w:rFonts w:ascii="宋体" w:hAnsi="宋体"/>
          <w:color w:val="auto"/>
          <w:highlight w:val="none"/>
        </w:rPr>
      </w:pPr>
      <w:r>
        <w:rPr>
          <w:rFonts w:hint="eastAsia" w:ascii="宋体" w:hAnsi="宋体"/>
          <w:color w:val="auto"/>
          <w:highlight w:val="none"/>
        </w:rPr>
        <w:t>（4）招标文件规定的评标程序、评标方法和评标因素；</w:t>
      </w:r>
    </w:p>
    <w:p w14:paraId="18F64ABB">
      <w:pPr>
        <w:shd w:val="clear"/>
        <w:ind w:firstLine="470" w:firstLineChars="196"/>
        <w:jc w:val="left"/>
        <w:rPr>
          <w:rFonts w:ascii="宋体" w:hAnsi="宋体"/>
          <w:color w:val="auto"/>
          <w:highlight w:val="none"/>
        </w:rPr>
      </w:pPr>
      <w:r>
        <w:rPr>
          <w:rFonts w:hint="eastAsia" w:ascii="宋体" w:hAnsi="宋体"/>
          <w:color w:val="auto"/>
          <w:highlight w:val="none"/>
        </w:rPr>
        <w:t>（5）招标文件所列示的资格性审查表及符合性审查表。</w:t>
      </w:r>
    </w:p>
    <w:p w14:paraId="721E2E19">
      <w:pPr>
        <w:shd w:val="clear"/>
        <w:jc w:val="left"/>
        <w:rPr>
          <w:rFonts w:ascii="黑体" w:hAnsi="宋体" w:eastAsia="黑体"/>
          <w:color w:val="auto"/>
          <w:highlight w:val="none"/>
        </w:rPr>
      </w:pPr>
      <w:r>
        <w:rPr>
          <w:rFonts w:hint="eastAsia" w:ascii="黑体" w:hAnsi="宋体" w:eastAsia="黑体"/>
          <w:color w:val="auto"/>
          <w:highlight w:val="none"/>
        </w:rPr>
        <w:t>31．独立评审</w:t>
      </w:r>
    </w:p>
    <w:p w14:paraId="1721F3B7">
      <w:pPr>
        <w:shd w:val="clear"/>
        <w:ind w:firstLine="470" w:firstLineChars="196"/>
        <w:jc w:val="left"/>
        <w:rPr>
          <w:rFonts w:ascii="宋体" w:hAnsi="宋体"/>
          <w:bCs/>
          <w:color w:val="auto"/>
          <w:highlight w:val="none"/>
        </w:rPr>
      </w:pPr>
      <w:r>
        <w:rPr>
          <w:rFonts w:hint="eastAsia" w:ascii="宋体" w:hAnsi="宋体"/>
          <w:bCs/>
          <w:color w:val="auto"/>
          <w:highlight w:val="none"/>
        </w:rPr>
        <w:t>3</w:t>
      </w:r>
      <w:r>
        <w:rPr>
          <w:rFonts w:ascii="宋体" w:hAnsi="宋体"/>
          <w:bCs/>
          <w:color w:val="auto"/>
          <w:highlight w:val="none"/>
        </w:rPr>
        <w:t>1</w:t>
      </w:r>
      <w:r>
        <w:rPr>
          <w:rFonts w:hint="eastAsia" w:ascii="宋体" w:hAnsi="宋体"/>
          <w:bCs/>
          <w:color w:val="auto"/>
          <w:highlight w:val="none"/>
        </w:rPr>
        <w:t>.1</w:t>
      </w:r>
      <w:r>
        <w:rPr>
          <w:rFonts w:hint="eastAsia" w:ascii="宋体" w:hAnsi="宋体"/>
          <w:color w:val="auto"/>
          <w:szCs w:val="21"/>
          <w:highlight w:val="none"/>
        </w:rPr>
        <w:t>评审委员会</w:t>
      </w:r>
      <w:r>
        <w:rPr>
          <w:rFonts w:hint="eastAsia" w:ascii="宋体" w:hAnsi="宋体"/>
          <w:bCs/>
          <w:color w:val="auto"/>
          <w:highlight w:val="none"/>
        </w:rPr>
        <w:t>成员的评标活动应当独立进行，并应遵循投标文件初审、澄清有关问题、比较与评价、确定中标供应商、编写评审报告的工作程序。</w:t>
      </w:r>
    </w:p>
    <w:p w14:paraId="55C54730">
      <w:pPr>
        <w:shd w:val="clear"/>
        <w:ind w:firstLine="470" w:firstLineChars="196"/>
        <w:jc w:val="left"/>
        <w:rPr>
          <w:rFonts w:ascii="宋体" w:hAnsi="宋体"/>
          <w:bCs/>
          <w:color w:val="auto"/>
          <w:szCs w:val="21"/>
          <w:highlight w:val="none"/>
        </w:rPr>
      </w:pPr>
    </w:p>
    <w:p w14:paraId="5AFB1096">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评审程序及评审方法</w:t>
      </w:r>
    </w:p>
    <w:p w14:paraId="20B7A8CB">
      <w:pPr>
        <w:shd w:val="clear"/>
        <w:jc w:val="left"/>
        <w:rPr>
          <w:rFonts w:ascii="黑体" w:hAnsi="宋体" w:eastAsia="黑体"/>
          <w:color w:val="auto"/>
          <w:highlight w:val="none"/>
        </w:rPr>
      </w:pPr>
      <w:r>
        <w:rPr>
          <w:rFonts w:hint="eastAsia" w:ascii="黑体" w:hAnsi="宋体" w:eastAsia="黑体"/>
          <w:color w:val="auto"/>
          <w:highlight w:val="none"/>
        </w:rPr>
        <w:t>32．投标文件初审</w:t>
      </w:r>
    </w:p>
    <w:p w14:paraId="70272952">
      <w:pPr>
        <w:shd w:val="clear"/>
        <w:ind w:firstLine="470" w:firstLineChars="196"/>
        <w:jc w:val="left"/>
        <w:rPr>
          <w:rFonts w:ascii="宋体" w:hAnsi="宋体"/>
          <w:color w:val="auto"/>
          <w:highlight w:val="none"/>
        </w:rPr>
      </w:pPr>
      <w:r>
        <w:rPr>
          <w:rFonts w:hint="eastAsia" w:ascii="宋体" w:hAnsi="宋体"/>
          <w:color w:val="auto"/>
          <w:highlight w:val="none"/>
        </w:rPr>
        <w:t>32.1投标文件初审包括资格性审查和符合性审查。</w:t>
      </w:r>
    </w:p>
    <w:p w14:paraId="151BAC78">
      <w:pPr>
        <w:shd w:val="clear"/>
        <w:ind w:firstLine="470" w:firstLineChars="196"/>
        <w:jc w:val="left"/>
        <w:rPr>
          <w:rFonts w:ascii="宋体" w:hAnsi="宋体"/>
          <w:color w:val="auto"/>
          <w:highlight w:val="none"/>
        </w:rPr>
      </w:pPr>
      <w:r>
        <w:rPr>
          <w:rFonts w:hint="eastAsia" w:ascii="宋体" w:hAnsi="宋体"/>
          <w:color w:val="auto"/>
          <w:highlight w:val="none"/>
        </w:rPr>
        <w:t>资格性审查：依据法律法规和招标文件的规定，对投标文件中的资格证明等进行审查，以确定投标供应商是否具备投标资格。</w:t>
      </w:r>
    </w:p>
    <w:p w14:paraId="76022852">
      <w:pPr>
        <w:shd w:val="clear"/>
        <w:ind w:firstLine="470" w:firstLineChars="196"/>
        <w:jc w:val="left"/>
        <w:rPr>
          <w:rFonts w:ascii="宋体" w:hAnsi="宋体"/>
          <w:color w:val="auto"/>
          <w:highlight w:val="none"/>
        </w:rPr>
      </w:pPr>
      <w:r>
        <w:rPr>
          <w:rFonts w:hint="eastAsia" w:ascii="宋体" w:hAnsi="宋体"/>
          <w:color w:val="auto"/>
          <w:highlight w:val="none"/>
        </w:rPr>
        <w:t>符合性审查：依据招标文件的规定，对投标文件的有效性、完整性和对招标文件的响应程度进行审查，以确定是否满足符合性审查的要求。</w:t>
      </w:r>
    </w:p>
    <w:p w14:paraId="284BE162">
      <w:pPr>
        <w:shd w:val="clear"/>
        <w:ind w:firstLine="470" w:firstLineChars="196"/>
        <w:jc w:val="left"/>
        <w:rPr>
          <w:rFonts w:ascii="宋体" w:hAnsi="宋体"/>
          <w:color w:val="auto"/>
          <w:highlight w:val="none"/>
        </w:rPr>
      </w:pPr>
      <w:r>
        <w:rPr>
          <w:rFonts w:hint="eastAsia" w:ascii="宋体" w:hAnsi="宋体"/>
          <w:color w:val="auto"/>
          <w:highlight w:val="none"/>
        </w:rPr>
        <w:t>32.2 投标文件初审内容请详见《资格性审查表》和《符合性审查表》部分。投标人若有一条审查不通过则按投标无效处理。</w:t>
      </w:r>
    </w:p>
    <w:p w14:paraId="238AD036">
      <w:pPr>
        <w:shd w:val="clear"/>
        <w:ind w:firstLine="470" w:firstLineChars="196"/>
        <w:jc w:val="left"/>
        <w:rPr>
          <w:rFonts w:ascii="宋体" w:hAnsi="宋体"/>
          <w:bCs/>
          <w:color w:val="auto"/>
          <w:highlight w:val="none"/>
        </w:rPr>
      </w:pPr>
      <w:r>
        <w:rPr>
          <w:rFonts w:hint="eastAsia" w:ascii="宋体" w:hAnsi="宋体"/>
          <w:bCs/>
          <w:color w:val="auto"/>
          <w:highlight w:val="none"/>
        </w:rPr>
        <w:t>32.3 投标文件初审中关于供应商家数的计算:</w:t>
      </w:r>
    </w:p>
    <w:p w14:paraId="7A070609">
      <w:pPr>
        <w:shd w:val="clear"/>
        <w:ind w:firstLine="470" w:firstLineChars="196"/>
        <w:jc w:val="left"/>
        <w:rPr>
          <w:rFonts w:ascii="宋体" w:hAnsi="宋体"/>
          <w:bCs/>
          <w:color w:val="auto"/>
          <w:highlight w:val="none"/>
        </w:rPr>
      </w:pPr>
      <w:r>
        <w:rPr>
          <w:rFonts w:hint="eastAsia" w:ascii="宋体" w:hAnsi="宋体"/>
          <w:bCs/>
          <w:color w:val="auto"/>
          <w:highlight w:val="none"/>
        </w:rPr>
        <w:t>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hint="eastAsia" w:ascii="宋体" w:hAnsi="宋体"/>
          <w:bCs/>
          <w:color w:val="auto"/>
          <w:szCs w:val="21"/>
          <w:highlight w:val="none"/>
        </w:rPr>
        <w:t>评审委员会</w:t>
      </w:r>
      <w:r>
        <w:rPr>
          <w:rFonts w:hint="eastAsia" w:ascii="宋体" w:hAnsi="宋体"/>
          <w:bCs/>
          <w:color w:val="auto"/>
          <w:highlight w:val="none"/>
        </w:rPr>
        <w:t>按照招标文件规定的方式确定一个投标人获得中标人推荐资格，招标文件未规定的采取随机抽取方式确定，其他同品牌投标人不作为中标候选人。</w:t>
      </w:r>
    </w:p>
    <w:p w14:paraId="77A39D95">
      <w:pPr>
        <w:shd w:val="clear"/>
        <w:ind w:firstLine="470" w:firstLineChars="196"/>
        <w:jc w:val="left"/>
        <w:rPr>
          <w:rFonts w:ascii="宋体" w:hAnsi="宋体"/>
          <w:color w:val="auto"/>
          <w:highlight w:val="none"/>
        </w:rPr>
      </w:pPr>
      <w:r>
        <w:rPr>
          <w:rFonts w:hint="eastAsia" w:ascii="宋体" w:hAnsi="宋体"/>
          <w:color w:val="auto"/>
          <w:highlight w:val="none"/>
        </w:rPr>
        <w:t>32.4投标人投标文件作无效处理的情形，具体包括但不限于以下：</w:t>
      </w:r>
    </w:p>
    <w:p w14:paraId="2DFBDB6E">
      <w:pPr>
        <w:shd w:val="clear"/>
        <w:ind w:firstLine="470" w:firstLineChars="196"/>
        <w:jc w:val="left"/>
        <w:rPr>
          <w:color w:val="auto"/>
          <w:highlight w:val="none"/>
        </w:rPr>
      </w:pPr>
      <w:r>
        <w:rPr>
          <w:rFonts w:hint="eastAsia" w:ascii="宋体" w:hAnsi="宋体"/>
          <w:color w:val="auto"/>
          <w:highlight w:val="none"/>
        </w:rPr>
        <w:t>32.4.1</w:t>
      </w:r>
      <w:r>
        <w:rPr>
          <w:rFonts w:hint="eastAsia"/>
          <w:color w:val="auto"/>
          <w:highlight w:val="none"/>
        </w:rPr>
        <w:t>不同投标人的投标文件由同一单位或者同一个人编制，或者由同一个人分阶段参与编制；</w:t>
      </w:r>
    </w:p>
    <w:p w14:paraId="082FC527">
      <w:pPr>
        <w:shd w:val="clear"/>
        <w:ind w:firstLine="470" w:firstLineChars="196"/>
        <w:jc w:val="left"/>
        <w:rPr>
          <w:color w:val="auto"/>
          <w:highlight w:val="none"/>
        </w:rPr>
      </w:pPr>
      <w:r>
        <w:rPr>
          <w:rFonts w:ascii="宋体" w:hAnsi="宋体"/>
          <w:color w:val="auto"/>
          <w:highlight w:val="none"/>
        </w:rPr>
        <w:t>32.4.</w:t>
      </w:r>
      <w:r>
        <w:rPr>
          <w:rFonts w:hint="eastAsia" w:ascii="宋体" w:hAnsi="宋体"/>
          <w:color w:val="auto"/>
          <w:highlight w:val="none"/>
        </w:rPr>
        <w:t>2</w:t>
      </w:r>
      <w:r>
        <w:rPr>
          <w:rFonts w:hint="eastAsia"/>
          <w:color w:val="auto"/>
          <w:highlight w:val="none"/>
        </w:rPr>
        <w:t>不同投标人委托同一单位或者个人办理投标事宜；</w:t>
      </w:r>
    </w:p>
    <w:p w14:paraId="1CC5FE8D">
      <w:pPr>
        <w:shd w:val="clear"/>
        <w:ind w:firstLine="470" w:firstLineChars="196"/>
        <w:jc w:val="left"/>
        <w:rPr>
          <w:rFonts w:ascii="宋体" w:hAnsi="宋体"/>
          <w:color w:val="auto"/>
          <w:highlight w:val="none"/>
        </w:rPr>
      </w:pPr>
      <w:r>
        <w:rPr>
          <w:rFonts w:hint="eastAsia" w:ascii="宋体" w:hAnsi="宋体"/>
          <w:color w:val="auto"/>
          <w:highlight w:val="none"/>
        </w:rPr>
        <w:t>32.4.3不同投标人的投标文件载明的项目管理成员或者联系人员为同一人；</w:t>
      </w:r>
    </w:p>
    <w:p w14:paraId="76B4031C">
      <w:pPr>
        <w:shd w:val="clear"/>
        <w:ind w:firstLine="470" w:firstLineChars="196"/>
        <w:jc w:val="left"/>
        <w:rPr>
          <w:rFonts w:ascii="宋体" w:hAnsi="宋体"/>
          <w:color w:val="auto"/>
          <w:highlight w:val="none"/>
        </w:rPr>
      </w:pPr>
      <w:r>
        <w:rPr>
          <w:rFonts w:hint="eastAsia" w:ascii="宋体" w:hAnsi="宋体"/>
          <w:color w:val="auto"/>
          <w:highlight w:val="none"/>
        </w:rPr>
        <w:t>32.4.4不同投标人的投标文件异常一致或者投标报价呈规律性差异；</w:t>
      </w:r>
    </w:p>
    <w:p w14:paraId="28FB0E26">
      <w:pPr>
        <w:shd w:val="clear"/>
        <w:ind w:firstLine="470" w:firstLineChars="196"/>
        <w:jc w:val="left"/>
        <w:rPr>
          <w:rFonts w:ascii="宋体" w:hAnsi="宋体"/>
          <w:color w:val="auto"/>
          <w:highlight w:val="none"/>
        </w:rPr>
      </w:pPr>
      <w:r>
        <w:rPr>
          <w:rFonts w:hint="eastAsia" w:ascii="宋体" w:hAnsi="宋体"/>
          <w:color w:val="auto"/>
          <w:highlight w:val="none"/>
        </w:rPr>
        <w:t>32.4.5</w:t>
      </w:r>
      <w:r>
        <w:rPr>
          <w:rFonts w:ascii="宋体" w:hAnsi="宋体"/>
          <w:color w:val="auto"/>
          <w:highlight w:val="none"/>
        </w:rPr>
        <w:t>不同投标供应商的投标文件或部分投标文件相互混装</w:t>
      </w:r>
      <w:r>
        <w:rPr>
          <w:rFonts w:hint="eastAsia" w:ascii="宋体" w:hAnsi="宋体"/>
          <w:color w:val="auto"/>
          <w:highlight w:val="none"/>
        </w:rPr>
        <w:t>；</w:t>
      </w:r>
    </w:p>
    <w:p w14:paraId="66F9E560">
      <w:pPr>
        <w:shd w:val="clear"/>
        <w:ind w:firstLine="470" w:firstLineChars="196"/>
        <w:jc w:val="left"/>
        <w:rPr>
          <w:rFonts w:ascii="宋体" w:hAnsi="宋体"/>
          <w:color w:val="auto"/>
          <w:highlight w:val="none"/>
        </w:rPr>
      </w:pPr>
      <w:r>
        <w:rPr>
          <w:rFonts w:hint="eastAsia" w:ascii="宋体" w:hAnsi="宋体"/>
          <w:color w:val="auto"/>
          <w:highlight w:val="none"/>
        </w:rPr>
        <w:t>32.4.6投标供应商之间相互约定给予未中标的供应商利益补偿；</w:t>
      </w:r>
    </w:p>
    <w:p w14:paraId="3C1018AD">
      <w:pPr>
        <w:shd w:val="clear"/>
        <w:ind w:firstLine="470" w:firstLineChars="196"/>
        <w:jc w:val="left"/>
        <w:rPr>
          <w:rFonts w:ascii="宋体" w:hAnsi="宋体"/>
          <w:color w:val="auto"/>
          <w:highlight w:val="none"/>
        </w:rPr>
      </w:pPr>
      <w:r>
        <w:rPr>
          <w:rFonts w:hint="eastAsia" w:ascii="宋体" w:hAnsi="宋体"/>
          <w:color w:val="auto"/>
          <w:highlight w:val="none"/>
        </w:rPr>
        <w:t>32.4.7不同投标供应商的法定代表人、主要经营负责人、项目投标授权代表人、项目负责人、主要技术人员为同一人、属同一单位或者同一单位缴纳社会保险；</w:t>
      </w:r>
    </w:p>
    <w:p w14:paraId="4B2B17CE">
      <w:pPr>
        <w:shd w:val="clear"/>
        <w:ind w:firstLine="470" w:firstLineChars="196"/>
        <w:jc w:val="left"/>
        <w:rPr>
          <w:rFonts w:ascii="宋体" w:hAnsi="宋体"/>
          <w:color w:val="auto"/>
          <w:highlight w:val="none"/>
        </w:rPr>
      </w:pPr>
      <w:r>
        <w:rPr>
          <w:rFonts w:hint="eastAsia" w:ascii="宋体" w:hAnsi="宋体"/>
          <w:color w:val="auto"/>
          <w:highlight w:val="none"/>
        </w:rPr>
        <w:t>32.4.8不同投标供应商的投标文件内容存在非正常一致；</w:t>
      </w:r>
    </w:p>
    <w:p w14:paraId="0FE97E40">
      <w:pPr>
        <w:shd w:val="clear"/>
        <w:ind w:firstLine="470" w:firstLineChars="196"/>
        <w:jc w:val="left"/>
        <w:rPr>
          <w:rFonts w:ascii="宋体" w:hAnsi="宋体"/>
          <w:color w:val="auto"/>
          <w:highlight w:val="none"/>
        </w:rPr>
      </w:pPr>
      <w:r>
        <w:rPr>
          <w:rFonts w:hint="eastAsia" w:ascii="宋体" w:hAnsi="宋体"/>
          <w:color w:val="auto"/>
          <w:highlight w:val="none"/>
        </w:rPr>
        <w:t>32.4.9在同一单位工作人员为两家以上（含两家）供应商进行同一项投标活动；</w:t>
      </w:r>
    </w:p>
    <w:p w14:paraId="1B627810">
      <w:pPr>
        <w:shd w:val="clear"/>
        <w:ind w:firstLine="470" w:firstLineChars="196"/>
        <w:jc w:val="left"/>
        <w:rPr>
          <w:rFonts w:ascii="宋体" w:hAnsi="宋体"/>
          <w:color w:val="auto"/>
          <w:highlight w:val="none"/>
        </w:rPr>
      </w:pPr>
      <w:r>
        <w:rPr>
          <w:rFonts w:hint="eastAsia" w:ascii="宋体" w:hAnsi="宋体"/>
          <w:color w:val="auto"/>
          <w:highlight w:val="none"/>
        </w:rPr>
        <w:t>32.4.10主管部门依照法律、法规认定的其他情形。</w:t>
      </w:r>
    </w:p>
    <w:p w14:paraId="34548980">
      <w:pPr>
        <w:shd w:val="clear"/>
        <w:ind w:firstLine="470" w:firstLineChars="196"/>
        <w:jc w:val="left"/>
        <w:rPr>
          <w:rFonts w:ascii="宋体" w:hAnsi="宋体"/>
          <w:color w:val="auto"/>
          <w:highlight w:val="none"/>
        </w:rPr>
      </w:pPr>
      <w:r>
        <w:rPr>
          <w:rFonts w:hint="eastAsia" w:ascii="宋体" w:hAnsi="宋体"/>
          <w:color w:val="auto"/>
          <w:highlight w:val="none"/>
        </w:rPr>
        <w:t>32.5对不属于《资格性审查表》和《符合性审查表》所列的其他情形，除专用条款另有规定和32.4条款所列情形外，不得作为投标无效的理由。</w:t>
      </w:r>
    </w:p>
    <w:p w14:paraId="7647B47D">
      <w:pPr>
        <w:shd w:val="clear"/>
        <w:jc w:val="left"/>
        <w:rPr>
          <w:rFonts w:ascii="黑体" w:hAnsi="宋体" w:eastAsia="黑体"/>
          <w:color w:val="auto"/>
          <w:highlight w:val="none"/>
        </w:rPr>
      </w:pPr>
      <w:r>
        <w:rPr>
          <w:rFonts w:hint="eastAsia" w:ascii="黑体" w:hAnsi="宋体" w:eastAsia="黑体"/>
          <w:color w:val="auto"/>
          <w:highlight w:val="none"/>
        </w:rPr>
        <w:t>33．澄清有关问题</w:t>
      </w:r>
    </w:p>
    <w:p w14:paraId="016A8AE4">
      <w:pPr>
        <w:shd w:val="clear"/>
        <w:ind w:firstLine="470" w:firstLineChars="196"/>
        <w:jc w:val="left"/>
        <w:rPr>
          <w:rFonts w:ascii="宋体" w:hAnsi="宋体"/>
          <w:color w:val="auto"/>
          <w:highlight w:val="none"/>
        </w:rPr>
      </w:pPr>
      <w:bookmarkStart w:id="82" w:name="_Hlk71407321"/>
      <w:r>
        <w:rPr>
          <w:rFonts w:hint="eastAsia" w:ascii="宋体" w:hAnsi="宋体"/>
          <w:color w:val="auto"/>
          <w:highlight w:val="none"/>
        </w:rPr>
        <w:t>3</w:t>
      </w:r>
      <w:r>
        <w:rPr>
          <w:rFonts w:ascii="宋体" w:hAnsi="宋体"/>
          <w:color w:val="auto"/>
          <w:highlight w:val="none"/>
        </w:rPr>
        <w:t>3.1</w:t>
      </w:r>
      <w:r>
        <w:rPr>
          <w:rFonts w:hint="eastAsia" w:ascii="宋体" w:hAnsi="宋体"/>
          <w:color w:val="auto"/>
          <w:highlight w:val="none"/>
        </w:rPr>
        <w:t>对招标文件中描述有歧义或前后不一致的地方（不含</w:t>
      </w:r>
      <w:r>
        <w:rPr>
          <w:color w:val="auto"/>
          <w:szCs w:val="21"/>
          <w:highlight w:val="none"/>
        </w:rPr>
        <w:t>招标文件存在歧义、重大缺陷导致评</w:t>
      </w:r>
      <w:r>
        <w:rPr>
          <w:rFonts w:hint="eastAsia"/>
          <w:color w:val="auto"/>
          <w:szCs w:val="21"/>
          <w:highlight w:val="none"/>
        </w:rPr>
        <w:t>审</w:t>
      </w:r>
      <w:r>
        <w:rPr>
          <w:color w:val="auto"/>
          <w:szCs w:val="21"/>
          <w:highlight w:val="none"/>
        </w:rPr>
        <w:t>工作无法进行</w:t>
      </w:r>
      <w:r>
        <w:rPr>
          <w:rFonts w:hint="eastAsia"/>
          <w:color w:val="auto"/>
          <w:szCs w:val="21"/>
          <w:highlight w:val="none"/>
        </w:rPr>
        <w:t>的情况）</w:t>
      </w:r>
      <w:r>
        <w:rPr>
          <w:rFonts w:hint="eastAsia" w:ascii="宋体" w:hAnsi="宋体"/>
          <w:color w:val="auto"/>
          <w:highlight w:val="none"/>
        </w:rPr>
        <w:t>，评审委员会有权进行评判，但对同一条款的评判应适用于每个投标人。</w:t>
      </w:r>
      <w:bookmarkEnd w:id="82"/>
    </w:p>
    <w:p w14:paraId="297454C7">
      <w:pPr>
        <w:shd w:val="clear"/>
        <w:ind w:firstLine="470" w:firstLineChars="196"/>
        <w:jc w:val="left"/>
        <w:rPr>
          <w:rFonts w:ascii="宋体" w:hAnsi="宋体"/>
          <w:color w:val="auto"/>
          <w:highlight w:val="none"/>
        </w:rPr>
      </w:pPr>
      <w:r>
        <w:rPr>
          <w:rFonts w:hint="eastAsia" w:ascii="宋体" w:hAnsi="宋体"/>
          <w:color w:val="auto"/>
          <w:highlight w:val="none"/>
        </w:rPr>
        <w:t>3</w:t>
      </w:r>
      <w:r>
        <w:rPr>
          <w:rFonts w:ascii="宋体" w:hAnsi="宋体"/>
          <w:color w:val="auto"/>
          <w:highlight w:val="none"/>
        </w:rPr>
        <w:t>3.2</w:t>
      </w:r>
      <w:r>
        <w:rPr>
          <w:color w:val="auto"/>
          <w:szCs w:val="21"/>
          <w:highlight w:val="none"/>
        </w:rPr>
        <w:t>评</w:t>
      </w:r>
      <w:r>
        <w:rPr>
          <w:rFonts w:hint="eastAsia"/>
          <w:color w:val="auto"/>
          <w:szCs w:val="21"/>
          <w:highlight w:val="none"/>
        </w:rPr>
        <w:t>审</w:t>
      </w:r>
      <w:r>
        <w:rPr>
          <w:color w:val="auto"/>
          <w:szCs w:val="21"/>
          <w:highlight w:val="none"/>
        </w:rPr>
        <w:t>委员会发现招标文件存在歧义、重大缺陷导致评</w:t>
      </w:r>
      <w:r>
        <w:rPr>
          <w:rFonts w:hint="eastAsia"/>
          <w:color w:val="auto"/>
          <w:szCs w:val="21"/>
          <w:highlight w:val="none"/>
        </w:rPr>
        <w:t>审</w:t>
      </w:r>
      <w:r>
        <w:rPr>
          <w:color w:val="auto"/>
          <w:szCs w:val="21"/>
          <w:highlight w:val="none"/>
        </w:rPr>
        <w:t>工作无法进行，或者招标文件内容违反国家有关强制性规定的，应当停止评</w:t>
      </w:r>
      <w:r>
        <w:rPr>
          <w:rFonts w:hint="eastAsia"/>
          <w:color w:val="auto"/>
          <w:szCs w:val="21"/>
          <w:highlight w:val="none"/>
        </w:rPr>
        <w:t>审</w:t>
      </w:r>
      <w:r>
        <w:rPr>
          <w:color w:val="auto"/>
          <w:szCs w:val="21"/>
          <w:highlight w:val="none"/>
        </w:rPr>
        <w:t>工作，与</w:t>
      </w:r>
      <w:r>
        <w:rPr>
          <w:rFonts w:hint="eastAsia" w:eastAsia="宋体"/>
          <w:color w:val="auto"/>
          <w:szCs w:val="21"/>
          <w:highlight w:val="none"/>
        </w:rPr>
        <w:t>招标代理</w:t>
      </w:r>
      <w:r>
        <w:rPr>
          <w:rFonts w:hint="eastAsia"/>
          <w:color w:val="auto"/>
          <w:szCs w:val="21"/>
          <w:highlight w:val="none"/>
        </w:rPr>
        <w:t>机构</w:t>
      </w:r>
      <w:r>
        <w:rPr>
          <w:color w:val="auto"/>
          <w:szCs w:val="21"/>
          <w:highlight w:val="none"/>
        </w:rPr>
        <w:t>沟通并作书面记录。</w:t>
      </w:r>
      <w:r>
        <w:rPr>
          <w:rFonts w:hint="eastAsia"/>
          <w:color w:val="auto"/>
          <w:szCs w:val="21"/>
          <w:highlight w:val="none"/>
        </w:rPr>
        <w:t>经</w:t>
      </w:r>
      <w:r>
        <w:rPr>
          <w:color w:val="auto"/>
          <w:szCs w:val="21"/>
          <w:highlight w:val="none"/>
        </w:rPr>
        <w:t>确认后，</w:t>
      </w:r>
      <w:r>
        <w:rPr>
          <w:rFonts w:hint="eastAsia"/>
          <w:color w:val="auto"/>
          <w:szCs w:val="21"/>
          <w:highlight w:val="none"/>
        </w:rPr>
        <w:t>项目</w:t>
      </w:r>
      <w:r>
        <w:rPr>
          <w:color w:val="auto"/>
          <w:szCs w:val="21"/>
          <w:highlight w:val="none"/>
        </w:rPr>
        <w:t>应当修改招标文件，重新组织采购活动。</w:t>
      </w:r>
    </w:p>
    <w:p w14:paraId="7DA68106">
      <w:pPr>
        <w:shd w:val="clear"/>
        <w:ind w:firstLine="470" w:firstLineChars="196"/>
        <w:jc w:val="left"/>
        <w:rPr>
          <w:rFonts w:ascii="宋体" w:hAnsi="宋体"/>
          <w:color w:val="auto"/>
          <w:highlight w:val="none"/>
        </w:rPr>
      </w:pPr>
      <w:r>
        <w:rPr>
          <w:rFonts w:ascii="宋体" w:hAnsi="宋体"/>
          <w:color w:val="auto"/>
          <w:highlight w:val="none"/>
        </w:rPr>
        <w:t>33.3</w:t>
      </w:r>
      <w:r>
        <w:rPr>
          <w:rFonts w:hint="eastAsia" w:ascii="宋体" w:hAnsi="宋体"/>
          <w:color w:val="auto"/>
          <w:highlight w:val="none"/>
        </w:rPr>
        <w:t>对于投标文件中含义不明确、同类问题表述不一致或者有明显文字和计算错误的内容，评审委员会应当以书面形式要求投标人作出必要的澄清、说明或者补正。</w:t>
      </w:r>
    </w:p>
    <w:p w14:paraId="5ADEFAF8">
      <w:pPr>
        <w:shd w:val="clear"/>
        <w:ind w:firstLine="470" w:firstLineChars="196"/>
        <w:jc w:val="left"/>
        <w:rPr>
          <w:rFonts w:ascii="宋体" w:hAnsi="宋体"/>
          <w:color w:val="auto"/>
          <w:highlight w:val="none"/>
        </w:rPr>
      </w:pPr>
      <w:r>
        <w:rPr>
          <w:rFonts w:hint="eastAsia" w:ascii="宋体" w:hAnsi="宋体"/>
          <w:color w:val="auto"/>
          <w:highlight w:val="none"/>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14:paraId="4F4A660F">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根据本通用条款第34条，凡属于评审委员会在评审中发现的算术错误进行核实的修改不在此列。</w:t>
      </w:r>
    </w:p>
    <w:p w14:paraId="4B3A9A18">
      <w:pPr>
        <w:shd w:val="clear"/>
        <w:jc w:val="left"/>
        <w:rPr>
          <w:rFonts w:ascii="黑体" w:hAnsi="宋体" w:eastAsia="黑体"/>
          <w:color w:val="auto"/>
          <w:highlight w:val="none"/>
        </w:rPr>
      </w:pPr>
      <w:bookmarkStart w:id="83" w:name="_Toc73521669"/>
      <w:bookmarkStart w:id="84" w:name="_Toc73517673"/>
      <w:bookmarkStart w:id="85" w:name="_Toc73518151"/>
      <w:bookmarkStart w:id="86" w:name="_Toc73521581"/>
      <w:bookmarkStart w:id="87" w:name="_Toc100052400"/>
      <w:r>
        <w:rPr>
          <w:rFonts w:hint="eastAsia" w:ascii="黑体" w:hAnsi="宋体" w:eastAsia="黑体"/>
          <w:color w:val="auto"/>
          <w:highlight w:val="none"/>
        </w:rPr>
        <w:t>34．错误的修正</w:t>
      </w:r>
      <w:bookmarkEnd w:id="83"/>
      <w:bookmarkEnd w:id="84"/>
      <w:bookmarkEnd w:id="85"/>
      <w:bookmarkEnd w:id="86"/>
      <w:bookmarkEnd w:id="87"/>
    </w:p>
    <w:p w14:paraId="6DF7662D">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投标文件报价出现前后不一致的，除专用条款另有规定外，按照下列规定修正：</w:t>
      </w:r>
    </w:p>
    <w:p w14:paraId="3551F35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34.1投标文件中开标一览表投标报价内容与投标文件中投标报价相应内容不一致的，以开标一览表为准；</w:t>
      </w:r>
    </w:p>
    <w:p w14:paraId="40935964">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34.2大写金额和小写金额不一致的，以大写金额为准；</w:t>
      </w:r>
    </w:p>
    <w:p w14:paraId="0666793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34.3单价金额小数点或者百分比有明显错位，以开标一览表的总价为准，并修改单价；</w:t>
      </w:r>
    </w:p>
    <w:p w14:paraId="10DBB10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34.4总价金额与按单价汇总金额不一致的，以单价金额计算结果为准。</w:t>
      </w:r>
    </w:p>
    <w:p w14:paraId="08B6355E">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34.5同时出现两种以上不一致的，按照前款规定的顺序修正。修正后的报价按照本通用条款33条的规定，经投标人确认后产生约束力，投标人不确认的，其投标无效。</w:t>
      </w:r>
    </w:p>
    <w:p w14:paraId="159674EF">
      <w:pPr>
        <w:shd w:val="clear"/>
        <w:jc w:val="left"/>
        <w:rPr>
          <w:rFonts w:ascii="黑体" w:hAnsi="宋体" w:eastAsia="黑体"/>
          <w:color w:val="auto"/>
          <w:highlight w:val="none"/>
        </w:rPr>
      </w:pPr>
      <w:r>
        <w:rPr>
          <w:rFonts w:hint="eastAsia" w:ascii="黑体" w:hAnsi="宋体" w:eastAsia="黑体"/>
          <w:color w:val="auto"/>
          <w:highlight w:val="none"/>
        </w:rPr>
        <w:t>35．投标文件的比较与评价</w:t>
      </w:r>
    </w:p>
    <w:p w14:paraId="15F243E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14:paraId="5ECA758D">
      <w:pPr>
        <w:shd w:val="clear"/>
        <w:ind w:firstLine="471" w:firstLineChars="196"/>
        <w:jc w:val="left"/>
        <w:rPr>
          <w:rFonts w:ascii="宋体" w:hAnsi="宋体"/>
          <w:b/>
          <w:color w:val="auto"/>
          <w:szCs w:val="21"/>
          <w:highlight w:val="none"/>
        </w:rPr>
      </w:pPr>
      <w:r>
        <w:rPr>
          <w:rFonts w:hint="eastAsia" w:ascii="宋体" w:hAnsi="宋体"/>
          <w:b/>
          <w:color w:val="auto"/>
          <w:szCs w:val="21"/>
          <w:highlight w:val="none"/>
        </w:rPr>
        <w:t>评审委员会成员对需要共同认定的事项存在争议的，应当按照少数服从多数的原则作出结论。持不同意见的评审委员会成员应当书面作出说明，否则视为无异议。</w:t>
      </w:r>
    </w:p>
    <w:p w14:paraId="17F7D6F1">
      <w:pPr>
        <w:shd w:val="clear"/>
        <w:jc w:val="left"/>
        <w:rPr>
          <w:rFonts w:ascii="黑体" w:hAnsi="宋体" w:eastAsia="黑体"/>
          <w:color w:val="auto"/>
          <w:highlight w:val="none"/>
        </w:rPr>
      </w:pPr>
      <w:r>
        <w:rPr>
          <w:rFonts w:hint="eastAsia" w:ascii="黑体" w:hAnsi="宋体" w:eastAsia="黑体"/>
          <w:color w:val="auto"/>
          <w:highlight w:val="none"/>
        </w:rPr>
        <w:t>36. 实地考察或资料查验</w:t>
      </w:r>
    </w:p>
    <w:p w14:paraId="1E407E4A">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36.1在评审过程中，评审委员会有权决定是否对本项目投标人进行实地考察或资料查验（原件）。投标人应随时做好接受实地考察或资料查验的准备。</w:t>
      </w:r>
    </w:p>
    <w:p w14:paraId="26025A15">
      <w:pPr>
        <w:shd w:val="clear"/>
        <w:jc w:val="left"/>
        <w:rPr>
          <w:rFonts w:ascii="黑体" w:hAnsi="宋体" w:eastAsia="黑体"/>
          <w:color w:val="auto"/>
          <w:highlight w:val="none"/>
        </w:rPr>
      </w:pPr>
      <w:r>
        <w:rPr>
          <w:rFonts w:hint="eastAsia" w:ascii="黑体" w:hAnsi="宋体" w:eastAsia="黑体"/>
          <w:color w:val="auto"/>
          <w:highlight w:val="none"/>
        </w:rPr>
        <w:t>37．评审方法</w:t>
      </w:r>
    </w:p>
    <w:p w14:paraId="6F38D3F0">
      <w:pPr>
        <w:shd w:val="clear"/>
        <w:ind w:firstLine="470" w:firstLineChars="196"/>
        <w:jc w:val="left"/>
        <w:rPr>
          <w:rFonts w:ascii="ˎ̥" w:hAnsi="ˎ̥"/>
          <w:color w:val="auto"/>
          <w:highlight w:val="none"/>
        </w:rPr>
      </w:pPr>
      <w:bookmarkStart w:id="88" w:name="_Hlk72438142"/>
      <w:r>
        <w:rPr>
          <w:rFonts w:hint="eastAsia" w:ascii="宋体" w:hAnsi="宋体"/>
          <w:color w:val="auto"/>
          <w:szCs w:val="21"/>
          <w:highlight w:val="none"/>
        </w:rPr>
        <w:t>37.1</w:t>
      </w:r>
      <w:r>
        <w:rPr>
          <w:rFonts w:hint="eastAsia" w:ascii="ˎ̥" w:hAnsi="ˎ̥" w:eastAsia="宋体"/>
          <w:color w:val="auto"/>
          <w:highlight w:val="none"/>
        </w:rPr>
        <w:t>本项目采用</w:t>
      </w:r>
      <w:r>
        <w:rPr>
          <w:rFonts w:ascii="ˎ̥" w:hAnsi="ˎ̥"/>
          <w:color w:val="auto"/>
          <w:highlight w:val="none"/>
        </w:rPr>
        <w:t>综合评分法，是指</w:t>
      </w:r>
      <w:r>
        <w:rPr>
          <w:rFonts w:hint="eastAsia" w:ascii="ˎ̥" w:hAnsi="ˎ̥"/>
          <w:color w:val="auto"/>
          <w:highlight w:val="none"/>
        </w:rPr>
        <w:t>在</w:t>
      </w:r>
      <w:r>
        <w:rPr>
          <w:rFonts w:ascii="ˎ̥" w:hAnsi="ˎ̥"/>
          <w:color w:val="auto"/>
          <w:highlight w:val="none"/>
        </w:rPr>
        <w:t>满足招标文件全部实质性要求</w:t>
      </w:r>
      <w:r>
        <w:rPr>
          <w:rFonts w:hint="eastAsia" w:ascii="ˎ̥" w:hAnsi="ˎ̥"/>
          <w:color w:val="auto"/>
          <w:highlight w:val="none"/>
        </w:rPr>
        <w:t>的前提下</w:t>
      </w:r>
      <w:r>
        <w:rPr>
          <w:rFonts w:ascii="ˎ̥" w:hAnsi="ˎ̥"/>
          <w:color w:val="auto"/>
          <w:highlight w:val="none"/>
        </w:rPr>
        <w:t>，</w:t>
      </w:r>
      <w:r>
        <w:rPr>
          <w:rFonts w:hint="eastAsia" w:ascii="ˎ̥" w:hAnsi="ˎ̥"/>
          <w:color w:val="auto"/>
          <w:highlight w:val="none"/>
        </w:rPr>
        <w:t>按照招标文件中规定的各项因素进行综合评审，评审总得分排名前列的投标人，作为推荐的候选中标供应商。</w:t>
      </w:r>
      <w:bookmarkEnd w:id="88"/>
      <w:r>
        <w:rPr>
          <w:rFonts w:hint="eastAsia" w:ascii="宋体" w:hAnsi="宋体"/>
          <w:bCs/>
          <w:color w:val="auto"/>
          <w:szCs w:val="21"/>
          <w:highlight w:val="none"/>
        </w:rPr>
        <w:t xml:space="preserve">                                                                                                                                                                                                                                                                                                                                                                                                                                                                                                                                                                                                                                                                                                                                                                                                                                                                                                                                                                                                                                                                                                                                                                                                                                                                                                                                                                                                                                                                                                                                                                                                                                                                                                                                                                                                                                                                                                                                                                                                                                                                                                                                                                                                                                                                                                                                                                                                                                                                                                                                                                                                                                                                                                                                                                                                                                                                                                                                                                                                                             </w:t>
      </w:r>
    </w:p>
    <w:p w14:paraId="1D120A54">
      <w:pPr>
        <w:shd w:val="clear"/>
        <w:ind w:firstLine="471" w:firstLineChars="196"/>
        <w:jc w:val="left"/>
        <w:rPr>
          <w:rFonts w:ascii="宋体" w:hAnsi="宋体"/>
          <w:b/>
          <w:bCs/>
          <w:color w:val="auto"/>
          <w:szCs w:val="21"/>
          <w:highlight w:val="none"/>
        </w:rPr>
      </w:pPr>
      <w:r>
        <w:rPr>
          <w:rFonts w:hint="eastAsia" w:ascii="宋体" w:hAnsi="宋体"/>
          <w:b/>
          <w:bCs/>
          <w:color w:val="auto"/>
          <w:szCs w:val="21"/>
          <w:highlight w:val="none"/>
        </w:rPr>
        <w:t>37.</w:t>
      </w:r>
      <w:r>
        <w:rPr>
          <w:rFonts w:hint="eastAsia" w:ascii="宋体" w:hAnsi="宋体" w:eastAsia="宋体"/>
          <w:b/>
          <w:bCs/>
          <w:color w:val="auto"/>
          <w:szCs w:val="21"/>
          <w:highlight w:val="none"/>
        </w:rPr>
        <w:t>2</w:t>
      </w:r>
      <w:r>
        <w:rPr>
          <w:rFonts w:hint="eastAsia" w:ascii="宋体" w:hAnsi="宋体"/>
          <w:b/>
          <w:bCs/>
          <w:color w:val="auto"/>
          <w:szCs w:val="21"/>
          <w:highlight w:val="none"/>
        </w:rPr>
        <w:t>重新评审的情形</w:t>
      </w:r>
    </w:p>
    <w:p w14:paraId="02C7BD17">
      <w:pPr>
        <w:shd w:val="clear"/>
        <w:ind w:firstLine="470" w:firstLineChars="196"/>
        <w:jc w:val="left"/>
        <w:rPr>
          <w:rFonts w:ascii="宋体" w:hAnsi="宋体"/>
          <w:b/>
          <w:bCs/>
          <w:color w:val="auto"/>
          <w:szCs w:val="21"/>
          <w:highlight w:val="none"/>
        </w:rPr>
      </w:pPr>
      <w:r>
        <w:rPr>
          <w:rFonts w:hint="eastAsia" w:ascii="宋体" w:hAnsi="宋体" w:cs="宋体"/>
          <w:color w:val="auto"/>
          <w:szCs w:val="21"/>
          <w:highlight w:val="none"/>
        </w:rPr>
        <w:t>评审结果汇总完成后，除下列情形外，任何人不得修改评审结果：</w:t>
      </w:r>
    </w:p>
    <w:p w14:paraId="14801699">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w:t>
      </w:r>
      <w:r>
        <w:rPr>
          <w:rFonts w:hint="eastAsia" w:ascii="宋体" w:hAnsi="宋体" w:eastAsia="宋体" w:cs="宋体"/>
          <w:color w:val="auto"/>
          <w:szCs w:val="21"/>
          <w:highlight w:val="none"/>
        </w:rPr>
        <w:t>2</w:t>
      </w:r>
      <w:r>
        <w:rPr>
          <w:rFonts w:hint="eastAsia" w:ascii="宋体" w:hAnsi="宋体" w:cs="宋体"/>
          <w:color w:val="auto"/>
          <w:szCs w:val="21"/>
          <w:highlight w:val="none"/>
        </w:rPr>
        <w:t>.1分值汇总计算错误的；</w:t>
      </w:r>
    </w:p>
    <w:p w14:paraId="1118B2E9">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w:t>
      </w:r>
      <w:r>
        <w:rPr>
          <w:rFonts w:hint="eastAsia" w:ascii="宋体" w:hAnsi="宋体" w:eastAsia="宋体" w:cs="宋体"/>
          <w:color w:val="auto"/>
          <w:szCs w:val="21"/>
          <w:highlight w:val="none"/>
        </w:rPr>
        <w:t>2</w:t>
      </w:r>
      <w:r>
        <w:rPr>
          <w:rFonts w:hint="eastAsia" w:ascii="宋体" w:hAnsi="宋体" w:cs="宋体"/>
          <w:color w:val="auto"/>
          <w:szCs w:val="21"/>
          <w:highlight w:val="none"/>
        </w:rPr>
        <w:t>.2分项评分超出评分标准范围的；</w:t>
      </w:r>
    </w:p>
    <w:p w14:paraId="34A82A2B">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w:t>
      </w:r>
      <w:r>
        <w:rPr>
          <w:rFonts w:hint="eastAsia" w:ascii="宋体" w:hAnsi="宋体" w:eastAsia="宋体" w:cs="宋体"/>
          <w:color w:val="auto"/>
          <w:szCs w:val="21"/>
          <w:highlight w:val="none"/>
        </w:rPr>
        <w:t>2</w:t>
      </w:r>
      <w:r>
        <w:rPr>
          <w:rFonts w:hint="eastAsia" w:ascii="宋体" w:hAnsi="宋体" w:cs="宋体"/>
          <w:color w:val="auto"/>
          <w:szCs w:val="21"/>
          <w:highlight w:val="none"/>
        </w:rPr>
        <w:t>.3评审委员会成员对客观评审因素评分不一致的；</w:t>
      </w:r>
    </w:p>
    <w:p w14:paraId="266A7A62">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w:t>
      </w:r>
      <w:r>
        <w:rPr>
          <w:rFonts w:hint="eastAsia" w:ascii="宋体" w:hAnsi="宋体" w:eastAsia="宋体" w:cs="宋体"/>
          <w:color w:val="auto"/>
          <w:szCs w:val="21"/>
          <w:highlight w:val="none"/>
        </w:rPr>
        <w:t>2</w:t>
      </w:r>
      <w:r>
        <w:rPr>
          <w:rFonts w:hint="eastAsia" w:ascii="宋体" w:hAnsi="宋体" w:cs="宋体"/>
          <w:color w:val="auto"/>
          <w:szCs w:val="21"/>
          <w:highlight w:val="none"/>
        </w:rPr>
        <w:t>.4经评审委员会认定评分畸高、畸低的。</w:t>
      </w:r>
    </w:p>
    <w:p w14:paraId="57025C3D">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14:paraId="55742BA1">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投标人对本条第一款情形提出质疑的，采购人或者采购代理机构可以组织原评审委员会进行重新评审，重新评审改变评审结果的，应当书面报告本级财政部门。</w:t>
      </w:r>
    </w:p>
    <w:p w14:paraId="397F2700">
      <w:pPr>
        <w:shd w:val="clear"/>
        <w:ind w:firstLine="471" w:firstLineChars="196"/>
        <w:jc w:val="left"/>
        <w:rPr>
          <w:rFonts w:ascii="宋体" w:hAnsi="宋体"/>
          <w:b/>
          <w:bCs/>
          <w:color w:val="auto"/>
          <w:szCs w:val="21"/>
          <w:highlight w:val="none"/>
        </w:rPr>
      </w:pPr>
      <w:r>
        <w:rPr>
          <w:rFonts w:hint="eastAsia" w:ascii="宋体" w:hAnsi="宋体"/>
          <w:b/>
          <w:bCs/>
          <w:color w:val="auto"/>
          <w:szCs w:val="21"/>
          <w:highlight w:val="none"/>
        </w:rPr>
        <w:t xml:space="preserve"> 37.4重新组建评审委员会的情形</w:t>
      </w:r>
    </w:p>
    <w:p w14:paraId="6AB75FF9">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评审委员会或者其成员存在下列情形导致评审结果无效的，重新组建评审委员会进行评标，并书面报告本级财政部门：</w:t>
      </w:r>
    </w:p>
    <w:p w14:paraId="1D313C2D">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37.4.1评审委员会组成不符合《政府采购货物和服务招标投标管理办法》规定的；</w:t>
      </w:r>
    </w:p>
    <w:p w14:paraId="4AE1837B">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37.4.2有《政府采购货物和服务招标投标管理办法》第六十二条第一至五项情形的；</w:t>
      </w:r>
    </w:p>
    <w:p w14:paraId="022216FA">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37.4.3评审委员会及其成员独立评标受到非法干预的；</w:t>
      </w:r>
    </w:p>
    <w:p w14:paraId="760C6891">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37.4.4有政府采购法实施条例第七十五条规定的违法行为的。</w:t>
      </w:r>
    </w:p>
    <w:p w14:paraId="51D2EDD2">
      <w:pPr>
        <w:shd w:val="clear"/>
        <w:ind w:firstLine="470" w:firstLineChars="196"/>
        <w:jc w:val="left"/>
        <w:rPr>
          <w:rFonts w:ascii="宋体" w:hAnsi="宋体" w:cs="宋体"/>
          <w:color w:val="auto"/>
          <w:szCs w:val="21"/>
          <w:highlight w:val="none"/>
        </w:rPr>
      </w:pPr>
      <w:r>
        <w:rPr>
          <w:rFonts w:hint="eastAsia" w:ascii="宋体" w:hAnsi="宋体" w:cs="宋体"/>
          <w:color w:val="auto"/>
          <w:szCs w:val="21"/>
          <w:highlight w:val="none"/>
        </w:rPr>
        <w:t>有违法违规行为的原评审委员会成员不得参加重新组建的评审委员会。</w:t>
      </w:r>
    </w:p>
    <w:p w14:paraId="1DC16032">
      <w:pPr>
        <w:shd w:val="clear"/>
        <w:ind w:firstLine="470" w:firstLineChars="196"/>
        <w:jc w:val="left"/>
        <w:rPr>
          <w:rFonts w:ascii="宋体" w:hAnsi="宋体"/>
          <w:color w:val="auto"/>
          <w:szCs w:val="21"/>
          <w:highlight w:val="none"/>
        </w:rPr>
      </w:pPr>
    </w:p>
    <w:p w14:paraId="47C34758">
      <w:pPr>
        <w:pStyle w:val="3"/>
        <w:numPr>
          <w:ilvl w:val="0"/>
          <w:numId w:val="3"/>
        </w:numPr>
        <w:shd w:val="clear"/>
        <w:spacing w:before="120" w:beforeLines="50" w:after="120" w:afterLines="50"/>
        <w:ind w:left="562" w:hanging="562"/>
        <w:jc w:val="left"/>
        <w:rPr>
          <w:color w:val="auto"/>
          <w:sz w:val="28"/>
          <w:szCs w:val="28"/>
          <w:highlight w:val="none"/>
        </w:rPr>
      </w:pPr>
      <w:r>
        <w:rPr>
          <w:rFonts w:hint="eastAsia"/>
          <w:color w:val="auto"/>
          <w:sz w:val="28"/>
          <w:szCs w:val="28"/>
          <w:highlight w:val="none"/>
        </w:rPr>
        <w:t>定标及公示</w:t>
      </w:r>
    </w:p>
    <w:p w14:paraId="614909EC">
      <w:pPr>
        <w:shd w:val="clear"/>
        <w:jc w:val="left"/>
        <w:rPr>
          <w:rFonts w:ascii="黑体" w:hAnsi="宋体" w:eastAsia="黑体"/>
          <w:color w:val="auto"/>
          <w:highlight w:val="none"/>
        </w:rPr>
      </w:pPr>
      <w:r>
        <w:rPr>
          <w:rFonts w:hint="eastAsia" w:ascii="黑体" w:hAnsi="宋体" w:eastAsia="黑体"/>
          <w:color w:val="auto"/>
          <w:highlight w:val="none"/>
        </w:rPr>
        <w:t>38．定标方法</w:t>
      </w:r>
    </w:p>
    <w:p w14:paraId="73451460">
      <w:pPr>
        <w:shd w:val="clear"/>
        <w:ind w:firstLine="470" w:firstLineChars="196"/>
        <w:jc w:val="left"/>
        <w:rPr>
          <w:color w:val="auto"/>
          <w:highlight w:val="none"/>
        </w:rPr>
      </w:pPr>
      <w:r>
        <w:rPr>
          <w:rFonts w:hint="eastAsia" w:ascii="宋体" w:hAnsi="宋体" w:eastAsia="宋体"/>
          <w:color w:val="auto"/>
          <w:szCs w:val="21"/>
          <w:highlight w:val="none"/>
        </w:rPr>
        <w:t>本项目</w:t>
      </w:r>
      <w:r>
        <w:rPr>
          <w:rFonts w:ascii="宋体" w:hAnsi="宋体"/>
          <w:color w:val="auto"/>
          <w:szCs w:val="21"/>
          <w:highlight w:val="none"/>
        </w:rPr>
        <w:t>采</w:t>
      </w:r>
      <w:r>
        <w:rPr>
          <w:rFonts w:ascii="ˎ̥" w:hAnsi="ˎ̥"/>
          <w:color w:val="auto"/>
          <w:highlight w:val="none"/>
        </w:rPr>
        <w:t>用综合评分法的，评标结果按评审后得分由高到低顺序排列。得分相同的，按投标报价由低到高顺序排列。</w:t>
      </w:r>
    </w:p>
    <w:p w14:paraId="6A294670">
      <w:pPr>
        <w:shd w:val="clear"/>
        <w:ind w:firstLine="720"/>
        <w:jc w:val="left"/>
        <w:rPr>
          <w:rFonts w:ascii="ˎ̥" w:hAnsi="ˎ̥"/>
          <w:color w:val="auto"/>
          <w:highlight w:val="none"/>
        </w:rPr>
      </w:pPr>
      <w:r>
        <w:rPr>
          <w:rFonts w:hint="eastAsia" w:ascii="宋体" w:hAnsi="宋体" w:eastAsia="宋体" w:cs="宋体"/>
          <w:color w:val="auto"/>
          <w:highlight w:val="none"/>
        </w:rPr>
        <w:t>投</w:t>
      </w:r>
      <w:r>
        <w:rPr>
          <w:rFonts w:hint="eastAsia"/>
          <w:color w:val="auto"/>
          <w:highlight w:val="none"/>
        </w:rPr>
        <w:t>标文件满足招标文件全部实质性要求，且按照评审因素的量化指标评审得分最高的投标人为排名第一的中标候选人（排名第二的投标人为第一递补中标候选人、排名第三的投标人为第二递补中标候选人）。中标候选人并列的，采取随机抽取的方式确定，具体操作办法及流程由评标委员会确定。如排名第一的中标候选人被认定投标或中标无效，符合法定情形时，依法顺次替补；合格供应商不符合法定数量时，应当重新开展采购活动。</w:t>
      </w:r>
    </w:p>
    <w:p w14:paraId="0B54DCE8">
      <w:pPr>
        <w:shd w:val="clear"/>
        <w:jc w:val="left"/>
        <w:rPr>
          <w:rFonts w:ascii="黑体" w:hAnsi="宋体" w:eastAsia="黑体"/>
          <w:color w:val="auto"/>
          <w:highlight w:val="none"/>
        </w:rPr>
      </w:pPr>
      <w:r>
        <w:rPr>
          <w:rFonts w:hint="eastAsia" w:ascii="黑体" w:hAnsi="宋体" w:eastAsia="黑体"/>
          <w:color w:val="auto"/>
          <w:highlight w:val="none"/>
        </w:rPr>
        <w:t>39．编写评审报告</w:t>
      </w:r>
    </w:p>
    <w:p w14:paraId="18405539">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14:paraId="0D12F19D">
      <w:pPr>
        <w:shd w:val="clear"/>
        <w:jc w:val="left"/>
        <w:rPr>
          <w:rFonts w:ascii="黑体" w:hAnsi="宋体" w:eastAsia="黑体"/>
          <w:color w:val="auto"/>
          <w:highlight w:val="none"/>
        </w:rPr>
      </w:pPr>
      <w:r>
        <w:rPr>
          <w:rFonts w:hint="eastAsia" w:ascii="黑体" w:hAnsi="宋体" w:eastAsia="黑体"/>
          <w:color w:val="auto"/>
          <w:highlight w:val="none"/>
        </w:rPr>
        <w:t>40．中标公告</w:t>
      </w:r>
    </w:p>
    <w:p w14:paraId="767C85DD">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40.1</w:t>
      </w:r>
      <w:bookmarkStart w:id="89" w:name="_Hlk72438709"/>
      <w:r>
        <w:rPr>
          <w:rFonts w:hint="eastAsia" w:ascii="宋体" w:hAnsi="宋体"/>
          <w:color w:val="auto"/>
          <w:szCs w:val="21"/>
          <w:highlight w:val="none"/>
        </w:rPr>
        <w:t>为体现“公开、公平、公正”的原则，评审结束后经采购人确认（确定）评审结果，</w:t>
      </w:r>
      <w:r>
        <w:rPr>
          <w:rFonts w:hint="eastAsia" w:ascii="宋体" w:hAnsi="宋体" w:eastAsia="宋体"/>
          <w:color w:val="auto"/>
          <w:szCs w:val="21"/>
          <w:highlight w:val="none"/>
        </w:rPr>
        <w:t>招标代理</w:t>
      </w:r>
      <w:r>
        <w:rPr>
          <w:rFonts w:hint="eastAsia" w:ascii="宋体" w:hAnsi="宋体"/>
          <w:color w:val="auto"/>
          <w:szCs w:val="21"/>
          <w:highlight w:val="none"/>
        </w:rPr>
        <w:t>机构将在</w:t>
      </w:r>
      <w:r>
        <w:rPr>
          <w:rFonts w:hint="eastAsia" w:ascii="宋体" w:hAnsi="宋体" w:cs="宋体"/>
          <w:b w:val="0"/>
          <w:i w:val="0"/>
          <w:caps w:val="0"/>
          <w:color w:val="auto"/>
          <w:spacing w:val="0"/>
          <w:w w:val="100"/>
          <w:sz w:val="24"/>
          <w:highlight w:val="none"/>
          <w:u w:val="none"/>
        </w:rPr>
        <w:t>深圳公共资源交易中心网（https://szggzy.com/jygg/list.html?id=zfcg）</w:t>
      </w:r>
      <w:r>
        <w:rPr>
          <w:rFonts w:hint="eastAsia" w:ascii="宋体" w:hAnsi="宋体" w:eastAsia="宋体"/>
          <w:color w:val="auto"/>
          <w:szCs w:val="21"/>
          <w:highlight w:val="none"/>
          <w:lang w:eastAsia="zh-CN"/>
        </w:rPr>
        <w:t>、</w:t>
      </w:r>
      <w:r>
        <w:rPr>
          <w:rFonts w:hint="eastAsia" w:ascii="宋体" w:hAnsi="宋体"/>
          <w:color w:val="auto"/>
          <w:szCs w:val="21"/>
          <w:highlight w:val="none"/>
        </w:rPr>
        <w:t>深圳盐田政府在线（www.yantian.gov.cn）</w:t>
      </w:r>
      <w:r>
        <w:rPr>
          <w:rFonts w:hint="eastAsia" w:ascii="宋体" w:hAnsi="宋体" w:eastAsia="宋体"/>
          <w:color w:val="auto"/>
          <w:szCs w:val="21"/>
          <w:highlight w:val="none"/>
          <w:lang w:eastAsia="zh-CN"/>
        </w:rPr>
        <w:t>、深圳市城投全过程工程咨询有限公司（https://www.szctqgc.cn/）</w:t>
      </w:r>
      <w:r>
        <w:rPr>
          <w:rFonts w:hint="eastAsia" w:ascii="宋体" w:hAnsi="宋体"/>
          <w:color w:val="auto"/>
          <w:szCs w:val="21"/>
          <w:highlight w:val="none"/>
        </w:rPr>
        <w:t>上发布中标结果公告。</w:t>
      </w:r>
      <w:bookmarkEnd w:id="89"/>
      <w:bookmarkStart w:id="90" w:name="_Hlk72438751"/>
      <w:r>
        <w:rPr>
          <w:rFonts w:hint="eastAsia" w:ascii="宋体" w:hAnsi="宋体"/>
          <w:color w:val="auto"/>
          <w:szCs w:val="21"/>
          <w:highlight w:val="none"/>
        </w:rPr>
        <w:t>供应商如对评审结果有异议，</w:t>
      </w:r>
      <w:r>
        <w:rPr>
          <w:rFonts w:ascii="宋体" w:hAnsi="宋体"/>
          <w:color w:val="auto"/>
          <w:szCs w:val="21"/>
          <w:highlight w:val="none"/>
        </w:rPr>
        <w:t>可在发布公示日期起</w:t>
      </w:r>
      <w:r>
        <w:rPr>
          <w:rFonts w:hint="eastAsia" w:ascii="宋体" w:hAnsi="宋体"/>
          <w:color w:val="auto"/>
          <w:szCs w:val="21"/>
          <w:highlight w:val="none"/>
        </w:rPr>
        <w:t>七</w:t>
      </w:r>
      <w:r>
        <w:rPr>
          <w:rFonts w:ascii="宋体" w:hAnsi="宋体"/>
          <w:color w:val="auto"/>
          <w:szCs w:val="21"/>
          <w:highlight w:val="none"/>
        </w:rPr>
        <w:t>个工作日内向</w:t>
      </w:r>
      <w:r>
        <w:rPr>
          <w:rFonts w:hint="eastAsia" w:ascii="宋体" w:hAnsi="宋体" w:eastAsia="宋体"/>
          <w:color w:val="auto"/>
          <w:szCs w:val="21"/>
          <w:highlight w:val="none"/>
        </w:rPr>
        <w:t>招标代理</w:t>
      </w:r>
      <w:r>
        <w:rPr>
          <w:rFonts w:hint="eastAsia" w:ascii="宋体" w:hAnsi="宋体"/>
          <w:color w:val="auto"/>
          <w:szCs w:val="21"/>
          <w:highlight w:val="none"/>
        </w:rPr>
        <w:t>机构</w:t>
      </w:r>
      <w:r>
        <w:rPr>
          <w:rFonts w:ascii="宋体" w:hAnsi="宋体"/>
          <w:color w:val="auto"/>
          <w:szCs w:val="21"/>
          <w:highlight w:val="none"/>
        </w:rPr>
        <w:t>提出。监督电话：0755-</w:t>
      </w:r>
      <w:r>
        <w:rPr>
          <w:rFonts w:hint="eastAsia" w:ascii="宋体" w:hAnsi="宋体" w:eastAsia="宋体"/>
          <w:color w:val="auto"/>
          <w:szCs w:val="21"/>
          <w:highlight w:val="none"/>
        </w:rPr>
        <w:t>25559696</w:t>
      </w:r>
      <w:r>
        <w:rPr>
          <w:rFonts w:ascii="宋体" w:hAnsi="宋体"/>
          <w:color w:val="auto"/>
          <w:szCs w:val="21"/>
          <w:highlight w:val="none"/>
        </w:rPr>
        <w:t>。</w:t>
      </w:r>
      <w:r>
        <w:rPr>
          <w:rFonts w:hint="eastAsia" w:ascii="宋体" w:hAnsi="宋体"/>
          <w:color w:val="auto"/>
          <w:szCs w:val="21"/>
          <w:highlight w:val="none"/>
        </w:rPr>
        <w:t>若在公示期内未提出质疑，则视为认同该评审结果。</w:t>
      </w:r>
    </w:p>
    <w:bookmarkEnd w:id="90"/>
    <w:p w14:paraId="32CB666C">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40.2质疑、投诉供应商应保证质疑、投诉内容的真实性和可靠性，并承担相应的法律责任。</w:t>
      </w:r>
    </w:p>
    <w:p w14:paraId="507AC2C8">
      <w:pPr>
        <w:shd w:val="clear"/>
        <w:jc w:val="both"/>
        <w:rPr>
          <w:rFonts w:ascii="黑体" w:hAnsi="宋体" w:eastAsia="黑体"/>
          <w:color w:val="auto"/>
          <w:highlight w:val="none"/>
        </w:rPr>
      </w:pPr>
      <w:r>
        <w:rPr>
          <w:rFonts w:hint="eastAsia" w:ascii="黑体" w:hAnsi="宋体" w:eastAsia="黑体"/>
          <w:color w:val="auto"/>
          <w:highlight w:val="none"/>
        </w:rPr>
        <w:t>41．中标通知书</w:t>
      </w:r>
    </w:p>
    <w:p w14:paraId="4392440D">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w:t>
      </w:r>
      <w:r>
        <w:rPr>
          <w:rFonts w:hint="eastAsia" w:ascii="宋体" w:hAnsi="宋体"/>
          <w:color w:val="auto"/>
          <w:szCs w:val="21"/>
          <w:highlight w:val="none"/>
        </w:rPr>
        <w:t>1</w:t>
      </w:r>
      <w:bookmarkStart w:id="91" w:name="_Hlk72438863"/>
      <w:r>
        <w:rPr>
          <w:rFonts w:hint="eastAsia" w:ascii="宋体" w:hAnsi="宋体"/>
          <w:color w:val="auto"/>
          <w:szCs w:val="21"/>
          <w:highlight w:val="none"/>
        </w:rPr>
        <w:t>中标公告公布以后无异常的情况下,采购人</w:t>
      </w:r>
      <w:r>
        <w:rPr>
          <w:rFonts w:hint="eastAsia" w:ascii="宋体" w:hAnsi="宋体" w:eastAsia="宋体"/>
          <w:color w:val="auto"/>
          <w:szCs w:val="21"/>
          <w:highlight w:val="none"/>
        </w:rPr>
        <w:t>和招标代理机构将向中标供应商发放中标通知书</w:t>
      </w:r>
      <w:r>
        <w:rPr>
          <w:rFonts w:hint="eastAsia" w:ascii="宋体" w:hAnsi="宋体"/>
          <w:color w:val="auto"/>
          <w:szCs w:val="21"/>
          <w:highlight w:val="none"/>
        </w:rPr>
        <w:t>。</w:t>
      </w:r>
      <w:bookmarkEnd w:id="91"/>
    </w:p>
    <w:p w14:paraId="5D15C412">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41</w:t>
      </w:r>
      <w:r>
        <w:rPr>
          <w:rFonts w:ascii="宋体" w:hAnsi="宋体"/>
          <w:color w:val="auto"/>
          <w:szCs w:val="21"/>
          <w:highlight w:val="none"/>
        </w:rPr>
        <w:t>.2</w:t>
      </w:r>
      <w:r>
        <w:rPr>
          <w:rFonts w:hint="eastAsia" w:ascii="宋体" w:hAnsi="宋体"/>
          <w:color w:val="auto"/>
          <w:szCs w:val="21"/>
          <w:highlight w:val="none"/>
        </w:rPr>
        <w:t>中标通知书是合同的重要组成部分。</w:t>
      </w:r>
    </w:p>
    <w:p w14:paraId="7CEF4A9D">
      <w:pPr>
        <w:shd w:val="clear"/>
        <w:ind w:firstLine="470" w:firstLineChars="196"/>
        <w:jc w:val="both"/>
        <w:rPr>
          <w:rFonts w:ascii="宋体" w:hAnsi="宋体"/>
          <w:color w:val="auto"/>
          <w:szCs w:val="21"/>
          <w:highlight w:val="none"/>
        </w:rPr>
      </w:pPr>
      <w:bookmarkStart w:id="92" w:name="_Hlk71407340"/>
      <w:r>
        <w:rPr>
          <w:rFonts w:hint="eastAsia" w:ascii="宋体" w:hAnsi="宋体"/>
          <w:color w:val="auto"/>
          <w:szCs w:val="21"/>
          <w:highlight w:val="none"/>
        </w:rPr>
        <w:t>41.3因质疑投诉或其它原因导致项目结果变更或采购终止的，</w:t>
      </w:r>
      <w:r>
        <w:rPr>
          <w:rFonts w:hint="eastAsia" w:ascii="宋体" w:hAnsi="宋体" w:eastAsia="宋体"/>
          <w:color w:val="auto"/>
          <w:szCs w:val="21"/>
          <w:highlight w:val="none"/>
        </w:rPr>
        <w:t>招标代理</w:t>
      </w:r>
      <w:r>
        <w:rPr>
          <w:rFonts w:hint="eastAsia" w:ascii="宋体" w:hAnsi="宋体"/>
          <w:color w:val="auto"/>
          <w:szCs w:val="21"/>
          <w:highlight w:val="none"/>
        </w:rPr>
        <w:t>机构有权吊销中标通知书。</w:t>
      </w:r>
    </w:p>
    <w:bookmarkEnd w:id="92"/>
    <w:p w14:paraId="0531C6B0">
      <w:pPr>
        <w:shd w:val="clear"/>
        <w:ind w:firstLine="470" w:firstLineChars="196"/>
        <w:jc w:val="left"/>
        <w:rPr>
          <w:rFonts w:ascii="宋体" w:hAnsi="宋体"/>
          <w:color w:val="auto"/>
          <w:szCs w:val="21"/>
          <w:highlight w:val="none"/>
        </w:rPr>
      </w:pPr>
    </w:p>
    <w:p w14:paraId="0456E7C2">
      <w:pPr>
        <w:pStyle w:val="3"/>
        <w:numPr>
          <w:ilvl w:val="0"/>
          <w:numId w:val="3"/>
        </w:numPr>
        <w:shd w:val="clear"/>
        <w:spacing w:before="120" w:beforeLines="50" w:after="120" w:afterLines="50"/>
        <w:ind w:left="562" w:hanging="562"/>
        <w:rPr>
          <w:color w:val="auto"/>
          <w:sz w:val="28"/>
          <w:szCs w:val="28"/>
          <w:highlight w:val="none"/>
        </w:rPr>
      </w:pPr>
      <w:r>
        <w:rPr>
          <w:rFonts w:hint="eastAsia" w:eastAsia="宋体"/>
          <w:color w:val="auto"/>
          <w:sz w:val="28"/>
          <w:szCs w:val="28"/>
          <w:highlight w:val="none"/>
          <w:lang w:eastAsia="zh-CN"/>
        </w:rPr>
        <w:t>公开招标/公开征集</w:t>
      </w:r>
      <w:r>
        <w:rPr>
          <w:rFonts w:hint="eastAsia" w:eastAsia="宋体"/>
          <w:color w:val="auto"/>
          <w:sz w:val="28"/>
          <w:szCs w:val="28"/>
          <w:highlight w:val="none"/>
          <w:lang w:val="en-US" w:eastAsia="zh-CN"/>
        </w:rPr>
        <w:t>招标</w:t>
      </w:r>
      <w:r>
        <w:rPr>
          <w:rFonts w:hint="eastAsia"/>
          <w:color w:val="auto"/>
          <w:sz w:val="28"/>
          <w:szCs w:val="28"/>
          <w:highlight w:val="none"/>
        </w:rPr>
        <w:t>失败的后续处理</w:t>
      </w:r>
    </w:p>
    <w:p w14:paraId="143BABBB">
      <w:pPr>
        <w:shd w:val="clear"/>
        <w:jc w:val="left"/>
        <w:rPr>
          <w:rFonts w:ascii="黑体" w:hAnsi="宋体" w:eastAsia="黑体"/>
          <w:color w:val="auto"/>
          <w:highlight w:val="none"/>
        </w:rPr>
      </w:pPr>
      <w:r>
        <w:rPr>
          <w:rFonts w:hint="eastAsia" w:ascii="黑体" w:hAnsi="宋体" w:eastAsia="黑体"/>
          <w:color w:val="auto"/>
          <w:highlight w:val="none"/>
        </w:rPr>
        <w:t>42．</w:t>
      </w:r>
      <w:r>
        <w:rPr>
          <w:rFonts w:hint="eastAsia" w:ascii="宋体" w:hAnsi="宋体" w:eastAsia="黑体"/>
          <w:color w:val="auto"/>
          <w:szCs w:val="21"/>
          <w:highlight w:val="none"/>
          <w:lang w:eastAsia="zh-CN"/>
        </w:rPr>
        <w:t>公开招标/公开征集</w:t>
      </w:r>
      <w:r>
        <w:rPr>
          <w:rFonts w:hint="eastAsia" w:ascii="黑体" w:hAnsi="宋体" w:eastAsia="黑体"/>
          <w:color w:val="auto"/>
          <w:highlight w:val="none"/>
        </w:rPr>
        <w:t>招标失败的处理</w:t>
      </w:r>
    </w:p>
    <w:p w14:paraId="72D6916F">
      <w:pPr>
        <w:shd w:val="clear"/>
        <w:ind w:firstLine="470" w:firstLineChars="196"/>
        <w:jc w:val="left"/>
        <w:rPr>
          <w:rFonts w:ascii="宋体" w:hAnsi="宋体"/>
          <w:color w:val="auto"/>
          <w:highlight w:val="none"/>
        </w:rPr>
      </w:pPr>
      <w:r>
        <w:rPr>
          <w:rFonts w:hint="eastAsia" w:ascii="宋体" w:hAnsi="宋体"/>
          <w:color w:val="auto"/>
          <w:szCs w:val="21"/>
          <w:highlight w:val="none"/>
        </w:rPr>
        <w:t>42.1本项目</w:t>
      </w:r>
      <w:r>
        <w:rPr>
          <w:rFonts w:hint="eastAsia" w:ascii="宋体" w:hAnsi="宋体" w:eastAsia="宋体"/>
          <w:color w:val="auto"/>
          <w:szCs w:val="21"/>
          <w:highlight w:val="none"/>
          <w:lang w:eastAsia="zh-CN"/>
        </w:rPr>
        <w:t>公开招标/公开征集</w:t>
      </w:r>
      <w:r>
        <w:rPr>
          <w:rFonts w:hint="eastAsia" w:ascii="宋体" w:hAnsi="宋体"/>
          <w:color w:val="auto"/>
          <w:szCs w:val="21"/>
          <w:highlight w:val="none"/>
        </w:rPr>
        <w:t>招标过程中若由于投标截止后</w:t>
      </w:r>
      <w:r>
        <w:rPr>
          <w:rFonts w:hint="eastAsia" w:ascii="宋体" w:hAnsi="宋体"/>
          <w:color w:val="auto"/>
          <w:highlight w:val="none"/>
        </w:rPr>
        <w:t>实际递交</w:t>
      </w:r>
      <w:r>
        <w:rPr>
          <w:rFonts w:ascii="宋体" w:hAnsi="宋体"/>
          <w:color w:val="auto"/>
          <w:highlight w:val="none"/>
        </w:rPr>
        <w:t>投标</w:t>
      </w:r>
      <w:r>
        <w:rPr>
          <w:rFonts w:hint="eastAsia" w:ascii="宋体" w:hAnsi="宋体"/>
          <w:color w:val="auto"/>
          <w:highlight w:val="none"/>
        </w:rPr>
        <w:t>文件的供应商数量不足、经</w:t>
      </w:r>
      <w:r>
        <w:rPr>
          <w:rFonts w:hint="eastAsia" w:ascii="宋体" w:hAnsi="宋体"/>
          <w:color w:val="auto"/>
          <w:szCs w:val="21"/>
          <w:highlight w:val="none"/>
        </w:rPr>
        <w:t>评审委员会</w:t>
      </w:r>
      <w:r>
        <w:rPr>
          <w:rFonts w:hint="eastAsia" w:ascii="宋体" w:hAnsi="宋体"/>
          <w:color w:val="auto"/>
          <w:highlight w:val="none"/>
        </w:rPr>
        <w:t>评审对招标文件作实质响应的供应商不足等原因造成</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招标失败，可由</w:t>
      </w:r>
      <w:r>
        <w:rPr>
          <w:rFonts w:hint="eastAsia" w:ascii="宋体" w:hAnsi="宋体" w:eastAsia="宋体"/>
          <w:color w:val="auto"/>
          <w:szCs w:val="21"/>
          <w:highlight w:val="none"/>
        </w:rPr>
        <w:t>招标代理</w:t>
      </w:r>
      <w:r>
        <w:rPr>
          <w:rFonts w:hint="eastAsia" w:ascii="宋体" w:hAnsi="宋体" w:cs="宋体"/>
          <w:color w:val="auto"/>
          <w:highlight w:val="none"/>
        </w:rPr>
        <w:t>机构</w:t>
      </w:r>
      <w:r>
        <w:rPr>
          <w:rFonts w:hint="eastAsia" w:ascii="宋体" w:hAnsi="宋体"/>
          <w:color w:val="auto"/>
          <w:highlight w:val="none"/>
        </w:rPr>
        <w:t>重新组织采购。</w:t>
      </w:r>
    </w:p>
    <w:p w14:paraId="69963FBF">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42.2对</w:t>
      </w:r>
      <w:r>
        <w:rPr>
          <w:rFonts w:hint="eastAsia" w:ascii="宋体" w:hAnsi="宋体" w:eastAsia="宋体"/>
          <w:color w:val="auto"/>
          <w:szCs w:val="21"/>
          <w:highlight w:val="none"/>
          <w:lang w:eastAsia="zh-CN"/>
        </w:rPr>
        <w:t>公开招标/公开征集</w:t>
      </w:r>
      <w:r>
        <w:rPr>
          <w:rFonts w:hint="eastAsia" w:ascii="宋体" w:hAnsi="宋体"/>
          <w:color w:val="auto"/>
          <w:szCs w:val="21"/>
          <w:highlight w:val="none"/>
        </w:rPr>
        <w:t>招标失败的项目，评审委员会在出具该项目招标失败结论的同时，可以提出重新采购组织形式的建议，以及进一步完善招标文件的资格、技术、商务要求的修改建议。</w:t>
      </w:r>
    </w:p>
    <w:p w14:paraId="274F23C1">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42.3重新组织采购有以下两种组织形式：</w:t>
      </w:r>
    </w:p>
    <w:p w14:paraId="4CEF5425">
      <w:pPr>
        <w:shd w:val="clear"/>
        <w:ind w:firstLine="470" w:firstLineChars="196"/>
        <w:jc w:val="both"/>
        <w:rPr>
          <w:rFonts w:ascii="宋体" w:hAnsi="宋体"/>
          <w:color w:val="auto"/>
          <w:highlight w:val="none"/>
        </w:rPr>
      </w:pPr>
      <w:r>
        <w:rPr>
          <w:rFonts w:hint="eastAsia" w:ascii="宋体" w:hAnsi="宋体"/>
          <w:color w:val="auto"/>
          <w:highlight w:val="none"/>
        </w:rPr>
        <w:t>（1）由</w:t>
      </w:r>
      <w:r>
        <w:rPr>
          <w:rFonts w:hint="eastAsia" w:ascii="宋体" w:hAnsi="宋体" w:eastAsia="宋体"/>
          <w:color w:val="auto"/>
          <w:highlight w:val="none"/>
        </w:rPr>
        <w:t>招标代理</w:t>
      </w:r>
      <w:r>
        <w:rPr>
          <w:rFonts w:hint="eastAsia" w:ascii="宋体" w:hAnsi="宋体"/>
          <w:color w:val="auto"/>
          <w:highlight w:val="none"/>
        </w:rPr>
        <w:t>机构重新组织</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w:t>
      </w:r>
    </w:p>
    <w:p w14:paraId="0E6D0879">
      <w:pPr>
        <w:shd w:val="clear"/>
        <w:ind w:firstLine="470" w:firstLineChars="196"/>
        <w:jc w:val="both"/>
        <w:rPr>
          <w:rFonts w:ascii="宋体" w:hAnsi="宋体"/>
          <w:color w:val="auto"/>
          <w:highlight w:val="none"/>
        </w:rPr>
      </w:pPr>
      <w:r>
        <w:rPr>
          <w:rFonts w:hint="eastAsia" w:ascii="宋体" w:hAnsi="宋体"/>
          <w:color w:val="auto"/>
          <w:highlight w:val="none"/>
        </w:rPr>
        <w:t>（2）根据实际情况需要向同级财政部门提出非</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招标方式申请，经同级财政部门批准，</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招标失败采购项目可转为竞争性谈判或单一来源谈判方式采购。</w:t>
      </w:r>
    </w:p>
    <w:p w14:paraId="45C4B099">
      <w:pPr>
        <w:shd w:val="clear"/>
        <w:ind w:firstLine="470" w:firstLineChars="196"/>
        <w:jc w:val="both"/>
        <w:rPr>
          <w:rFonts w:ascii="宋体" w:hAnsi="宋体"/>
          <w:color w:val="auto"/>
          <w:highlight w:val="none"/>
        </w:rPr>
      </w:pPr>
      <w:r>
        <w:rPr>
          <w:rFonts w:hint="eastAsia" w:ascii="宋体" w:hAnsi="宋体"/>
          <w:color w:val="auto"/>
          <w:highlight w:val="none"/>
        </w:rPr>
        <w:t>42.4</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招标失败的采购项目重新组织</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招标，由</w:t>
      </w:r>
      <w:r>
        <w:rPr>
          <w:rFonts w:hint="eastAsia" w:ascii="宋体" w:hAnsi="宋体" w:eastAsia="宋体"/>
          <w:color w:val="auto"/>
          <w:highlight w:val="none"/>
        </w:rPr>
        <w:t>招标代理</w:t>
      </w:r>
      <w:r>
        <w:rPr>
          <w:rFonts w:hint="eastAsia" w:ascii="宋体" w:hAnsi="宋体"/>
          <w:color w:val="auto"/>
          <w:highlight w:val="none"/>
        </w:rPr>
        <w:t>机构重新按</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招标流程组织采购活动。</w:t>
      </w:r>
    </w:p>
    <w:p w14:paraId="054178F0">
      <w:pPr>
        <w:shd w:val="clear"/>
        <w:jc w:val="both"/>
        <w:rPr>
          <w:rFonts w:ascii="宋体" w:hAnsi="宋体"/>
          <w:color w:val="auto"/>
          <w:highlight w:val="none"/>
        </w:rPr>
      </w:pPr>
      <w:r>
        <w:rPr>
          <w:rFonts w:hint="eastAsia" w:ascii="黑体" w:hAnsi="宋体" w:eastAsia="黑体"/>
          <w:color w:val="auto"/>
          <w:highlight w:val="none"/>
        </w:rPr>
        <w:t xml:space="preserve">    </w:t>
      </w:r>
      <w:r>
        <w:rPr>
          <w:rFonts w:hint="eastAsia" w:ascii="宋体" w:hAnsi="宋体"/>
          <w:color w:val="auto"/>
          <w:highlight w:val="none"/>
        </w:rPr>
        <w:t>42.5</w:t>
      </w:r>
      <w:r>
        <w:rPr>
          <w:rFonts w:hint="eastAsia" w:ascii="宋体" w:hAnsi="宋体" w:eastAsia="宋体"/>
          <w:color w:val="auto"/>
          <w:szCs w:val="21"/>
          <w:highlight w:val="none"/>
          <w:lang w:eastAsia="zh-CN"/>
        </w:rPr>
        <w:t>公开招标/公开征集</w:t>
      </w:r>
      <w:r>
        <w:rPr>
          <w:rFonts w:hint="eastAsia" w:ascii="宋体" w:hAnsi="宋体"/>
          <w:color w:val="auto"/>
          <w:highlight w:val="none"/>
        </w:rPr>
        <w:t>招标失败的采购项目经同级财政部门批准转为竞争性谈判或单一来源谈判方式采购的，按规定要求组织政府采购工作。</w:t>
      </w:r>
    </w:p>
    <w:p w14:paraId="79AA86B2">
      <w:pPr>
        <w:shd w:val="clear"/>
        <w:jc w:val="left"/>
        <w:rPr>
          <w:rFonts w:ascii="黑体" w:hAnsi="宋体" w:eastAsia="黑体"/>
          <w:color w:val="auto"/>
          <w:highlight w:val="none"/>
        </w:rPr>
      </w:pPr>
    </w:p>
    <w:p w14:paraId="2DE42991">
      <w:pPr>
        <w:pStyle w:val="3"/>
        <w:numPr>
          <w:ilvl w:val="0"/>
          <w:numId w:val="3"/>
        </w:numPr>
        <w:shd w:val="clear"/>
        <w:spacing w:before="120" w:beforeLines="50" w:after="120" w:afterLines="50"/>
        <w:ind w:left="562" w:hanging="562"/>
        <w:jc w:val="left"/>
        <w:rPr>
          <w:color w:val="auto"/>
          <w:sz w:val="28"/>
          <w:szCs w:val="28"/>
          <w:highlight w:val="none"/>
        </w:rPr>
      </w:pPr>
      <w:bookmarkStart w:id="93" w:name="_Hlk72439043"/>
      <w:r>
        <w:rPr>
          <w:rFonts w:hint="eastAsia"/>
          <w:color w:val="auto"/>
          <w:sz w:val="28"/>
          <w:szCs w:val="28"/>
          <w:highlight w:val="none"/>
        </w:rPr>
        <w:t>合同的授予与备案</w:t>
      </w:r>
      <w:bookmarkEnd w:id="93"/>
    </w:p>
    <w:p w14:paraId="7847E434">
      <w:pPr>
        <w:shd w:val="clear"/>
        <w:jc w:val="left"/>
        <w:rPr>
          <w:rFonts w:ascii="黑体" w:hAnsi="宋体" w:eastAsia="黑体"/>
          <w:color w:val="auto"/>
          <w:highlight w:val="none"/>
        </w:rPr>
      </w:pPr>
      <w:bookmarkStart w:id="94" w:name="_Toc73517679"/>
      <w:bookmarkStart w:id="95" w:name="_Toc73521586"/>
      <w:bookmarkStart w:id="96" w:name="_Toc73521674"/>
      <w:bookmarkStart w:id="97" w:name="_Toc100052408"/>
      <w:bookmarkStart w:id="98" w:name="_Toc73518157"/>
      <w:bookmarkStart w:id="99" w:name="_Hlk72439088"/>
      <w:r>
        <w:rPr>
          <w:rFonts w:hint="eastAsia" w:ascii="黑体" w:hAnsi="宋体" w:eastAsia="黑体"/>
          <w:color w:val="auto"/>
          <w:highlight w:val="none"/>
        </w:rPr>
        <w:t>43．合同授予标准</w:t>
      </w:r>
      <w:bookmarkEnd w:id="94"/>
      <w:bookmarkEnd w:id="95"/>
      <w:bookmarkEnd w:id="96"/>
      <w:bookmarkEnd w:id="97"/>
      <w:bookmarkEnd w:id="98"/>
    </w:p>
    <w:p w14:paraId="1AFD1E70">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本项目的合同将授予经本招标文件规定评审确定的中标供应商。</w:t>
      </w:r>
    </w:p>
    <w:p w14:paraId="6CCD8B8A">
      <w:pPr>
        <w:shd w:val="clear"/>
        <w:jc w:val="left"/>
        <w:rPr>
          <w:rFonts w:ascii="黑体" w:hAnsi="宋体" w:eastAsia="黑体"/>
          <w:color w:val="auto"/>
          <w:highlight w:val="none"/>
        </w:rPr>
      </w:pPr>
      <w:bookmarkStart w:id="100" w:name="_Toc100052409"/>
      <w:bookmarkStart w:id="101" w:name="_Toc73517680"/>
      <w:bookmarkStart w:id="102" w:name="_Toc73521587"/>
      <w:bookmarkStart w:id="103" w:name="_Toc73521675"/>
      <w:bookmarkStart w:id="104" w:name="_Toc73518158"/>
      <w:r>
        <w:rPr>
          <w:rFonts w:hint="eastAsia" w:ascii="黑体" w:hAnsi="宋体" w:eastAsia="黑体"/>
          <w:color w:val="auto"/>
          <w:highlight w:val="none"/>
        </w:rPr>
        <w:t>44．</w:t>
      </w:r>
      <w:bookmarkEnd w:id="100"/>
      <w:bookmarkEnd w:id="101"/>
      <w:bookmarkEnd w:id="102"/>
      <w:bookmarkEnd w:id="103"/>
      <w:bookmarkEnd w:id="104"/>
      <w:r>
        <w:rPr>
          <w:rFonts w:hint="eastAsia" w:ascii="黑体" w:hAnsi="宋体" w:eastAsia="黑体"/>
          <w:color w:val="auto"/>
          <w:highlight w:val="none"/>
        </w:rPr>
        <w:t>接受和拒绝任何或所有投标的权力</w:t>
      </w:r>
    </w:p>
    <w:p w14:paraId="29CB0482">
      <w:pPr>
        <w:shd w:val="clear"/>
        <w:ind w:firstLine="470" w:firstLineChars="196"/>
        <w:jc w:val="both"/>
        <w:rPr>
          <w:rFonts w:ascii="宋体" w:hAnsi="宋体"/>
          <w:color w:val="auto"/>
          <w:szCs w:val="21"/>
          <w:highlight w:val="none"/>
        </w:rPr>
      </w:pPr>
      <w:r>
        <w:rPr>
          <w:rFonts w:hint="eastAsia" w:ascii="宋体" w:hAnsi="宋体" w:eastAsia="宋体"/>
          <w:color w:val="auto"/>
          <w:szCs w:val="21"/>
          <w:highlight w:val="none"/>
        </w:rPr>
        <w:t>招标代理</w:t>
      </w:r>
      <w:r>
        <w:rPr>
          <w:rFonts w:hint="eastAsia" w:ascii="宋体" w:hAnsi="宋体"/>
          <w:color w:val="auto"/>
          <w:szCs w:val="21"/>
          <w:highlight w:val="none"/>
        </w:rPr>
        <w:t>机构和采购人保留在投标之前任何时候接受或拒绝任何投标或所有投标，以及宣布招标无效的权力，对受影响的投标人不承担任何责任，也无义务向受影响的投标人解释采取这一行动的理由。</w:t>
      </w:r>
    </w:p>
    <w:p w14:paraId="3D231E4A">
      <w:pPr>
        <w:shd w:val="clear"/>
        <w:jc w:val="both"/>
        <w:rPr>
          <w:rFonts w:ascii="黑体" w:hAnsi="宋体" w:eastAsia="黑体"/>
          <w:color w:val="auto"/>
          <w:highlight w:val="none"/>
        </w:rPr>
      </w:pPr>
      <w:bookmarkStart w:id="105" w:name="_Toc73521589"/>
      <w:bookmarkStart w:id="106" w:name="_Toc73521677"/>
      <w:bookmarkStart w:id="107" w:name="_Toc100052410"/>
      <w:bookmarkStart w:id="108" w:name="_Toc73518160"/>
      <w:bookmarkStart w:id="109" w:name="_Toc73517682"/>
      <w:r>
        <w:rPr>
          <w:rFonts w:hint="eastAsia" w:ascii="黑体" w:hAnsi="宋体" w:eastAsia="黑体"/>
          <w:color w:val="auto"/>
          <w:highlight w:val="none"/>
        </w:rPr>
        <w:t>45．合同的签订</w:t>
      </w:r>
      <w:bookmarkEnd w:id="105"/>
      <w:bookmarkEnd w:id="106"/>
      <w:bookmarkEnd w:id="107"/>
      <w:bookmarkEnd w:id="108"/>
      <w:bookmarkEnd w:id="109"/>
    </w:p>
    <w:p w14:paraId="7D9A2E7A">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45.1中标人将于中标通知书发出之日起十个工作日内，按照采购文件（招标文件和投标文件等）内容与采购人签订政府采购合同；合同的实质性内容应当符合招标文件的规定；</w:t>
      </w:r>
    </w:p>
    <w:p w14:paraId="772A2ABB">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45.2中标人如不按本通用条款第45</w:t>
      </w:r>
      <w:r>
        <w:rPr>
          <w:rFonts w:ascii="宋体" w:hAnsi="宋体"/>
          <w:color w:val="auto"/>
          <w:szCs w:val="21"/>
          <w:highlight w:val="none"/>
        </w:rPr>
        <w:t>.1</w:t>
      </w:r>
      <w:r>
        <w:rPr>
          <w:rFonts w:hint="eastAsia" w:ascii="宋体" w:hAnsi="宋体"/>
          <w:color w:val="auto"/>
          <w:szCs w:val="21"/>
          <w:highlight w:val="none"/>
        </w:rPr>
        <w:t>款的规定与采购人签订合同，</w:t>
      </w:r>
      <w:r>
        <w:rPr>
          <w:rFonts w:ascii="宋体" w:hAnsi="宋体" w:cs="宋体"/>
          <w:color w:val="auto"/>
          <w:szCs w:val="21"/>
          <w:highlight w:val="none"/>
        </w:rPr>
        <w:t>情节严重的，由</w:t>
      </w:r>
      <w:r>
        <w:rPr>
          <w:rFonts w:hint="eastAsia" w:ascii="宋体" w:hAnsi="宋体" w:cs="宋体"/>
          <w:color w:val="auto"/>
          <w:szCs w:val="21"/>
          <w:highlight w:val="none"/>
        </w:rPr>
        <w:t>同级财政</w:t>
      </w:r>
      <w:r>
        <w:rPr>
          <w:rFonts w:ascii="宋体" w:hAnsi="宋体" w:cs="宋体"/>
          <w:color w:val="auto"/>
          <w:szCs w:val="21"/>
          <w:highlight w:val="none"/>
        </w:rPr>
        <w:t>部门记入供应商诚信档案，予以通报</w:t>
      </w:r>
      <w:r>
        <w:rPr>
          <w:rFonts w:hint="eastAsia" w:ascii="宋体" w:hAnsi="宋体"/>
          <w:color w:val="auto"/>
          <w:szCs w:val="21"/>
          <w:highlight w:val="none"/>
        </w:rPr>
        <w:t>；</w:t>
      </w:r>
    </w:p>
    <w:p w14:paraId="13DE0AE3">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45.3中标人应当按照合同约定履行义务，完成中标项目，不得将中标项目转让（转包）给他人。</w:t>
      </w:r>
    </w:p>
    <w:p w14:paraId="3001E28A">
      <w:pPr>
        <w:shd w:val="clear"/>
        <w:jc w:val="both"/>
        <w:rPr>
          <w:rFonts w:ascii="黑体" w:hAnsi="宋体" w:eastAsia="黑体"/>
          <w:color w:val="auto"/>
          <w:highlight w:val="none"/>
        </w:rPr>
      </w:pPr>
      <w:bookmarkStart w:id="110" w:name="_Toc100052411"/>
      <w:bookmarkStart w:id="111" w:name="_Toc73517683"/>
      <w:bookmarkStart w:id="112" w:name="_Toc73521590"/>
      <w:bookmarkStart w:id="113" w:name="_Toc73521678"/>
      <w:bookmarkStart w:id="114" w:name="_Toc73518161"/>
      <w:r>
        <w:rPr>
          <w:rFonts w:hint="eastAsia" w:ascii="黑体" w:hAnsi="宋体" w:eastAsia="黑体"/>
          <w:color w:val="auto"/>
          <w:highlight w:val="none"/>
        </w:rPr>
        <w:t>46．履约担保</w:t>
      </w:r>
      <w:bookmarkEnd w:id="110"/>
      <w:bookmarkEnd w:id="111"/>
      <w:bookmarkEnd w:id="112"/>
      <w:bookmarkEnd w:id="113"/>
      <w:bookmarkEnd w:id="114"/>
    </w:p>
    <w:p w14:paraId="56B6DB62">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46.1在签订项目合同的同时，中标人应按“对通用条款的补充内容”中规定的金额向采购人提交履约担保；</w:t>
      </w:r>
    </w:p>
    <w:p w14:paraId="7E9C6672">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46.2允许供应商自主选择以支票、汇票、本票、保函等非现金方式提交履约担保；</w:t>
      </w:r>
      <w:r>
        <w:rPr>
          <w:color w:val="auto"/>
          <w:highlight w:val="none"/>
        </w:rPr>
        <w:t>中标</w:t>
      </w:r>
      <w:r>
        <w:rPr>
          <w:rFonts w:hint="eastAsia"/>
          <w:color w:val="auto"/>
          <w:highlight w:val="none"/>
        </w:rPr>
        <w:t>人</w:t>
      </w:r>
      <w:r>
        <w:rPr>
          <w:color w:val="auto"/>
          <w:highlight w:val="none"/>
        </w:rPr>
        <w:t>提交履约</w:t>
      </w:r>
      <w:r>
        <w:rPr>
          <w:rFonts w:hint="eastAsia"/>
          <w:color w:val="auto"/>
          <w:highlight w:val="none"/>
        </w:rPr>
        <w:t>担保不是</w:t>
      </w:r>
      <w:r>
        <w:rPr>
          <w:color w:val="auto"/>
          <w:highlight w:val="none"/>
        </w:rPr>
        <w:t>合同签订的</w:t>
      </w:r>
      <w:r>
        <w:rPr>
          <w:rFonts w:hint="eastAsia"/>
          <w:color w:val="auto"/>
          <w:highlight w:val="none"/>
        </w:rPr>
        <w:t>前提</w:t>
      </w:r>
      <w:r>
        <w:rPr>
          <w:color w:val="auto"/>
          <w:highlight w:val="none"/>
        </w:rPr>
        <w:t>条件，不要求中标</w:t>
      </w:r>
      <w:r>
        <w:rPr>
          <w:rFonts w:hint="eastAsia"/>
          <w:color w:val="auto"/>
          <w:highlight w:val="none"/>
        </w:rPr>
        <w:t>人</w:t>
      </w:r>
      <w:r>
        <w:rPr>
          <w:color w:val="auto"/>
          <w:highlight w:val="none"/>
        </w:rPr>
        <w:t>提供除法律、法规明确规定外的其他担保</w:t>
      </w:r>
      <w:r>
        <w:rPr>
          <w:rFonts w:hint="eastAsia"/>
          <w:color w:val="auto"/>
          <w:highlight w:val="none"/>
        </w:rPr>
        <w:t>。</w:t>
      </w:r>
    </w:p>
    <w:p w14:paraId="32E34D2A">
      <w:pPr>
        <w:shd w:val="clear"/>
        <w:jc w:val="left"/>
        <w:rPr>
          <w:rFonts w:ascii="黑体" w:hAnsi="宋体" w:eastAsia="黑体"/>
          <w:color w:val="auto"/>
          <w:highlight w:val="none"/>
        </w:rPr>
      </w:pPr>
      <w:r>
        <w:rPr>
          <w:rFonts w:hint="eastAsia" w:ascii="黑体" w:hAnsi="宋体" w:eastAsia="黑体"/>
          <w:color w:val="auto"/>
          <w:highlight w:val="none"/>
        </w:rPr>
        <w:t>47. 合同备案</w:t>
      </w:r>
    </w:p>
    <w:p w14:paraId="0C94AD16">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采购人与中标人应于合同签订之日起十日内，由采购人或委托中标人将采购合同副本抄送合同备案工作实施机构</w:t>
      </w:r>
      <w:r>
        <w:rPr>
          <w:rFonts w:hint="eastAsia" w:ascii="宋体" w:hAnsi="宋体"/>
          <w:b/>
          <w:color w:val="auto"/>
          <w:szCs w:val="21"/>
          <w:highlight w:val="none"/>
        </w:rPr>
        <w:t>（即深圳市</w:t>
      </w:r>
      <w:r>
        <w:rPr>
          <w:rFonts w:hint="eastAsia" w:ascii="宋体" w:hAnsi="宋体" w:eastAsia="宋体"/>
          <w:b/>
          <w:color w:val="auto"/>
          <w:szCs w:val="21"/>
          <w:highlight w:val="none"/>
        </w:rPr>
        <w:t>盐田区</w:t>
      </w:r>
      <w:r>
        <w:rPr>
          <w:rFonts w:hint="eastAsia" w:ascii="宋体" w:hAnsi="宋体"/>
          <w:b/>
          <w:color w:val="auto"/>
          <w:szCs w:val="21"/>
          <w:highlight w:val="none"/>
        </w:rPr>
        <w:t>政府合同履约检查中心</w:t>
      </w:r>
      <w:r>
        <w:rPr>
          <w:rFonts w:hint="eastAsia" w:ascii="宋体" w:hAnsi="宋体"/>
          <w:color w:val="auto"/>
          <w:szCs w:val="21"/>
          <w:highlight w:val="none"/>
        </w:rPr>
        <w:t>）备案。</w:t>
      </w:r>
    </w:p>
    <w:p w14:paraId="117897A6">
      <w:pPr>
        <w:shd w:val="clear"/>
        <w:jc w:val="left"/>
        <w:rPr>
          <w:rFonts w:ascii="黑体" w:hAnsi="宋体" w:eastAsia="黑体"/>
          <w:color w:val="auto"/>
          <w:highlight w:val="none"/>
        </w:rPr>
      </w:pPr>
      <w:r>
        <w:rPr>
          <w:rFonts w:hint="eastAsia" w:ascii="黑体" w:hAnsi="宋体" w:eastAsia="黑体"/>
          <w:color w:val="auto"/>
          <w:highlight w:val="none"/>
        </w:rPr>
        <w:t>48. 合同变更</w:t>
      </w:r>
    </w:p>
    <w:p w14:paraId="397D64F3">
      <w:pPr>
        <w:shd w:val="clear"/>
        <w:ind w:firstLine="470" w:firstLineChars="196"/>
        <w:jc w:val="left"/>
        <w:rPr>
          <w:rFonts w:ascii="宋体" w:hAnsi="宋体"/>
          <w:color w:val="auto"/>
          <w:szCs w:val="21"/>
          <w:highlight w:val="none"/>
        </w:rPr>
      </w:pPr>
      <w:r>
        <w:rPr>
          <w:rFonts w:hint="eastAsia" w:ascii="宋体" w:hAnsi="宋体"/>
          <w:color w:val="auto"/>
          <w:szCs w:val="21"/>
          <w:highlight w:val="none"/>
        </w:rPr>
        <w:t>合同变更事宜按《深圳市财政局 深圳市政府采购中心关于进一步加强市本级政府采购合同备案管理工作的通知》（深财购〔2019〕43号）相关规定执行。</w:t>
      </w:r>
    </w:p>
    <w:p w14:paraId="3D91436E">
      <w:pPr>
        <w:shd w:val="clear"/>
        <w:jc w:val="left"/>
        <w:rPr>
          <w:rFonts w:ascii="黑体" w:hAnsi="宋体" w:eastAsia="黑体"/>
          <w:color w:val="auto"/>
          <w:highlight w:val="none"/>
        </w:rPr>
      </w:pPr>
      <w:r>
        <w:rPr>
          <w:rFonts w:hint="eastAsia" w:ascii="黑体" w:hAnsi="宋体" w:eastAsia="黑体"/>
          <w:color w:val="auto"/>
          <w:highlight w:val="none"/>
        </w:rPr>
        <w:t>49. 项目验收</w:t>
      </w:r>
    </w:p>
    <w:p w14:paraId="16113EFB">
      <w:pPr>
        <w:shd w:val="clear"/>
        <w:ind w:right="176" w:firstLine="420"/>
        <w:jc w:val="left"/>
        <w:rPr>
          <w:rFonts w:ascii="宋体" w:hAnsi="宋体"/>
          <w:color w:val="auto"/>
          <w:highlight w:val="none"/>
        </w:rPr>
      </w:pPr>
      <w:r>
        <w:rPr>
          <w:rFonts w:hint="eastAsia" w:ascii="宋体" w:hAnsi="宋体"/>
          <w:color w:val="auto"/>
          <w:highlight w:val="none"/>
        </w:rPr>
        <w:t>49.1采购人应当按照招标文件和合同规定的标准和方法，及时组织验收。</w:t>
      </w:r>
      <w:r>
        <w:rPr>
          <w:rFonts w:ascii="宋体" w:hAnsi="宋体"/>
          <w:color w:val="auto"/>
          <w:highlight w:val="none"/>
        </w:rPr>
        <w:t xml:space="preserve"> </w:t>
      </w:r>
    </w:p>
    <w:p w14:paraId="043CB1A4">
      <w:pPr>
        <w:shd w:val="clear"/>
        <w:jc w:val="left"/>
        <w:rPr>
          <w:rFonts w:ascii="黑体" w:hAnsi="宋体" w:eastAsia="黑体"/>
          <w:color w:val="auto"/>
          <w:highlight w:val="none"/>
        </w:rPr>
      </w:pPr>
      <w:r>
        <w:rPr>
          <w:rFonts w:hint="eastAsia" w:ascii="黑体" w:hAnsi="宋体" w:eastAsia="黑体"/>
          <w:color w:val="auto"/>
          <w:highlight w:val="none"/>
        </w:rPr>
        <w:t>50. 宣传</w:t>
      </w:r>
    </w:p>
    <w:p w14:paraId="24B739A4">
      <w:pPr>
        <w:shd w:val="clear"/>
        <w:ind w:left="240" w:leftChars="100" w:firstLine="470" w:firstLineChars="196"/>
        <w:jc w:val="left"/>
        <w:rPr>
          <w:rFonts w:ascii="宋体" w:hAnsi="宋体"/>
          <w:color w:val="auto"/>
          <w:highlight w:val="none"/>
        </w:rPr>
      </w:pPr>
      <w:r>
        <w:rPr>
          <w:rFonts w:hint="eastAsia" w:ascii="宋体" w:hAnsi="宋体"/>
          <w:color w:val="auto"/>
          <w:highlight w:val="none"/>
        </w:rPr>
        <w:t>凡与政府采购活动有关的宣传或广告，若当中提及政府采购，</w:t>
      </w:r>
      <w:r>
        <w:rPr>
          <w:rFonts w:ascii="宋体" w:hAnsi="宋体"/>
          <w:color w:val="auto"/>
          <w:highlight w:val="none"/>
        </w:rPr>
        <w:t>必须事先将具体对外宣传方案报</w:t>
      </w:r>
      <w:r>
        <w:rPr>
          <w:rFonts w:hint="eastAsia" w:ascii="宋体" w:hAnsi="宋体"/>
          <w:color w:val="auto"/>
          <w:highlight w:val="none"/>
        </w:rPr>
        <w:t>同级财政部门</w:t>
      </w:r>
      <w:r>
        <w:rPr>
          <w:rFonts w:ascii="宋体" w:hAnsi="宋体"/>
          <w:color w:val="auto"/>
          <w:highlight w:val="none"/>
        </w:rPr>
        <w:t>和</w:t>
      </w:r>
      <w:r>
        <w:rPr>
          <w:rFonts w:hint="eastAsia" w:ascii="宋体" w:hAnsi="宋体" w:eastAsia="宋体"/>
          <w:color w:val="auto"/>
          <w:highlight w:val="none"/>
        </w:rPr>
        <w:t>招标代理</w:t>
      </w:r>
      <w:r>
        <w:rPr>
          <w:rFonts w:hint="eastAsia" w:ascii="宋体" w:hAnsi="宋体"/>
          <w:color w:val="auto"/>
          <w:highlight w:val="none"/>
        </w:rPr>
        <w:t>机构</w:t>
      </w:r>
      <w:r>
        <w:rPr>
          <w:rFonts w:ascii="宋体" w:hAnsi="宋体"/>
          <w:color w:val="auto"/>
          <w:highlight w:val="none"/>
        </w:rPr>
        <w:t>，并征得其同意。对外市场宣传包括但不限于以下形式：</w:t>
      </w:r>
    </w:p>
    <w:p w14:paraId="76CE9646">
      <w:pPr>
        <w:shd w:val="clear"/>
        <w:ind w:left="240" w:leftChars="100" w:firstLine="470" w:firstLineChars="196"/>
        <w:jc w:val="left"/>
        <w:rPr>
          <w:rFonts w:ascii="宋体" w:hAnsi="宋体"/>
          <w:color w:val="auto"/>
          <w:highlight w:val="none"/>
        </w:rPr>
      </w:pPr>
      <w:r>
        <w:rPr>
          <w:rFonts w:ascii="宋体" w:hAnsi="宋体"/>
          <w:color w:val="auto"/>
          <w:highlight w:val="none"/>
        </w:rPr>
        <w:t>a.名片、宣传册、广告标语等；</w:t>
      </w:r>
    </w:p>
    <w:p w14:paraId="2EC1D1E7">
      <w:pPr>
        <w:shd w:val="clear"/>
        <w:ind w:left="240" w:leftChars="100" w:firstLine="470" w:firstLineChars="196"/>
        <w:jc w:val="left"/>
        <w:rPr>
          <w:rFonts w:ascii="宋体" w:hAnsi="宋体"/>
          <w:color w:val="auto"/>
          <w:highlight w:val="none"/>
        </w:rPr>
      </w:pPr>
      <w:r>
        <w:rPr>
          <w:rFonts w:ascii="宋体" w:hAnsi="宋体"/>
          <w:color w:val="auto"/>
          <w:highlight w:val="none"/>
        </w:rPr>
        <w:t>b.案例介绍、推广等；</w:t>
      </w:r>
    </w:p>
    <w:p w14:paraId="32F12B75">
      <w:pPr>
        <w:shd w:val="clear"/>
        <w:ind w:left="240" w:leftChars="100" w:firstLine="470" w:firstLineChars="196"/>
        <w:jc w:val="left"/>
        <w:rPr>
          <w:rFonts w:ascii="宋体" w:hAnsi="宋体"/>
          <w:color w:val="auto"/>
          <w:highlight w:val="none"/>
        </w:rPr>
      </w:pPr>
      <w:r>
        <w:rPr>
          <w:rFonts w:hint="eastAsia" w:ascii="宋体" w:hAnsi="宋体"/>
          <w:color w:val="auto"/>
          <w:highlight w:val="none"/>
        </w:rPr>
        <w:t>c.工作</w:t>
      </w:r>
      <w:r>
        <w:rPr>
          <w:rFonts w:ascii="宋体" w:hAnsi="宋体"/>
          <w:color w:val="auto"/>
          <w:highlight w:val="none"/>
        </w:rPr>
        <w:t>人员向其他消费群体宣传。</w:t>
      </w:r>
    </w:p>
    <w:p w14:paraId="5488F0C2">
      <w:pPr>
        <w:shd w:val="clear"/>
        <w:jc w:val="left"/>
        <w:rPr>
          <w:rFonts w:ascii="黑体" w:hAnsi="宋体" w:eastAsia="黑体"/>
          <w:color w:val="auto"/>
          <w:highlight w:val="none"/>
        </w:rPr>
      </w:pPr>
      <w:r>
        <w:rPr>
          <w:rFonts w:hint="eastAsia" w:ascii="黑体" w:hAnsi="宋体" w:eastAsia="黑体"/>
          <w:color w:val="auto"/>
          <w:highlight w:val="none"/>
        </w:rPr>
        <w:t>51. 供应商违法责任</w:t>
      </w:r>
    </w:p>
    <w:p w14:paraId="05EE5C9D">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1.1</w:t>
      </w:r>
      <w:r>
        <w:rPr>
          <w:rFonts w:hint="eastAsia" w:ascii="宋体" w:hAnsi="宋体"/>
          <w:color w:val="auto"/>
          <w:szCs w:val="21"/>
          <w:highlight w:val="none"/>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14:paraId="1A357522">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（1）在采购活动中应当回避而未回避的；</w:t>
      </w:r>
    </w:p>
    <w:p w14:paraId="2C94AA2D">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（2）未按本条例规定签订、履行采购合同，造成严重后果的；</w:t>
      </w:r>
    </w:p>
    <w:p w14:paraId="1F8F0ECA">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（3）隐瞒真实情况，提供虚假资料的；</w:t>
      </w:r>
    </w:p>
    <w:p w14:paraId="3AB7D35C">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（4）以非法手段排斥其他供应商参与竞争的；</w:t>
      </w:r>
    </w:p>
    <w:p w14:paraId="33BBB274">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（5）与其他采购参加人串通投标的；</w:t>
      </w:r>
    </w:p>
    <w:p w14:paraId="1C84B629">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（6）恶意投诉的；</w:t>
      </w:r>
    </w:p>
    <w:p w14:paraId="3DF9EE45">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（7）向采购项目相关人行贿或者提供其他不当利益的；</w:t>
      </w:r>
    </w:p>
    <w:p w14:paraId="01ECB2A7">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（8）阻碍、抗拒主管部门监督检查的；</w:t>
      </w:r>
    </w:p>
    <w:p w14:paraId="21DC4559">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（9）其他违反本条例规定的行为。</w:t>
      </w:r>
    </w:p>
    <w:p w14:paraId="2F077999">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 xml:space="preserve">1.2 </w:t>
      </w:r>
      <w:r>
        <w:rPr>
          <w:rFonts w:hint="eastAsia" w:ascii="宋体" w:hAnsi="宋体"/>
          <w:color w:val="auto"/>
          <w:szCs w:val="21"/>
          <w:highlight w:val="none"/>
        </w:rPr>
        <w:t>根据《深圳市财政局关于明确政府采购保证金管理工作的通知》（深财购[2019]42号）的要求，供应商在政府采购活动中出现《深圳经济特区政府采购条例实施细则》第八十四条所列情形的，</w:t>
      </w:r>
      <w:bookmarkStart w:id="115" w:name="_Hlk72440769"/>
      <w:r>
        <w:rPr>
          <w:rFonts w:hint="eastAsia" w:ascii="宋体" w:hAnsi="宋体"/>
          <w:color w:val="auto"/>
          <w:szCs w:val="21"/>
          <w:highlight w:val="none"/>
        </w:rPr>
        <w:t>采购人或</w:t>
      </w:r>
      <w:r>
        <w:rPr>
          <w:rFonts w:hint="eastAsia" w:ascii="宋体" w:hAnsi="宋体" w:eastAsia="宋体"/>
          <w:color w:val="auto"/>
          <w:szCs w:val="21"/>
          <w:highlight w:val="none"/>
        </w:rPr>
        <w:t>招标代理</w:t>
      </w:r>
      <w:r>
        <w:rPr>
          <w:rFonts w:hint="eastAsia" w:ascii="宋体" w:hAnsi="宋体"/>
          <w:color w:val="auto"/>
          <w:szCs w:val="21"/>
          <w:highlight w:val="none"/>
        </w:rPr>
        <w:t>机构</w:t>
      </w:r>
      <w:bookmarkEnd w:id="115"/>
      <w:r>
        <w:rPr>
          <w:rFonts w:hint="eastAsia" w:ascii="宋体" w:hAnsi="宋体"/>
          <w:color w:val="auto"/>
          <w:szCs w:val="21"/>
          <w:highlight w:val="none"/>
        </w:rPr>
        <w:t>可将有关情况报同级财政部门，由财政部门根据实际情况记入供应商诚信档案，予以通报：</w:t>
      </w:r>
    </w:p>
    <w:p w14:paraId="15D09F58">
      <w:pPr>
        <w:shd w:val="clear"/>
        <w:ind w:firstLine="470" w:firstLineChars="196"/>
        <w:jc w:val="both"/>
        <w:rPr>
          <w:rFonts w:ascii="宋体" w:hAnsi="宋体"/>
          <w:color w:val="auto"/>
          <w:szCs w:val="21"/>
          <w:highlight w:val="none"/>
        </w:rPr>
      </w:pPr>
      <w:r>
        <w:rPr>
          <w:rFonts w:hint="eastAsia" w:ascii="宋体" w:hAnsi="宋体"/>
          <w:color w:val="auto"/>
          <w:szCs w:val="21"/>
          <w:highlight w:val="none"/>
        </w:rPr>
        <w:t>（1</w:t>
      </w:r>
      <w:r>
        <w:rPr>
          <w:rFonts w:ascii="宋体" w:hAnsi="宋体"/>
          <w:color w:val="auto"/>
          <w:szCs w:val="21"/>
          <w:highlight w:val="none"/>
        </w:rPr>
        <w:t>）投标截止后，撤销投标的；</w:t>
      </w:r>
    </w:p>
    <w:p w14:paraId="3079B928">
      <w:pPr>
        <w:shd w:val="clear"/>
        <w:ind w:firstLine="470" w:firstLineChars="196"/>
        <w:jc w:val="both"/>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2</w:t>
      </w:r>
      <w:r>
        <w:rPr>
          <w:rFonts w:ascii="宋体" w:hAnsi="宋体"/>
          <w:color w:val="auto"/>
          <w:szCs w:val="21"/>
          <w:highlight w:val="none"/>
        </w:rPr>
        <w:t>）中标后无正当理由未在规定期限内签订合同的；</w:t>
      </w:r>
    </w:p>
    <w:p w14:paraId="29A4C8FE">
      <w:pPr>
        <w:shd w:val="clear"/>
        <w:ind w:firstLine="470" w:firstLineChars="196"/>
        <w:jc w:val="both"/>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3</w:t>
      </w:r>
      <w:r>
        <w:rPr>
          <w:rFonts w:ascii="宋体" w:hAnsi="宋体"/>
          <w:color w:val="auto"/>
          <w:szCs w:val="21"/>
          <w:highlight w:val="none"/>
        </w:rPr>
        <w:t>）将中标项目转让给他人、或者在投标文件中未说明且未经采购人、采购招标机构同意，将中标项目分包给他人的；</w:t>
      </w:r>
    </w:p>
    <w:p w14:paraId="4AAB29F8">
      <w:pPr>
        <w:shd w:val="clear"/>
        <w:ind w:firstLine="470" w:firstLineChars="196"/>
        <w:jc w:val="both"/>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rPr>
        <w:t>4</w:t>
      </w:r>
      <w:r>
        <w:rPr>
          <w:rFonts w:ascii="宋体" w:hAnsi="宋体"/>
          <w:color w:val="auto"/>
          <w:szCs w:val="21"/>
          <w:highlight w:val="none"/>
        </w:rPr>
        <w:t>）拒绝履行合同义务的</w:t>
      </w:r>
      <w:r>
        <w:rPr>
          <w:rFonts w:hint="eastAsia" w:ascii="宋体" w:hAnsi="宋体"/>
          <w:color w:val="auto"/>
          <w:szCs w:val="21"/>
          <w:highlight w:val="none"/>
        </w:rPr>
        <w:t>。</w:t>
      </w:r>
    </w:p>
    <w:bookmarkEnd w:id="99"/>
    <w:p w14:paraId="118E0364">
      <w:pPr>
        <w:pStyle w:val="3"/>
        <w:numPr>
          <w:ilvl w:val="0"/>
          <w:numId w:val="3"/>
        </w:numPr>
        <w:shd w:val="clear"/>
        <w:spacing w:before="120" w:beforeLines="50" w:after="120" w:afterLines="50"/>
        <w:ind w:left="562" w:hanging="562"/>
        <w:jc w:val="both"/>
        <w:rPr>
          <w:color w:val="auto"/>
          <w:sz w:val="28"/>
          <w:szCs w:val="28"/>
          <w:highlight w:val="none"/>
        </w:rPr>
      </w:pPr>
      <w:bookmarkStart w:id="116" w:name="OLE_LINK76"/>
      <w:bookmarkStart w:id="117" w:name="OLE_LINK75"/>
      <w:r>
        <w:rPr>
          <w:rFonts w:hint="eastAsia"/>
          <w:color w:val="auto"/>
          <w:sz w:val="28"/>
          <w:szCs w:val="28"/>
          <w:highlight w:val="none"/>
        </w:rPr>
        <w:t>质疑处理</w:t>
      </w:r>
    </w:p>
    <w:bookmarkEnd w:id="116"/>
    <w:bookmarkEnd w:id="117"/>
    <w:p w14:paraId="1370E409">
      <w:pPr>
        <w:shd w:val="clear"/>
        <w:jc w:val="both"/>
        <w:rPr>
          <w:rFonts w:ascii="黑体" w:hAnsi="宋体" w:eastAsia="黑体"/>
          <w:color w:val="auto"/>
          <w:highlight w:val="none"/>
        </w:rPr>
      </w:pPr>
      <w:bookmarkStart w:id="118" w:name="_Hlk72439706"/>
      <w:r>
        <w:rPr>
          <w:rFonts w:hint="eastAsia" w:ascii="黑体" w:hAnsi="宋体" w:eastAsia="黑体"/>
          <w:color w:val="auto"/>
          <w:highlight w:val="none"/>
        </w:rPr>
        <w:t>52.质疑提出与答复</w:t>
      </w:r>
    </w:p>
    <w:p w14:paraId="0E3D8F43">
      <w:pPr>
        <w:shd w:val="clear"/>
        <w:jc w:val="both"/>
        <w:rPr>
          <w:rFonts w:ascii="宋体" w:hAnsi="宋体"/>
          <w:color w:val="auto"/>
          <w:szCs w:val="21"/>
          <w:highlight w:val="none"/>
        </w:rPr>
      </w:pPr>
      <w:r>
        <w:rPr>
          <w:rFonts w:hint="eastAsia" w:ascii="宋体" w:hAnsi="宋体"/>
          <w:color w:val="auto"/>
          <w:szCs w:val="21"/>
          <w:highlight w:val="none"/>
        </w:rPr>
        <w:t xml:space="preserve">    52.1提出质疑</w:t>
      </w:r>
    </w:p>
    <w:p w14:paraId="397592C3">
      <w:pPr>
        <w:shd w:val="clear"/>
        <w:jc w:val="both"/>
        <w:rPr>
          <w:rFonts w:ascii="宋体" w:hAnsi="宋体"/>
          <w:color w:val="auto"/>
          <w:szCs w:val="21"/>
          <w:highlight w:val="none"/>
        </w:rPr>
      </w:pPr>
      <w:r>
        <w:rPr>
          <w:rFonts w:hint="eastAsia" w:ascii="宋体" w:hAnsi="宋体"/>
          <w:color w:val="auto"/>
          <w:szCs w:val="21"/>
          <w:highlight w:val="none"/>
        </w:rPr>
        <w:t xml:space="preserve">    参与政府采购活动的供应商认为自己的权益在采购活动中受到损害的，应当自知道或者应当知道其权益受到损害之日起七个工作日内向采购人、</w:t>
      </w:r>
      <w:r>
        <w:rPr>
          <w:rFonts w:hint="eastAsia" w:ascii="宋体" w:hAnsi="宋体" w:eastAsia="宋体"/>
          <w:color w:val="auto"/>
          <w:szCs w:val="21"/>
          <w:highlight w:val="none"/>
        </w:rPr>
        <w:t>招标代理</w:t>
      </w:r>
      <w:r>
        <w:rPr>
          <w:rFonts w:hint="eastAsia" w:ascii="宋体" w:hAnsi="宋体"/>
          <w:color w:val="auto"/>
          <w:szCs w:val="21"/>
          <w:highlight w:val="none"/>
        </w:rPr>
        <w:t>机构以书面形式提出质疑。</w:t>
      </w:r>
    </w:p>
    <w:p w14:paraId="05B35519">
      <w:pPr>
        <w:shd w:val="clear"/>
        <w:jc w:val="both"/>
        <w:rPr>
          <w:rFonts w:ascii="宋体" w:hAnsi="宋体"/>
          <w:color w:val="auto"/>
          <w:szCs w:val="21"/>
          <w:highlight w:val="none"/>
        </w:rPr>
      </w:pPr>
      <w:r>
        <w:rPr>
          <w:rFonts w:hint="eastAsia" w:ascii="宋体" w:hAnsi="宋体"/>
          <w:color w:val="auto"/>
          <w:szCs w:val="21"/>
          <w:highlight w:val="none"/>
        </w:rPr>
        <w:t xml:space="preserve">    52.2</w:t>
      </w:r>
      <w:r>
        <w:rPr>
          <w:rFonts w:ascii="宋体" w:hAnsi="宋体"/>
          <w:color w:val="auto"/>
          <w:szCs w:val="21"/>
          <w:highlight w:val="none"/>
        </w:rPr>
        <w:t>法律依据</w:t>
      </w:r>
    </w:p>
    <w:p w14:paraId="4E78CB40">
      <w:pPr>
        <w:shd w:val="clear"/>
        <w:jc w:val="both"/>
        <w:rPr>
          <w:rFonts w:ascii="宋体" w:hAnsi="宋体"/>
          <w:color w:val="auto"/>
          <w:szCs w:val="21"/>
          <w:highlight w:val="none"/>
        </w:rPr>
      </w:pPr>
      <w:r>
        <w:rPr>
          <w:rFonts w:hint="eastAsia" w:ascii="宋体" w:hAnsi="宋体"/>
          <w:color w:val="auto"/>
          <w:szCs w:val="21"/>
          <w:highlight w:val="none"/>
        </w:rPr>
        <w:t xml:space="preserve">    《中华人民共和国政府采购法》、《中华人民共和国政府采购法实施条例》、</w:t>
      </w:r>
      <w:r>
        <w:rPr>
          <w:rFonts w:ascii="宋体" w:hAnsi="宋体"/>
          <w:color w:val="auto"/>
          <w:szCs w:val="21"/>
          <w:highlight w:val="none"/>
        </w:rPr>
        <w:t>《</w:t>
      </w:r>
      <w:r>
        <w:rPr>
          <w:rFonts w:hint="eastAsia" w:ascii="宋体" w:hAnsi="宋体"/>
          <w:color w:val="auto"/>
          <w:szCs w:val="21"/>
          <w:highlight w:val="none"/>
        </w:rPr>
        <w:t>深圳经济特区政府采购</w:t>
      </w:r>
      <w:r>
        <w:rPr>
          <w:rFonts w:ascii="宋体" w:hAnsi="宋体"/>
          <w:color w:val="auto"/>
          <w:szCs w:val="21"/>
          <w:highlight w:val="none"/>
        </w:rPr>
        <w:t>条例</w:t>
      </w:r>
      <w:r>
        <w:rPr>
          <w:rFonts w:hint="eastAsia" w:ascii="宋体" w:hAnsi="宋体"/>
          <w:color w:val="auto"/>
          <w:szCs w:val="21"/>
          <w:highlight w:val="none"/>
        </w:rPr>
        <w:t>》、《深圳经济特区政府采购条例实施细则》、《政府采购质疑和投诉办法》（财政部令第94号）和其他有关法律法规规定。</w:t>
      </w:r>
    </w:p>
    <w:p w14:paraId="34FB7E28">
      <w:pPr>
        <w:shd w:val="clear"/>
        <w:jc w:val="both"/>
        <w:rPr>
          <w:rFonts w:ascii="宋体" w:hAnsi="宋体"/>
          <w:color w:val="auto"/>
          <w:szCs w:val="21"/>
          <w:highlight w:val="none"/>
        </w:rPr>
      </w:pPr>
      <w:r>
        <w:rPr>
          <w:rFonts w:hint="eastAsia" w:ascii="宋体" w:hAnsi="宋体"/>
          <w:color w:val="auto"/>
          <w:szCs w:val="21"/>
          <w:highlight w:val="none"/>
        </w:rPr>
        <w:t xml:space="preserve">    52.3质疑条件</w:t>
      </w:r>
    </w:p>
    <w:p w14:paraId="5FA34291">
      <w:pPr>
        <w:shd w:val="clear"/>
        <w:jc w:val="both"/>
        <w:rPr>
          <w:rFonts w:ascii="宋体" w:hAnsi="宋体"/>
          <w:color w:val="auto"/>
          <w:szCs w:val="21"/>
          <w:highlight w:val="none"/>
        </w:rPr>
      </w:pPr>
      <w:r>
        <w:rPr>
          <w:rFonts w:hint="eastAsia" w:ascii="宋体" w:hAnsi="宋体"/>
          <w:color w:val="auto"/>
          <w:szCs w:val="21"/>
          <w:highlight w:val="none"/>
        </w:rPr>
        <w:t xml:space="preserve">    52.3.1提出质疑的供应商应当是参与所质疑项目采购活动的供应商；以联合体形式参与的，质疑应当由组成联合体的所有成员共同提出；</w:t>
      </w:r>
    </w:p>
    <w:p w14:paraId="07D0A645">
      <w:pPr>
        <w:shd w:val="clear"/>
        <w:jc w:val="both"/>
        <w:rPr>
          <w:rFonts w:ascii="宋体" w:hAnsi="宋体"/>
          <w:color w:val="auto"/>
          <w:szCs w:val="21"/>
          <w:highlight w:val="none"/>
        </w:rPr>
      </w:pPr>
      <w:r>
        <w:rPr>
          <w:rFonts w:hint="eastAsia" w:ascii="宋体" w:hAnsi="宋体"/>
          <w:color w:val="auto"/>
          <w:szCs w:val="21"/>
          <w:highlight w:val="none"/>
        </w:rPr>
        <w:t xml:space="preserve">    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14:paraId="4A2C6681">
      <w:pPr>
        <w:shd w:val="clear"/>
        <w:ind w:firstLine="420"/>
        <w:jc w:val="both"/>
        <w:rPr>
          <w:rFonts w:ascii="宋体" w:hAnsi="宋体"/>
          <w:color w:val="auto"/>
          <w:szCs w:val="21"/>
          <w:highlight w:val="none"/>
        </w:rPr>
      </w:pPr>
      <w:r>
        <w:rPr>
          <w:rFonts w:hint="eastAsia" w:ascii="宋体" w:hAnsi="宋体"/>
          <w:color w:val="auto"/>
          <w:szCs w:val="21"/>
          <w:highlight w:val="none"/>
        </w:rPr>
        <w:t>52.3.3应提交书面质疑函，质疑函应当包括以下内容：</w:t>
      </w:r>
      <w:r>
        <w:rPr>
          <w:rFonts w:ascii="宋体" w:hAnsi="宋体"/>
          <w:color w:val="auto"/>
          <w:szCs w:val="21"/>
          <w:highlight w:val="none"/>
        </w:rPr>
        <w:t xml:space="preserve"> </w:t>
      </w:r>
    </w:p>
    <w:p w14:paraId="2D8840F4">
      <w:pPr>
        <w:shd w:val="clear"/>
        <w:ind w:firstLine="420"/>
        <w:jc w:val="both"/>
        <w:rPr>
          <w:rFonts w:ascii="宋体" w:hAnsi="宋体"/>
          <w:color w:val="auto"/>
          <w:szCs w:val="21"/>
          <w:highlight w:val="none"/>
        </w:rPr>
      </w:pPr>
      <w:r>
        <w:rPr>
          <w:rFonts w:hint="eastAsia" w:ascii="宋体" w:hAnsi="宋体"/>
          <w:color w:val="auto"/>
          <w:szCs w:val="21"/>
          <w:highlight w:val="none"/>
        </w:rPr>
        <w:t>（1）供应商的名称（或者姓名）、地址、邮编、邮箱、联系人及联系电话；</w:t>
      </w:r>
    </w:p>
    <w:p w14:paraId="2CB800F2">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（2）质疑项目的名称、编号；</w:t>
      </w:r>
    </w:p>
    <w:p w14:paraId="3D239286">
      <w:pPr>
        <w:shd w:val="clear"/>
        <w:ind w:firstLine="480" w:firstLineChars="200"/>
        <w:jc w:val="left"/>
        <w:rPr>
          <w:rFonts w:ascii="宋体" w:hAnsi="宋体"/>
          <w:color w:val="auto"/>
          <w:szCs w:val="21"/>
          <w:highlight w:val="none"/>
        </w:rPr>
      </w:pPr>
      <w:r>
        <w:rPr>
          <w:rFonts w:hint="eastAsia" w:ascii="宋体" w:hAnsi="宋体"/>
          <w:color w:val="auto"/>
          <w:szCs w:val="21"/>
          <w:highlight w:val="none"/>
        </w:rPr>
        <w:t>（3）具体、明确的质疑对象、质疑事项和质疑请求；</w:t>
      </w:r>
    </w:p>
    <w:p w14:paraId="5348500C">
      <w:pPr>
        <w:shd w:val="clear"/>
        <w:ind w:firstLine="480" w:firstLineChars="200"/>
        <w:jc w:val="left"/>
        <w:rPr>
          <w:rFonts w:ascii="宋体" w:hAnsi="宋体"/>
          <w:color w:val="auto"/>
          <w:szCs w:val="21"/>
          <w:highlight w:val="none"/>
        </w:rPr>
      </w:pPr>
      <w:r>
        <w:rPr>
          <w:rFonts w:hint="eastAsia" w:ascii="宋体" w:hAnsi="宋体"/>
          <w:color w:val="auto"/>
          <w:szCs w:val="21"/>
          <w:highlight w:val="none"/>
        </w:rPr>
        <w:t>（4）因质疑事项而受损害的权益；</w:t>
      </w:r>
    </w:p>
    <w:p w14:paraId="23056664">
      <w:pPr>
        <w:shd w:val="clear"/>
        <w:ind w:firstLine="480" w:firstLineChars="200"/>
        <w:jc w:val="left"/>
        <w:rPr>
          <w:rFonts w:ascii="宋体" w:hAnsi="宋体"/>
          <w:color w:val="auto"/>
          <w:szCs w:val="21"/>
          <w:highlight w:val="none"/>
        </w:rPr>
      </w:pPr>
      <w:r>
        <w:rPr>
          <w:rFonts w:hint="eastAsia" w:ascii="宋体" w:hAnsi="宋体"/>
          <w:color w:val="auto"/>
          <w:szCs w:val="21"/>
          <w:highlight w:val="none"/>
        </w:rPr>
        <w:t>（5）事实依据；</w:t>
      </w:r>
    </w:p>
    <w:p w14:paraId="284F08B6">
      <w:pPr>
        <w:shd w:val="clear"/>
        <w:ind w:firstLine="480" w:firstLineChars="200"/>
        <w:jc w:val="left"/>
        <w:rPr>
          <w:rFonts w:ascii="宋体" w:hAnsi="宋体"/>
          <w:color w:val="auto"/>
          <w:szCs w:val="21"/>
          <w:highlight w:val="none"/>
        </w:rPr>
      </w:pPr>
      <w:r>
        <w:rPr>
          <w:rFonts w:hint="eastAsia" w:ascii="宋体" w:hAnsi="宋体"/>
          <w:color w:val="auto"/>
          <w:szCs w:val="21"/>
          <w:highlight w:val="none"/>
        </w:rPr>
        <w:t>（6）必要的法律依据；</w:t>
      </w:r>
    </w:p>
    <w:p w14:paraId="4237100A">
      <w:pPr>
        <w:shd w:val="clear"/>
        <w:ind w:firstLine="480" w:firstLineChars="200"/>
        <w:jc w:val="left"/>
        <w:rPr>
          <w:rFonts w:ascii="宋体" w:hAnsi="宋体"/>
          <w:color w:val="auto"/>
          <w:szCs w:val="21"/>
          <w:highlight w:val="none"/>
        </w:rPr>
      </w:pPr>
      <w:r>
        <w:rPr>
          <w:rFonts w:hint="eastAsia" w:ascii="宋体" w:hAnsi="宋体"/>
          <w:color w:val="auto"/>
          <w:szCs w:val="21"/>
          <w:highlight w:val="none"/>
        </w:rPr>
        <w:t>（7）提出质疑的日期。</w:t>
      </w:r>
    </w:p>
    <w:p w14:paraId="33D04C42">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供应商为自然人的，应当由本人签字；供应商为法人或者其他组织的，应当由法定代表人（负责人），或者其授权代理人签字或者盖章，并加盖公章。</w:t>
      </w:r>
    </w:p>
    <w:p w14:paraId="7D7A10D3">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52.4提交</w:t>
      </w:r>
      <w:r>
        <w:rPr>
          <w:rFonts w:ascii="宋体" w:hAnsi="宋体"/>
          <w:color w:val="auto"/>
          <w:szCs w:val="21"/>
          <w:highlight w:val="none"/>
        </w:rPr>
        <w:t>材料</w:t>
      </w:r>
    </w:p>
    <w:p w14:paraId="492FE842">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供应商质疑实行实名制。质疑（投诉）人应保证质疑、投诉的真实性，其在质疑或投诉时应当有具体的事项及证明利益受损的事实根据，实行“谁质疑，谁举证”的原则。</w:t>
      </w:r>
    </w:p>
    <w:p w14:paraId="080CE377">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供应商为自然人的，应当提交本人身份证复印件；供应商为法人或者其他组织的，应当根据自身性质提交营业执照复印件或者其他证明文件（如事业单位法人证书等）复印件。</w:t>
      </w:r>
    </w:p>
    <w:p w14:paraId="469604E1">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供应商可以委托代理人进行质疑。</w:t>
      </w:r>
      <w:r>
        <w:rPr>
          <w:rFonts w:ascii="宋体" w:hAnsi="宋体"/>
          <w:color w:val="auto"/>
          <w:szCs w:val="21"/>
          <w:highlight w:val="none"/>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14:paraId="2F114782">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52.5提交方式</w:t>
      </w:r>
    </w:p>
    <w:p w14:paraId="044168C9">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w:t>
      </w:r>
      <w:r>
        <w:rPr>
          <w:rFonts w:ascii="宋体" w:hAnsi="宋体"/>
          <w:color w:val="auto"/>
          <w:szCs w:val="21"/>
          <w:highlight w:val="none"/>
        </w:rPr>
        <w:t>2.5.</w:t>
      </w:r>
      <w:r>
        <w:rPr>
          <w:rFonts w:hint="eastAsia" w:ascii="宋体" w:hAnsi="宋体"/>
          <w:color w:val="auto"/>
          <w:szCs w:val="21"/>
          <w:highlight w:val="none"/>
        </w:rPr>
        <w:t>1请质疑供应商</w:t>
      </w:r>
      <w:r>
        <w:rPr>
          <w:rFonts w:hint="eastAsia" w:ascii="宋体" w:hAnsi="宋体" w:eastAsia="宋体"/>
          <w:color w:val="auto"/>
          <w:szCs w:val="21"/>
          <w:highlight w:val="none"/>
        </w:rPr>
        <w:t>依据质疑的内容形成书面文件提交给招标代理机构</w:t>
      </w:r>
      <w:r>
        <w:rPr>
          <w:rFonts w:hint="eastAsia" w:ascii="宋体" w:hAnsi="宋体"/>
          <w:color w:val="auto"/>
          <w:szCs w:val="21"/>
          <w:highlight w:val="none"/>
        </w:rPr>
        <w:t>。</w:t>
      </w:r>
    </w:p>
    <w:p w14:paraId="75E475F5">
      <w:pPr>
        <w:shd w:val="clear"/>
        <w:ind w:firstLine="480" w:firstLineChars="200"/>
        <w:jc w:val="both"/>
        <w:rPr>
          <w:rFonts w:ascii="宋体" w:hAnsi="宋体"/>
          <w:color w:val="auto"/>
          <w:szCs w:val="21"/>
          <w:highlight w:val="none"/>
        </w:rPr>
      </w:pPr>
      <w:r>
        <w:rPr>
          <w:rFonts w:hint="eastAsia" w:ascii="宋体" w:hAnsi="宋体"/>
          <w:b/>
          <w:bCs/>
          <w:color w:val="auto"/>
          <w:highlight w:val="none"/>
        </w:rPr>
        <w:t>收文地点：</w:t>
      </w:r>
      <w:r>
        <w:rPr>
          <w:rFonts w:hint="eastAsia" w:ascii="宋体" w:hAnsi="宋体" w:eastAsia="宋体"/>
          <w:b/>
          <w:bCs/>
          <w:color w:val="auto"/>
          <w:highlight w:val="none"/>
        </w:rPr>
        <w:t xml:space="preserve">深圳市城投全过程工程咨询有限公司   </w:t>
      </w:r>
      <w:r>
        <w:rPr>
          <w:rFonts w:hint="eastAsia" w:ascii="宋体" w:hAnsi="宋体"/>
          <w:b/>
          <w:bCs/>
          <w:color w:val="auto"/>
          <w:highlight w:val="none"/>
        </w:rPr>
        <w:t>深圳市</w:t>
      </w:r>
      <w:r>
        <w:rPr>
          <w:rFonts w:hint="eastAsia" w:ascii="宋体" w:hAnsi="宋体" w:eastAsia="宋体"/>
          <w:b/>
          <w:bCs/>
          <w:color w:val="auto"/>
          <w:highlight w:val="none"/>
        </w:rPr>
        <w:t>盐田区沙头角街道建工大厦14楼</w:t>
      </w:r>
      <w:r>
        <w:rPr>
          <w:rFonts w:hint="eastAsia" w:ascii="宋体" w:hAnsi="宋体"/>
          <w:b/>
          <w:bCs/>
          <w:color w:val="auto"/>
          <w:highlight w:val="none"/>
        </w:rPr>
        <w:t>。质疑咨询电话：</w:t>
      </w:r>
      <w:r>
        <w:rPr>
          <w:rFonts w:hint="eastAsia" w:ascii="宋体" w:hAnsi="宋体" w:eastAsia="宋体"/>
          <w:b/>
          <w:bCs/>
          <w:color w:val="auto"/>
          <w:highlight w:val="none"/>
        </w:rPr>
        <w:t>0755-25559696</w:t>
      </w:r>
      <w:r>
        <w:rPr>
          <w:rFonts w:hint="eastAsia" w:ascii="宋体" w:hAnsi="宋体"/>
          <w:b/>
          <w:bCs/>
          <w:color w:val="auto"/>
          <w:szCs w:val="21"/>
          <w:highlight w:val="none"/>
        </w:rPr>
        <w:t>。</w:t>
      </w:r>
    </w:p>
    <w:p w14:paraId="7C0E2085">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52.6收文办理</w:t>
      </w:r>
      <w:r>
        <w:rPr>
          <w:rFonts w:ascii="宋体" w:hAnsi="宋体"/>
          <w:color w:val="auto"/>
          <w:szCs w:val="21"/>
          <w:highlight w:val="none"/>
        </w:rPr>
        <w:t>程序</w:t>
      </w:r>
    </w:p>
    <w:p w14:paraId="1B9015F5">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52.6.1供应商提交的质疑符合受理条件的，</w:t>
      </w:r>
      <w:r>
        <w:rPr>
          <w:rFonts w:hint="eastAsia" w:ascii="宋体" w:hAnsi="宋体" w:eastAsia="宋体"/>
          <w:color w:val="auto"/>
          <w:szCs w:val="21"/>
          <w:highlight w:val="none"/>
        </w:rPr>
        <w:t>招标代理</w:t>
      </w:r>
      <w:r>
        <w:rPr>
          <w:rFonts w:hint="eastAsia" w:ascii="宋体" w:hAnsi="宋体"/>
          <w:color w:val="auto"/>
          <w:szCs w:val="21"/>
          <w:highlight w:val="none"/>
        </w:rPr>
        <w:t>机构自收到质疑材料之日起即为受理，应当向供应商出具质疑函收文回执并可以要求其递交质疑的法定代表人（负责人）或者授权代理人签署质疑文书送达地址确认书。</w:t>
      </w:r>
    </w:p>
    <w:p w14:paraId="7A4AB3CB">
      <w:pPr>
        <w:shd w:val="clear"/>
        <w:ind w:firstLine="480" w:firstLineChars="200"/>
        <w:jc w:val="both"/>
        <w:rPr>
          <w:rFonts w:ascii="仿宋" w:hAnsi="仿宋" w:eastAsia="仿宋"/>
          <w:color w:val="auto"/>
          <w:sz w:val="28"/>
          <w:szCs w:val="28"/>
          <w:highlight w:val="none"/>
        </w:rPr>
      </w:pPr>
      <w:r>
        <w:rPr>
          <w:rFonts w:hint="eastAsia" w:ascii="宋体" w:hAnsi="宋体"/>
          <w:color w:val="auto"/>
          <w:szCs w:val="21"/>
          <w:highlight w:val="none"/>
        </w:rPr>
        <w:t>52.6.2供应商提交的质疑材料不符合质疑条件的，视情况处理：</w:t>
      </w:r>
    </w:p>
    <w:p w14:paraId="38D735F3">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供应商提交的质疑材料不全或者未按要求签字或者盖章的，</w:t>
      </w:r>
      <w:r>
        <w:rPr>
          <w:rFonts w:hint="eastAsia" w:ascii="宋体" w:hAnsi="宋体" w:eastAsia="宋体"/>
          <w:color w:val="auto"/>
          <w:szCs w:val="21"/>
          <w:highlight w:val="none"/>
        </w:rPr>
        <w:t>招标代理</w:t>
      </w:r>
      <w:r>
        <w:rPr>
          <w:rFonts w:hint="eastAsia" w:ascii="宋体" w:hAnsi="宋体"/>
          <w:color w:val="auto"/>
          <w:szCs w:val="21"/>
          <w:highlight w:val="none"/>
        </w:rPr>
        <w:t>机构应当一次性告知供应商需补正的内容和补正期限。</w:t>
      </w:r>
    </w:p>
    <w:p w14:paraId="35FE0958">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供应商提交的质疑存在下列情形之一的，不予受理：</w:t>
      </w:r>
    </w:p>
    <w:p w14:paraId="3024C406">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（1）质疑主体不满足要求的；</w:t>
      </w:r>
    </w:p>
    <w:p w14:paraId="1C0BF3F5">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（2）供应商自身权益未受到损害的；</w:t>
      </w:r>
    </w:p>
    <w:p w14:paraId="0E80F8C4">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（3）供应商未在法定质疑期限内提出质疑的；</w:t>
      </w:r>
    </w:p>
    <w:p w14:paraId="39491B91">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（4）质疑材料不全或者未按要求签字或者盖章的情况下，要求补正后，逾期未补正或者补正后仍不符合规定的；</w:t>
      </w:r>
    </w:p>
    <w:p w14:paraId="5D488599">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（5）其他不符合受理条件情形的。</w:t>
      </w:r>
    </w:p>
    <w:p w14:paraId="79073C23">
      <w:pPr>
        <w:shd w:val="clear"/>
        <w:ind w:firstLine="480" w:firstLineChars="200"/>
        <w:jc w:val="both"/>
        <w:rPr>
          <w:rFonts w:ascii="宋体" w:hAnsi="宋体"/>
          <w:color w:val="auto"/>
          <w:szCs w:val="21"/>
          <w:highlight w:val="none"/>
        </w:rPr>
      </w:pPr>
      <w:r>
        <w:rPr>
          <w:rFonts w:hint="eastAsia" w:ascii="宋体" w:hAnsi="宋体"/>
          <w:color w:val="auto"/>
          <w:szCs w:val="21"/>
          <w:highlight w:val="none"/>
        </w:rPr>
        <w:t>质疑事项不予受理的，</w:t>
      </w:r>
      <w:r>
        <w:rPr>
          <w:rFonts w:hint="eastAsia" w:ascii="宋体" w:hAnsi="宋体" w:eastAsia="宋体"/>
          <w:color w:val="auto"/>
          <w:szCs w:val="21"/>
          <w:highlight w:val="none"/>
        </w:rPr>
        <w:t>招标代理</w:t>
      </w:r>
      <w:r>
        <w:rPr>
          <w:rFonts w:hint="eastAsia" w:ascii="宋体" w:hAnsi="宋体"/>
          <w:color w:val="auto"/>
          <w:szCs w:val="21"/>
          <w:highlight w:val="none"/>
        </w:rPr>
        <w:t>机构应当向供应商出具不符合质疑条件告知书。</w:t>
      </w:r>
    </w:p>
    <w:p w14:paraId="0FB2C140">
      <w:pPr>
        <w:shd w:val="clear"/>
        <w:jc w:val="both"/>
        <w:rPr>
          <w:rFonts w:ascii="宋体" w:hAnsi="宋体"/>
          <w:color w:val="auto"/>
          <w:szCs w:val="21"/>
          <w:highlight w:val="none"/>
        </w:rPr>
      </w:pPr>
      <w:r>
        <w:rPr>
          <w:rFonts w:hint="eastAsia" w:ascii="宋体" w:hAnsi="宋体"/>
          <w:color w:val="auto"/>
          <w:szCs w:val="21"/>
          <w:highlight w:val="none"/>
        </w:rPr>
        <w:t xml:space="preserve">    52.7质疑答复时限</w:t>
      </w:r>
    </w:p>
    <w:p w14:paraId="04DBFCD3">
      <w:pPr>
        <w:shd w:val="clear"/>
        <w:jc w:val="both"/>
        <w:rPr>
          <w:rFonts w:ascii="宋体" w:hAnsi="宋体"/>
          <w:color w:val="auto"/>
          <w:szCs w:val="21"/>
          <w:highlight w:val="none"/>
        </w:rPr>
      </w:pPr>
      <w:r>
        <w:rPr>
          <w:rFonts w:hint="eastAsia" w:ascii="宋体" w:hAnsi="宋体"/>
          <w:color w:val="auto"/>
          <w:szCs w:val="21"/>
          <w:highlight w:val="none"/>
        </w:rPr>
        <w:t xml:space="preserve">    自收文之日起七个工作日内。</w:t>
      </w:r>
    </w:p>
    <w:p w14:paraId="0DAAEC64">
      <w:pPr>
        <w:shd w:val="clear"/>
        <w:jc w:val="both"/>
        <w:rPr>
          <w:rFonts w:ascii="宋体" w:hAnsi="宋体"/>
          <w:color w:val="auto"/>
          <w:szCs w:val="21"/>
          <w:highlight w:val="none"/>
        </w:rPr>
      </w:pPr>
      <w:r>
        <w:rPr>
          <w:rFonts w:hint="eastAsia" w:ascii="宋体" w:hAnsi="宋体"/>
          <w:color w:val="auto"/>
          <w:szCs w:val="21"/>
          <w:highlight w:val="none"/>
        </w:rPr>
        <w:t xml:space="preserve">    52.8投诉</w:t>
      </w:r>
    </w:p>
    <w:p w14:paraId="54A1AA4A">
      <w:pPr>
        <w:shd w:val="clear"/>
        <w:jc w:val="both"/>
        <w:rPr>
          <w:rFonts w:ascii="宋体" w:hAnsi="宋体"/>
          <w:color w:val="auto"/>
          <w:szCs w:val="21"/>
          <w:highlight w:val="none"/>
        </w:rPr>
      </w:pPr>
      <w:r>
        <w:rPr>
          <w:rFonts w:hint="eastAsia" w:ascii="宋体" w:hAnsi="宋体"/>
          <w:color w:val="auto"/>
          <w:szCs w:val="21"/>
          <w:highlight w:val="none"/>
        </w:rPr>
        <w:t xml:space="preserve">    对质疑答复不满意或者未在规定时间内答复的，提出质疑的供应商可以在答复期满后15个工作日内向同级财政部门投诉。</w:t>
      </w:r>
    </w:p>
    <w:p w14:paraId="34E05B73">
      <w:pPr>
        <w:shd w:val="clear"/>
        <w:jc w:val="both"/>
        <w:rPr>
          <w:rFonts w:ascii="黑体" w:hAnsi="宋体" w:eastAsia="黑体"/>
          <w:color w:val="auto"/>
          <w:highlight w:val="none"/>
        </w:rPr>
      </w:pPr>
      <w:r>
        <w:rPr>
          <w:rFonts w:hint="eastAsia" w:ascii="黑体" w:hAnsi="宋体" w:eastAsia="黑体"/>
          <w:color w:val="auto"/>
          <w:highlight w:val="none"/>
        </w:rPr>
        <w:t>53. 质疑后续处理</w:t>
      </w:r>
    </w:p>
    <w:p w14:paraId="67184011">
      <w:pPr>
        <w:shd w:val="clear"/>
        <w:jc w:val="both"/>
        <w:rPr>
          <w:rFonts w:ascii="宋体" w:hAnsi="宋体"/>
          <w:color w:val="auto"/>
          <w:szCs w:val="21"/>
          <w:highlight w:val="none"/>
        </w:rPr>
      </w:pPr>
      <w:r>
        <w:rPr>
          <w:rFonts w:hint="eastAsia" w:ascii="宋体" w:hAnsi="宋体"/>
          <w:color w:val="auto"/>
          <w:szCs w:val="21"/>
          <w:highlight w:val="none"/>
        </w:rPr>
        <w:t xml:space="preserve">    53.1供应商质疑不成立，或者成立但未对中标、成交结果构成影响的，继续开展采购活动。</w:t>
      </w:r>
    </w:p>
    <w:p w14:paraId="3F4FAA28">
      <w:pPr>
        <w:shd w:val="clear"/>
        <w:ind w:firstLine="432"/>
        <w:jc w:val="both"/>
        <w:rPr>
          <w:rFonts w:ascii="宋体" w:hAnsi="宋体"/>
          <w:color w:val="auto"/>
          <w:szCs w:val="21"/>
          <w:highlight w:val="none"/>
        </w:rPr>
      </w:pPr>
      <w:r>
        <w:rPr>
          <w:rFonts w:hint="eastAsia" w:ascii="宋体" w:hAnsi="宋体"/>
          <w:color w:val="auto"/>
          <w:szCs w:val="21"/>
          <w:highlight w:val="none"/>
        </w:rPr>
        <w:t>53.2供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14:paraId="499C855A">
      <w:pPr>
        <w:shd w:val="clear"/>
        <w:ind w:firstLine="432"/>
        <w:jc w:val="both"/>
        <w:rPr>
          <w:rFonts w:ascii="宋体" w:hAnsi="宋体"/>
          <w:color w:val="auto"/>
          <w:szCs w:val="21"/>
          <w:highlight w:val="none"/>
        </w:rPr>
      </w:pPr>
      <w:r>
        <w:rPr>
          <w:rFonts w:hint="eastAsia" w:ascii="宋体" w:hAnsi="宋体"/>
          <w:color w:val="auto"/>
          <w:szCs w:val="21"/>
          <w:highlight w:val="none"/>
        </w:rPr>
        <w:t>53.3存在无效质疑、虚假与恶意质疑的供应商，将由</w:t>
      </w:r>
      <w:r>
        <w:rPr>
          <w:rFonts w:hint="eastAsia" w:ascii="宋体" w:hAnsi="宋体" w:eastAsia="宋体"/>
          <w:color w:val="auto"/>
          <w:szCs w:val="21"/>
          <w:highlight w:val="none"/>
        </w:rPr>
        <w:t>深圳市城投全过程工程有限公司</w:t>
      </w:r>
      <w:r>
        <w:rPr>
          <w:rFonts w:hint="eastAsia" w:ascii="宋体" w:hAnsi="宋体"/>
          <w:color w:val="auto"/>
          <w:szCs w:val="21"/>
          <w:highlight w:val="none"/>
        </w:rPr>
        <w:t>提请区财政部门审批后将其行为纳入我区供应商诚信档案，并作为评标参考依据，情节严重的给予取消参与我区采购招标活动的资格或其他处罚。</w:t>
      </w:r>
    </w:p>
    <w:p w14:paraId="06A0B153">
      <w:pPr>
        <w:shd w:val="clear"/>
        <w:ind w:firstLine="480" w:firstLineChars="200"/>
        <w:jc w:val="both"/>
        <w:rPr>
          <w:color w:val="auto"/>
          <w:highlight w:val="none"/>
        </w:rPr>
      </w:pPr>
      <w:r>
        <w:rPr>
          <w:rFonts w:hint="eastAsia"/>
          <w:color w:val="auto"/>
          <w:highlight w:val="none"/>
        </w:rPr>
        <w:t>54. 招标文件解释权</w:t>
      </w:r>
    </w:p>
    <w:p w14:paraId="04EEA9BB">
      <w:pPr>
        <w:shd w:val="clear"/>
        <w:ind w:firstLine="480" w:firstLineChars="200"/>
        <w:jc w:val="both"/>
        <w:rPr>
          <w:color w:val="auto"/>
          <w:highlight w:val="none"/>
        </w:rPr>
      </w:pPr>
      <w:r>
        <w:rPr>
          <w:rFonts w:hint="eastAsia"/>
          <w:color w:val="auto"/>
          <w:highlight w:val="none"/>
        </w:rPr>
        <w:t>招标文件的解释权归招标代理机构，招标文件涉及到的采购需求部分等内容由招标代理机构责成采购单位解释。采购单位对采购需求的完整性和真实性负责。</w:t>
      </w:r>
    </w:p>
    <w:p w14:paraId="7663B338">
      <w:pPr>
        <w:pStyle w:val="3"/>
        <w:shd w:val="clear"/>
        <w:rPr>
          <w:color w:val="auto"/>
          <w:sz w:val="28"/>
          <w:szCs w:val="28"/>
          <w:highlight w:val="none"/>
        </w:rPr>
      </w:pPr>
      <w:r>
        <w:rPr>
          <w:color w:val="auto"/>
          <w:sz w:val="28"/>
          <w:szCs w:val="28"/>
          <w:highlight w:val="none"/>
        </w:rPr>
        <w:t>第十二章</w:t>
      </w:r>
      <w:r>
        <w:rPr>
          <w:rFonts w:hint="eastAsia"/>
          <w:color w:val="auto"/>
          <w:sz w:val="28"/>
          <w:szCs w:val="28"/>
          <w:highlight w:val="none"/>
        </w:rPr>
        <w:t xml:space="preserve"> 招标代理服务费</w:t>
      </w:r>
    </w:p>
    <w:bookmarkEnd w:id="118"/>
    <w:p w14:paraId="3B518524">
      <w:pPr>
        <w:shd w:val="clear"/>
        <w:ind w:firstLine="480" w:firstLineChars="200"/>
        <w:jc w:val="both"/>
        <w:rPr>
          <w:color w:val="auto"/>
          <w:highlight w:val="none"/>
        </w:rPr>
      </w:pPr>
      <w:r>
        <w:rPr>
          <w:rFonts w:hint="eastAsia" w:ascii="宋体" w:hAnsi="宋体" w:eastAsia="宋体" w:cs="宋体"/>
          <w:color w:val="auto"/>
          <w:highlight w:val="none"/>
        </w:rPr>
        <w:t>中</w:t>
      </w:r>
      <w:r>
        <w:rPr>
          <w:rFonts w:hint="eastAsia"/>
          <w:color w:val="auto"/>
          <w:highlight w:val="none"/>
        </w:rPr>
        <w:t>标（成交）供应商在领取《中标（成交）通知书》之前须向招标代理机构交纳代理服务费。若因中标（成交）供应商交纳代理服务费所产生的时间影响到合同签订的，由中标（成交）供应商自行承担责任。代理服务费标准参照</w:t>
      </w:r>
      <w:r>
        <w:rPr>
          <w:rFonts w:hint="eastAsia"/>
          <w:color w:val="auto"/>
          <w:highlight w:val="none"/>
          <w:lang w:val="en-US" w:eastAsia="zh-CN"/>
        </w:rPr>
        <w:t>深圳市财政委员会关于规范深圳市社会采购代理机构管理有关事项的补充通知（深财购〔2018〕27号）</w:t>
      </w:r>
      <w:r>
        <w:rPr>
          <w:rFonts w:hint="eastAsia"/>
          <w:color w:val="auto"/>
          <w:highlight w:val="none"/>
        </w:rPr>
        <w:t>收取。</w:t>
      </w:r>
    </w:p>
    <w:p w14:paraId="02A90065">
      <w:pPr>
        <w:shd w:val="clear"/>
        <w:ind w:firstLine="480" w:firstLineChars="200"/>
        <w:jc w:val="both"/>
        <w:rPr>
          <w:color w:val="auto"/>
          <w:highlight w:val="none"/>
        </w:rPr>
      </w:pPr>
      <w:r>
        <w:rPr>
          <w:rFonts w:hint="eastAsia" w:ascii="宋体" w:hAnsi="宋体" w:eastAsia="宋体" w:cs="宋体"/>
          <w:color w:val="auto"/>
          <w:highlight w:val="none"/>
        </w:rPr>
        <w:t>（</w:t>
      </w:r>
      <w:r>
        <w:rPr>
          <w:rFonts w:hint="eastAsia"/>
          <w:color w:val="auto"/>
          <w:highlight w:val="none"/>
        </w:rPr>
        <w:t>一）代理服务费以《中标（成交）通知书》确定的中标（成交）金额作为计算基数，按差额定率累进法计算。</w:t>
      </w:r>
    </w:p>
    <w:p w14:paraId="1D6764FE">
      <w:pPr>
        <w:shd w:val="clear"/>
        <w:ind w:firstLine="480" w:firstLineChars="200"/>
        <w:jc w:val="both"/>
        <w:rPr>
          <w:rFonts w:hint="eastAsia"/>
          <w:color w:val="auto"/>
          <w:highlight w:val="none"/>
        </w:rPr>
      </w:pPr>
      <w:r>
        <w:rPr>
          <w:rFonts w:hint="eastAsia" w:ascii="宋体" w:hAnsi="宋体" w:eastAsia="宋体" w:cs="宋体"/>
          <w:color w:val="auto"/>
          <w:highlight w:val="none"/>
        </w:rPr>
        <w:t>（</w:t>
      </w:r>
      <w:r>
        <w:rPr>
          <w:rFonts w:hint="eastAsia"/>
          <w:color w:val="auto"/>
          <w:highlight w:val="none"/>
        </w:rPr>
        <w:t>二）中标金额的各部分费率如下表：</w:t>
      </w:r>
    </w:p>
    <w:p w14:paraId="5801ABF0">
      <w:pPr>
        <w:pStyle w:val="60"/>
        <w:rPr>
          <w:rFonts w:hint="eastAsia"/>
          <w:color w:val="auto"/>
          <w:highlight w:val="none"/>
        </w:rPr>
      </w:pPr>
    </w:p>
    <w:p w14:paraId="422DAB8E">
      <w:pPr>
        <w:pStyle w:val="60"/>
        <w:rPr>
          <w:rFonts w:hint="eastAsia"/>
          <w:color w:val="auto"/>
          <w:highlight w:val="none"/>
        </w:rPr>
      </w:pPr>
    </w:p>
    <w:p w14:paraId="7345EBEF">
      <w:pPr>
        <w:pStyle w:val="60"/>
        <w:rPr>
          <w:rFonts w:hint="eastAsia"/>
          <w:color w:val="auto"/>
          <w:highlight w:val="none"/>
        </w:rPr>
      </w:pPr>
    </w:p>
    <w:p w14:paraId="5FF6E75B">
      <w:pPr>
        <w:pStyle w:val="60"/>
        <w:jc w:val="center"/>
        <w:rPr>
          <w:b/>
          <w:bCs/>
          <w:color w:val="auto"/>
          <w:sz w:val="32"/>
          <w:szCs w:val="36"/>
          <w:highlight w:val="none"/>
        </w:rPr>
      </w:pPr>
      <w:r>
        <w:rPr>
          <w:rFonts w:hint="eastAsia"/>
          <w:b/>
          <w:bCs/>
          <w:color w:val="auto"/>
          <w:sz w:val="32"/>
          <w:szCs w:val="36"/>
          <w:highlight w:val="none"/>
        </w:rPr>
        <w:t>代理费用参考标准</w:t>
      </w:r>
    </w:p>
    <w:tbl>
      <w:tblPr>
        <w:tblStyle w:val="24"/>
        <w:tblW w:w="8338" w:type="dxa"/>
        <w:tblInd w:w="93" w:type="dxa"/>
        <w:tblLayout w:type="autofit"/>
        <w:tblCellMar>
          <w:top w:w="0" w:type="dxa"/>
          <w:left w:w="108" w:type="dxa"/>
          <w:bottom w:w="0" w:type="dxa"/>
          <w:right w:w="108" w:type="dxa"/>
        </w:tblCellMar>
      </w:tblPr>
      <w:tblGrid>
        <w:gridCol w:w="3367"/>
        <w:gridCol w:w="1605"/>
        <w:gridCol w:w="1710"/>
        <w:gridCol w:w="1656"/>
      </w:tblGrid>
      <w:tr w14:paraId="070FDD88">
        <w:tblPrEx>
          <w:tblCellMar>
            <w:top w:w="0" w:type="dxa"/>
            <w:left w:w="108" w:type="dxa"/>
            <w:bottom w:w="0" w:type="dxa"/>
            <w:right w:w="108" w:type="dxa"/>
          </w:tblCellMar>
        </w:tblPrEx>
        <w:trPr>
          <w:trHeight w:val="601"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2D258">
            <w:pPr>
              <w:shd w:val="clear"/>
              <w:jc w:val="center"/>
              <w:textAlignment w:val="center"/>
              <w:rPr>
                <w:rFonts w:ascii="宋体" w:hAnsi="宋体" w:eastAsia="宋体" w:cs="宋体"/>
                <w:color w:val="auto"/>
                <w:highlight w:val="none"/>
              </w:rPr>
            </w:pPr>
            <w:r>
              <w:rPr>
                <w:rFonts w:hint="eastAsia" w:ascii="宋体" w:hAnsi="宋体" w:eastAsia="宋体" w:cs="宋体"/>
                <w:color w:val="auto"/>
                <w:highlight w:val="none"/>
              </w:rPr>
              <w:t>服费务类率型中标金额</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2534A">
            <w:pPr>
              <w:shd w:val="clear"/>
              <w:jc w:val="center"/>
              <w:textAlignment w:val="center"/>
              <w:rPr>
                <w:rFonts w:eastAsia="宋体"/>
                <w:color w:val="auto"/>
                <w:highlight w:val="none"/>
              </w:rPr>
            </w:pPr>
            <w:r>
              <w:rPr>
                <w:rFonts w:eastAsia="宋体"/>
                <w:color w:val="auto"/>
                <w:highlight w:val="none"/>
              </w:rPr>
              <w:t>货物采购</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3A3B6">
            <w:pPr>
              <w:shd w:val="clear"/>
              <w:jc w:val="center"/>
              <w:textAlignment w:val="center"/>
              <w:rPr>
                <w:rFonts w:ascii="Times New Roman" w:hAnsi="Times New Roman" w:eastAsia="宋体" w:cs="Times New Roman"/>
                <w:color w:val="auto"/>
                <w:sz w:val="24"/>
                <w:szCs w:val="24"/>
                <w:highlight w:val="none"/>
                <w:lang w:val="en-US" w:eastAsia="zh-CN" w:bidi="ar-SA"/>
              </w:rPr>
            </w:pPr>
            <w:r>
              <w:rPr>
                <w:rFonts w:eastAsia="宋体"/>
                <w:color w:val="auto"/>
                <w:highlight w:val="none"/>
              </w:rPr>
              <w:t>服务采购</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3F767">
            <w:pPr>
              <w:shd w:val="clear"/>
              <w:jc w:val="center"/>
              <w:textAlignment w:val="center"/>
              <w:rPr>
                <w:rFonts w:eastAsia="宋体"/>
                <w:color w:val="auto"/>
                <w:highlight w:val="none"/>
              </w:rPr>
            </w:pPr>
            <w:r>
              <w:rPr>
                <w:rFonts w:eastAsia="宋体"/>
                <w:color w:val="auto"/>
                <w:highlight w:val="none"/>
              </w:rPr>
              <w:t>工程采购</w:t>
            </w:r>
          </w:p>
        </w:tc>
      </w:tr>
      <w:tr w14:paraId="78A239C7">
        <w:tblPrEx>
          <w:tblCellMar>
            <w:top w:w="0" w:type="dxa"/>
            <w:left w:w="108" w:type="dxa"/>
            <w:bottom w:w="0" w:type="dxa"/>
            <w:right w:w="108" w:type="dxa"/>
          </w:tblCellMar>
        </w:tblPrEx>
        <w:trPr>
          <w:trHeight w:val="599"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1D2C">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100 万元以下</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759B2">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1.500%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989ED">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1.500%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4252C">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1.000%</w:t>
            </w:r>
          </w:p>
        </w:tc>
      </w:tr>
      <w:tr w14:paraId="2D95604E">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51E17">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100 万元 (含) -500 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E3869">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1.100%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45FD4">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0.800%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E2F0">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0.700%</w:t>
            </w:r>
          </w:p>
        </w:tc>
      </w:tr>
      <w:tr w14:paraId="0266E805">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CEEBC">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500 万元 (含) -1000 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D7E9D">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0.800%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13D2D">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0.450%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EBB5">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0.550%</w:t>
            </w:r>
          </w:p>
        </w:tc>
      </w:tr>
      <w:tr w14:paraId="37C5EAD3">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FAB5">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1000 万元 (含) -5000 万元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884F3">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0.500%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9E51D">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0.250%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385513">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0.350%</w:t>
            </w:r>
          </w:p>
        </w:tc>
      </w:tr>
      <w:tr w14:paraId="0B9BCFED">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861F5">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5000 万元 (含) -1 亿元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CCB1D">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0.250%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AE9AD">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0.100%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78125">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0.200%</w:t>
            </w:r>
          </w:p>
        </w:tc>
      </w:tr>
      <w:tr w14:paraId="04E568D1">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B5C7">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 亿元 (含) -5 亿元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1DCCC">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0.050%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3BA7B">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0.050%</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B3DE">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0.050%</w:t>
            </w:r>
          </w:p>
        </w:tc>
      </w:tr>
      <w:tr w14:paraId="6B3976F0">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FE6BB">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 亿元 (含) -10 亿元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DF2F9">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0.035%</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AFF5B">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0.035%</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B2AA1">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0.035%</w:t>
            </w:r>
          </w:p>
        </w:tc>
      </w:tr>
      <w:tr w14:paraId="460F225A">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26028">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 亿元 (含) -50 亿元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700CE">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0.008%</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9BA05">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0.008%</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DBE7">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0.008%</w:t>
            </w:r>
          </w:p>
        </w:tc>
      </w:tr>
      <w:tr w14:paraId="09F7E40E">
        <w:tblPrEx>
          <w:tblCellMar>
            <w:top w:w="0" w:type="dxa"/>
            <w:left w:w="108" w:type="dxa"/>
            <w:bottom w:w="0" w:type="dxa"/>
            <w:right w:w="108" w:type="dxa"/>
          </w:tblCellMar>
        </w:tblPrEx>
        <w:trPr>
          <w:trHeight w:val="868"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20E69">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50 亿元 (含) -100 亿元</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69FD4">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0.006%</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F7C7F">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0.006%</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FC5CF">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0.006%</w:t>
            </w:r>
          </w:p>
        </w:tc>
      </w:tr>
      <w:tr w14:paraId="73D1054C">
        <w:tblPrEx>
          <w:tblCellMar>
            <w:top w:w="0" w:type="dxa"/>
            <w:left w:w="108" w:type="dxa"/>
            <w:bottom w:w="0" w:type="dxa"/>
            <w:right w:w="108" w:type="dxa"/>
          </w:tblCellMar>
        </w:tblPrEx>
        <w:trPr>
          <w:trHeight w:val="596" w:hRule="atLeast"/>
        </w:trPr>
        <w:tc>
          <w:tcPr>
            <w:tcW w:w="33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4C39C">
            <w:pPr>
              <w:shd w:val="clear"/>
              <w:jc w:val="center"/>
              <w:textAlignment w:val="center"/>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100 亿元 (含) 以上</w:t>
            </w:r>
          </w:p>
        </w:tc>
        <w:tc>
          <w:tcPr>
            <w:tcW w:w="16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6E2EB">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0.004%</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567DC">
            <w:pPr>
              <w:shd w:val="clear"/>
              <w:jc w:val="center"/>
              <w:textAlignment w:val="top"/>
              <w:rPr>
                <w:rFonts w:hint="eastAsia" w:ascii="宋体" w:hAnsi="宋体" w:eastAsia="宋体" w:cs="宋体"/>
                <w:color w:val="auto"/>
                <w:sz w:val="24"/>
                <w:szCs w:val="24"/>
                <w:highlight w:val="none"/>
                <w:lang w:val="en-US" w:eastAsia="zh-CN" w:bidi="ar-SA"/>
              </w:rPr>
            </w:pPr>
            <w:r>
              <w:rPr>
                <w:rFonts w:hint="eastAsia" w:ascii="宋体" w:hAnsi="宋体" w:eastAsia="宋体" w:cs="宋体"/>
                <w:color w:val="auto"/>
                <w:highlight w:val="none"/>
              </w:rPr>
              <w:t>0.004%</w:t>
            </w:r>
          </w:p>
        </w:tc>
        <w:tc>
          <w:tcPr>
            <w:tcW w:w="16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60FC5">
            <w:pPr>
              <w:shd w:val="clear"/>
              <w:jc w:val="center"/>
              <w:textAlignment w:val="top"/>
              <w:rPr>
                <w:rFonts w:hint="eastAsia" w:ascii="宋体" w:hAnsi="宋体" w:eastAsia="宋体" w:cs="宋体"/>
                <w:color w:val="auto"/>
                <w:highlight w:val="none"/>
              </w:rPr>
            </w:pPr>
            <w:r>
              <w:rPr>
                <w:rFonts w:hint="eastAsia" w:ascii="宋体" w:hAnsi="宋体" w:eastAsia="宋体" w:cs="宋体"/>
                <w:color w:val="auto"/>
                <w:highlight w:val="none"/>
              </w:rPr>
              <w:t>0.004%</w:t>
            </w:r>
          </w:p>
        </w:tc>
      </w:tr>
    </w:tbl>
    <w:p w14:paraId="2DEB5D8F">
      <w:pPr>
        <w:shd w:val="clear"/>
        <w:rPr>
          <w:color w:val="auto"/>
          <w:highlight w:val="none"/>
        </w:rPr>
      </w:pPr>
    </w:p>
    <w:p w14:paraId="76FDA133">
      <w:pPr>
        <w:shd w:val="clear"/>
        <w:ind w:firstLine="480" w:firstLineChars="200"/>
        <w:jc w:val="left"/>
        <w:rPr>
          <w:color w:val="auto"/>
          <w:highlight w:val="none"/>
        </w:rPr>
      </w:pPr>
      <w:r>
        <w:rPr>
          <w:rFonts w:hint="eastAsia" w:ascii="宋体" w:hAnsi="宋体" w:eastAsia="宋体" w:cs="宋体"/>
          <w:color w:val="auto"/>
          <w:highlight w:val="none"/>
        </w:rPr>
        <w:t>如</w:t>
      </w:r>
      <w:r>
        <w:rPr>
          <w:rFonts w:hint="eastAsia"/>
          <w:color w:val="auto"/>
          <w:highlight w:val="none"/>
        </w:rPr>
        <w:t>某货物采购项目，中标金额为600万元，总共交纳的代理服务费的具体计算过程如下：</w:t>
      </w:r>
    </w:p>
    <w:p w14:paraId="3232DE7E">
      <w:pPr>
        <w:shd w:val="clear"/>
        <w:ind w:firstLine="480" w:firstLineChars="200"/>
        <w:jc w:val="left"/>
        <w:rPr>
          <w:color w:val="auto"/>
          <w:highlight w:val="none"/>
        </w:rPr>
      </w:pPr>
      <w:r>
        <w:rPr>
          <w:rFonts w:hint="eastAsia" w:ascii="宋体" w:hAnsi="宋体" w:eastAsia="宋体" w:cs="宋体"/>
          <w:color w:val="auto"/>
          <w:highlight w:val="none"/>
        </w:rPr>
        <w:t>标</w:t>
      </w:r>
      <w:r>
        <w:rPr>
          <w:rFonts w:hint="eastAsia"/>
          <w:color w:val="auto"/>
          <w:highlight w:val="none"/>
        </w:rPr>
        <w:t>准代理服务费＝（100万以下部分的代理服务费）+（100万～500万部分的代理服务费）+（500万～600万部分的代理服务费）＝100万元×1.5%+（500-100）万元×1.1%+（600-500）万元×0.8%=1.5万元+4.4万元+0.8万元＝6.7万元</w:t>
      </w:r>
    </w:p>
    <w:p w14:paraId="5E0690EA">
      <w:pPr>
        <w:shd w:val="clear"/>
        <w:ind w:firstLine="480" w:firstLineChars="200"/>
        <w:jc w:val="left"/>
        <w:rPr>
          <w:color w:val="auto"/>
          <w:highlight w:val="none"/>
        </w:rPr>
      </w:pPr>
      <w:r>
        <w:rPr>
          <w:rFonts w:hint="eastAsia" w:ascii="宋体" w:hAnsi="宋体" w:eastAsia="宋体" w:cs="宋体"/>
          <w:color w:val="auto"/>
          <w:highlight w:val="none"/>
        </w:rPr>
        <w:t>（</w:t>
      </w:r>
      <w:r>
        <w:rPr>
          <w:rFonts w:hint="eastAsia"/>
          <w:color w:val="auto"/>
          <w:highlight w:val="none"/>
        </w:rPr>
        <w:t>三）每宗交易代理服务费不低于</w:t>
      </w:r>
      <w:r>
        <w:rPr>
          <w:rFonts w:hint="eastAsia" w:eastAsia="宋体"/>
          <w:color w:val="auto"/>
          <w:highlight w:val="none"/>
          <w:lang w:val="en-US" w:eastAsia="zh-CN"/>
        </w:rPr>
        <w:t>5</w:t>
      </w:r>
      <w:r>
        <w:rPr>
          <w:rFonts w:hint="eastAsia"/>
          <w:color w:val="auto"/>
          <w:highlight w:val="none"/>
        </w:rPr>
        <w:t>000元；</w:t>
      </w:r>
    </w:p>
    <w:p w14:paraId="74B84357">
      <w:pPr>
        <w:shd w:val="clear"/>
        <w:ind w:firstLine="480" w:firstLineChars="200"/>
        <w:jc w:val="left"/>
        <w:rPr>
          <w:color w:val="auto"/>
          <w:highlight w:val="none"/>
        </w:rPr>
      </w:pPr>
      <w:r>
        <w:rPr>
          <w:rFonts w:hint="eastAsia" w:ascii="宋体" w:hAnsi="宋体" w:eastAsia="宋体" w:cs="宋体"/>
          <w:color w:val="auto"/>
          <w:highlight w:val="none"/>
        </w:rPr>
        <w:t>（</w:t>
      </w:r>
      <w:r>
        <w:rPr>
          <w:rFonts w:hint="eastAsia"/>
          <w:color w:val="auto"/>
          <w:highlight w:val="none"/>
        </w:rPr>
        <w:t>四）中标供应商中标后，必须按规定采用银行对公转账方式向</w:t>
      </w:r>
      <w:r>
        <w:rPr>
          <w:rFonts w:hint="eastAsia" w:eastAsia="宋体"/>
          <w:color w:val="auto"/>
          <w:highlight w:val="none"/>
        </w:rPr>
        <w:t>深圳市城投全过程工程咨询有限公司</w:t>
      </w:r>
      <w:r>
        <w:rPr>
          <w:rFonts w:hint="eastAsia"/>
          <w:color w:val="auto"/>
          <w:highlight w:val="none"/>
        </w:rPr>
        <w:t>直接交纳代理服务费，交纳信息及要求按以下规定执行：</w:t>
      </w:r>
    </w:p>
    <w:p w14:paraId="44D46CE6">
      <w:pPr>
        <w:shd w:val="clear"/>
        <w:ind w:firstLine="480" w:firstLineChars="200"/>
        <w:jc w:val="left"/>
        <w:rPr>
          <w:color w:val="auto"/>
          <w:highlight w:val="none"/>
        </w:rPr>
      </w:pPr>
      <w:r>
        <w:rPr>
          <w:rFonts w:hint="eastAsia" w:ascii="宋体" w:hAnsi="宋体" w:eastAsia="宋体" w:cs="宋体"/>
          <w:color w:val="auto"/>
          <w:highlight w:val="none"/>
        </w:rPr>
        <w:t>基</w:t>
      </w:r>
      <w:r>
        <w:rPr>
          <w:rFonts w:hint="eastAsia"/>
          <w:color w:val="auto"/>
          <w:highlight w:val="none"/>
        </w:rPr>
        <w:t>本户信息：</w:t>
      </w:r>
    </w:p>
    <w:p w14:paraId="0F239121">
      <w:pPr>
        <w:shd w:val="clear"/>
        <w:ind w:firstLine="480" w:firstLineChars="200"/>
        <w:jc w:val="left"/>
        <w:rPr>
          <w:color w:val="auto"/>
          <w:highlight w:val="none"/>
        </w:rPr>
      </w:pPr>
      <w:r>
        <w:rPr>
          <w:rFonts w:hint="eastAsia" w:ascii="宋体" w:hAnsi="宋体" w:eastAsia="宋体" w:cs="宋体"/>
          <w:color w:val="auto"/>
          <w:highlight w:val="none"/>
        </w:rPr>
        <w:t>账</w:t>
      </w:r>
      <w:r>
        <w:rPr>
          <w:rFonts w:hint="eastAsia"/>
          <w:color w:val="auto"/>
          <w:highlight w:val="none"/>
        </w:rPr>
        <w:t>户名：深圳市城投全过程工程咨询有限公司</w:t>
      </w:r>
    </w:p>
    <w:p w14:paraId="65051F29">
      <w:pPr>
        <w:shd w:val="clear"/>
        <w:ind w:firstLine="480" w:firstLineChars="200"/>
        <w:jc w:val="left"/>
        <w:rPr>
          <w:color w:val="auto"/>
          <w:highlight w:val="none"/>
        </w:rPr>
      </w:pPr>
      <w:r>
        <w:rPr>
          <w:rFonts w:hint="eastAsia" w:ascii="宋体" w:hAnsi="宋体" w:eastAsia="宋体" w:cs="宋体"/>
          <w:color w:val="auto"/>
          <w:highlight w:val="none"/>
        </w:rPr>
        <w:t>账</w:t>
      </w:r>
      <w:r>
        <w:rPr>
          <w:rFonts w:hint="eastAsia"/>
          <w:color w:val="auto"/>
          <w:highlight w:val="none"/>
        </w:rPr>
        <w:t>号：41018100040035592</w:t>
      </w:r>
    </w:p>
    <w:p w14:paraId="0A9E83C2">
      <w:pPr>
        <w:shd w:val="clear"/>
        <w:ind w:firstLine="480" w:firstLineChars="200"/>
        <w:jc w:val="left"/>
        <w:rPr>
          <w:color w:val="auto"/>
          <w:highlight w:val="none"/>
        </w:rPr>
      </w:pPr>
      <w:r>
        <w:rPr>
          <w:rFonts w:hint="eastAsia" w:ascii="宋体" w:hAnsi="宋体" w:eastAsia="宋体" w:cs="宋体"/>
          <w:color w:val="auto"/>
          <w:highlight w:val="none"/>
        </w:rPr>
        <w:t>开</w:t>
      </w:r>
      <w:r>
        <w:rPr>
          <w:rFonts w:hint="eastAsia"/>
          <w:color w:val="auto"/>
          <w:highlight w:val="none"/>
        </w:rPr>
        <w:t>户行：农业银行深圳沙头角支行</w:t>
      </w:r>
    </w:p>
    <w:p w14:paraId="31D2F22D">
      <w:pPr>
        <w:shd w:val="clear"/>
        <w:ind w:firstLine="480" w:firstLineChars="200"/>
        <w:jc w:val="left"/>
        <w:rPr>
          <w:color w:val="auto"/>
          <w:highlight w:val="none"/>
        </w:rPr>
      </w:pPr>
      <w:r>
        <w:rPr>
          <w:rFonts w:hint="eastAsia" w:ascii="宋体" w:hAnsi="宋体" w:eastAsia="宋体" w:cs="宋体"/>
          <w:color w:val="auto"/>
          <w:highlight w:val="none"/>
        </w:rPr>
        <w:t>转</w:t>
      </w:r>
      <w:r>
        <w:rPr>
          <w:rFonts w:hint="eastAsia"/>
          <w:color w:val="auto"/>
          <w:highlight w:val="none"/>
        </w:rPr>
        <w:t>账备注：</w:t>
      </w:r>
    </w:p>
    <w:p w14:paraId="4EACF11F">
      <w:pPr>
        <w:shd w:val="clear"/>
        <w:ind w:firstLine="480" w:firstLineChars="200"/>
        <w:jc w:val="left"/>
        <w:rPr>
          <w:color w:val="auto"/>
          <w:highlight w:val="none"/>
        </w:rPr>
      </w:pPr>
      <w:r>
        <w:rPr>
          <w:rFonts w:hint="eastAsia" w:ascii="宋体" w:hAnsi="宋体" w:eastAsia="宋体" w:cs="宋体"/>
          <w:color w:val="auto"/>
          <w:highlight w:val="none"/>
        </w:rPr>
        <w:t>项</w:t>
      </w:r>
      <w:r>
        <w:rPr>
          <w:rFonts w:hint="eastAsia"/>
          <w:color w:val="auto"/>
          <w:highlight w:val="none"/>
        </w:rPr>
        <w:t>目名称+中标金额+中标供应商名称</w:t>
      </w:r>
    </w:p>
    <w:p w14:paraId="5B413ECA">
      <w:pPr>
        <w:shd w:val="clear"/>
        <w:ind w:firstLine="432"/>
        <w:rPr>
          <w:rFonts w:ascii="宋体" w:hAnsi="宋体"/>
          <w:color w:val="auto"/>
          <w:szCs w:val="21"/>
          <w:highlight w:val="none"/>
        </w:rPr>
      </w:pPr>
    </w:p>
    <w:p w14:paraId="7F8F34C7">
      <w:pPr>
        <w:shd w:val="clear"/>
        <w:rPr>
          <w:color w:val="auto"/>
          <w:highlight w:val="none"/>
        </w:rPr>
      </w:pPr>
      <w:r>
        <w:rPr>
          <w:color w:val="auto"/>
          <w:highlight w:val="none"/>
        </w:rPr>
        <w:t>---- END ----</w:t>
      </w:r>
    </w:p>
    <w:p w14:paraId="50955F26">
      <w:pPr>
        <w:shd w:val="clear"/>
        <w:jc w:val="left"/>
        <w:rPr>
          <w:rFonts w:eastAsia="宋体"/>
          <w:color w:val="auto"/>
          <w:highlight w:val="none"/>
        </w:rPr>
      </w:pPr>
    </w:p>
    <w:sectPr>
      <w:headerReference r:id="rId7" w:type="default"/>
      <w:footerReference r:id="rId8" w:type="default"/>
      <w:pgSz w:w="11906" w:h="16838"/>
      <w:pgMar w:top="1440" w:right="1800" w:bottom="1440" w:left="1800"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E05D27CE-793B-40B9-A126-27D6F56A3A50}"/>
  </w:font>
  <w:font w:name="黑体">
    <w:panose1 w:val="02010609060101010101"/>
    <w:charset w:val="86"/>
    <w:family w:val="auto"/>
    <w:pitch w:val="default"/>
    <w:sig w:usb0="800002BF" w:usb1="38CF7CFA" w:usb2="00000016" w:usb3="00000000" w:csb0="00040001" w:csb1="00000000"/>
    <w:embedRegular r:id="rId2" w:fontKey="{9452535B-9EA4-4F4D-9790-4913421B54E6}"/>
  </w:font>
  <w:font w:name="Courier New">
    <w:panose1 w:val="02070309020205020404"/>
    <w:charset w:val="01"/>
    <w:family w:val="modern"/>
    <w:pitch w:val="default"/>
    <w:sig w:usb0="E0002EFF" w:usb1="C0007843" w:usb2="00000009" w:usb3="00000000" w:csb0="400001FF" w:csb1="FFFF0000"/>
    <w:embedRegular r:id="rId3" w:fontKey="{39D50186-8C3A-466F-BFC7-40EE57F56915}"/>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4" w:fontKey="{87A40461-D1F6-4F80-8B54-7334661F1780}"/>
  </w:font>
  <w:font w:name="仿宋">
    <w:panose1 w:val="02010609060101010101"/>
    <w:charset w:val="86"/>
    <w:family w:val="modern"/>
    <w:pitch w:val="default"/>
    <w:sig w:usb0="800002BF" w:usb1="38CF7CFA" w:usb2="00000016" w:usb3="00000000" w:csb0="00040001" w:csb1="00000000"/>
    <w:embedRegular r:id="rId5" w:fontKey="{D437D44D-EEA7-4D83-8CB3-A2C0F975D4DF}"/>
  </w:font>
  <w:font w:name="Cambria">
    <w:panose1 w:val="02040503050406030204"/>
    <w:charset w:val="00"/>
    <w:family w:val="roman"/>
    <w:pitch w:val="default"/>
    <w:sig w:usb0="E00006FF" w:usb1="420024FF" w:usb2="02000000" w:usb3="00000000" w:csb0="2000019F" w:csb1="00000000"/>
    <w:embedRegular r:id="rId6" w:fontKey="{EBA70843-CBB9-4BBA-B510-FE56BE81614C}"/>
  </w:font>
  <w:font w:name="等线">
    <w:panose1 w:val="02010600030101010101"/>
    <w:charset w:val="86"/>
    <w:family w:val="auto"/>
    <w:pitch w:val="default"/>
    <w:sig w:usb0="A00002BF" w:usb1="38CF7CFA" w:usb2="00000016" w:usb3="00000000" w:csb0="0004000F" w:csb1="00000000"/>
    <w:embedRegular r:id="rId7" w:fontKey="{18E9C674-A1FB-456E-B432-4B2930A843EA}"/>
  </w:font>
  <w:font w:name="新宋体">
    <w:panose1 w:val="02010609030101010101"/>
    <w:charset w:val="86"/>
    <w:family w:val="modern"/>
    <w:pitch w:val="default"/>
    <w:sig w:usb0="00000203" w:usb1="288F0000" w:usb2="00000006" w:usb3="00000000" w:csb0="00040001" w:csb1="00000000"/>
    <w:embedRegular r:id="rId8" w:fontKey="{6D293EC6-40B0-453D-B3B7-1DF62A71E622}"/>
  </w:font>
  <w:font w:name="Segoe UI Symbol">
    <w:panose1 w:val="020B0502040204020203"/>
    <w:charset w:val="00"/>
    <w:family w:val="swiss"/>
    <w:pitch w:val="default"/>
    <w:sig w:usb0="800001E3" w:usb1="1200FFEF" w:usb2="00040000" w:usb3="04000000" w:csb0="00000001" w:csb1="40000000"/>
    <w:embedRegular r:id="rId9" w:fontKey="{4E951481-61D9-4834-A8EB-F3A96D8FB4DD}"/>
  </w:font>
  <w:font w:name="楷体_GB2312">
    <w:altName w:val="楷体"/>
    <w:panose1 w:val="02010609030101010101"/>
    <w:charset w:val="86"/>
    <w:family w:val="modern"/>
    <w:pitch w:val="default"/>
    <w:sig w:usb0="00000000" w:usb1="00000000" w:usb2="00000000" w:usb3="00000000" w:csb0="00040000" w:csb1="00000000"/>
    <w:embedRegular r:id="rId10" w:fontKey="{83449EE6-EE4E-4D04-B7AE-DAB98D0F6DD7}"/>
  </w:font>
  <w:font w:name="楷体">
    <w:panose1 w:val="02010609060101010101"/>
    <w:charset w:val="86"/>
    <w:family w:val="auto"/>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00000" w:usb3="00000000" w:csb0="00040000" w:csb1="00000000"/>
    <w:embedRegular r:id="rId11" w:fontKey="{50D7ACA5-B731-43B6-B866-BB67ECF6B772}"/>
  </w:font>
  <w:font w:name="微软雅黑">
    <w:panose1 w:val="020B0503020204020204"/>
    <w:charset w:val="86"/>
    <w:family w:val="auto"/>
    <w:pitch w:val="default"/>
    <w:sig w:usb0="80000287" w:usb1="2ACF3C50" w:usb2="00000016" w:usb3="00000000" w:csb0="0004001F" w:csb1="00000000"/>
  </w:font>
  <w:font w:name="ˎ̥">
    <w:altName w:val="华文仿宋"/>
    <w:panose1 w:val="00000000000000000000"/>
    <w:charset w:val="00"/>
    <w:family w:val="roman"/>
    <w:pitch w:val="default"/>
    <w:sig w:usb0="00000000" w:usb1="00000000" w:usb2="00000000" w:usb3="00000000" w:csb0="00040001" w:csb1="00000000"/>
    <w:embedRegular r:id="rId12" w:fontKey="{279F5D0C-B3DD-4C15-896A-9C76B6E95C18}"/>
  </w:font>
  <w:font w:name="华文仿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KSOFF9CBECC6">
    <w:panose1 w:val="02010609060101010101"/>
    <w:charset w:val="86"/>
    <w:family w:val="auto"/>
    <w:pitch w:val="default"/>
    <w:sig w:usb0="00000001" w:usb1="00000000" w:usb2="00000000" w:usb3="00000000" w:csb0="00040001" w:csb1="00000000"/>
  </w:font>
  <w:font w:name="KSOFD8A28030">
    <w:panose1 w:val="020B0503020204020204"/>
    <w:charset w:val="86"/>
    <w:family w:val="auto"/>
    <w:pitch w:val="default"/>
    <w:sig w:usb0="00000001"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D300C9">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9ABE55">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459ABE55">
                    <w:pPr>
                      <w:pStyle w:val="1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236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4CD159">
    <w:pPr>
      <w:pStyle w:val="13"/>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D141E6">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236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6ED141E6">
                    <w:pPr>
                      <w:pStyle w:val="13"/>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236</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FF350">
    <w:pPr>
      <w:pStyle w:val="13"/>
      <w:framePr w:wrap="around" w:vAnchor="text" w:hAnchor="margin" w:xAlign="right" w:y="1"/>
      <w:rPr>
        <w:rStyle w:val="28"/>
      </w:rPr>
    </w:pPr>
    <w:r>
      <w:fldChar w:fldCharType="begin"/>
    </w:r>
    <w:r>
      <w:rPr>
        <w:rStyle w:val="28"/>
      </w:rPr>
      <w:instrText xml:space="preserve">PAGE  </w:instrText>
    </w:r>
    <w:r>
      <w:fldChar w:fldCharType="end"/>
    </w:r>
  </w:p>
  <w:p w14:paraId="35E88E12">
    <w:pPr>
      <w:pStyle w:val="1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E9214A">
    <w:pPr>
      <w:pStyle w:val="13"/>
      <w:rPr>
        <w:rFonts w:eastAsia="宋体"/>
      </w:rP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17EB19DB">
                          <w:pPr>
                            <w:rPr>
                              <w:rFonts w:eastAsia="宋体"/>
                            </w:rPr>
                          </w:pPr>
                          <w:r>
                            <w:rPr>
                              <w:rFonts w:eastAsia="宋体"/>
                            </w:rPr>
                            <w:t xml:space="preserve">第 </w:t>
                          </w:r>
                          <w:r>
                            <w:rPr>
                              <w:rFonts w:eastAsia="宋体"/>
                            </w:rPr>
                            <w:fldChar w:fldCharType="begin"/>
                          </w:r>
                          <w:r>
                            <w:rPr>
                              <w:rFonts w:eastAsia="宋体"/>
                            </w:rPr>
                            <w:instrText xml:space="preserve"> PAGE  \* MERGEFORMAT </w:instrText>
                          </w:r>
                          <w:r>
                            <w:rPr>
                              <w:rFonts w:eastAsia="宋体"/>
                            </w:rPr>
                            <w:fldChar w:fldCharType="separate"/>
                          </w:r>
                          <w:r>
                            <w:rPr>
                              <w:rFonts w:eastAsia="宋体"/>
                            </w:rPr>
                            <w:t>119</w:t>
                          </w:r>
                          <w:r>
                            <w:rPr>
                              <w:rFonts w:eastAsia="宋体"/>
                            </w:rPr>
                            <w:fldChar w:fldCharType="end"/>
                          </w:r>
                          <w:r>
                            <w:rPr>
                              <w:rFonts w:eastAsia="宋体"/>
                            </w:rPr>
                            <w:t xml:space="preserve"> 页 共 </w:t>
                          </w:r>
                          <w:r>
                            <w:rPr>
                              <w:rFonts w:eastAsia="宋体"/>
                            </w:rPr>
                            <w:fldChar w:fldCharType="begin"/>
                          </w:r>
                          <w:r>
                            <w:rPr>
                              <w:rFonts w:eastAsia="宋体"/>
                            </w:rPr>
                            <w:instrText xml:space="preserve"> NUMPAGES  \* MERGEFORMAT </w:instrText>
                          </w:r>
                          <w:r>
                            <w:rPr>
                              <w:rFonts w:eastAsia="宋体"/>
                            </w:rPr>
                            <w:fldChar w:fldCharType="separate"/>
                          </w:r>
                          <w:r>
                            <w:rPr>
                              <w:rFonts w:eastAsia="宋体"/>
                            </w:rPr>
                            <w:t>236</w:t>
                          </w:r>
                          <w:r>
                            <w:rPr>
                              <w:rFonts w:eastAsia="宋体"/>
                            </w:rPr>
                            <w:fldChar w:fldCharType="end"/>
                          </w:r>
                          <w:r>
                            <w:rPr>
                              <w:rFonts w:eastAsia="宋体"/>
                            </w:rPr>
                            <w:t xml:space="preserve"> 页</w:t>
                          </w:r>
                        </w:p>
                      </w:txbxContent>
                    </wps:txbx>
                    <wps:bodyPr vert="horz" wrap="none" lIns="0" tIns="0" rIns="0" bIns="0" anchor="t">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C5dblS0AAAAAUBAAAPAAAAAAAAAAEAIAAAACIAAABkcnMvZG93bnJldi54&#10;bWxQSwECFAAUAAAACACHTuJAAlies8kBAACSAwAADgAAAAAAAAABACAAAAAfAQAAZHJzL2Uyb0Rv&#10;Yy54bWxQSwUGAAAAAAYABgBZAQAAWgUAAAAA&#10;">
              <v:fill on="f" focussize="0,0"/>
              <v:stroke on="f"/>
              <v:imagedata o:title=""/>
              <o:lock v:ext="edit" aspectratio="f"/>
              <v:textbox inset="0mm,0mm,0mm,0mm" style="mso-fit-shape-to-text:t;">
                <w:txbxContent>
                  <w:p w14:paraId="17EB19DB">
                    <w:pPr>
                      <w:rPr>
                        <w:rFonts w:eastAsia="宋体"/>
                      </w:rPr>
                    </w:pPr>
                    <w:r>
                      <w:rPr>
                        <w:rFonts w:eastAsia="宋体"/>
                      </w:rPr>
                      <w:t xml:space="preserve">第 </w:t>
                    </w:r>
                    <w:r>
                      <w:rPr>
                        <w:rFonts w:eastAsia="宋体"/>
                      </w:rPr>
                      <w:fldChar w:fldCharType="begin"/>
                    </w:r>
                    <w:r>
                      <w:rPr>
                        <w:rFonts w:eastAsia="宋体"/>
                      </w:rPr>
                      <w:instrText xml:space="preserve"> PAGE  \* MERGEFORMAT </w:instrText>
                    </w:r>
                    <w:r>
                      <w:rPr>
                        <w:rFonts w:eastAsia="宋体"/>
                      </w:rPr>
                      <w:fldChar w:fldCharType="separate"/>
                    </w:r>
                    <w:r>
                      <w:rPr>
                        <w:rFonts w:eastAsia="宋体"/>
                      </w:rPr>
                      <w:t>119</w:t>
                    </w:r>
                    <w:r>
                      <w:rPr>
                        <w:rFonts w:eastAsia="宋体"/>
                      </w:rPr>
                      <w:fldChar w:fldCharType="end"/>
                    </w:r>
                    <w:r>
                      <w:rPr>
                        <w:rFonts w:eastAsia="宋体"/>
                      </w:rPr>
                      <w:t xml:space="preserve"> 页 共 </w:t>
                    </w:r>
                    <w:r>
                      <w:rPr>
                        <w:rFonts w:eastAsia="宋体"/>
                      </w:rPr>
                      <w:fldChar w:fldCharType="begin"/>
                    </w:r>
                    <w:r>
                      <w:rPr>
                        <w:rFonts w:eastAsia="宋体"/>
                      </w:rPr>
                      <w:instrText xml:space="preserve"> NUMPAGES  \* MERGEFORMAT </w:instrText>
                    </w:r>
                    <w:r>
                      <w:rPr>
                        <w:rFonts w:eastAsia="宋体"/>
                      </w:rPr>
                      <w:fldChar w:fldCharType="separate"/>
                    </w:r>
                    <w:r>
                      <w:rPr>
                        <w:rFonts w:eastAsia="宋体"/>
                      </w:rPr>
                      <w:t>236</w:t>
                    </w:r>
                    <w:r>
                      <w:rPr>
                        <w:rFonts w:eastAsia="宋体"/>
                      </w:rPr>
                      <w:fldChar w:fldCharType="end"/>
                    </w:r>
                    <w:r>
                      <w:rPr>
                        <w:rFonts w:eastAsia="宋体"/>
                      </w:rPr>
                      <w:t xml:space="preserve"> 页</w:t>
                    </w:r>
                  </w:p>
                </w:txbxContent>
              </v:textbox>
            </v:rect>
          </w:pict>
        </mc:Fallback>
      </mc:AlternateContent>
    </w:r>
  </w:p>
  <w:p w14:paraId="1B3E1615"/>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3F96F9">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99B381">
    <w:pPr>
      <w:wordWrap w:val="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6CB9BA"/>
    <w:multiLevelType w:val="singleLevel"/>
    <w:tmpl w:val="ED6CB9BA"/>
    <w:lvl w:ilvl="0" w:tentative="0">
      <w:start w:val="1"/>
      <w:numFmt w:val="decimal"/>
      <w:suff w:val="nothing"/>
      <w:lvlText w:val="%1、"/>
      <w:lvlJc w:val="left"/>
    </w:lvl>
  </w:abstractNum>
  <w:abstractNum w:abstractNumId="1">
    <w:nsid w:val="00000001"/>
    <w:multiLevelType w:val="singleLevel"/>
    <w:tmpl w:val="00000001"/>
    <w:lvl w:ilvl="0" w:tentative="0">
      <w:start w:val="1"/>
      <w:numFmt w:val="chineseCounting"/>
      <w:suff w:val="space"/>
      <w:lvlText w:val="第%1章"/>
      <w:lvlJc w:val="left"/>
      <w:rPr>
        <w:rFonts w:hint="eastAsia"/>
      </w:rPr>
    </w:lvl>
  </w:abstractNum>
  <w:abstractNum w:abstractNumId="2">
    <w:nsid w:val="00000002"/>
    <w:multiLevelType w:val="multilevel"/>
    <w:tmpl w:val="00000002"/>
    <w:lvl w:ilvl="0" w:tentative="0">
      <w:start w:val="1"/>
      <w:numFmt w:val="japaneseCounting"/>
      <w:lvlText w:val="第%1章"/>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yYTEyM2IzMDEyMmNhNDFkNGE1NDIxYzQzYzk1OGEifQ=="/>
  </w:docVars>
  <w:rsids>
    <w:rsidRoot w:val="00105CA4"/>
    <w:rsid w:val="000243F9"/>
    <w:rsid w:val="000749E3"/>
    <w:rsid w:val="00105CA4"/>
    <w:rsid w:val="0011284D"/>
    <w:rsid w:val="00161814"/>
    <w:rsid w:val="00247343"/>
    <w:rsid w:val="00537C28"/>
    <w:rsid w:val="00585744"/>
    <w:rsid w:val="006A389F"/>
    <w:rsid w:val="006F48BE"/>
    <w:rsid w:val="007E7D63"/>
    <w:rsid w:val="00921742"/>
    <w:rsid w:val="00A235CA"/>
    <w:rsid w:val="00B87A8B"/>
    <w:rsid w:val="00EB1C0E"/>
    <w:rsid w:val="00FF56BA"/>
    <w:rsid w:val="01012540"/>
    <w:rsid w:val="010F1DA1"/>
    <w:rsid w:val="013E4434"/>
    <w:rsid w:val="014939DB"/>
    <w:rsid w:val="017F1C23"/>
    <w:rsid w:val="020A2568"/>
    <w:rsid w:val="024C0DD3"/>
    <w:rsid w:val="0254111A"/>
    <w:rsid w:val="027A5940"/>
    <w:rsid w:val="02A70C5C"/>
    <w:rsid w:val="02B16748"/>
    <w:rsid w:val="036208AE"/>
    <w:rsid w:val="03B83858"/>
    <w:rsid w:val="03BD5AE4"/>
    <w:rsid w:val="040E6E36"/>
    <w:rsid w:val="042E26EB"/>
    <w:rsid w:val="0430275A"/>
    <w:rsid w:val="04363AE8"/>
    <w:rsid w:val="045D1075"/>
    <w:rsid w:val="045F6B9B"/>
    <w:rsid w:val="04660916"/>
    <w:rsid w:val="04AB1561"/>
    <w:rsid w:val="04D01847"/>
    <w:rsid w:val="04F512AE"/>
    <w:rsid w:val="054514D8"/>
    <w:rsid w:val="05720BED"/>
    <w:rsid w:val="05EB6950"/>
    <w:rsid w:val="06277B8D"/>
    <w:rsid w:val="06A45885"/>
    <w:rsid w:val="06E94E42"/>
    <w:rsid w:val="074D53D1"/>
    <w:rsid w:val="077E1A2E"/>
    <w:rsid w:val="078B5EF9"/>
    <w:rsid w:val="078D7EC3"/>
    <w:rsid w:val="079B5112"/>
    <w:rsid w:val="07AD40C1"/>
    <w:rsid w:val="07B54D24"/>
    <w:rsid w:val="087921F6"/>
    <w:rsid w:val="088B72CA"/>
    <w:rsid w:val="08D34DE3"/>
    <w:rsid w:val="09012917"/>
    <w:rsid w:val="093525C0"/>
    <w:rsid w:val="09420839"/>
    <w:rsid w:val="097430E9"/>
    <w:rsid w:val="09A514F4"/>
    <w:rsid w:val="09AD03A9"/>
    <w:rsid w:val="09ED29D5"/>
    <w:rsid w:val="0A285C81"/>
    <w:rsid w:val="0A764C3F"/>
    <w:rsid w:val="0A943317"/>
    <w:rsid w:val="0AD876A7"/>
    <w:rsid w:val="0B420FC5"/>
    <w:rsid w:val="0B6B051B"/>
    <w:rsid w:val="0B7D3DAB"/>
    <w:rsid w:val="0B835865"/>
    <w:rsid w:val="0BD3290D"/>
    <w:rsid w:val="0BE635AA"/>
    <w:rsid w:val="0BFE313E"/>
    <w:rsid w:val="0C2506CA"/>
    <w:rsid w:val="0C2D252D"/>
    <w:rsid w:val="0C835398"/>
    <w:rsid w:val="0CAD246E"/>
    <w:rsid w:val="0CD5655F"/>
    <w:rsid w:val="0CF0771F"/>
    <w:rsid w:val="0CF74C6E"/>
    <w:rsid w:val="0D162709"/>
    <w:rsid w:val="0D1B7531"/>
    <w:rsid w:val="0DAC25FB"/>
    <w:rsid w:val="0DB25F8E"/>
    <w:rsid w:val="0DB5782C"/>
    <w:rsid w:val="0DED4141"/>
    <w:rsid w:val="0E2D3866"/>
    <w:rsid w:val="0E331933"/>
    <w:rsid w:val="0E544176"/>
    <w:rsid w:val="0E7476E7"/>
    <w:rsid w:val="0E7C0D4C"/>
    <w:rsid w:val="0E9619D4"/>
    <w:rsid w:val="0E99574F"/>
    <w:rsid w:val="0ED70174"/>
    <w:rsid w:val="0EE37632"/>
    <w:rsid w:val="0EF07C6F"/>
    <w:rsid w:val="0F1F3AF7"/>
    <w:rsid w:val="0F5C24F2"/>
    <w:rsid w:val="0F6B2811"/>
    <w:rsid w:val="0FB453E9"/>
    <w:rsid w:val="0FF02D9D"/>
    <w:rsid w:val="0FFB8F2B"/>
    <w:rsid w:val="0FFFC2AD"/>
    <w:rsid w:val="10041FA8"/>
    <w:rsid w:val="10454537"/>
    <w:rsid w:val="104C2BCB"/>
    <w:rsid w:val="10ED3781"/>
    <w:rsid w:val="10ED6253"/>
    <w:rsid w:val="110A7F1A"/>
    <w:rsid w:val="113A4C18"/>
    <w:rsid w:val="11621A79"/>
    <w:rsid w:val="1175266B"/>
    <w:rsid w:val="117C1B1D"/>
    <w:rsid w:val="118C0FA3"/>
    <w:rsid w:val="11A67505"/>
    <w:rsid w:val="11D861DF"/>
    <w:rsid w:val="122B0D90"/>
    <w:rsid w:val="12696E37"/>
    <w:rsid w:val="1274141C"/>
    <w:rsid w:val="127759F8"/>
    <w:rsid w:val="12787310"/>
    <w:rsid w:val="12A05F38"/>
    <w:rsid w:val="12F31CE2"/>
    <w:rsid w:val="130628D8"/>
    <w:rsid w:val="13272F7A"/>
    <w:rsid w:val="13294F44"/>
    <w:rsid w:val="132966A1"/>
    <w:rsid w:val="13300EC6"/>
    <w:rsid w:val="135D7675"/>
    <w:rsid w:val="136E0631"/>
    <w:rsid w:val="13923D70"/>
    <w:rsid w:val="139B74C4"/>
    <w:rsid w:val="13BA531F"/>
    <w:rsid w:val="143516C6"/>
    <w:rsid w:val="144D521B"/>
    <w:rsid w:val="14E153AA"/>
    <w:rsid w:val="14E44443"/>
    <w:rsid w:val="152403E0"/>
    <w:rsid w:val="159348F7"/>
    <w:rsid w:val="159B1590"/>
    <w:rsid w:val="15D62A35"/>
    <w:rsid w:val="16117F11"/>
    <w:rsid w:val="16161084"/>
    <w:rsid w:val="163836F0"/>
    <w:rsid w:val="166444E5"/>
    <w:rsid w:val="16DF25A1"/>
    <w:rsid w:val="17004581"/>
    <w:rsid w:val="173FFEA4"/>
    <w:rsid w:val="17410382"/>
    <w:rsid w:val="175440C3"/>
    <w:rsid w:val="178A7F7B"/>
    <w:rsid w:val="178B2244"/>
    <w:rsid w:val="1796247C"/>
    <w:rsid w:val="17D633A3"/>
    <w:rsid w:val="17E23913"/>
    <w:rsid w:val="17E7224D"/>
    <w:rsid w:val="17F59699"/>
    <w:rsid w:val="17FF335C"/>
    <w:rsid w:val="182F5459"/>
    <w:rsid w:val="18716A45"/>
    <w:rsid w:val="1890336F"/>
    <w:rsid w:val="189E728F"/>
    <w:rsid w:val="18BD7EDC"/>
    <w:rsid w:val="18FF6912"/>
    <w:rsid w:val="190066A1"/>
    <w:rsid w:val="190B6E9A"/>
    <w:rsid w:val="193E2DCB"/>
    <w:rsid w:val="19575C3B"/>
    <w:rsid w:val="19632832"/>
    <w:rsid w:val="19ED659F"/>
    <w:rsid w:val="1A136006"/>
    <w:rsid w:val="1A204BC7"/>
    <w:rsid w:val="1A24165B"/>
    <w:rsid w:val="1A562397"/>
    <w:rsid w:val="1A846DA9"/>
    <w:rsid w:val="1A862C7C"/>
    <w:rsid w:val="1A907657"/>
    <w:rsid w:val="1B156E12"/>
    <w:rsid w:val="1B216501"/>
    <w:rsid w:val="1B492499"/>
    <w:rsid w:val="1B4A4B8B"/>
    <w:rsid w:val="1B5971D6"/>
    <w:rsid w:val="1B7A4184"/>
    <w:rsid w:val="1BE51C24"/>
    <w:rsid w:val="1BFE03CE"/>
    <w:rsid w:val="1C1D316C"/>
    <w:rsid w:val="1C22234B"/>
    <w:rsid w:val="1C2E5379"/>
    <w:rsid w:val="1C454471"/>
    <w:rsid w:val="1C470A60"/>
    <w:rsid w:val="1C662D65"/>
    <w:rsid w:val="1CFB3A88"/>
    <w:rsid w:val="1CFF2872"/>
    <w:rsid w:val="1CFF33E1"/>
    <w:rsid w:val="1D3F35B6"/>
    <w:rsid w:val="1D495E3D"/>
    <w:rsid w:val="1D50076B"/>
    <w:rsid w:val="1D7F1C04"/>
    <w:rsid w:val="1E0565AE"/>
    <w:rsid w:val="1E575189"/>
    <w:rsid w:val="1E584005"/>
    <w:rsid w:val="1E814BE5"/>
    <w:rsid w:val="1E8A260F"/>
    <w:rsid w:val="1E9B481C"/>
    <w:rsid w:val="1EAA5582"/>
    <w:rsid w:val="1EFD3A31"/>
    <w:rsid w:val="1F817EB6"/>
    <w:rsid w:val="1FA9153A"/>
    <w:rsid w:val="1FB042F7"/>
    <w:rsid w:val="1FD00129"/>
    <w:rsid w:val="1FDA482D"/>
    <w:rsid w:val="1FF60555"/>
    <w:rsid w:val="1FF71E46"/>
    <w:rsid w:val="201D26FC"/>
    <w:rsid w:val="207B2B57"/>
    <w:rsid w:val="20BE2A44"/>
    <w:rsid w:val="20CA197B"/>
    <w:rsid w:val="20F5523A"/>
    <w:rsid w:val="20F6042F"/>
    <w:rsid w:val="21613AFB"/>
    <w:rsid w:val="21983295"/>
    <w:rsid w:val="21C83B7A"/>
    <w:rsid w:val="21FA5CFD"/>
    <w:rsid w:val="2285884C"/>
    <w:rsid w:val="229E0D7F"/>
    <w:rsid w:val="22AD4B1E"/>
    <w:rsid w:val="22AF59F3"/>
    <w:rsid w:val="23267A78"/>
    <w:rsid w:val="23FE6532"/>
    <w:rsid w:val="242D259B"/>
    <w:rsid w:val="244C0D79"/>
    <w:rsid w:val="245E07C6"/>
    <w:rsid w:val="247F4714"/>
    <w:rsid w:val="24816262"/>
    <w:rsid w:val="24F9229C"/>
    <w:rsid w:val="251946ED"/>
    <w:rsid w:val="251A588B"/>
    <w:rsid w:val="255732A8"/>
    <w:rsid w:val="256718FC"/>
    <w:rsid w:val="2593314B"/>
    <w:rsid w:val="25A2073F"/>
    <w:rsid w:val="25EB0AC4"/>
    <w:rsid w:val="25F27417"/>
    <w:rsid w:val="26087698"/>
    <w:rsid w:val="26622587"/>
    <w:rsid w:val="2687575B"/>
    <w:rsid w:val="269C7383"/>
    <w:rsid w:val="26D22DA5"/>
    <w:rsid w:val="26DE5BEE"/>
    <w:rsid w:val="27147861"/>
    <w:rsid w:val="272F01F7"/>
    <w:rsid w:val="27D935C6"/>
    <w:rsid w:val="27F31225"/>
    <w:rsid w:val="2852419D"/>
    <w:rsid w:val="28573CEA"/>
    <w:rsid w:val="287E3CFF"/>
    <w:rsid w:val="28DE6BAF"/>
    <w:rsid w:val="296E3259"/>
    <w:rsid w:val="29EA60CB"/>
    <w:rsid w:val="2A092F82"/>
    <w:rsid w:val="2A5841A5"/>
    <w:rsid w:val="2A9E1213"/>
    <w:rsid w:val="2AC944BF"/>
    <w:rsid w:val="2ADE7C21"/>
    <w:rsid w:val="2B2C35BD"/>
    <w:rsid w:val="2B6761B2"/>
    <w:rsid w:val="2B7B7EAF"/>
    <w:rsid w:val="2B8D70A0"/>
    <w:rsid w:val="2BB838D7"/>
    <w:rsid w:val="2BBE1B4A"/>
    <w:rsid w:val="2BCB64C6"/>
    <w:rsid w:val="2C1B3593"/>
    <w:rsid w:val="2C2C73FB"/>
    <w:rsid w:val="2C4B5AD3"/>
    <w:rsid w:val="2C651F89"/>
    <w:rsid w:val="2CA86A82"/>
    <w:rsid w:val="2CBA0563"/>
    <w:rsid w:val="2CC07824"/>
    <w:rsid w:val="2CF717B7"/>
    <w:rsid w:val="2CFC6633"/>
    <w:rsid w:val="2D3D026D"/>
    <w:rsid w:val="2DC31699"/>
    <w:rsid w:val="2DE827A0"/>
    <w:rsid w:val="2DED7CFE"/>
    <w:rsid w:val="2E073C7C"/>
    <w:rsid w:val="2E8A1071"/>
    <w:rsid w:val="2EB93163"/>
    <w:rsid w:val="2ED9575E"/>
    <w:rsid w:val="2EE43FBD"/>
    <w:rsid w:val="2F26120B"/>
    <w:rsid w:val="2F300FB0"/>
    <w:rsid w:val="2FA744F4"/>
    <w:rsid w:val="2FDD7879"/>
    <w:rsid w:val="2FE67C73"/>
    <w:rsid w:val="2FE75B13"/>
    <w:rsid w:val="2FFE2E5D"/>
    <w:rsid w:val="300A7A53"/>
    <w:rsid w:val="301E6E5D"/>
    <w:rsid w:val="302208F9"/>
    <w:rsid w:val="30420F9B"/>
    <w:rsid w:val="305172B2"/>
    <w:rsid w:val="30823A8E"/>
    <w:rsid w:val="308D73A0"/>
    <w:rsid w:val="30A734F4"/>
    <w:rsid w:val="30AC4667"/>
    <w:rsid w:val="30B30980"/>
    <w:rsid w:val="30B677FB"/>
    <w:rsid w:val="30C95219"/>
    <w:rsid w:val="30F229C1"/>
    <w:rsid w:val="30F27273"/>
    <w:rsid w:val="31002B25"/>
    <w:rsid w:val="310149B3"/>
    <w:rsid w:val="31320B71"/>
    <w:rsid w:val="316244E8"/>
    <w:rsid w:val="31AA0D22"/>
    <w:rsid w:val="31AE6225"/>
    <w:rsid w:val="32132BEF"/>
    <w:rsid w:val="3220530C"/>
    <w:rsid w:val="32C263C3"/>
    <w:rsid w:val="32C57C62"/>
    <w:rsid w:val="32CC0FF0"/>
    <w:rsid w:val="32E75E2A"/>
    <w:rsid w:val="32FA02C3"/>
    <w:rsid w:val="33501C21"/>
    <w:rsid w:val="337707CA"/>
    <w:rsid w:val="33792F26"/>
    <w:rsid w:val="338418CB"/>
    <w:rsid w:val="33865643"/>
    <w:rsid w:val="339447F5"/>
    <w:rsid w:val="33B2468A"/>
    <w:rsid w:val="34530118"/>
    <w:rsid w:val="34605E94"/>
    <w:rsid w:val="35781E78"/>
    <w:rsid w:val="357DF14E"/>
    <w:rsid w:val="35847BDC"/>
    <w:rsid w:val="35E6686D"/>
    <w:rsid w:val="35F7B6D6"/>
    <w:rsid w:val="361817C2"/>
    <w:rsid w:val="3643781B"/>
    <w:rsid w:val="369B70F5"/>
    <w:rsid w:val="36AA33F6"/>
    <w:rsid w:val="36D3748E"/>
    <w:rsid w:val="377A076A"/>
    <w:rsid w:val="37D72171"/>
    <w:rsid w:val="37DFD5B6"/>
    <w:rsid w:val="37EB016A"/>
    <w:rsid w:val="382316B2"/>
    <w:rsid w:val="388163D9"/>
    <w:rsid w:val="38AA2296"/>
    <w:rsid w:val="38B30C88"/>
    <w:rsid w:val="38FE7A29"/>
    <w:rsid w:val="39203E44"/>
    <w:rsid w:val="3989299E"/>
    <w:rsid w:val="39DE065F"/>
    <w:rsid w:val="39F03816"/>
    <w:rsid w:val="3A2F2590"/>
    <w:rsid w:val="3A483298"/>
    <w:rsid w:val="3A5A5133"/>
    <w:rsid w:val="3A695377"/>
    <w:rsid w:val="3A7C750A"/>
    <w:rsid w:val="3AA12D62"/>
    <w:rsid w:val="3AA27206"/>
    <w:rsid w:val="3AAC3BE1"/>
    <w:rsid w:val="3AC52489"/>
    <w:rsid w:val="3ACD7106"/>
    <w:rsid w:val="3AE96BE3"/>
    <w:rsid w:val="3AFD268F"/>
    <w:rsid w:val="3B0A6B5A"/>
    <w:rsid w:val="3B273268"/>
    <w:rsid w:val="3B334302"/>
    <w:rsid w:val="3B7B1948"/>
    <w:rsid w:val="3BBFF229"/>
    <w:rsid w:val="3BCC3E0F"/>
    <w:rsid w:val="3BD96D7D"/>
    <w:rsid w:val="3BDF5CCE"/>
    <w:rsid w:val="3C2B179C"/>
    <w:rsid w:val="3C3C44F0"/>
    <w:rsid w:val="3C4165AB"/>
    <w:rsid w:val="3CAA23A2"/>
    <w:rsid w:val="3CEC2ED7"/>
    <w:rsid w:val="3CFE70EB"/>
    <w:rsid w:val="3D5751DB"/>
    <w:rsid w:val="3D6A2A25"/>
    <w:rsid w:val="3D7E7484"/>
    <w:rsid w:val="3D7F6451"/>
    <w:rsid w:val="3D9646D4"/>
    <w:rsid w:val="3DBD6105"/>
    <w:rsid w:val="3DDFC146"/>
    <w:rsid w:val="3DE23C97"/>
    <w:rsid w:val="3E177FDD"/>
    <w:rsid w:val="3E344619"/>
    <w:rsid w:val="3EC11C25"/>
    <w:rsid w:val="3F9B32AB"/>
    <w:rsid w:val="3F9F6171"/>
    <w:rsid w:val="3FBBF455"/>
    <w:rsid w:val="3FDF5E5E"/>
    <w:rsid w:val="3FE479A8"/>
    <w:rsid w:val="3FEB5626"/>
    <w:rsid w:val="403424F9"/>
    <w:rsid w:val="406867FC"/>
    <w:rsid w:val="40770FD4"/>
    <w:rsid w:val="408B33B9"/>
    <w:rsid w:val="40A315E2"/>
    <w:rsid w:val="40AB493B"/>
    <w:rsid w:val="40B2013E"/>
    <w:rsid w:val="41017DAE"/>
    <w:rsid w:val="415E19AD"/>
    <w:rsid w:val="41BD2B78"/>
    <w:rsid w:val="41EE0F83"/>
    <w:rsid w:val="42236229"/>
    <w:rsid w:val="42825306"/>
    <w:rsid w:val="42A31E25"/>
    <w:rsid w:val="42CD6DEA"/>
    <w:rsid w:val="42DC17C0"/>
    <w:rsid w:val="42DC527F"/>
    <w:rsid w:val="42ED123B"/>
    <w:rsid w:val="43533161"/>
    <w:rsid w:val="43903D27"/>
    <w:rsid w:val="43DA0BC1"/>
    <w:rsid w:val="44134CD1"/>
    <w:rsid w:val="441A452B"/>
    <w:rsid w:val="449252CF"/>
    <w:rsid w:val="44A65B45"/>
    <w:rsid w:val="44B518E4"/>
    <w:rsid w:val="457D61A6"/>
    <w:rsid w:val="458A4D6B"/>
    <w:rsid w:val="45C97E42"/>
    <w:rsid w:val="45E71F71"/>
    <w:rsid w:val="460348D1"/>
    <w:rsid w:val="462509B9"/>
    <w:rsid w:val="46E40311"/>
    <w:rsid w:val="46FA3F26"/>
    <w:rsid w:val="4707494B"/>
    <w:rsid w:val="471054F8"/>
    <w:rsid w:val="474156B1"/>
    <w:rsid w:val="474305F6"/>
    <w:rsid w:val="47AD71EA"/>
    <w:rsid w:val="47B265AF"/>
    <w:rsid w:val="47CCB60A"/>
    <w:rsid w:val="47DF50EE"/>
    <w:rsid w:val="4803505C"/>
    <w:rsid w:val="483F41A7"/>
    <w:rsid w:val="48710340"/>
    <w:rsid w:val="488E58D6"/>
    <w:rsid w:val="48F36E7F"/>
    <w:rsid w:val="494B6CBB"/>
    <w:rsid w:val="498521CD"/>
    <w:rsid w:val="49955504"/>
    <w:rsid w:val="49BC3715"/>
    <w:rsid w:val="49EB7B56"/>
    <w:rsid w:val="4A1E7003"/>
    <w:rsid w:val="4A753438"/>
    <w:rsid w:val="4A8A3813"/>
    <w:rsid w:val="4AF34F14"/>
    <w:rsid w:val="4AFD326F"/>
    <w:rsid w:val="4B4614E8"/>
    <w:rsid w:val="4BA225C9"/>
    <w:rsid w:val="4BE64A79"/>
    <w:rsid w:val="4C0144E1"/>
    <w:rsid w:val="4C1D63D1"/>
    <w:rsid w:val="4C310EB0"/>
    <w:rsid w:val="4C6D519A"/>
    <w:rsid w:val="4CAF39F9"/>
    <w:rsid w:val="4CB9218D"/>
    <w:rsid w:val="4CDF7E46"/>
    <w:rsid w:val="4D84279B"/>
    <w:rsid w:val="4DDF7ADF"/>
    <w:rsid w:val="4DFA77D8"/>
    <w:rsid w:val="4E0B2B89"/>
    <w:rsid w:val="4E5F29CE"/>
    <w:rsid w:val="4E913AC7"/>
    <w:rsid w:val="4EAC3D58"/>
    <w:rsid w:val="4EE95E5D"/>
    <w:rsid w:val="4F610F34"/>
    <w:rsid w:val="4F7D3946"/>
    <w:rsid w:val="4FAA5508"/>
    <w:rsid w:val="4FAB1FCD"/>
    <w:rsid w:val="4FCF1211"/>
    <w:rsid w:val="4FD82523"/>
    <w:rsid w:val="4FFE4A87"/>
    <w:rsid w:val="506B7566"/>
    <w:rsid w:val="50746AF7"/>
    <w:rsid w:val="507C3BFE"/>
    <w:rsid w:val="50B82E88"/>
    <w:rsid w:val="50BB2978"/>
    <w:rsid w:val="50C6052A"/>
    <w:rsid w:val="50F33F3C"/>
    <w:rsid w:val="50F8401E"/>
    <w:rsid w:val="51300D72"/>
    <w:rsid w:val="51655DD4"/>
    <w:rsid w:val="51B478EA"/>
    <w:rsid w:val="51BF3B4F"/>
    <w:rsid w:val="51DE0ADD"/>
    <w:rsid w:val="51E25CE3"/>
    <w:rsid w:val="520E31AE"/>
    <w:rsid w:val="521E0C0B"/>
    <w:rsid w:val="52252DD4"/>
    <w:rsid w:val="5237602E"/>
    <w:rsid w:val="52534D10"/>
    <w:rsid w:val="525819F0"/>
    <w:rsid w:val="526914E0"/>
    <w:rsid w:val="52940ADB"/>
    <w:rsid w:val="52EE281C"/>
    <w:rsid w:val="534B7156"/>
    <w:rsid w:val="53580CDE"/>
    <w:rsid w:val="539A2935"/>
    <w:rsid w:val="53A05E55"/>
    <w:rsid w:val="53B35B89"/>
    <w:rsid w:val="53DC50DF"/>
    <w:rsid w:val="53FB4FA8"/>
    <w:rsid w:val="542720D3"/>
    <w:rsid w:val="545553E3"/>
    <w:rsid w:val="54A56390"/>
    <w:rsid w:val="54D50482"/>
    <w:rsid w:val="556D11D3"/>
    <w:rsid w:val="557430F6"/>
    <w:rsid w:val="55D45D46"/>
    <w:rsid w:val="55EEEE48"/>
    <w:rsid w:val="561A5A4B"/>
    <w:rsid w:val="562930EC"/>
    <w:rsid w:val="56674A08"/>
    <w:rsid w:val="5716094C"/>
    <w:rsid w:val="5735450A"/>
    <w:rsid w:val="57571CBA"/>
    <w:rsid w:val="578735B4"/>
    <w:rsid w:val="5790495D"/>
    <w:rsid w:val="57911D3D"/>
    <w:rsid w:val="57AD4040"/>
    <w:rsid w:val="57CA524F"/>
    <w:rsid w:val="57D5DA48"/>
    <w:rsid w:val="57DFA63C"/>
    <w:rsid w:val="58055202"/>
    <w:rsid w:val="583E16A2"/>
    <w:rsid w:val="58C223CA"/>
    <w:rsid w:val="58C805A3"/>
    <w:rsid w:val="59166B05"/>
    <w:rsid w:val="597E09E7"/>
    <w:rsid w:val="59B93629"/>
    <w:rsid w:val="59C208D3"/>
    <w:rsid w:val="59DE55FD"/>
    <w:rsid w:val="5A1117CC"/>
    <w:rsid w:val="5A1530F9"/>
    <w:rsid w:val="5A420BA5"/>
    <w:rsid w:val="5AFAE767"/>
    <w:rsid w:val="5B1213E7"/>
    <w:rsid w:val="5B2D2CC9"/>
    <w:rsid w:val="5B3E21CC"/>
    <w:rsid w:val="5B7FF247"/>
    <w:rsid w:val="5BBDC78E"/>
    <w:rsid w:val="5BBE9C88"/>
    <w:rsid w:val="5BF31DE3"/>
    <w:rsid w:val="5BFDAD0B"/>
    <w:rsid w:val="5BFFC774"/>
    <w:rsid w:val="5CB441CB"/>
    <w:rsid w:val="5D0448EB"/>
    <w:rsid w:val="5D2C16E1"/>
    <w:rsid w:val="5D543F38"/>
    <w:rsid w:val="5D576B9E"/>
    <w:rsid w:val="5D5C4A4C"/>
    <w:rsid w:val="5D6A2609"/>
    <w:rsid w:val="5D6F0D72"/>
    <w:rsid w:val="5D7D3CB9"/>
    <w:rsid w:val="5D9F2399"/>
    <w:rsid w:val="5DA25D20"/>
    <w:rsid w:val="5DBB3FB7"/>
    <w:rsid w:val="5DC015CE"/>
    <w:rsid w:val="5DEB3FBE"/>
    <w:rsid w:val="5DF11787"/>
    <w:rsid w:val="5DFFD411"/>
    <w:rsid w:val="5E602469"/>
    <w:rsid w:val="5E847FBB"/>
    <w:rsid w:val="5ECA66E1"/>
    <w:rsid w:val="5ED7E3AA"/>
    <w:rsid w:val="5EDD3528"/>
    <w:rsid w:val="5EE71FCB"/>
    <w:rsid w:val="5EEFF5AD"/>
    <w:rsid w:val="5EF7843B"/>
    <w:rsid w:val="5EFE353F"/>
    <w:rsid w:val="5F073669"/>
    <w:rsid w:val="5F194064"/>
    <w:rsid w:val="5F296CFF"/>
    <w:rsid w:val="5F2F9CDC"/>
    <w:rsid w:val="5F4955F3"/>
    <w:rsid w:val="5F7EE68B"/>
    <w:rsid w:val="5F842A2D"/>
    <w:rsid w:val="5FA72765"/>
    <w:rsid w:val="5FD99B54"/>
    <w:rsid w:val="5FE84E0C"/>
    <w:rsid w:val="5FEF0F30"/>
    <w:rsid w:val="5FEFC3B3"/>
    <w:rsid w:val="5FF37E1B"/>
    <w:rsid w:val="5FFF7FBC"/>
    <w:rsid w:val="601801F9"/>
    <w:rsid w:val="60213E7A"/>
    <w:rsid w:val="609711BA"/>
    <w:rsid w:val="60F55697"/>
    <w:rsid w:val="612B36FA"/>
    <w:rsid w:val="61F745E3"/>
    <w:rsid w:val="624125B1"/>
    <w:rsid w:val="62487DE4"/>
    <w:rsid w:val="62784DE0"/>
    <w:rsid w:val="628F156F"/>
    <w:rsid w:val="62C03E1E"/>
    <w:rsid w:val="62E33062"/>
    <w:rsid w:val="62EF46F0"/>
    <w:rsid w:val="631E9791"/>
    <w:rsid w:val="63893561"/>
    <w:rsid w:val="63DA0F0F"/>
    <w:rsid w:val="63FB6AF3"/>
    <w:rsid w:val="641734E7"/>
    <w:rsid w:val="64930237"/>
    <w:rsid w:val="64C51278"/>
    <w:rsid w:val="64E42184"/>
    <w:rsid w:val="65632574"/>
    <w:rsid w:val="66017590"/>
    <w:rsid w:val="66162DD8"/>
    <w:rsid w:val="663E0A2F"/>
    <w:rsid w:val="66A94283"/>
    <w:rsid w:val="66BF6620"/>
    <w:rsid w:val="66EF0750"/>
    <w:rsid w:val="66FDFEAF"/>
    <w:rsid w:val="67631F19"/>
    <w:rsid w:val="67712886"/>
    <w:rsid w:val="679B4048"/>
    <w:rsid w:val="67D16185"/>
    <w:rsid w:val="67F51E74"/>
    <w:rsid w:val="68581578"/>
    <w:rsid w:val="68713469"/>
    <w:rsid w:val="688B27D8"/>
    <w:rsid w:val="68923B67"/>
    <w:rsid w:val="68A56021"/>
    <w:rsid w:val="68BB0B4B"/>
    <w:rsid w:val="68EB3277"/>
    <w:rsid w:val="690F0ADD"/>
    <w:rsid w:val="693E3CEF"/>
    <w:rsid w:val="693FF2A9"/>
    <w:rsid w:val="695B0120"/>
    <w:rsid w:val="69607CE8"/>
    <w:rsid w:val="69787200"/>
    <w:rsid w:val="697A2F79"/>
    <w:rsid w:val="6983590B"/>
    <w:rsid w:val="69C16474"/>
    <w:rsid w:val="69D76949"/>
    <w:rsid w:val="69DF6127"/>
    <w:rsid w:val="6A0057D5"/>
    <w:rsid w:val="6A1C5DDE"/>
    <w:rsid w:val="6A340B97"/>
    <w:rsid w:val="6AB53B3C"/>
    <w:rsid w:val="6ADE7537"/>
    <w:rsid w:val="6AF44665"/>
    <w:rsid w:val="6B11AA26"/>
    <w:rsid w:val="6B9F7769"/>
    <w:rsid w:val="6BBF24FE"/>
    <w:rsid w:val="6C1D408F"/>
    <w:rsid w:val="6C265602"/>
    <w:rsid w:val="6C353187"/>
    <w:rsid w:val="6C5C4BB7"/>
    <w:rsid w:val="6C6D0B73"/>
    <w:rsid w:val="6CDE2F1F"/>
    <w:rsid w:val="6CED1B63"/>
    <w:rsid w:val="6D0112BB"/>
    <w:rsid w:val="6D34781D"/>
    <w:rsid w:val="6D3BAB86"/>
    <w:rsid w:val="6D7EA6D1"/>
    <w:rsid w:val="6D82064E"/>
    <w:rsid w:val="6DC36570"/>
    <w:rsid w:val="6DCA197E"/>
    <w:rsid w:val="6DDA7E26"/>
    <w:rsid w:val="6E443B55"/>
    <w:rsid w:val="6EC10D02"/>
    <w:rsid w:val="6ED0363B"/>
    <w:rsid w:val="6EDC453B"/>
    <w:rsid w:val="6EED63E7"/>
    <w:rsid w:val="6EF80D86"/>
    <w:rsid w:val="6EFF873C"/>
    <w:rsid w:val="6F1B634B"/>
    <w:rsid w:val="6F213E96"/>
    <w:rsid w:val="6F321E6A"/>
    <w:rsid w:val="6F35524C"/>
    <w:rsid w:val="6F401B5A"/>
    <w:rsid w:val="6F4852ED"/>
    <w:rsid w:val="6F555B47"/>
    <w:rsid w:val="6F767D3E"/>
    <w:rsid w:val="6FBB379F"/>
    <w:rsid w:val="6FBF230A"/>
    <w:rsid w:val="6FC1249A"/>
    <w:rsid w:val="6FDF4C0B"/>
    <w:rsid w:val="6FEB735C"/>
    <w:rsid w:val="6FF4B0CB"/>
    <w:rsid w:val="6FFEF2E0"/>
    <w:rsid w:val="6FFFB23A"/>
    <w:rsid w:val="70127256"/>
    <w:rsid w:val="70133F79"/>
    <w:rsid w:val="7066225F"/>
    <w:rsid w:val="70D32701"/>
    <w:rsid w:val="70E94540"/>
    <w:rsid w:val="70F76C5D"/>
    <w:rsid w:val="71125845"/>
    <w:rsid w:val="71341C5F"/>
    <w:rsid w:val="714359EA"/>
    <w:rsid w:val="716562BC"/>
    <w:rsid w:val="716B31A7"/>
    <w:rsid w:val="7197343A"/>
    <w:rsid w:val="71D13952"/>
    <w:rsid w:val="71F633B8"/>
    <w:rsid w:val="728065B3"/>
    <w:rsid w:val="72876693"/>
    <w:rsid w:val="72921CB6"/>
    <w:rsid w:val="72930C07"/>
    <w:rsid w:val="72A9667D"/>
    <w:rsid w:val="72B66B56"/>
    <w:rsid w:val="72E72D01"/>
    <w:rsid w:val="72F200B5"/>
    <w:rsid w:val="731358A4"/>
    <w:rsid w:val="731A1328"/>
    <w:rsid w:val="738A04B0"/>
    <w:rsid w:val="739A31EC"/>
    <w:rsid w:val="739CA167"/>
    <w:rsid w:val="73AA71EC"/>
    <w:rsid w:val="73CF0733"/>
    <w:rsid w:val="73F7AA1B"/>
    <w:rsid w:val="74052EA3"/>
    <w:rsid w:val="741F0407"/>
    <w:rsid w:val="743957DE"/>
    <w:rsid w:val="7440091B"/>
    <w:rsid w:val="74BB4445"/>
    <w:rsid w:val="74FF914F"/>
    <w:rsid w:val="750615ED"/>
    <w:rsid w:val="753073EB"/>
    <w:rsid w:val="75357D54"/>
    <w:rsid w:val="753A35BC"/>
    <w:rsid w:val="756A5319"/>
    <w:rsid w:val="757A1C0A"/>
    <w:rsid w:val="757F1B4D"/>
    <w:rsid w:val="75BF1D13"/>
    <w:rsid w:val="75CD0F6D"/>
    <w:rsid w:val="76350FE3"/>
    <w:rsid w:val="76654669"/>
    <w:rsid w:val="7676D749"/>
    <w:rsid w:val="767F3A9F"/>
    <w:rsid w:val="769E7B7B"/>
    <w:rsid w:val="76B10FCA"/>
    <w:rsid w:val="76E77774"/>
    <w:rsid w:val="76FFE24C"/>
    <w:rsid w:val="76FFE64C"/>
    <w:rsid w:val="775E684B"/>
    <w:rsid w:val="77786956"/>
    <w:rsid w:val="777B9F2A"/>
    <w:rsid w:val="77A51F71"/>
    <w:rsid w:val="77E7669D"/>
    <w:rsid w:val="77FE3447"/>
    <w:rsid w:val="786D673B"/>
    <w:rsid w:val="78762B5D"/>
    <w:rsid w:val="788D60F9"/>
    <w:rsid w:val="788E2077"/>
    <w:rsid w:val="78C7785D"/>
    <w:rsid w:val="79052133"/>
    <w:rsid w:val="79183C14"/>
    <w:rsid w:val="79B7A770"/>
    <w:rsid w:val="79BA4C1C"/>
    <w:rsid w:val="79CB6ED9"/>
    <w:rsid w:val="79FE4645"/>
    <w:rsid w:val="79FF3DC7"/>
    <w:rsid w:val="7A5944E4"/>
    <w:rsid w:val="7A687BEE"/>
    <w:rsid w:val="7A9390CE"/>
    <w:rsid w:val="7AA31C03"/>
    <w:rsid w:val="7AA9783C"/>
    <w:rsid w:val="7ACC3551"/>
    <w:rsid w:val="7ACF201F"/>
    <w:rsid w:val="7AD22A90"/>
    <w:rsid w:val="7ADF0C11"/>
    <w:rsid w:val="7AFB1A3F"/>
    <w:rsid w:val="7B4231CA"/>
    <w:rsid w:val="7B9319FF"/>
    <w:rsid w:val="7BCA793F"/>
    <w:rsid w:val="7BE163BC"/>
    <w:rsid w:val="7BFA6928"/>
    <w:rsid w:val="7BFBFEFC"/>
    <w:rsid w:val="7BFC15CB"/>
    <w:rsid w:val="7C4EAEFE"/>
    <w:rsid w:val="7C977546"/>
    <w:rsid w:val="7CBF7F7B"/>
    <w:rsid w:val="7CEA58C8"/>
    <w:rsid w:val="7D2F777E"/>
    <w:rsid w:val="7D3B4989"/>
    <w:rsid w:val="7D425704"/>
    <w:rsid w:val="7D6718A4"/>
    <w:rsid w:val="7D6B1600"/>
    <w:rsid w:val="7DB3156F"/>
    <w:rsid w:val="7DBFB5A2"/>
    <w:rsid w:val="7DD50326"/>
    <w:rsid w:val="7DDD19D4"/>
    <w:rsid w:val="7DEFD9C4"/>
    <w:rsid w:val="7DFB22CE"/>
    <w:rsid w:val="7DFFC5B4"/>
    <w:rsid w:val="7E1B4BFF"/>
    <w:rsid w:val="7E336C40"/>
    <w:rsid w:val="7E635932"/>
    <w:rsid w:val="7E6671D0"/>
    <w:rsid w:val="7E75B43A"/>
    <w:rsid w:val="7EA5419C"/>
    <w:rsid w:val="7EC04D8C"/>
    <w:rsid w:val="7ED71C40"/>
    <w:rsid w:val="7EEF71C5"/>
    <w:rsid w:val="7EFFBC0D"/>
    <w:rsid w:val="7F271055"/>
    <w:rsid w:val="7F3B0B67"/>
    <w:rsid w:val="7F3B10FA"/>
    <w:rsid w:val="7F3F1997"/>
    <w:rsid w:val="7F4E02F3"/>
    <w:rsid w:val="7F4F235A"/>
    <w:rsid w:val="7F7BA6A4"/>
    <w:rsid w:val="7F9AC9C3"/>
    <w:rsid w:val="7FABEDB2"/>
    <w:rsid w:val="7FAF8061"/>
    <w:rsid w:val="7FB31971"/>
    <w:rsid w:val="7FB90128"/>
    <w:rsid w:val="7FBE3EA2"/>
    <w:rsid w:val="7FC70142"/>
    <w:rsid w:val="7FCA2A56"/>
    <w:rsid w:val="7FD7AC6E"/>
    <w:rsid w:val="7FD901E3"/>
    <w:rsid w:val="7FDF1287"/>
    <w:rsid w:val="7FDF7F5D"/>
    <w:rsid w:val="7FE5F3DE"/>
    <w:rsid w:val="7FEF738F"/>
    <w:rsid w:val="7FEF8EEA"/>
    <w:rsid w:val="7FF440B5"/>
    <w:rsid w:val="7FF6B092"/>
    <w:rsid w:val="7FFA7676"/>
    <w:rsid w:val="7FFD2D7C"/>
    <w:rsid w:val="7FFE1F01"/>
    <w:rsid w:val="7FFE69B9"/>
    <w:rsid w:val="7FFE822B"/>
    <w:rsid w:val="7FFF8192"/>
    <w:rsid w:val="7FFFA512"/>
    <w:rsid w:val="97FFDA20"/>
    <w:rsid w:val="99FF6B11"/>
    <w:rsid w:val="9BF74E88"/>
    <w:rsid w:val="9CFF1E52"/>
    <w:rsid w:val="9D76D1CB"/>
    <w:rsid w:val="9DB3B008"/>
    <w:rsid w:val="9EB946DE"/>
    <w:rsid w:val="9F9FB874"/>
    <w:rsid w:val="9FFF1E59"/>
    <w:rsid w:val="A51F61C6"/>
    <w:rsid w:val="ABE918F2"/>
    <w:rsid w:val="ABFE7A6D"/>
    <w:rsid w:val="ACB61DC3"/>
    <w:rsid w:val="AEFB8FEF"/>
    <w:rsid w:val="B49F212F"/>
    <w:rsid w:val="B9B9664C"/>
    <w:rsid w:val="B9FA11AA"/>
    <w:rsid w:val="BBBFCBF6"/>
    <w:rsid w:val="BBD54512"/>
    <w:rsid w:val="BBFF6569"/>
    <w:rsid w:val="BFA354A9"/>
    <w:rsid w:val="BFDB9284"/>
    <w:rsid w:val="BFF2F0A0"/>
    <w:rsid w:val="BFFF05C5"/>
    <w:rsid w:val="C3BF6E08"/>
    <w:rsid w:val="C5BFBE79"/>
    <w:rsid w:val="C7EA435B"/>
    <w:rsid w:val="CA733ACE"/>
    <w:rsid w:val="CAF5010C"/>
    <w:rsid w:val="CDB7FB7E"/>
    <w:rsid w:val="CFE146A8"/>
    <w:rsid w:val="CFF7A3D8"/>
    <w:rsid w:val="CFFBA588"/>
    <w:rsid w:val="D1978C12"/>
    <w:rsid w:val="DA8DE961"/>
    <w:rsid w:val="DAF71FDC"/>
    <w:rsid w:val="DDF5226A"/>
    <w:rsid w:val="DDFFC258"/>
    <w:rsid w:val="DEEABE00"/>
    <w:rsid w:val="DEFB3E5F"/>
    <w:rsid w:val="DF77D6FB"/>
    <w:rsid w:val="DF7C3D88"/>
    <w:rsid w:val="DF936E40"/>
    <w:rsid w:val="DFAD009D"/>
    <w:rsid w:val="DFF1FEB8"/>
    <w:rsid w:val="DFFB6CBF"/>
    <w:rsid w:val="DFFE59F4"/>
    <w:rsid w:val="DFFF5068"/>
    <w:rsid w:val="DFFFEF79"/>
    <w:rsid w:val="E26B0494"/>
    <w:rsid w:val="E4DF4FCD"/>
    <w:rsid w:val="E7171131"/>
    <w:rsid w:val="E8CBB276"/>
    <w:rsid w:val="EBEE4132"/>
    <w:rsid w:val="EBFD69F7"/>
    <w:rsid w:val="EDB96F6B"/>
    <w:rsid w:val="EEADC690"/>
    <w:rsid w:val="EF176F7A"/>
    <w:rsid w:val="EF17ABC9"/>
    <w:rsid w:val="EF3F113E"/>
    <w:rsid w:val="EFF1F86F"/>
    <w:rsid w:val="EFFF606F"/>
    <w:rsid w:val="F1EE2FE6"/>
    <w:rsid w:val="F40B3B6C"/>
    <w:rsid w:val="F4DFF599"/>
    <w:rsid w:val="F5DFE731"/>
    <w:rsid w:val="F6DD0328"/>
    <w:rsid w:val="F72E749E"/>
    <w:rsid w:val="F73F761C"/>
    <w:rsid w:val="F7473F1A"/>
    <w:rsid w:val="F7635F37"/>
    <w:rsid w:val="F7A9B5A1"/>
    <w:rsid w:val="F7AE74F3"/>
    <w:rsid w:val="F7FB0892"/>
    <w:rsid w:val="F7FF8AAF"/>
    <w:rsid w:val="F9B7CFC4"/>
    <w:rsid w:val="F9BF2AE5"/>
    <w:rsid w:val="F9FB2933"/>
    <w:rsid w:val="FA3F62BD"/>
    <w:rsid w:val="FAF384A2"/>
    <w:rsid w:val="FAFDA028"/>
    <w:rsid w:val="FBD87D4D"/>
    <w:rsid w:val="FBDA4391"/>
    <w:rsid w:val="FBEF2282"/>
    <w:rsid w:val="FBFCB8E0"/>
    <w:rsid w:val="FCFDC603"/>
    <w:rsid w:val="FD2F89B5"/>
    <w:rsid w:val="FD3E1206"/>
    <w:rsid w:val="FDBFBD0E"/>
    <w:rsid w:val="FDF6AEE2"/>
    <w:rsid w:val="FDFF04BF"/>
    <w:rsid w:val="FDFF2F1D"/>
    <w:rsid w:val="FE1FA6F1"/>
    <w:rsid w:val="FE7FAC0B"/>
    <w:rsid w:val="FEBB5C13"/>
    <w:rsid w:val="FECE2F46"/>
    <w:rsid w:val="FEEA3A4C"/>
    <w:rsid w:val="FF2F1369"/>
    <w:rsid w:val="FF6BB430"/>
    <w:rsid w:val="FF7B31E2"/>
    <w:rsid w:val="FFB60189"/>
    <w:rsid w:val="FFF772D6"/>
    <w:rsid w:val="FFFB73E8"/>
    <w:rsid w:val="FFFD186E"/>
    <w:rsid w:val="FFFE171B"/>
    <w:rsid w:val="FFFFA359"/>
    <w:rsid w:val="FFFFC1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jc w:val="center"/>
    </w:pPr>
    <w:rPr>
      <w:rFonts w:ascii="Times New Roman" w:hAnsi="Times New Roman" w:eastAsia="Times New Roman" w:cs="Times New Roman"/>
      <w:sz w:val="24"/>
      <w:szCs w:val="24"/>
      <w:lang w:val="en-US" w:eastAsia="zh-CN" w:bidi="ar-SA"/>
    </w:rPr>
  </w:style>
  <w:style w:type="paragraph" w:styleId="2">
    <w:name w:val="heading 1"/>
    <w:basedOn w:val="1"/>
    <w:next w:val="1"/>
    <w:link w:val="39"/>
    <w:qFormat/>
    <w:uiPriority w:val="0"/>
    <w:pPr>
      <w:spacing w:before="340" w:after="330" w:line="360" w:lineRule="auto"/>
      <w:outlineLvl w:val="0"/>
    </w:pPr>
    <w:rPr>
      <w:rFonts w:eastAsia="黑体"/>
      <w:kern w:val="44"/>
      <w:szCs w:val="44"/>
    </w:rPr>
  </w:style>
  <w:style w:type="paragraph" w:styleId="3">
    <w:name w:val="heading 2"/>
    <w:basedOn w:val="1"/>
    <w:next w:val="1"/>
    <w:link w:val="40"/>
    <w:qFormat/>
    <w:uiPriority w:val="0"/>
    <w:pPr>
      <w:adjustRightInd w:val="0"/>
      <w:textAlignment w:val="baseline"/>
      <w:outlineLvl w:val="1"/>
    </w:pPr>
    <w:rPr>
      <w:sz w:val="24"/>
      <w:szCs w:val="20"/>
    </w:rPr>
  </w:style>
  <w:style w:type="paragraph" w:styleId="4">
    <w:name w:val="heading 3"/>
    <w:basedOn w:val="1"/>
    <w:next w:val="1"/>
    <w:link w:val="34"/>
    <w:qFormat/>
    <w:uiPriority w:val="9"/>
    <w:pPr>
      <w:spacing w:before="260" w:after="260" w:line="240" w:lineRule="auto"/>
      <w:outlineLvl w:val="2"/>
    </w:pPr>
    <w:rPr>
      <w:rFonts w:ascii="宋体" w:hAnsi="宋体" w:eastAsia="宋体"/>
      <w:szCs w:val="32"/>
    </w:rPr>
  </w:style>
  <w:style w:type="paragraph" w:styleId="5">
    <w:name w:val="heading 4"/>
    <w:basedOn w:val="1"/>
    <w:next w:val="1"/>
    <w:link w:val="38"/>
    <w:qFormat/>
    <w:uiPriority w:val="9"/>
    <w:pPr>
      <w:keepNext/>
      <w:keepLines/>
      <w:spacing w:before="280" w:after="290" w:line="376" w:lineRule="auto"/>
      <w:outlineLvl w:val="3"/>
    </w:pPr>
    <w:rPr>
      <w:rFonts w:ascii="Arial" w:hAnsi="Arial" w:eastAsia="黑体"/>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next w:val="1"/>
    <w:link w:val="41"/>
    <w:qFormat/>
    <w:uiPriority w:val="0"/>
    <w:pPr>
      <w:ind w:firstLine="420"/>
    </w:pPr>
    <w:rPr>
      <w:szCs w:val="20"/>
    </w:rPr>
  </w:style>
  <w:style w:type="paragraph" w:styleId="7">
    <w:name w:val="annotation text"/>
    <w:basedOn w:val="1"/>
    <w:link w:val="37"/>
    <w:qFormat/>
    <w:uiPriority w:val="0"/>
    <w:pPr>
      <w:autoSpaceDE w:val="0"/>
      <w:autoSpaceDN w:val="0"/>
      <w:adjustRightInd w:val="0"/>
      <w:textAlignment w:val="baseline"/>
    </w:pPr>
    <w:rPr>
      <w:rFonts w:ascii="宋体"/>
      <w:sz w:val="34"/>
      <w:szCs w:val="20"/>
    </w:rPr>
  </w:style>
  <w:style w:type="paragraph" w:styleId="8">
    <w:name w:val="Body Text"/>
    <w:basedOn w:val="1"/>
    <w:next w:val="9"/>
    <w:qFormat/>
    <w:uiPriority w:val="99"/>
  </w:style>
  <w:style w:type="paragraph" w:styleId="9">
    <w:name w:val="Body Text 2"/>
    <w:basedOn w:val="1"/>
    <w:qFormat/>
    <w:uiPriority w:val="0"/>
    <w:pPr>
      <w:spacing w:line="360" w:lineRule="auto"/>
    </w:pPr>
    <w:rPr>
      <w:sz w:val="24"/>
    </w:rPr>
  </w:style>
  <w:style w:type="paragraph" w:styleId="10">
    <w:name w:val="Body Text Indent"/>
    <w:basedOn w:val="1"/>
    <w:link w:val="43"/>
    <w:qFormat/>
    <w:uiPriority w:val="0"/>
    <w:pPr>
      <w:spacing w:line="360" w:lineRule="auto"/>
      <w:ind w:firstLine="420" w:firstLineChars="200"/>
    </w:pPr>
  </w:style>
  <w:style w:type="paragraph" w:styleId="11">
    <w:name w:val="Plain Text"/>
    <w:basedOn w:val="1"/>
    <w:qFormat/>
    <w:uiPriority w:val="0"/>
    <w:rPr>
      <w:rFonts w:ascii="宋体" w:hAnsi="Courier New"/>
    </w:rPr>
  </w:style>
  <w:style w:type="paragraph" w:styleId="12">
    <w:name w:val="Body Text Indent 2"/>
    <w:basedOn w:val="1"/>
    <w:next w:val="1"/>
    <w:qFormat/>
    <w:uiPriority w:val="0"/>
    <w:pPr>
      <w:ind w:firstLine="640" w:firstLineChars="200"/>
    </w:pPr>
    <w:rPr>
      <w:rFonts w:ascii="Times New Roman" w:hAnsi="Times New Roman" w:eastAsia="仿宋_GB2312"/>
      <w:kern w:val="0"/>
      <w:sz w:val="32"/>
    </w:rPr>
  </w:style>
  <w:style w:type="paragraph" w:styleId="13">
    <w:name w:val="footer"/>
    <w:basedOn w:val="1"/>
    <w:link w:val="47"/>
    <w:qFormat/>
    <w:uiPriority w:val="0"/>
    <w:pPr>
      <w:tabs>
        <w:tab w:val="center" w:pos="4153"/>
        <w:tab w:val="right" w:pos="8306"/>
      </w:tabs>
      <w:snapToGrid w:val="0"/>
      <w:jc w:val="left"/>
    </w:pPr>
    <w:rPr>
      <w:sz w:val="18"/>
      <w:szCs w:val="18"/>
    </w:rPr>
  </w:style>
  <w:style w:type="paragraph" w:styleId="14">
    <w:name w:val="header"/>
    <w:basedOn w:val="1"/>
    <w:link w:val="49"/>
    <w:qFormat/>
    <w:uiPriority w:val="0"/>
    <w:pPr>
      <w:tabs>
        <w:tab w:val="center" w:pos="4153"/>
        <w:tab w:val="right" w:pos="8306"/>
      </w:tabs>
      <w:snapToGrid w:val="0"/>
    </w:pPr>
    <w:rPr>
      <w:sz w:val="18"/>
      <w:szCs w:val="18"/>
    </w:rPr>
  </w:style>
  <w:style w:type="paragraph" w:styleId="15">
    <w:name w:val="toc 1"/>
    <w:basedOn w:val="1"/>
    <w:next w:val="1"/>
    <w:qFormat/>
    <w:uiPriority w:val="39"/>
    <w:pPr>
      <w:widowControl/>
      <w:tabs>
        <w:tab w:val="left" w:pos="360"/>
        <w:tab w:val="right" w:leader="dot" w:pos="8494"/>
      </w:tabs>
      <w:jc w:val="left"/>
    </w:pPr>
    <w:rPr>
      <w:rFonts w:ascii="Times New Roman" w:hAnsi="Times New Roman"/>
      <w:b/>
      <w:bCs/>
      <w:caps/>
      <w:kern w:val="0"/>
      <w:sz w:val="20"/>
      <w:szCs w:val="20"/>
    </w:rPr>
  </w:style>
  <w:style w:type="paragraph" w:styleId="16">
    <w:name w:val="Subtitle"/>
    <w:basedOn w:val="1"/>
    <w:next w:val="1"/>
    <w:link w:val="56"/>
    <w:qFormat/>
    <w:uiPriority w:val="0"/>
    <w:pPr>
      <w:spacing w:before="240" w:after="60" w:line="312" w:lineRule="auto"/>
      <w:ind w:left="992" w:hanging="992"/>
      <w:jc w:val="center"/>
      <w:outlineLvl w:val="1"/>
    </w:pPr>
    <w:rPr>
      <w:rFonts w:ascii="Cambria" w:hAnsi="Cambria"/>
      <w:b/>
      <w:bCs/>
      <w:kern w:val="28"/>
      <w:sz w:val="32"/>
      <w:szCs w:val="32"/>
    </w:rPr>
  </w:style>
  <w:style w:type="paragraph" w:styleId="17">
    <w:name w:val="toc 2"/>
    <w:basedOn w:val="1"/>
    <w:next w:val="1"/>
    <w:qFormat/>
    <w:uiPriority w:val="39"/>
    <w:pPr>
      <w:widowControl/>
      <w:tabs>
        <w:tab w:val="left" w:pos="720"/>
        <w:tab w:val="right" w:leader="dot" w:pos="8494"/>
      </w:tabs>
      <w:ind w:left="240"/>
      <w:jc w:val="left"/>
    </w:pPr>
    <w:rPr>
      <w:rFonts w:ascii="Times New Roman" w:hAnsi="Times New Roman"/>
      <w:smallCaps/>
      <w:kern w:val="0"/>
      <w:sz w:val="20"/>
      <w:szCs w:val="20"/>
    </w:rPr>
  </w:style>
  <w:style w:type="paragraph" w:styleId="18">
    <w:name w:val="HTML Preformatted"/>
    <w:basedOn w:val="1"/>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9">
    <w:name w:val="Normal (Web)"/>
    <w:basedOn w:val="1"/>
    <w:link w:val="36"/>
    <w:qFormat/>
    <w:uiPriority w:val="99"/>
  </w:style>
  <w:style w:type="paragraph" w:styleId="20">
    <w:name w:val="Title"/>
    <w:basedOn w:val="1"/>
    <w:next w:val="1"/>
    <w:qFormat/>
    <w:uiPriority w:val="0"/>
    <w:pPr>
      <w:spacing w:before="240" w:after="60"/>
      <w:jc w:val="center"/>
      <w:outlineLvl w:val="0"/>
    </w:pPr>
    <w:rPr>
      <w:rFonts w:asciiTheme="majorHAnsi" w:hAnsiTheme="majorHAnsi" w:cstheme="majorBidi"/>
      <w:b/>
      <w:bCs/>
      <w:sz w:val="32"/>
      <w:szCs w:val="32"/>
    </w:rPr>
  </w:style>
  <w:style w:type="paragraph" w:styleId="21">
    <w:name w:val="annotation subject"/>
    <w:basedOn w:val="7"/>
    <w:next w:val="7"/>
    <w:link w:val="55"/>
    <w:qFormat/>
    <w:uiPriority w:val="0"/>
    <w:pPr>
      <w:autoSpaceDE/>
      <w:autoSpaceDN/>
      <w:adjustRightInd/>
      <w:jc w:val="left"/>
      <w:textAlignment w:val="auto"/>
    </w:pPr>
    <w:rPr>
      <w:rFonts w:ascii="Times New Roman"/>
      <w:b/>
      <w:bCs/>
      <w:sz w:val="24"/>
      <w:szCs w:val="24"/>
    </w:rPr>
  </w:style>
  <w:style w:type="paragraph" w:styleId="22">
    <w:name w:val="Body Text First Indent"/>
    <w:basedOn w:val="1"/>
    <w:qFormat/>
    <w:uiPriority w:val="0"/>
    <w:pPr>
      <w:spacing w:after="120"/>
      <w:ind w:firstLine="420" w:firstLineChars="100"/>
    </w:pPr>
    <w:rPr>
      <w:rFonts w:ascii="Times New Roman" w:hAnsi="Calibri" w:eastAsia="宋体" w:cs="宋体"/>
      <w:szCs w:val="24"/>
    </w:rPr>
  </w:style>
  <w:style w:type="paragraph" w:styleId="23">
    <w:name w:val="Body Text First Indent 2"/>
    <w:basedOn w:val="10"/>
    <w:qFormat/>
    <w:uiPriority w:val="0"/>
    <w:pPr>
      <w:spacing w:after="120" w:line="240" w:lineRule="auto"/>
      <w:ind w:left="420" w:leftChars="200"/>
    </w:p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basedOn w:val="26"/>
    <w:qFormat/>
    <w:uiPriority w:val="0"/>
    <w:rPr>
      <w:b/>
    </w:rPr>
  </w:style>
  <w:style w:type="character" w:styleId="28">
    <w:name w:val="page number"/>
    <w:basedOn w:val="26"/>
    <w:qFormat/>
    <w:uiPriority w:val="0"/>
  </w:style>
  <w:style w:type="character" w:styleId="29">
    <w:name w:val="Emphasis"/>
    <w:basedOn w:val="26"/>
    <w:qFormat/>
    <w:uiPriority w:val="0"/>
    <w:rPr>
      <w:i/>
    </w:rPr>
  </w:style>
  <w:style w:type="character" w:styleId="30">
    <w:name w:val="Hyperlink"/>
    <w:qFormat/>
    <w:uiPriority w:val="99"/>
    <w:rPr>
      <w:color w:val="0000FF"/>
      <w:u w:val="single"/>
    </w:rPr>
  </w:style>
  <w:style w:type="character" w:styleId="31">
    <w:name w:val="annotation reference"/>
    <w:qFormat/>
    <w:uiPriority w:val="0"/>
    <w:rPr>
      <w:sz w:val="21"/>
      <w:szCs w:val="21"/>
    </w:rPr>
  </w:style>
  <w:style w:type="paragraph" w:styleId="32">
    <w:name w:val="Quote"/>
    <w:next w:val="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customStyle="1" w:styleId="33">
    <w:name w:val="表格文字"/>
    <w:basedOn w:val="1"/>
    <w:qFormat/>
    <w:uiPriority w:val="0"/>
    <w:pPr>
      <w:spacing w:before="25" w:after="25"/>
      <w:jc w:val="left"/>
    </w:pPr>
    <w:rPr>
      <w:bCs/>
      <w:spacing w:val="10"/>
      <w:szCs w:val="20"/>
    </w:rPr>
  </w:style>
  <w:style w:type="character" w:customStyle="1" w:styleId="34">
    <w:name w:val="标题 3 字符"/>
    <w:link w:val="4"/>
    <w:qFormat/>
    <w:uiPriority w:val="9"/>
    <w:rPr>
      <w:rFonts w:ascii="宋体" w:hAnsi="宋体" w:eastAsia="宋体"/>
      <w:b/>
      <w:bCs/>
      <w:kern w:val="2"/>
      <w:sz w:val="28"/>
      <w:szCs w:val="32"/>
      <w:lang w:val="en-US" w:eastAsia="zh-CN" w:bidi="ar-SA"/>
    </w:rPr>
  </w:style>
  <w:style w:type="paragraph" w:customStyle="1" w:styleId="35">
    <w:name w:val="文档正文"/>
    <w:basedOn w:val="1"/>
    <w:qFormat/>
    <w:uiPriority w:val="99"/>
    <w:pPr>
      <w:adjustRightInd w:val="0"/>
      <w:spacing w:line="500" w:lineRule="exact"/>
      <w:ind w:firstLine="567"/>
      <w:textAlignment w:val="baseline"/>
    </w:pPr>
    <w:rPr>
      <w:rFonts w:ascii="仿宋_GB2312" w:eastAsia="仿宋_GB2312"/>
      <w:sz w:val="28"/>
    </w:rPr>
  </w:style>
  <w:style w:type="character" w:customStyle="1" w:styleId="36">
    <w:name w:val="普通(网站) 字符"/>
    <w:link w:val="19"/>
    <w:qFormat/>
    <w:uiPriority w:val="0"/>
    <w:rPr>
      <w:kern w:val="2"/>
      <w:sz w:val="24"/>
      <w:szCs w:val="24"/>
    </w:rPr>
  </w:style>
  <w:style w:type="character" w:customStyle="1" w:styleId="37">
    <w:name w:val="批注文字 字符"/>
    <w:link w:val="7"/>
    <w:qFormat/>
    <w:uiPriority w:val="0"/>
    <w:rPr>
      <w:rFonts w:ascii="宋体"/>
      <w:sz w:val="34"/>
    </w:rPr>
  </w:style>
  <w:style w:type="character" w:customStyle="1" w:styleId="38">
    <w:name w:val="标题 4 字符"/>
    <w:link w:val="5"/>
    <w:qFormat/>
    <w:uiPriority w:val="9"/>
    <w:rPr>
      <w:rFonts w:ascii="Arial" w:hAnsi="Arial" w:eastAsia="黑体"/>
      <w:b/>
      <w:bCs/>
      <w:kern w:val="2"/>
      <w:sz w:val="28"/>
      <w:szCs w:val="28"/>
      <w:lang w:val="en-US" w:eastAsia="zh-CN" w:bidi="ar-SA"/>
    </w:rPr>
  </w:style>
  <w:style w:type="character" w:customStyle="1" w:styleId="39">
    <w:name w:val="标题 1 字符"/>
    <w:link w:val="2"/>
    <w:qFormat/>
    <w:uiPriority w:val="0"/>
    <w:rPr>
      <w:rFonts w:ascii="宋体" w:hAnsi="宋体" w:eastAsia="黑体"/>
      <w:b/>
      <w:bCs/>
      <w:kern w:val="44"/>
      <w:sz w:val="28"/>
      <w:szCs w:val="44"/>
      <w:lang w:val="en-US" w:eastAsia="zh-CN" w:bidi="ar-SA"/>
    </w:rPr>
  </w:style>
  <w:style w:type="character" w:customStyle="1" w:styleId="40">
    <w:name w:val="标题 2 字符"/>
    <w:link w:val="3"/>
    <w:qFormat/>
    <w:uiPriority w:val="0"/>
    <w:rPr>
      <w:rFonts w:ascii="宋体" w:hAnsi="宋体" w:eastAsia="宋体"/>
      <w:b/>
      <w:bCs/>
      <w:sz w:val="24"/>
      <w:lang w:val="en-US" w:eastAsia="zh-CN" w:bidi="ar-SA"/>
    </w:rPr>
  </w:style>
  <w:style w:type="character" w:customStyle="1" w:styleId="41">
    <w:name w:val="正文缩进 字符"/>
    <w:link w:val="6"/>
    <w:qFormat/>
    <w:uiPriority w:val="0"/>
    <w:rPr>
      <w:rFonts w:eastAsia="宋体"/>
      <w:kern w:val="2"/>
      <w:sz w:val="21"/>
      <w:lang w:val="en-US" w:eastAsia="zh-CN" w:bidi="ar-SA"/>
    </w:rPr>
  </w:style>
  <w:style w:type="character" w:customStyle="1" w:styleId="42">
    <w:name w:val="标题 3 Char"/>
    <w:qFormat/>
    <w:uiPriority w:val="0"/>
    <w:rPr>
      <w:rFonts w:ascii="黑体" w:eastAsia="黑体"/>
      <w:bCs/>
      <w:sz w:val="30"/>
    </w:rPr>
  </w:style>
  <w:style w:type="character" w:customStyle="1" w:styleId="43">
    <w:name w:val="正文文本缩进 字符"/>
    <w:link w:val="10"/>
    <w:qFormat/>
    <w:uiPriority w:val="0"/>
    <w:rPr>
      <w:rFonts w:eastAsia="宋体"/>
      <w:kern w:val="2"/>
      <w:sz w:val="21"/>
      <w:szCs w:val="24"/>
      <w:lang w:val="en-US" w:eastAsia="zh-CN" w:bidi="ar-SA"/>
    </w:rPr>
  </w:style>
  <w:style w:type="character" w:customStyle="1" w:styleId="44">
    <w:name w:val="NormalCharacter"/>
    <w:qFormat/>
    <w:uiPriority w:val="0"/>
    <w:rPr>
      <w:kern w:val="2"/>
      <w:sz w:val="21"/>
      <w:szCs w:val="24"/>
      <w:lang w:val="en-US" w:eastAsia="zh-CN" w:bidi="ar-SA"/>
    </w:rPr>
  </w:style>
  <w:style w:type="paragraph" w:customStyle="1" w:styleId="45">
    <w:name w:val="修订1"/>
    <w:qFormat/>
    <w:uiPriority w:val="99"/>
    <w:rPr>
      <w:rFonts w:ascii="Times New Roman" w:hAnsi="Times New Roman" w:eastAsia="Times New Roman" w:cs="Times New Roman"/>
      <w:sz w:val="24"/>
      <w:szCs w:val="24"/>
      <w:lang w:val="en-US" w:eastAsia="zh-CN" w:bidi="ar-SA"/>
    </w:rPr>
  </w:style>
  <w:style w:type="paragraph" w:styleId="46">
    <w:name w:val="List Paragraph"/>
    <w:basedOn w:val="1"/>
    <w:qFormat/>
    <w:uiPriority w:val="99"/>
    <w:pPr>
      <w:ind w:firstLine="420" w:firstLineChars="200"/>
    </w:pPr>
  </w:style>
  <w:style w:type="character" w:customStyle="1" w:styleId="47">
    <w:name w:val="页脚 字符"/>
    <w:basedOn w:val="26"/>
    <w:link w:val="13"/>
    <w:qFormat/>
    <w:uiPriority w:val="0"/>
    <w:rPr>
      <w:rFonts w:eastAsia="Times New Roman"/>
      <w:sz w:val="18"/>
      <w:szCs w:val="18"/>
    </w:rPr>
  </w:style>
  <w:style w:type="table" w:customStyle="1" w:styleId="48">
    <w:name w:val="网格型1"/>
    <w:basedOn w:val="24"/>
    <w:qFormat/>
    <w:uiPriority w:val="59"/>
    <w:pPr>
      <w:widowControl w:val="0"/>
      <w:spacing w:after="78" w:afterLines="25" w:line="300" w:lineRule="auto"/>
      <w:jc w:val="both"/>
    </w:pPr>
    <w:rPr>
      <w:rFonts w:eastAsia="等线"/>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49">
    <w:name w:val="页眉 字符"/>
    <w:basedOn w:val="26"/>
    <w:link w:val="14"/>
    <w:qFormat/>
    <w:uiPriority w:val="0"/>
    <w:rPr>
      <w:rFonts w:eastAsia="Times New Roman"/>
      <w:sz w:val="18"/>
      <w:szCs w:val="18"/>
    </w:rPr>
  </w:style>
  <w:style w:type="character" w:customStyle="1" w:styleId="50">
    <w:name w:val="font21"/>
    <w:basedOn w:val="26"/>
    <w:qFormat/>
    <w:uiPriority w:val="0"/>
    <w:rPr>
      <w:rFonts w:hint="default" w:ascii="Times New Roman" w:hAnsi="Times New Roman" w:cs="Times New Roman"/>
      <w:color w:val="000000"/>
      <w:sz w:val="24"/>
      <w:szCs w:val="24"/>
      <w:u w:val="none"/>
    </w:rPr>
  </w:style>
  <w:style w:type="character" w:customStyle="1" w:styleId="51">
    <w:name w:val="font11"/>
    <w:basedOn w:val="26"/>
    <w:qFormat/>
    <w:uiPriority w:val="0"/>
    <w:rPr>
      <w:rFonts w:hint="eastAsia" w:ascii="宋体" w:hAnsi="宋体" w:eastAsia="宋体" w:cs="宋体"/>
      <w:color w:val="000000"/>
      <w:sz w:val="24"/>
      <w:szCs w:val="24"/>
      <w:u w:val="none"/>
    </w:rPr>
  </w:style>
  <w:style w:type="table" w:customStyle="1" w:styleId="52">
    <w:name w:val="Table Normal"/>
    <w:qFormat/>
    <w:uiPriority w:val="0"/>
    <w:rPr>
      <w:rFonts w:ascii="Calibri" w:hAnsi="Calibri"/>
    </w:rPr>
    <w:tblPr>
      <w:tblCellMar>
        <w:top w:w="0" w:type="dxa"/>
        <w:left w:w="0" w:type="dxa"/>
        <w:bottom w:w="0" w:type="dxa"/>
        <w:right w:w="0" w:type="dxa"/>
      </w:tblCellMar>
    </w:tblPr>
  </w:style>
  <w:style w:type="paragraph" w:customStyle="1" w:styleId="53">
    <w:name w:val="Table Text"/>
    <w:basedOn w:val="1"/>
    <w:qFormat/>
    <w:uiPriority w:val="0"/>
    <w:pPr>
      <w:kinsoku w:val="0"/>
      <w:autoSpaceDE w:val="0"/>
      <w:autoSpaceDN w:val="0"/>
      <w:adjustRightInd w:val="0"/>
      <w:snapToGrid w:val="0"/>
      <w:jc w:val="left"/>
      <w:textAlignment w:val="baseline"/>
    </w:pPr>
    <w:rPr>
      <w:rFonts w:ascii="宋体" w:hAnsi="宋体" w:eastAsia="宋体" w:cs="宋体"/>
      <w:snapToGrid w:val="0"/>
      <w:color w:val="000000"/>
      <w:sz w:val="21"/>
      <w:szCs w:val="21"/>
      <w:lang w:eastAsia="en-US"/>
    </w:rPr>
  </w:style>
  <w:style w:type="paragraph" w:customStyle="1" w:styleId="54">
    <w:name w:val="List Paragraph1"/>
    <w:qFormat/>
    <w:uiPriority w:val="99"/>
    <w:pPr>
      <w:widowControl w:val="0"/>
      <w:ind w:firstLine="420" w:firstLineChars="200"/>
      <w:jc w:val="both"/>
    </w:pPr>
    <w:rPr>
      <w:rFonts w:ascii="Calibri" w:hAnsi="Calibri" w:eastAsia="宋体" w:cs="黑体"/>
      <w:kern w:val="2"/>
      <w:sz w:val="21"/>
      <w:szCs w:val="22"/>
      <w:lang w:val="en-US" w:eastAsia="zh-CN" w:bidi="ar-SA"/>
    </w:rPr>
  </w:style>
  <w:style w:type="character" w:customStyle="1" w:styleId="55">
    <w:name w:val="批注主题 字符"/>
    <w:basedOn w:val="37"/>
    <w:link w:val="21"/>
    <w:qFormat/>
    <w:uiPriority w:val="0"/>
    <w:rPr>
      <w:rFonts w:ascii="宋体" w:eastAsia="Times New Roman"/>
      <w:b/>
      <w:bCs/>
      <w:sz w:val="24"/>
      <w:szCs w:val="24"/>
    </w:rPr>
  </w:style>
  <w:style w:type="character" w:customStyle="1" w:styleId="56">
    <w:name w:val="副标题 Char1"/>
    <w:basedOn w:val="26"/>
    <w:link w:val="16"/>
    <w:qFormat/>
    <w:uiPriority w:val="0"/>
    <w:rPr>
      <w:rFonts w:ascii="Cambria" w:hAnsi="Cambria"/>
      <w:b/>
      <w:bCs/>
      <w:kern w:val="28"/>
      <w:sz w:val="32"/>
      <w:szCs w:val="32"/>
    </w:rPr>
  </w:style>
  <w:style w:type="paragraph" w:customStyle="1" w:styleId="57">
    <w:name w:val="NormalIndent"/>
    <w:basedOn w:val="1"/>
    <w:qFormat/>
    <w:uiPriority w:val="0"/>
    <w:pPr>
      <w:ind w:firstLine="420"/>
      <w:textAlignment w:val="baseline"/>
    </w:pPr>
  </w:style>
  <w:style w:type="paragraph" w:customStyle="1" w:styleId="58">
    <w:name w:val="正文首行缩进 21"/>
    <w:qFormat/>
    <w:uiPriority w:val="0"/>
    <w:pPr>
      <w:widowControl w:val="0"/>
      <w:ind w:left="420" w:leftChars="200" w:firstLine="420" w:firstLineChars="200"/>
      <w:jc w:val="both"/>
    </w:pPr>
    <w:rPr>
      <w:rFonts w:ascii="Calibri" w:hAnsi="Calibri" w:eastAsia="宋体" w:cs="Times New Roman"/>
      <w:kern w:val="2"/>
      <w:sz w:val="21"/>
      <w:szCs w:val="24"/>
      <w:lang w:val="en-US" w:eastAsia="zh-CN" w:bidi="ar-SA"/>
    </w:rPr>
  </w:style>
  <w:style w:type="paragraph" w:customStyle="1" w:styleId="59">
    <w:name w:val="样式 样式 行距: 1.5 倍行距 + 首行缩进:  2 字符"/>
    <w:next w:val="8"/>
    <w:qFormat/>
    <w:uiPriority w:val="0"/>
    <w:pPr>
      <w:widowControl w:val="0"/>
      <w:spacing w:line="360" w:lineRule="auto"/>
      <w:ind w:firstLine="200" w:firstLineChars="200"/>
      <w:jc w:val="both"/>
    </w:pPr>
    <w:rPr>
      <w:rFonts w:ascii="Times New Roman" w:hAnsi="Times New Roman" w:eastAsia="宋体" w:cs="宋体"/>
      <w:kern w:val="2"/>
      <w:sz w:val="24"/>
      <w:szCs w:val="21"/>
      <w:lang w:val="en-US" w:eastAsia="zh-CN" w:bidi="ar-SA"/>
    </w:rPr>
  </w:style>
  <w:style w:type="paragraph" w:styleId="60">
    <w:name w:val="No Spacing"/>
    <w:qFormat/>
    <w:uiPriority w:val="1"/>
    <w:pPr>
      <w:widowControl w:val="0"/>
      <w:jc w:val="both"/>
    </w:pPr>
    <w:rPr>
      <w:rFonts w:ascii="Calibri" w:hAnsi="Calibri" w:eastAsia="宋体" w:cs="Times New Roman"/>
      <w:kern w:val="2"/>
      <w:sz w:val="21"/>
      <w:szCs w:val="22"/>
      <w:lang w:val="en-US" w:eastAsia="zh-CN" w:bidi="ar-SA"/>
    </w:rPr>
  </w:style>
  <w:style w:type="paragraph" w:customStyle="1" w:styleId="61">
    <w:name w:val="正文1"/>
    <w:qFormat/>
    <w:uiPriority w:val="0"/>
    <w:pPr>
      <w:jc w:val="both"/>
    </w:pPr>
    <w:rPr>
      <w:rFonts w:ascii="Times New Roman" w:hAnsi="Times New Roman" w:eastAsia="宋体" w:cs="宋体"/>
      <w:kern w:val="2"/>
      <w:sz w:val="21"/>
      <w:szCs w:val="21"/>
      <w:lang w:val="en-US" w:eastAsia="zh-CN" w:bidi="ar-SA"/>
    </w:rPr>
  </w:style>
  <w:style w:type="paragraph" w:customStyle="1" w:styleId="62">
    <w:name w:val="样式 正文"/>
    <w:basedOn w:val="1"/>
    <w:qFormat/>
    <w:uiPriority w:val="0"/>
    <w:pPr>
      <w:spacing w:line="360" w:lineRule="auto"/>
      <w:ind w:firstLine="720" w:firstLineChars="300"/>
    </w:pPr>
    <w:rPr>
      <w:rFonts w:ascii="宋体" w:hAnsi="宋体"/>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2" Type="http://schemas.openxmlformats.org/officeDocument/2006/relationships/font" Target="fonts/font1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56</Pages>
  <Words>40060</Words>
  <Characters>42019</Characters>
  <Lines>292</Lines>
  <Paragraphs>82</Paragraphs>
  <TotalTime>1</TotalTime>
  <ScaleCrop>false</ScaleCrop>
  <LinksUpToDate>false</LinksUpToDate>
  <CharactersWithSpaces>46732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2024-03-20T08:33:00Z</dcterms:created>
  <dc:creator>Administrator</dc:creator>
  <cp:lastModifiedBy>Fast-Yu</cp:lastModifiedBy>
  <cp:lastPrinted>2026-01-19T07:35:00Z</cp:lastPrinted>
  <dcterms:modified xsi:type="dcterms:W3CDTF">2026-02-04T01:25:25Z</dcterms:modified>
  <dc:title>盐田区2024年水资源管理和节水工作技术咨询服务招标文件信息</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694A8E3630594DD2A20EEF88129C6EBB_13</vt:lpwstr>
  </property>
  <property fmtid="{D5CDD505-2E9C-101B-9397-08002B2CF9AE}" pid="4" name="KSOTemplateDocerSaveRecord">
    <vt:lpwstr>eyJoZGlkIjoiMDAyYTEyM2IzMDEyMmNhNDFkNGE1NDIxYzQzYzk1OGEiLCJ1c2VySWQiOiIxMDM4MDM5ODk1In0=</vt:lpwstr>
  </property>
</Properties>
</file>