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 w:bidi="ar"/>
        </w:rPr>
        <w:t>盐田区2025年度托育机构服务质量评估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 w:bidi="ar"/>
        </w:rPr>
        <w:t>定级名单</w:t>
      </w:r>
    </w:p>
    <w:tbl>
      <w:tblPr>
        <w:tblStyle w:val="7"/>
        <w:tblW w:w="512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4635"/>
        <w:gridCol w:w="5295"/>
        <w:gridCol w:w="1648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" w:type="pct"/>
            <w:noWrap w:val="0"/>
            <w:vAlign w:val="top"/>
          </w:tcPr>
          <w:p>
            <w:pPr>
              <w:autoSpaceDN w:val="0"/>
              <w:spacing w:line="570" w:lineRule="exact"/>
              <w:jc w:val="center"/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  <w:t>序</w:t>
            </w: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  <w:t>号</w:t>
            </w:r>
          </w:p>
        </w:tc>
        <w:tc>
          <w:tcPr>
            <w:tcW w:w="1602" w:type="pct"/>
            <w:noWrap w:val="0"/>
            <w:vAlign w:val="top"/>
          </w:tcPr>
          <w:p>
            <w:pPr>
              <w:autoSpaceDN w:val="0"/>
              <w:spacing w:line="570" w:lineRule="exact"/>
              <w:jc w:val="center"/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  <w:t>机构名称</w:t>
            </w:r>
          </w:p>
        </w:tc>
        <w:tc>
          <w:tcPr>
            <w:tcW w:w="1831" w:type="pct"/>
            <w:noWrap w:val="0"/>
            <w:vAlign w:val="top"/>
          </w:tcPr>
          <w:p>
            <w:pPr>
              <w:autoSpaceDN w:val="0"/>
              <w:spacing w:line="570" w:lineRule="exact"/>
              <w:jc w:val="center"/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  <w:t>地</w:t>
            </w: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  <w:t>址</w:t>
            </w:r>
          </w:p>
        </w:tc>
        <w:tc>
          <w:tcPr>
            <w:tcW w:w="569" w:type="pct"/>
            <w:noWrap w:val="0"/>
            <w:vAlign w:val="top"/>
          </w:tcPr>
          <w:p>
            <w:pPr>
              <w:autoSpaceDN w:val="0"/>
              <w:spacing w:line="570" w:lineRule="exact"/>
              <w:jc w:val="center"/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  <w:t>分</w:t>
            </w:r>
          </w:p>
        </w:tc>
        <w:tc>
          <w:tcPr>
            <w:tcW w:w="636" w:type="pct"/>
            <w:noWrap w:val="0"/>
            <w:vAlign w:val="top"/>
          </w:tcPr>
          <w:p>
            <w:pPr>
              <w:autoSpaceDN w:val="0"/>
              <w:spacing w:line="570" w:lineRule="exact"/>
              <w:jc w:val="center"/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  <w:t>评估等级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深圳优儿托育服务有限公司</w:t>
            </w:r>
          </w:p>
        </w:tc>
        <w:tc>
          <w:tcPr>
            <w:tcW w:w="1831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盐田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沙头角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沙盐路上东湾3楼A05号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85.95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02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深圳玉米池艺术文化传播有限公司倚山花园分公司</w:t>
            </w:r>
          </w:p>
        </w:tc>
        <w:tc>
          <w:tcPr>
            <w:tcW w:w="1831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盐田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海山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新世界倚山花园商业中心一楼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98.95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深圳玉米池艺术文化传播有限公司</w:t>
            </w:r>
          </w:p>
        </w:tc>
        <w:tc>
          <w:tcPr>
            <w:tcW w:w="1831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盐田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海山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街道</w:t>
            </w: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海景二路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君临海域A区101号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94.5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6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深圳市蒙圆托育有限公司</w:t>
            </w:r>
          </w:p>
        </w:tc>
        <w:tc>
          <w:tcPr>
            <w:tcW w:w="1831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盐田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盐田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山海四季花园A13号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92.5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6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深圳爱和喜悦信息咨询有限公司</w:t>
            </w:r>
          </w:p>
        </w:tc>
        <w:tc>
          <w:tcPr>
            <w:tcW w:w="1831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盐田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盐田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中青路海桐居4栋213号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87.3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6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深业托育（深圳）有限公司安居海鸿居分公司</w:t>
            </w:r>
          </w:p>
        </w:tc>
        <w:tc>
          <w:tcPr>
            <w:tcW w:w="1831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盐田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盐田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永安路海鸿居1栋A、B、C座A座1005-1010号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99.75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6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深业托育（深圳）有限公司万科东海岸分公司</w:t>
            </w:r>
          </w:p>
        </w:tc>
        <w:tc>
          <w:tcPr>
            <w:tcW w:w="1831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盐田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梅沙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万科东海岸一期220号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  <w:lang w:val="en-US" w:eastAsia="zh-CN"/>
              </w:rPr>
              <w:t>97.4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autoSpaceDN w:val="0"/>
              <w:spacing w:line="570" w:lineRule="exact"/>
              <w:jc w:val="center"/>
              <w:rPr>
                <w:rFonts w:ascii="仿宋_GB2312" w:hAnsi="Times New Roman" w:eastAsia="仿宋_GB2312" w:cs="Times New Roman"/>
                <w:color w:val="000000"/>
                <w:spacing w:val="-3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-3"/>
                <w:sz w:val="28"/>
                <w:szCs w:val="28"/>
                <w:highlight w:val="none"/>
                <w:vertAlign w:val="baseline"/>
                <w:lang w:val="en-US" w:eastAsia="zh-CN"/>
              </w:rPr>
              <w:t>一级</w:t>
            </w:r>
          </w:p>
        </w:tc>
      </w:tr>
    </w:tbl>
    <w:p>
      <w:pPr>
        <w:autoSpaceDN w:val="0"/>
        <w:spacing w:line="590" w:lineRule="exact"/>
        <w:rPr>
          <w:rFonts w:hint="eastAsia" w:ascii="仿宋_GB2312" w:eastAsia="仿宋_GB2312"/>
          <w:spacing w:val="-3"/>
          <w:sz w:val="32"/>
          <w:szCs w:val="32"/>
          <w:lang w:val="en-US" w:eastAsia="zh-CN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6838" w:h="11906" w:orient="landscape"/>
      <w:pgMar w:top="1588" w:right="1814" w:bottom="1474" w:left="1134" w:header="851" w:footer="907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ascii="Times New Roman" w:hAnsi="Times New Roman" w:eastAsia="宋体" w:cs="Times New Roma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RvkKDJAQAAmQMAAA4AAABkcnMv&#10;ZTJvRG9jLnhtbK1TzY7TMBC+I/EOlu/U2a6E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BG+QoM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9"/>
        <w:rFonts w:ascii="Times New Roman" w:hAnsi="Times New Roman" w:eastAsia="宋体" w:cs="Times New Roman"/>
        <w:sz w:val="21"/>
        <w:szCs w:val="24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>
    <w:pPr>
      <w:pStyle w:val="4"/>
      <w:ind w:right="360" w:firstLine="360"/>
      <w:rPr>
        <w:rFonts w:ascii="Times New Roman" w:hAnsi="Times New Roman" w:eastAsia="宋体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178" w:leftChars="85" w:right="44" w:rightChars="21" w:firstLine="182" w:firstLineChars="65"/>
      <w:jc w:val="left"/>
      <w:rPr>
        <w:rFonts w:ascii="Times New Roman" w:hAnsi="Times New Roman" w:eastAsia="宋体" w:cs="Times New Roma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FFA8580"/>
    <w:rsid w:val="4A1947CF"/>
    <w:rsid w:val="5F154A73"/>
    <w:rsid w:val="7BBF3168"/>
    <w:rsid w:val="BFB6D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20" w:after="120" w:line="415" w:lineRule="auto"/>
      <w:ind w:firstLine="200" w:firstLineChars="200"/>
      <w:outlineLvl w:val="1"/>
    </w:pPr>
    <w:rPr>
      <w:rFonts w:ascii="Cambria" w:hAnsi="Cambria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qFormat/>
    <w:uiPriority w:val="0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wjj</cp:lastModifiedBy>
  <cp:lastPrinted>2026-01-30T03:06:00Z</cp:lastPrinted>
  <dcterms:modified xsi:type="dcterms:W3CDTF">2026-03-03T09:54:22Z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B6543B02F28A4D523E87A5689E85372E</vt:lpwstr>
  </property>
</Properties>
</file>