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jc w:val="right"/>
        <w:rPr>
          <w:rFonts w:hint="eastAsia" w:ascii="宋体" w:hAnsi="宋体" w:cs="宋体"/>
          <w:color w:val="000000"/>
          <w:sz w:val="24"/>
        </w:rPr>
      </w:pPr>
      <w:r>
        <w:rPr>
          <w:rFonts w:hint="eastAsia" w:ascii="宋体" w:hAnsi="宋体" w:cs="宋体"/>
          <w:color w:val="000000"/>
          <w:sz w:val="24"/>
        </w:rPr>
        <w:t xml:space="preserve">       </w:t>
      </w:r>
    </w:p>
    <w:p>
      <w:pPr>
        <w:autoSpaceDE w:val="0"/>
        <w:autoSpaceDN w:val="0"/>
        <w:adjustRightInd w:val="0"/>
        <w:jc w:val="right"/>
        <w:rPr>
          <w:rFonts w:hint="eastAsia" w:ascii="宋体" w:hAnsi="宋体" w:cs="宋体"/>
          <w:color w:val="000000"/>
          <w:sz w:val="24"/>
        </w:rPr>
      </w:pPr>
    </w:p>
    <w:p>
      <w:pPr>
        <w:autoSpaceDE w:val="0"/>
        <w:autoSpaceDN w:val="0"/>
        <w:adjustRightInd w:val="0"/>
        <w:jc w:val="right"/>
        <w:rPr>
          <w:rFonts w:hint="eastAsia" w:ascii="宋体" w:hAnsi="宋体" w:cs="宋体"/>
          <w:color w:val="000000"/>
          <w:sz w:val="24"/>
        </w:rPr>
      </w:pPr>
      <w:r>
        <w:rPr>
          <w:rFonts w:hint="eastAsia" w:ascii="宋体" w:hAnsi="宋体" w:cs="宋体"/>
          <w:color w:val="000000"/>
          <w:sz w:val="24"/>
        </w:rPr>
        <w:t xml:space="preserve">    </w:t>
      </w:r>
    </w:p>
    <w:p>
      <w:pPr>
        <w:autoSpaceDE w:val="0"/>
        <w:autoSpaceDN w:val="0"/>
        <w:adjustRightInd w:val="0"/>
        <w:jc w:val="center"/>
        <w:rPr>
          <w:rFonts w:hint="eastAsia" w:ascii="宋体" w:hAnsi="宋体" w:cs="宋体"/>
          <w:kern w:val="0"/>
          <w:sz w:val="120"/>
          <w:szCs w:val="120"/>
        </w:rPr>
      </w:pPr>
      <w:r>
        <w:rPr>
          <w:rFonts w:hint="eastAsia" w:ascii="宋体" w:hAnsi="宋体" w:cs="宋体"/>
          <w:kern w:val="0"/>
          <w:sz w:val="120"/>
          <w:szCs w:val="120"/>
        </w:rPr>
        <w:t>政府采购文件</w:t>
      </w:r>
    </w:p>
    <w:p>
      <w:pPr>
        <w:autoSpaceDE w:val="0"/>
        <w:autoSpaceDN w:val="0"/>
        <w:adjustRightInd w:val="0"/>
        <w:jc w:val="center"/>
        <w:rPr>
          <w:rFonts w:hint="eastAsia" w:ascii="宋体" w:hAnsi="宋体" w:cs="宋体"/>
          <w:kern w:val="0"/>
          <w:sz w:val="52"/>
          <w:szCs w:val="52"/>
        </w:rPr>
      </w:pPr>
      <w:r>
        <w:rPr>
          <w:rFonts w:hint="eastAsia" w:ascii="宋体" w:hAnsi="宋体" w:cs="宋体"/>
          <w:kern w:val="0"/>
          <w:sz w:val="52"/>
          <w:szCs w:val="52"/>
        </w:rPr>
        <w:t>（服务类）</w:t>
      </w:r>
    </w:p>
    <w:p>
      <w:pPr>
        <w:tabs>
          <w:tab w:val="left" w:pos="3315"/>
        </w:tabs>
        <w:autoSpaceDE w:val="0"/>
        <w:autoSpaceDN w:val="0"/>
        <w:adjustRightInd w:val="0"/>
        <w:jc w:val="left"/>
        <w:rPr>
          <w:rFonts w:hint="eastAsia" w:ascii="宋体" w:hAnsi="宋体" w:cs="宋体"/>
          <w:kern w:val="0"/>
          <w:sz w:val="44"/>
          <w:szCs w:val="44"/>
        </w:rPr>
      </w:pPr>
      <w:r>
        <w:rPr>
          <w:rFonts w:hint="eastAsia" w:ascii="宋体" w:hAnsi="宋体" w:cs="宋体"/>
          <w:kern w:val="0"/>
          <w:sz w:val="44"/>
          <w:szCs w:val="44"/>
        </w:rPr>
        <w:tab/>
      </w:r>
    </w:p>
    <w:p>
      <w:pPr>
        <w:autoSpaceDE w:val="0"/>
        <w:autoSpaceDN w:val="0"/>
        <w:adjustRightInd w:val="0"/>
        <w:jc w:val="left"/>
        <w:rPr>
          <w:rFonts w:hint="eastAsia" w:ascii="宋体" w:hAnsi="宋体" w:cs="宋体"/>
          <w:kern w:val="0"/>
          <w:sz w:val="36"/>
          <w:szCs w:val="44"/>
        </w:rPr>
      </w:pPr>
    </w:p>
    <w:p>
      <w:pPr>
        <w:pStyle w:val="49"/>
        <w:ind w:left="1800" w:leftChars="0" w:hanging="1800" w:hangingChars="500"/>
        <w:jc w:val="left"/>
        <w:rPr>
          <w:rFonts w:hint="eastAsia" w:ascii="宋体" w:hAnsi="宋体" w:cs="宋体"/>
        </w:rPr>
      </w:pPr>
      <w:r>
        <w:rPr>
          <w:rFonts w:hint="eastAsia" w:ascii="宋体" w:hAnsi="宋体" w:cs="宋体"/>
          <w:kern w:val="0"/>
          <w:sz w:val="36"/>
          <w:szCs w:val="44"/>
        </w:rPr>
        <w:t>项目名称：</w:t>
      </w:r>
      <w:r>
        <w:rPr>
          <w:rFonts w:hint="eastAsia" w:ascii="宋体" w:hAnsi="宋体" w:cs="宋体"/>
          <w:bCs/>
          <w:sz w:val="36"/>
          <w:szCs w:val="36"/>
          <w:u w:val="single"/>
          <w:lang w:eastAsia="zh-CN"/>
        </w:rPr>
        <w:t>2026年度盐田区国有储备地除“四害”消杀服务</w:t>
      </w:r>
      <w:r>
        <w:rPr>
          <w:rFonts w:hint="eastAsia" w:ascii="宋体" w:hAnsi="宋体" w:cs="宋体"/>
          <w:bCs/>
          <w:sz w:val="36"/>
          <w:szCs w:val="36"/>
          <w:u w:val="single"/>
        </w:rPr>
        <w:t xml:space="preserve"> </w:t>
      </w:r>
    </w:p>
    <w:p>
      <w:pPr>
        <w:autoSpaceDE w:val="0"/>
        <w:autoSpaceDN w:val="0"/>
        <w:adjustRightInd w:val="0"/>
        <w:jc w:val="left"/>
        <w:rPr>
          <w:rFonts w:hint="eastAsia" w:ascii="宋体" w:hAnsi="宋体" w:cs="宋体"/>
          <w:kern w:val="0"/>
          <w:sz w:val="36"/>
          <w:szCs w:val="44"/>
          <w:u w:val="single"/>
        </w:rPr>
      </w:pPr>
    </w:p>
    <w:p>
      <w:pPr>
        <w:autoSpaceDE w:val="0"/>
        <w:autoSpaceDN w:val="0"/>
        <w:adjustRightInd w:val="0"/>
        <w:jc w:val="left"/>
        <w:rPr>
          <w:rFonts w:hint="eastAsia" w:ascii="宋体" w:hAnsi="宋体" w:cs="宋体"/>
          <w:kern w:val="0"/>
          <w:sz w:val="36"/>
          <w:szCs w:val="44"/>
          <w:u w:val="single"/>
        </w:rPr>
      </w:pPr>
      <w:r>
        <w:rPr>
          <w:rFonts w:hint="eastAsia" w:ascii="宋体" w:hAnsi="宋体" w:cs="宋体"/>
          <w:kern w:val="0"/>
          <w:sz w:val="36"/>
          <w:szCs w:val="44"/>
        </w:rPr>
        <w:t>采 购 人：</w:t>
      </w:r>
      <w:r>
        <w:rPr>
          <w:rFonts w:hint="eastAsia" w:ascii="宋体" w:hAnsi="宋体" w:cs="宋体"/>
          <w:kern w:val="0"/>
          <w:sz w:val="36"/>
          <w:szCs w:val="44"/>
          <w:u w:val="single"/>
        </w:rPr>
        <w:t>深圳市盐田区土地整备事务中心</w:t>
      </w:r>
    </w:p>
    <w:p>
      <w:pPr>
        <w:autoSpaceDE w:val="0"/>
        <w:autoSpaceDN w:val="0"/>
        <w:adjustRightInd w:val="0"/>
        <w:jc w:val="left"/>
        <w:rPr>
          <w:rFonts w:hint="eastAsia" w:ascii="宋体" w:hAnsi="宋体" w:cs="宋体"/>
          <w:kern w:val="0"/>
          <w:sz w:val="36"/>
          <w:szCs w:val="44"/>
          <w:u w:val="single"/>
        </w:rPr>
      </w:pPr>
    </w:p>
    <w:p>
      <w:pPr>
        <w:autoSpaceDE w:val="0"/>
        <w:autoSpaceDN w:val="0"/>
        <w:adjustRightInd w:val="0"/>
        <w:jc w:val="left"/>
        <w:rPr>
          <w:rFonts w:hint="eastAsia" w:ascii="宋体" w:hAnsi="宋体" w:cs="宋体"/>
          <w:kern w:val="0"/>
          <w:sz w:val="36"/>
          <w:szCs w:val="44"/>
          <w:u w:val="single"/>
        </w:rPr>
      </w:pPr>
      <w:r>
        <w:rPr>
          <w:rFonts w:hint="eastAsia" w:ascii="宋体" w:hAnsi="宋体" w:cs="宋体"/>
          <w:kern w:val="0"/>
          <w:sz w:val="36"/>
          <w:szCs w:val="44"/>
        </w:rPr>
        <w:t>代理机构：</w:t>
      </w:r>
      <w:r>
        <w:rPr>
          <w:rFonts w:hint="eastAsia" w:ascii="宋体" w:hAnsi="宋体" w:cs="宋体"/>
          <w:kern w:val="0"/>
          <w:sz w:val="36"/>
          <w:szCs w:val="44"/>
          <w:u w:val="single"/>
        </w:rPr>
        <w:t xml:space="preserve">深圳市广得信工程造价咨询有限公司  </w:t>
      </w:r>
    </w:p>
    <w:p>
      <w:pPr>
        <w:autoSpaceDE w:val="0"/>
        <w:autoSpaceDN w:val="0"/>
        <w:adjustRightInd w:val="0"/>
        <w:jc w:val="left"/>
        <w:rPr>
          <w:rFonts w:hint="eastAsia" w:ascii="宋体" w:hAnsi="宋体" w:cs="宋体"/>
          <w:kern w:val="0"/>
          <w:sz w:val="44"/>
          <w:szCs w:val="44"/>
        </w:rPr>
      </w:pPr>
    </w:p>
    <w:p>
      <w:pPr>
        <w:autoSpaceDE w:val="0"/>
        <w:autoSpaceDN w:val="0"/>
        <w:adjustRightInd w:val="0"/>
        <w:jc w:val="center"/>
        <w:rPr>
          <w:rFonts w:hint="eastAsia" w:ascii="宋体" w:hAnsi="宋体" w:cs="宋体"/>
          <w:kern w:val="0"/>
          <w:sz w:val="44"/>
          <w:szCs w:val="44"/>
        </w:rPr>
      </w:pPr>
      <w:r>
        <w:rPr>
          <w:rFonts w:hint="eastAsia" w:ascii="宋体" w:hAnsi="宋体" w:cs="宋体"/>
          <w:b/>
          <w:bCs/>
          <w:sz w:val="28"/>
        </w:rPr>
        <w:drawing>
          <wp:inline distT="0" distB="0" distL="114300" distR="114300">
            <wp:extent cx="2805430" cy="1390650"/>
            <wp:effectExtent l="0" t="0" r="13970" b="0"/>
            <wp:docPr id="1" name="图片 2" descr="ba99a9a40bee0d877b8e42ba0a8b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a99a9a40bee0d877b8e42ba0a8b095"/>
                    <pic:cNvPicPr>
                      <a:picLocks noChangeAspect="1"/>
                    </pic:cNvPicPr>
                  </pic:nvPicPr>
                  <pic:blipFill>
                    <a:blip r:embed="rId5"/>
                    <a:stretch>
                      <a:fillRect/>
                    </a:stretch>
                  </pic:blipFill>
                  <pic:spPr>
                    <a:xfrm>
                      <a:off x="0" y="0"/>
                      <a:ext cx="2805430" cy="1390650"/>
                    </a:xfrm>
                    <a:prstGeom prst="rect">
                      <a:avLst/>
                    </a:prstGeom>
                    <a:noFill/>
                    <a:ln>
                      <a:noFill/>
                    </a:ln>
                  </pic:spPr>
                </pic:pic>
              </a:graphicData>
            </a:graphic>
          </wp:inline>
        </w:drawing>
      </w:r>
    </w:p>
    <w:p>
      <w:pPr>
        <w:pStyle w:val="87"/>
        <w:ind w:firstLine="2008" w:firstLineChars="500"/>
        <w:rPr>
          <w:rFonts w:hint="eastAsia" w:ascii="宋体" w:hAnsi="宋体" w:cs="宋体"/>
          <w:b/>
          <w:snapToGrid w:val="0"/>
          <w:sz w:val="40"/>
          <w:szCs w:val="40"/>
        </w:rPr>
      </w:pPr>
      <w:r>
        <w:rPr>
          <w:rFonts w:hint="eastAsia" w:ascii="宋体" w:hAnsi="宋体" w:cs="宋体"/>
          <w:b/>
          <w:bCs/>
          <w:sz w:val="40"/>
          <w:szCs w:val="40"/>
        </w:rPr>
        <w:t>二〇二</w:t>
      </w:r>
      <w:r>
        <w:rPr>
          <w:rFonts w:hint="eastAsia" w:ascii="宋体" w:hAnsi="宋体" w:cs="宋体"/>
          <w:b/>
          <w:bCs/>
          <w:sz w:val="40"/>
          <w:szCs w:val="40"/>
          <w:lang w:val="en-US" w:eastAsia="zh-CN"/>
        </w:rPr>
        <w:t>六</w:t>
      </w:r>
      <w:r>
        <w:rPr>
          <w:rFonts w:hint="eastAsia" w:ascii="宋体" w:hAnsi="宋体" w:cs="宋体"/>
          <w:b/>
          <w:bCs/>
          <w:sz w:val="40"/>
          <w:szCs w:val="40"/>
        </w:rPr>
        <w:t xml:space="preserve">年 </w:t>
      </w:r>
      <w:r>
        <w:rPr>
          <w:rFonts w:hint="eastAsia" w:ascii="宋体" w:hAnsi="宋体" w:cs="宋体"/>
          <w:b/>
          <w:snapToGrid w:val="0"/>
          <w:sz w:val="40"/>
          <w:szCs w:val="40"/>
        </w:rPr>
        <w:t>· 中国深圳</w:t>
      </w:r>
    </w:p>
    <w:p>
      <w:pPr>
        <w:pStyle w:val="87"/>
        <w:ind w:firstLine="803"/>
        <w:jc w:val="center"/>
        <w:rPr>
          <w:rFonts w:hint="eastAsia" w:ascii="宋体" w:hAnsi="宋体" w:cs="宋体"/>
          <w:b/>
          <w:snapToGrid w:val="0"/>
          <w:sz w:val="40"/>
          <w:szCs w:val="40"/>
        </w:rPr>
      </w:pPr>
    </w:p>
    <w:p>
      <w:pPr>
        <w:pStyle w:val="87"/>
        <w:ind w:firstLine="803"/>
        <w:jc w:val="center"/>
        <w:rPr>
          <w:rFonts w:hint="eastAsia" w:ascii="宋体" w:hAnsi="宋体" w:cs="宋体"/>
          <w:b/>
          <w:snapToGrid w:val="0"/>
          <w:sz w:val="40"/>
          <w:szCs w:val="40"/>
        </w:rPr>
      </w:pPr>
    </w:p>
    <w:p>
      <w:pPr>
        <w:keepNext w:val="0"/>
        <w:keepLines w:val="0"/>
        <w:pageBreakBefore w:val="0"/>
        <w:widowControl w:val="0"/>
        <w:kinsoku/>
        <w:wordWrap/>
        <w:overflowPunct/>
        <w:topLinePunct w:val="0"/>
        <w:autoSpaceDE/>
        <w:autoSpaceDN/>
        <w:bidi w:val="0"/>
        <w:adjustRightInd/>
        <w:snapToGrid/>
        <w:spacing w:line="240" w:lineRule="auto"/>
        <w:ind w:firstLine="3654" w:firstLineChars="1300"/>
        <w:textAlignment w:val="auto"/>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FF0000"/>
          <w:sz w:val="21"/>
          <w:szCs w:val="21"/>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宋体" w:hAnsi="宋体"/>
          <w:b/>
          <w:bCs/>
          <w:color w:val="FF0000"/>
          <w:sz w:val="20"/>
          <w:szCs w:val="20"/>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2" w:firstLineChars="200"/>
        <w:textAlignment w:val="auto"/>
        <w:rPr>
          <w:rFonts w:hint="eastAsia" w:ascii="宋体" w:hAnsi="宋体"/>
          <w:b/>
          <w:bCs/>
          <w:color w:val="FF0000"/>
          <w:sz w:val="20"/>
          <w:szCs w:val="20"/>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22" w:firstLineChars="200"/>
        <w:textAlignment w:val="auto"/>
        <w:rPr>
          <w:rFonts w:hint="eastAsia"/>
          <w:b/>
          <w:color w:val="FF0000"/>
          <w:lang w:val="en-US" w:eastAsia="zh-CN"/>
        </w:rPr>
      </w:pPr>
    </w:p>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22" w:firstLineChars="200"/>
        <w:textAlignment w:val="auto"/>
        <w:rPr>
          <w:rFonts w:hint="eastAsia"/>
          <w:b/>
          <w:color w:val="FF0000"/>
          <w:lang w:eastAsia="zh-CN"/>
        </w:rPr>
      </w:pPr>
      <w:r>
        <w:rPr>
          <w:rFonts w:hint="eastAsia" w:cs="Times New Roman"/>
          <w:b/>
          <w:color w:val="FF0000"/>
          <w:kern w:val="2"/>
          <w:sz w:val="21"/>
          <w:szCs w:val="24"/>
          <w:lang w:val="en-US" w:eastAsia="zh-CN" w:bidi="ar-SA"/>
        </w:rPr>
        <w:t>四</w:t>
      </w:r>
      <w:r>
        <w:rPr>
          <w:rFonts w:hint="eastAsia" w:ascii="Times New Roman" w:hAnsi="Times New Roman" w:eastAsia="宋体" w:cs="Times New Roman"/>
          <w:b/>
          <w:color w:val="FF0000"/>
          <w:kern w:val="2"/>
          <w:sz w:val="21"/>
          <w:szCs w:val="24"/>
          <w:lang w:val="en-US" w:eastAsia="zh-CN" w:bidi="ar-SA"/>
        </w:rPr>
        <w:t>、</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b/>
          <w:color w:val="FF0000"/>
          <w:lang w:eastAsia="zh-CN"/>
        </w:rPr>
        <w:t>。</w:t>
      </w:r>
    </w:p>
    <w:p>
      <w:pPr>
        <w:pStyle w:val="2"/>
        <w:keepNext w:val="0"/>
        <w:keepLines w:val="0"/>
        <w:pageBreakBefore w:val="0"/>
        <w:numPr>
          <w:ilvl w:val="255"/>
          <w:numId w:val="0"/>
        </w:numPr>
        <w:kinsoku/>
        <w:wordWrap/>
        <w:overflowPunct/>
        <w:topLinePunct w:val="0"/>
        <w:autoSpaceDE/>
        <w:autoSpaceDN/>
        <w:bidi w:val="0"/>
        <w:adjustRightInd/>
        <w:snapToGrid/>
        <w:spacing w:beforeAutospacing="0" w:afterAutospacing="0" w:line="240" w:lineRule="auto"/>
        <w:textAlignment w:val="auto"/>
        <w:rPr>
          <w:rFonts w:hint="eastAsia"/>
          <w:lang w:val="en-US" w:eastAsia="zh-CN"/>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ind w:firstLine="422" w:firstLineChars="200"/>
        <w:textAlignment w:val="auto"/>
        <w:rPr>
          <w:rFonts w:hint="eastAsia"/>
          <w:lang w:val="en-US" w:eastAsia="zh-CN"/>
        </w:rPr>
      </w:pPr>
      <w:r>
        <w:rPr>
          <w:rFonts w:hint="eastAsia"/>
          <w:b/>
          <w:color w:val="FF0000"/>
          <w:lang w:val="en-US" w:eastAsia="zh-CN"/>
        </w:rPr>
        <w:t>五</w:t>
      </w:r>
      <w:r>
        <w:rPr>
          <w:rFonts w:hint="eastAsia"/>
          <w:b/>
          <w:color w:val="FF0000"/>
        </w:rPr>
        <w:t>、请投标供应商阅读《政府采购违法行为风险知悉确认书》，并经各投标供应商负责人签字并加盖单位公章后，</w:t>
      </w:r>
      <w:r>
        <w:rPr>
          <w:rFonts w:hint="eastAsia"/>
          <w:b/>
          <w:color w:val="FF0000"/>
          <w:lang w:val="en-US" w:eastAsia="zh-CN"/>
        </w:rPr>
        <w:t>随</w:t>
      </w:r>
      <w:r>
        <w:rPr>
          <w:rFonts w:hint="eastAsia"/>
          <w:b/>
          <w:color w:val="FF0000"/>
        </w:rPr>
        <w:t>投标文件一并提交。</w:t>
      </w:r>
    </w:p>
    <w:p>
      <w:pPr>
        <w:pStyle w:val="67"/>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b w:val="0"/>
          <w:bCs/>
          <w:color w:val="FF0000"/>
          <w:sz w:val="20"/>
          <w:szCs w:val="20"/>
          <w:lang w:val="en-US" w:eastAsia="zh-CN"/>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jc w:val="both"/>
        <w:textAlignment w:val="auto"/>
        <w:outlineLvl w:val="1"/>
        <w:rPr>
          <w:rFonts w:hint="eastAsia" w:ascii="Times New Roman" w:hAnsi="Times New Roman" w:eastAsia="宋体" w:cs="Times New Roman"/>
          <w:b/>
          <w:color w:val="FF0000"/>
          <w:kern w:val="2"/>
          <w:sz w:val="21"/>
          <w:szCs w:val="24"/>
          <w:lang w:val="en-US" w:eastAsia="zh-CN" w:bidi="ar-SA"/>
        </w:r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1"/>
        <w:rPr>
          <w:rFonts w:ascii="黑体" w:hAnsi="宋体" w:eastAsia="黑体" w:cs="黑体"/>
          <w:kern w:val="0"/>
          <w:sz w:val="40"/>
          <w:szCs w:val="40"/>
          <w:highlight w:val="none"/>
        </w:rPr>
      </w:pPr>
    </w:p>
    <w:p>
      <w:pPr>
        <w:rPr>
          <w:rFonts w:hint="eastAsia" w:ascii="宋体" w:hAnsi="宋体" w:cs="宋体"/>
          <w:color w:val="FF0000"/>
          <w:szCs w:val="21"/>
        </w:rPr>
      </w:pPr>
    </w:p>
    <w:p>
      <w:pPr>
        <w:jc w:val="center"/>
        <w:rPr>
          <w:rFonts w:hint="eastAsia" w:ascii="宋体" w:hAnsi="宋体" w:cs="宋体"/>
          <w:sz w:val="40"/>
          <w:szCs w:val="40"/>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pStyle w:val="171"/>
        <w:rPr>
          <w:rFonts w:hint="eastAsia" w:ascii="宋体" w:hAnsi="宋体" w:cs="宋体"/>
        </w:rPr>
      </w:pPr>
    </w:p>
    <w:p>
      <w:pPr>
        <w:jc w:val="center"/>
        <w:rPr>
          <w:rFonts w:hint="eastAsia" w:ascii="宋体" w:hAnsi="宋体" w:eastAsia="宋体" w:cs="宋体"/>
          <w:sz w:val="32"/>
          <w:szCs w:val="32"/>
          <w:lang w:eastAsia="zh-CN"/>
        </w:rPr>
      </w:pPr>
      <w:r>
        <w:rPr>
          <w:rFonts w:hint="eastAsia" w:ascii="宋体" w:hAnsi="宋体" w:cs="宋体"/>
          <w:sz w:val="32"/>
          <w:szCs w:val="32"/>
          <w:lang w:eastAsia="zh-CN"/>
        </w:rPr>
        <w:t>2026年度盐田区国有储备地除“四害”消杀服务</w:t>
      </w:r>
    </w:p>
    <w:p>
      <w:pPr>
        <w:pStyle w:val="2"/>
        <w:rPr>
          <w:rFonts w:hint="eastAsia" w:ascii="宋体" w:hAnsi="宋体" w:cs="宋体"/>
        </w:rPr>
      </w:pPr>
    </w:p>
    <w:p>
      <w:pPr>
        <w:pStyle w:val="42"/>
        <w:jc w:val="center"/>
        <w:outlineLvl w:val="1"/>
        <w:rPr>
          <w:rFonts w:hint="eastAsia" w:ascii="宋体" w:hAnsi="宋体" w:cs="宋体"/>
          <w:sz w:val="40"/>
          <w:szCs w:val="40"/>
        </w:rPr>
      </w:pPr>
      <w:r>
        <w:rPr>
          <w:rFonts w:hint="eastAsia" w:ascii="宋体" w:hAnsi="宋体" w:cs="宋体"/>
          <w:sz w:val="40"/>
          <w:szCs w:val="40"/>
        </w:rPr>
        <w:t>招标文件信息</w:t>
      </w:r>
    </w:p>
    <w:tbl>
      <w:tblPr>
        <w:tblStyle w:val="50"/>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rFonts w:hint="eastAsia" w:ascii="宋体" w:hAnsi="宋体" w:cs="宋体"/>
                <w:sz w:val="30"/>
                <w:szCs w:val="30"/>
              </w:rPr>
              <w:t>项目编号：</w:t>
            </w:r>
          </w:p>
        </w:tc>
        <w:tc>
          <w:tcPr>
            <w:tcW w:w="5216" w:type="dxa"/>
            <w:vAlign w:val="center"/>
          </w:tcPr>
          <w:p>
            <w:pPr>
              <w:rPr>
                <w:rFonts w:hint="eastAsia" w:ascii="宋体" w:hAnsi="宋体" w:eastAsia="宋体" w:cs="宋体"/>
                <w:sz w:val="30"/>
                <w:szCs w:val="30"/>
                <w:lang w:eastAsia="zh-CN"/>
              </w:rPr>
            </w:pPr>
            <w:r>
              <w:rPr>
                <w:rFonts w:hint="eastAsia" w:ascii="宋体" w:hAnsi="宋体" w:cs="宋体"/>
                <w:sz w:val="30"/>
                <w:szCs w:val="30"/>
                <w:lang w:eastAsia="zh-CN"/>
              </w:rPr>
              <w:t>GDXLGCG-2026006</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rFonts w:hint="eastAsia" w:ascii="宋体" w:hAnsi="宋体" w:cs="宋体"/>
                <w:sz w:val="30"/>
                <w:szCs w:val="30"/>
              </w:rPr>
              <w:t>项目名称：</w:t>
            </w:r>
          </w:p>
        </w:tc>
        <w:tc>
          <w:tcPr>
            <w:tcW w:w="5216" w:type="dxa"/>
            <w:vAlign w:val="center"/>
          </w:tcPr>
          <w:p>
            <w:pPr>
              <w:rPr>
                <w:rFonts w:hint="eastAsia" w:ascii="宋体" w:hAnsi="宋体" w:eastAsia="宋体" w:cs="宋体"/>
                <w:sz w:val="30"/>
                <w:szCs w:val="30"/>
                <w:lang w:eastAsia="zh-CN"/>
              </w:rPr>
            </w:pPr>
            <w:r>
              <w:rPr>
                <w:rFonts w:hint="eastAsia" w:ascii="宋体" w:hAnsi="宋体" w:cs="宋体"/>
                <w:sz w:val="30"/>
                <w:szCs w:val="30"/>
                <w:lang w:eastAsia="zh-CN"/>
              </w:rPr>
              <w:t>2026年度盐田区国有储备地除“四害”消杀服务</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rFonts w:hint="eastAsia" w:ascii="宋体" w:hAnsi="宋体" w:cs="宋体"/>
                <w:sz w:val="30"/>
                <w:szCs w:val="30"/>
              </w:rPr>
              <w:t>包 号：</w:t>
            </w:r>
          </w:p>
        </w:tc>
        <w:tc>
          <w:tcPr>
            <w:tcW w:w="5216" w:type="dxa"/>
            <w:vAlign w:val="center"/>
          </w:tcPr>
          <w:p>
            <w:pPr>
              <w:rPr>
                <w:rFonts w:hint="eastAsia" w:ascii="宋体" w:hAnsi="宋体" w:cs="宋体"/>
                <w:sz w:val="30"/>
                <w:szCs w:val="30"/>
              </w:rPr>
            </w:pPr>
            <w:r>
              <w:rPr>
                <w:rFonts w:hint="eastAsia" w:ascii="宋体" w:hAnsi="宋体" w:cs="宋体"/>
                <w:sz w:val="30"/>
                <w:szCs w:val="30"/>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rFonts w:hint="eastAsia" w:ascii="宋体" w:hAnsi="宋体" w:cs="宋体"/>
                <w:sz w:val="30"/>
                <w:szCs w:val="30"/>
              </w:rPr>
              <w:t>项目类型：</w:t>
            </w:r>
          </w:p>
        </w:tc>
        <w:tc>
          <w:tcPr>
            <w:tcW w:w="5216" w:type="dxa"/>
            <w:vAlign w:val="center"/>
          </w:tcPr>
          <w:p>
            <w:pPr>
              <w:rPr>
                <w:rFonts w:hint="eastAsia" w:ascii="宋体" w:hAnsi="宋体" w:cs="宋体"/>
                <w:sz w:val="30"/>
                <w:szCs w:val="30"/>
              </w:rPr>
            </w:pPr>
            <w:r>
              <w:rPr>
                <w:rFonts w:hint="eastAsia" w:ascii="宋体" w:hAnsi="宋体" w:cs="宋体"/>
                <w:sz w:val="30"/>
                <w:szCs w:val="30"/>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highlight w:val="none"/>
              </w:rPr>
            </w:pPr>
            <w:r>
              <w:rPr>
                <w:rFonts w:hint="eastAsia" w:ascii="宋体" w:hAnsi="宋体" w:cs="宋体"/>
                <w:sz w:val="30"/>
                <w:szCs w:val="30"/>
                <w:highlight w:val="none"/>
              </w:rPr>
              <w:t>采购方式：</w:t>
            </w:r>
          </w:p>
        </w:tc>
        <w:tc>
          <w:tcPr>
            <w:tcW w:w="5216" w:type="dxa"/>
            <w:vAlign w:val="center"/>
          </w:tcPr>
          <w:p>
            <w:pPr>
              <w:rPr>
                <w:rFonts w:hint="eastAsia" w:ascii="宋体" w:hAnsi="宋体" w:cs="宋体"/>
                <w:sz w:val="30"/>
                <w:szCs w:val="30"/>
                <w:highlight w:val="none"/>
              </w:rPr>
            </w:pPr>
            <w:r>
              <w:rPr>
                <w:rFonts w:hint="eastAsia" w:ascii="宋体" w:hAnsi="宋体" w:cs="宋体"/>
                <w:sz w:val="30"/>
                <w:szCs w:val="30"/>
                <w:highlight w:val="none"/>
              </w:rPr>
              <w:t>公开征集</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rFonts w:hint="eastAsia" w:ascii="宋体" w:hAnsi="宋体" w:cs="宋体"/>
                <w:sz w:val="30"/>
                <w:szCs w:val="30"/>
              </w:rPr>
              <w:t>货币类型：</w:t>
            </w:r>
          </w:p>
        </w:tc>
        <w:tc>
          <w:tcPr>
            <w:tcW w:w="5216" w:type="dxa"/>
            <w:vAlign w:val="center"/>
          </w:tcPr>
          <w:p>
            <w:pPr>
              <w:rPr>
                <w:rFonts w:hint="eastAsia" w:ascii="宋体" w:hAnsi="宋体" w:cs="宋体"/>
                <w:sz w:val="30"/>
                <w:szCs w:val="30"/>
              </w:rPr>
            </w:pPr>
            <w:r>
              <w:rPr>
                <w:rFonts w:hint="eastAsia" w:ascii="宋体" w:hAnsi="宋体" w:cs="宋体"/>
                <w:sz w:val="30"/>
                <w:szCs w:val="30"/>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hint="eastAsia" w:ascii="宋体" w:hAnsi="宋体" w:cs="宋体"/>
                <w:sz w:val="30"/>
                <w:szCs w:val="30"/>
              </w:rPr>
            </w:pPr>
            <w:r>
              <w:rPr>
                <w:rFonts w:hint="eastAsia" w:ascii="宋体" w:hAnsi="宋体" w:cs="宋体"/>
                <w:sz w:val="30"/>
                <w:szCs w:val="30"/>
              </w:rPr>
              <w:t>评标方法：</w:t>
            </w:r>
          </w:p>
        </w:tc>
        <w:tc>
          <w:tcPr>
            <w:tcW w:w="5216" w:type="dxa"/>
            <w:vAlign w:val="center"/>
          </w:tcPr>
          <w:p>
            <w:pPr>
              <w:rPr>
                <w:rFonts w:hint="eastAsia" w:ascii="宋体" w:hAnsi="宋体" w:cs="宋体"/>
                <w:sz w:val="30"/>
                <w:szCs w:val="30"/>
              </w:rPr>
            </w:pPr>
            <w:r>
              <w:rPr>
                <w:rFonts w:hint="eastAsia" w:ascii="宋体" w:hAnsi="宋体" w:cs="宋体"/>
                <w:sz w:val="30"/>
                <w:szCs w:val="30"/>
              </w:rPr>
              <w:t>综合评分法</w:t>
            </w:r>
          </w:p>
        </w:tc>
      </w:tr>
    </w:tbl>
    <w:p>
      <w:pPr>
        <w:pStyle w:val="42"/>
        <w:jc w:val="center"/>
        <w:outlineLvl w:val="1"/>
        <w:rPr>
          <w:rFonts w:hint="eastAsia" w:ascii="宋体" w:hAnsi="宋体" w:cs="宋体"/>
          <w:sz w:val="40"/>
          <w:szCs w:val="40"/>
        </w:rPr>
      </w:pPr>
    </w:p>
    <w:p>
      <w:pPr>
        <w:pStyle w:val="42"/>
        <w:ind w:firstLine="3200" w:firstLineChars="800"/>
        <w:outlineLvl w:val="1"/>
        <w:rPr>
          <w:rFonts w:hint="eastAsia" w:ascii="宋体" w:hAnsi="宋体" w:cs="宋体"/>
          <w:sz w:val="40"/>
          <w:szCs w:val="40"/>
        </w:rPr>
      </w:pPr>
    </w:p>
    <w:p>
      <w:pPr>
        <w:jc w:val="center"/>
        <w:rPr>
          <w:rFonts w:hint="eastAsia" w:ascii="宋体" w:hAnsi="宋体" w:cs="宋体"/>
          <w:sz w:val="40"/>
          <w:szCs w:val="40"/>
        </w:rPr>
      </w:pPr>
      <w:r>
        <w:rPr>
          <w:rFonts w:hint="eastAsia" w:ascii="宋体" w:hAnsi="宋体" w:cs="宋体"/>
          <w:sz w:val="40"/>
          <w:szCs w:val="40"/>
        </w:rPr>
        <w:t>资格性审查表</w:t>
      </w:r>
    </w:p>
    <w:tbl>
      <w:tblPr>
        <w:tblStyle w:val="5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rFonts w:hint="eastAsia" w:ascii="宋体" w:hAnsi="宋体" w:cs="宋体"/>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rFonts w:hint="eastAsia" w:ascii="宋体" w:hAnsi="宋体" w:cs="宋体"/>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ascii="宋体" w:hAnsi="宋体" w:cs="宋体"/>
                <w:szCs w:val="21"/>
              </w:rPr>
              <w:t>投标人必须具备招标文件所列的资质要求，并提交相应的资格证明材料</w:t>
            </w:r>
          </w:p>
        </w:tc>
      </w:tr>
    </w:tbl>
    <w:p>
      <w:pPr>
        <w:pStyle w:val="42"/>
        <w:spacing w:before="280"/>
        <w:jc w:val="center"/>
        <w:outlineLvl w:val="1"/>
        <w:rPr>
          <w:rFonts w:hint="eastAsia" w:ascii="宋体" w:hAnsi="宋体" w:cs="宋体"/>
          <w:sz w:val="40"/>
          <w:szCs w:val="40"/>
        </w:rPr>
      </w:pPr>
    </w:p>
    <w:p>
      <w:pPr>
        <w:pStyle w:val="42"/>
        <w:spacing w:before="280"/>
        <w:jc w:val="center"/>
        <w:outlineLvl w:val="1"/>
        <w:rPr>
          <w:rFonts w:hint="eastAsia" w:ascii="宋体" w:hAnsi="宋体" w:cs="宋体"/>
          <w:sz w:val="40"/>
          <w:szCs w:val="40"/>
        </w:rPr>
      </w:pPr>
    </w:p>
    <w:p>
      <w:pPr>
        <w:pStyle w:val="42"/>
        <w:spacing w:before="280"/>
        <w:jc w:val="center"/>
        <w:outlineLvl w:val="1"/>
        <w:rPr>
          <w:rFonts w:hint="eastAsia" w:ascii="宋体" w:hAnsi="宋体" w:cs="宋体"/>
          <w:sz w:val="40"/>
          <w:szCs w:val="40"/>
        </w:rPr>
      </w:pPr>
    </w:p>
    <w:p>
      <w:pPr>
        <w:pStyle w:val="42"/>
        <w:spacing w:before="280"/>
        <w:jc w:val="center"/>
        <w:outlineLvl w:val="1"/>
        <w:rPr>
          <w:rFonts w:hint="eastAsia" w:ascii="宋体" w:hAnsi="宋体" w:cs="宋体"/>
          <w:sz w:val="40"/>
          <w:szCs w:val="40"/>
        </w:rPr>
      </w:pPr>
      <w:r>
        <w:rPr>
          <w:rFonts w:hint="eastAsia" w:ascii="宋体" w:hAnsi="宋体" w:cs="宋体"/>
          <w:sz w:val="40"/>
          <w:szCs w:val="40"/>
        </w:rPr>
        <w:t>符合性审查表</w:t>
      </w:r>
    </w:p>
    <w:tbl>
      <w:tblPr>
        <w:tblStyle w:val="5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rFonts w:hint="eastAsia" w:ascii="宋体" w:hAnsi="宋体" w:cs="宋体"/>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rFonts w:hint="eastAsia" w:ascii="宋体" w:hAnsi="宋体" w:cs="宋体"/>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ascii="宋体" w:hAnsi="宋体" w:cs="宋体"/>
                <w:szCs w:val="21"/>
              </w:rPr>
              <w:t>不得将一个包或一个标段中的内容拆开投标的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ascii="宋体" w:hAnsi="宋体" w:cs="宋体"/>
                <w:szCs w:val="21"/>
              </w:rPr>
              <w:t>招标文件未规定允许有替代方案时，对同一项目投标时，同时提供两套或两套以上的投标方案的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ascii="宋体" w:hAnsi="宋体" w:cs="宋体"/>
                <w:szCs w:val="21"/>
              </w:rPr>
              <w:t>投标报价高于预算限额的，若有分项预算限额的，分项投标报价高于分项预算限额的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hint="eastAsia" w:ascii="宋体" w:hAnsi="宋体" w:cs="宋体"/>
                <w:szCs w:val="21"/>
              </w:rPr>
              <w:t>同一项目出现两个及以上报价，按规定又无法确定哪个是有效报价的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8278" w:type="dxa"/>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eastAsia="宋体" w:cs="宋体"/>
                <w:szCs w:val="21"/>
              </w:rPr>
            </w:pPr>
            <w:r>
              <w:rPr>
                <w:rFonts w:hint="eastAsia" w:ascii="宋体" w:hAnsi="宋体" w:eastAsia="宋体" w:cs="宋体"/>
                <w:szCs w:val="21"/>
              </w:rPr>
              <w:t>评审中出现下列情形之一的，评审委员会应当启动异常低价投标（响应）审查程序：</w:t>
            </w:r>
          </w:p>
          <w:p>
            <w:pPr>
              <w:rPr>
                <w:rFonts w:hint="eastAsia" w:ascii="宋体" w:hAnsi="宋体" w:eastAsia="宋体" w:cs="宋体"/>
                <w:szCs w:val="21"/>
              </w:rPr>
            </w:pPr>
            <w:r>
              <w:rPr>
                <w:rFonts w:hint="eastAsia" w:ascii="宋体" w:hAnsi="宋体" w:eastAsia="宋体" w:cs="宋体"/>
                <w:szCs w:val="21"/>
              </w:rPr>
              <w:t>1.投标（响应）报价低于全部通过符合性审查供应商投标（响应）报价平均值50%的，即投标（响应）报价&lt;全部通过符合性审查供应商投标（响应）报价平均值×50%；</w:t>
            </w:r>
          </w:p>
          <w:p>
            <w:pPr>
              <w:rPr>
                <w:rFonts w:hint="eastAsia" w:ascii="宋体" w:hAnsi="宋体" w:eastAsia="宋体" w:cs="宋体"/>
                <w:szCs w:val="21"/>
              </w:rPr>
            </w:pPr>
            <w:r>
              <w:rPr>
                <w:rFonts w:hint="eastAsia" w:ascii="宋体" w:hAnsi="宋体" w:eastAsia="宋体" w:cs="宋体"/>
                <w:szCs w:val="21"/>
              </w:rPr>
              <w:t>2.投标（响应）报价低于通过符合性审查的次低报价供应商投标（响应）报价50%的，即投标（响应）报价&lt;通过符合性审查的次低报价供应商投标（响应）报价×50%；</w:t>
            </w:r>
          </w:p>
          <w:p>
            <w:pPr>
              <w:rPr>
                <w:rFonts w:hint="eastAsia" w:ascii="宋体" w:hAnsi="宋体" w:eastAsia="宋体" w:cs="宋体"/>
                <w:szCs w:val="21"/>
              </w:rPr>
            </w:pPr>
            <w:r>
              <w:rPr>
                <w:rFonts w:hint="eastAsia" w:ascii="宋体" w:hAnsi="宋体" w:eastAsia="宋体" w:cs="宋体"/>
                <w:szCs w:val="21"/>
              </w:rPr>
              <w:t>3.投标（响应）报价低于采购项目最高限价45%的，即投标（响应）报价&lt;采购项目最高限价×45%；</w:t>
            </w:r>
          </w:p>
          <w:p>
            <w:pPr>
              <w:rPr>
                <w:rFonts w:hint="eastAsia" w:ascii="宋体" w:hAnsi="宋体" w:eastAsia="宋体" w:cs="宋体"/>
                <w:szCs w:val="21"/>
              </w:rPr>
            </w:pPr>
            <w:r>
              <w:rPr>
                <w:rFonts w:hint="eastAsia" w:ascii="宋体" w:hAnsi="宋体" w:eastAsia="宋体" w:cs="宋体"/>
                <w:szCs w:val="21"/>
              </w:rPr>
              <w:t>4.评审委员会基于专业判断，认为供应商报价过低，有可能影响产品质量或者不能诚信履约的其他情形。</w:t>
            </w:r>
          </w:p>
          <w:p>
            <w:pPr>
              <w:rPr>
                <w:rFonts w:hint="eastAsia" w:ascii="宋体" w:hAnsi="宋体" w:eastAsia="宋体" w:cs="宋体"/>
                <w:szCs w:val="21"/>
                <w:lang w:val="en-US" w:eastAsia="zh-CN"/>
              </w:rPr>
            </w:pPr>
            <w:r>
              <w:rPr>
                <w:rFonts w:hint="eastAsia" w:ascii="宋体" w:hAnsi="宋体" w:eastAsia="宋体" w:cs="宋体"/>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szCs w:val="21"/>
              </w:rPr>
            </w:pPr>
            <w:r>
              <w:rPr>
                <w:rFonts w:hint="eastAsia" w:ascii="宋体" w:hAnsi="宋体" w:eastAsia="宋体" w:cs="宋体"/>
                <w:szCs w:val="21"/>
              </w:rPr>
              <w:t>投标文件载明的项目完成期限超过招标文件规定的期限的/投标文件载明的招标项目服务期限未按招标文件规定的期限的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szCs w:val="21"/>
              </w:rPr>
            </w:pPr>
            <w:r>
              <w:rPr>
                <w:rFonts w:hint="eastAsia" w:ascii="宋体" w:hAnsi="宋体" w:eastAsia="宋体" w:cs="宋体"/>
                <w:szCs w:val="21"/>
              </w:rPr>
              <w:t>所投货物、服务在质量、技术、方案等方面未满足招标文件实质性要求的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szCs w:val="21"/>
              </w:rPr>
            </w:pPr>
            <w:r>
              <w:rPr>
                <w:rFonts w:hint="eastAsia" w:ascii="宋体" w:hAnsi="宋体" w:eastAsia="宋体" w:cs="宋体"/>
                <w:szCs w:val="21"/>
              </w:rPr>
              <w:t>未按招标文件附件所提供的样式填写投标函、开标一览表、政府采购投标及履约承诺函的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szCs w:val="21"/>
              </w:rPr>
            </w:pPr>
            <w:r>
              <w:rPr>
                <w:rFonts w:hint="eastAsia" w:ascii="宋体" w:hAnsi="宋体" w:eastAsia="宋体" w:cs="宋体"/>
                <w:szCs w:val="21"/>
              </w:rPr>
              <w:t>投标报价未按招标文件要求进行报价的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szCs w:val="21"/>
              </w:rPr>
            </w:pPr>
            <w:r>
              <w:rPr>
                <w:rFonts w:hint="eastAsia" w:ascii="宋体" w:hAnsi="宋体" w:eastAsia="宋体" w:cs="宋体"/>
                <w:szCs w:val="21"/>
              </w:rPr>
              <w:t>投标报价有严重缺漏项目的或对服务清单项目及数量进行修改的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rFonts w:hint="eastAsia" w:ascii="宋体" w:hAnsi="宋体" w:cs="宋体"/>
                <w:szCs w:val="21"/>
              </w:rPr>
              <w:t>11</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szCs w:val="21"/>
              </w:rPr>
            </w:pPr>
            <w:r>
              <w:rPr>
                <w:rFonts w:hint="eastAsia" w:ascii="宋体" w:hAnsi="宋体" w:eastAsia="宋体" w:cs="宋体"/>
                <w:szCs w:val="21"/>
              </w:rPr>
              <w:t>未按照招标文件的招标机构、项目名称、项目编号、包号响应的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szCs w:val="21"/>
              </w:rPr>
            </w:pPr>
            <w:r>
              <w:rPr>
                <w:rFonts w:hint="eastAsia" w:ascii="宋体" w:hAnsi="宋体" w:eastAsia="宋体" w:cs="宋体"/>
                <w:szCs w:val="21"/>
              </w:rPr>
              <w:t>未填写“法定代表人资格证明书”、“投标文件签署授权委托书”的，或授权无效的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8278"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szCs w:val="21"/>
              </w:rPr>
            </w:pPr>
            <w:r>
              <w:rPr>
                <w:rFonts w:hint="eastAsia" w:ascii="宋体" w:hAnsi="宋体" w:eastAsia="宋体" w:cs="宋体"/>
                <w:szCs w:val="21"/>
              </w:rPr>
              <w:t>法律、法规、规章、规范性文件以及招标文件规定的其他情形</w:t>
            </w:r>
          </w:p>
        </w:tc>
      </w:tr>
    </w:tbl>
    <w:p>
      <w:pPr>
        <w:pStyle w:val="42"/>
        <w:outlineLvl w:val="1"/>
        <w:rPr>
          <w:rFonts w:hint="eastAsia" w:ascii="宋体" w:hAnsi="宋体" w:cs="宋体"/>
          <w:sz w:val="40"/>
          <w:szCs w:val="40"/>
        </w:rPr>
      </w:pPr>
    </w:p>
    <w:p>
      <w:pPr>
        <w:rPr>
          <w:rFonts w:hint="eastAsia" w:ascii="宋体" w:hAnsi="宋体" w:cs="宋体"/>
          <w:sz w:val="40"/>
          <w:szCs w:val="40"/>
        </w:rPr>
      </w:pPr>
      <w:r>
        <w:rPr>
          <w:rFonts w:hint="eastAsia" w:ascii="宋体" w:hAnsi="宋体" w:cs="宋体"/>
          <w:sz w:val="40"/>
          <w:szCs w:val="40"/>
        </w:rPr>
        <w:br w:type="page"/>
      </w:r>
    </w:p>
    <w:p>
      <w:pPr>
        <w:pStyle w:val="42"/>
        <w:jc w:val="center"/>
        <w:outlineLvl w:val="1"/>
        <w:rPr>
          <w:rFonts w:hint="eastAsia" w:ascii="宋体" w:hAnsi="宋体" w:cs="宋体"/>
          <w:sz w:val="40"/>
          <w:szCs w:val="40"/>
        </w:rPr>
      </w:pPr>
      <w:r>
        <w:rPr>
          <w:rFonts w:hint="eastAsia" w:ascii="宋体" w:hAnsi="宋体" w:cs="宋体"/>
          <w:sz w:val="40"/>
          <w:szCs w:val="40"/>
        </w:rPr>
        <w:t>评标信息</w:t>
      </w:r>
    </w:p>
    <w:tbl>
      <w:tblPr>
        <w:tblStyle w:val="50"/>
        <w:tblW w:w="9508" w:type="dxa"/>
        <w:jc w:val="center"/>
        <w:tblCellSpacing w:w="0" w:type="dxa"/>
        <w:tblLayout w:type="fixed"/>
        <w:tblCellMar>
          <w:top w:w="45" w:type="dxa"/>
          <w:left w:w="45" w:type="dxa"/>
          <w:bottom w:w="45" w:type="dxa"/>
          <w:right w:w="45" w:type="dxa"/>
        </w:tblCellMar>
      </w:tblPr>
      <w:tblGrid>
        <w:gridCol w:w="8744"/>
        <w:gridCol w:w="764"/>
      </w:tblGrid>
      <w:tr>
        <w:tblPrEx>
          <w:tblCellMar>
            <w:top w:w="45" w:type="dxa"/>
            <w:left w:w="45" w:type="dxa"/>
            <w:bottom w:w="45" w:type="dxa"/>
            <w:right w:w="45" w:type="dxa"/>
          </w:tblCellMar>
        </w:tblPrEx>
        <w:trPr>
          <w:tblCellSpacing w:w="0" w:type="dxa"/>
          <w:jc w:val="center"/>
        </w:trPr>
        <w:tc>
          <w:tcPr>
            <w:tcW w:w="8744" w:type="dxa"/>
            <w:tcBorders>
              <w:top w:val="nil"/>
              <w:left w:val="nil"/>
              <w:bottom w:val="nil"/>
              <w:right w:val="nil"/>
            </w:tcBorders>
            <w:vAlign w:val="center"/>
          </w:tcPr>
          <w:p>
            <w:pPr>
              <w:rPr>
                <w:rFonts w:hint="eastAsia" w:ascii="宋体" w:hAnsi="宋体" w:cs="宋体"/>
                <w:b/>
                <w:bCs/>
                <w:sz w:val="22"/>
                <w:szCs w:val="28"/>
              </w:rPr>
            </w:pPr>
            <w:r>
              <w:rPr>
                <w:rFonts w:hint="eastAsia" w:ascii="宋体" w:hAnsi="宋体" w:cs="宋体"/>
                <w:b/>
                <w:bCs/>
                <w:sz w:val="22"/>
                <w:szCs w:val="28"/>
              </w:rPr>
              <w:t>评标方法：综合评分法（新价格分算法）</w:t>
            </w:r>
          </w:p>
        </w:tc>
        <w:tc>
          <w:tcPr>
            <w:tcW w:w="764" w:type="dxa"/>
            <w:tcBorders>
              <w:top w:val="nil"/>
              <w:left w:val="nil"/>
              <w:bottom w:val="nil"/>
              <w:right w:val="nil"/>
            </w:tcBorders>
            <w:vAlign w:val="center"/>
          </w:tcPr>
          <w:p>
            <w:pPr>
              <w:jc w:val="right"/>
              <w:rPr>
                <w:rFonts w:hint="eastAsia" w:ascii="宋体" w:hAnsi="宋体" w:cs="宋体"/>
                <w:b/>
                <w:bCs/>
                <w:sz w:val="22"/>
                <w:szCs w:val="28"/>
              </w:rPr>
            </w:pPr>
          </w:p>
        </w:tc>
      </w:tr>
      <w:tr>
        <w:tblPrEx>
          <w:tblCellMar>
            <w:top w:w="45" w:type="dxa"/>
            <w:left w:w="45" w:type="dxa"/>
            <w:bottom w:w="45" w:type="dxa"/>
            <w:right w:w="45" w:type="dxa"/>
          </w:tblCellMar>
        </w:tblPrEx>
        <w:trPr>
          <w:trHeight w:val="90" w:hRule="atLeast"/>
          <w:tblCellSpacing w:w="0" w:type="dxa"/>
          <w:jc w:val="center"/>
        </w:trPr>
        <w:tc>
          <w:tcPr>
            <w:tcW w:w="9508" w:type="dxa"/>
            <w:gridSpan w:val="2"/>
            <w:tcBorders>
              <w:top w:val="nil"/>
              <w:left w:val="nil"/>
              <w:bottom w:val="nil"/>
              <w:right w:val="nil"/>
            </w:tcBorders>
            <w:vAlign w:val="center"/>
          </w:tcPr>
          <w:p>
            <w:pPr>
              <w:pStyle w:val="42"/>
              <w:spacing w:line="324" w:lineRule="auto"/>
              <w:ind w:firstLine="420"/>
              <w:rPr>
                <w:rFonts w:hint="eastAsia" w:ascii="宋体" w:hAnsi="宋体" w:cs="宋体"/>
                <w:sz w:val="22"/>
                <w:szCs w:val="22"/>
              </w:rPr>
            </w:pPr>
            <w:r>
              <w:rPr>
                <w:rFonts w:hint="eastAsia" w:ascii="宋体" w:hAnsi="宋体" w:cs="宋体"/>
                <w:sz w:val="22"/>
                <w:szCs w:val="22"/>
              </w:rPr>
              <w:t xml:space="preserve">综合评分法，是指投标文件满足招标文件全部实质性要求，且按照评审因素的量化指标评审得分最高的投标人为中标候选人的评标方法。 </w:t>
            </w:r>
          </w:p>
          <w:p>
            <w:pPr>
              <w:pStyle w:val="42"/>
              <w:ind w:firstLine="420"/>
              <w:rPr>
                <w:rFonts w:hint="eastAsia" w:ascii="宋体" w:hAnsi="宋体" w:cs="宋体"/>
                <w:sz w:val="22"/>
                <w:szCs w:val="22"/>
              </w:rPr>
            </w:pPr>
            <w:r>
              <w:rPr>
                <w:rFonts w:hint="eastAsia" w:ascii="宋体" w:hAnsi="宋体" w:cs="宋体"/>
                <w:sz w:val="22"/>
                <w:szCs w:val="22"/>
              </w:rPr>
              <w:t>价格分计算方法：</w:t>
            </w:r>
          </w:p>
          <w:p>
            <w:pPr>
              <w:pStyle w:val="42"/>
              <w:spacing w:line="324" w:lineRule="auto"/>
              <w:ind w:left="420"/>
              <w:rPr>
                <w:rFonts w:hint="eastAsia" w:ascii="宋体" w:hAnsi="宋体" w:cs="宋体"/>
                <w:sz w:val="22"/>
                <w:szCs w:val="22"/>
              </w:rPr>
            </w:pPr>
            <w:r>
              <w:rPr>
                <w:rFonts w:hint="eastAsia" w:ascii="宋体" w:hAnsi="宋体" w:cs="宋体"/>
                <w:sz w:val="22"/>
                <w:szCs w:val="22"/>
              </w:rPr>
              <w:t xml:space="preserve">采用低价优先法计算，即满足招标文件要求且投标价格最低的投标报价为评标基准价，其价格分为满分。其他投标人的价格分统一按照下列公式计算： </w:t>
            </w:r>
          </w:p>
          <w:p>
            <w:pPr>
              <w:pStyle w:val="42"/>
              <w:spacing w:line="324" w:lineRule="auto"/>
              <w:ind w:left="420"/>
              <w:rPr>
                <w:rFonts w:hint="eastAsia" w:ascii="宋体" w:hAnsi="宋体" w:cs="宋体"/>
                <w:sz w:val="22"/>
                <w:szCs w:val="22"/>
              </w:rPr>
            </w:pPr>
            <w:r>
              <w:rPr>
                <w:rFonts w:hint="eastAsia" w:ascii="宋体" w:hAnsi="宋体" w:cs="宋体"/>
                <w:sz w:val="22"/>
                <w:szCs w:val="22"/>
              </w:rPr>
              <w:t xml:space="preserve">投标报价得分=(评标基准价／投标报价)×100 </w:t>
            </w:r>
          </w:p>
          <w:p>
            <w:pPr>
              <w:pStyle w:val="42"/>
              <w:spacing w:line="324" w:lineRule="auto"/>
              <w:ind w:left="420"/>
              <w:rPr>
                <w:rFonts w:hint="eastAsia" w:ascii="宋体" w:hAnsi="宋体" w:cs="宋体"/>
                <w:sz w:val="22"/>
                <w:szCs w:val="22"/>
              </w:rPr>
            </w:pPr>
            <w:r>
              <w:rPr>
                <w:rFonts w:hint="eastAsia" w:ascii="宋体" w:hAnsi="宋体" w:cs="宋体"/>
                <w:sz w:val="22"/>
                <w:szCs w:val="22"/>
              </w:rPr>
              <w:t xml:space="preserve">评标总得分＝F1×A1＋F2×A2＋……＋Fn×An </w:t>
            </w:r>
          </w:p>
          <w:p>
            <w:pPr>
              <w:pStyle w:val="42"/>
              <w:spacing w:line="324" w:lineRule="auto"/>
              <w:ind w:left="420"/>
              <w:rPr>
                <w:rFonts w:hint="eastAsia" w:ascii="宋体" w:hAnsi="宋体" w:cs="宋体"/>
                <w:sz w:val="22"/>
                <w:szCs w:val="22"/>
              </w:rPr>
            </w:pPr>
            <w:r>
              <w:rPr>
                <w:rFonts w:hint="eastAsia" w:ascii="宋体" w:hAnsi="宋体" w:cs="宋体"/>
                <w:sz w:val="22"/>
                <w:szCs w:val="22"/>
              </w:rPr>
              <w:t xml:space="preserve">F1、F2……Fn分别为各项评审因素的得分； </w:t>
            </w:r>
          </w:p>
          <w:p>
            <w:pPr>
              <w:pStyle w:val="42"/>
              <w:spacing w:line="324" w:lineRule="auto"/>
              <w:ind w:left="420"/>
              <w:rPr>
                <w:rFonts w:hint="eastAsia" w:ascii="宋体" w:hAnsi="宋体" w:cs="宋体"/>
                <w:sz w:val="22"/>
                <w:szCs w:val="22"/>
              </w:rPr>
            </w:pPr>
            <w:r>
              <w:rPr>
                <w:rFonts w:hint="eastAsia" w:ascii="宋体" w:hAnsi="宋体" w:cs="宋体"/>
                <w:sz w:val="22"/>
                <w:szCs w:val="22"/>
              </w:rPr>
              <w:t xml:space="preserve">A1、A2、……An 分别为各项评审因素所占的权重(A1＋A2＋……＋An＝1)。 </w:t>
            </w:r>
          </w:p>
          <w:p>
            <w:pPr>
              <w:pStyle w:val="42"/>
              <w:spacing w:line="324" w:lineRule="auto"/>
              <w:ind w:left="420"/>
              <w:rPr>
                <w:rFonts w:hint="eastAsia" w:ascii="宋体" w:hAnsi="宋体" w:cs="宋体"/>
                <w:sz w:val="22"/>
                <w:szCs w:val="22"/>
              </w:rPr>
            </w:pPr>
            <w:r>
              <w:rPr>
                <w:rFonts w:hint="eastAsia" w:ascii="宋体" w:hAnsi="宋体" w:cs="宋体"/>
                <w:sz w:val="22"/>
                <w:szCs w:val="22"/>
              </w:rPr>
              <w:t xml:space="preserve">评标过程中，不得去掉报价中的最高报价和最低报价。 </w:t>
            </w:r>
          </w:p>
          <w:p>
            <w:pPr>
              <w:pStyle w:val="42"/>
              <w:spacing w:line="324" w:lineRule="auto"/>
              <w:ind w:left="420"/>
              <w:rPr>
                <w:rFonts w:hint="eastAsia" w:ascii="宋体" w:hAnsi="宋体" w:cs="宋体"/>
                <w:sz w:val="22"/>
                <w:szCs w:val="22"/>
              </w:rPr>
            </w:pPr>
            <w:r>
              <w:rPr>
                <w:rFonts w:hint="eastAsia" w:ascii="宋体" w:hAnsi="宋体" w:cs="宋体"/>
                <w:sz w:val="22"/>
                <w:szCs w:val="22"/>
              </w:rPr>
              <w:t xml:space="preserve">此方法适用于货物类、服务类、工程类项目。 </w:t>
            </w:r>
          </w:p>
          <w:tbl>
            <w:tblPr>
              <w:tblStyle w:val="50"/>
              <w:tblW w:w="93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88"/>
              <w:gridCol w:w="423"/>
              <w:gridCol w:w="1442"/>
              <w:gridCol w:w="799"/>
              <w:gridCol w:w="6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88" w:type="dxa"/>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hint="eastAsia" w:ascii="宋体" w:hAnsi="宋体" w:cs="宋体"/>
                      <w:sz w:val="24"/>
                    </w:rPr>
                  </w:pPr>
                  <w:r>
                    <w:rPr>
                      <w:rFonts w:hint="eastAsia" w:ascii="宋体" w:hAnsi="宋体" w:cs="宋体"/>
                      <w:sz w:val="24"/>
                    </w:rPr>
                    <w:t>序号</w:t>
                  </w:r>
                </w:p>
              </w:tc>
              <w:tc>
                <w:tcPr>
                  <w:tcW w:w="2664" w:type="dxa"/>
                  <w:gridSpan w:val="3"/>
                  <w:tcBorders>
                    <w:top w:val="single" w:color="000000" w:sz="8" w:space="0"/>
                    <w:left w:val="nil"/>
                    <w:bottom w:val="single" w:color="000000" w:sz="8" w:space="0"/>
                    <w:right w:val="single" w:color="000000" w:sz="8" w:space="0"/>
                  </w:tcBorders>
                  <w:shd w:val="clear" w:color="auto" w:fill="E6EFFA"/>
                  <w:vAlign w:val="center"/>
                </w:tcPr>
                <w:p>
                  <w:pPr>
                    <w:jc w:val="center"/>
                    <w:rPr>
                      <w:rFonts w:hint="eastAsia" w:ascii="宋体" w:hAnsi="宋体" w:cs="宋体"/>
                      <w:sz w:val="24"/>
                    </w:rPr>
                  </w:pPr>
                  <w:r>
                    <w:rPr>
                      <w:rFonts w:hint="eastAsia" w:ascii="宋体" w:hAnsi="宋体" w:cs="宋体"/>
                      <w:sz w:val="24"/>
                    </w:rPr>
                    <w:t>评分项</w:t>
                  </w:r>
                </w:p>
              </w:tc>
              <w:tc>
                <w:tcPr>
                  <w:tcW w:w="6246" w:type="dxa"/>
                  <w:tcBorders>
                    <w:top w:val="single" w:color="000000" w:sz="8" w:space="0"/>
                    <w:left w:val="nil"/>
                    <w:bottom w:val="single" w:color="000000" w:sz="8" w:space="0"/>
                    <w:right w:val="single" w:color="000000" w:sz="8" w:space="0"/>
                  </w:tcBorders>
                  <w:shd w:val="clear" w:color="auto" w:fill="E6EFFA"/>
                  <w:vAlign w:val="center"/>
                </w:tcPr>
                <w:p>
                  <w:pPr>
                    <w:jc w:val="center"/>
                    <w:rPr>
                      <w:rFonts w:hint="eastAsia" w:ascii="宋体" w:hAnsi="宋体" w:cs="宋体"/>
                      <w:sz w:val="24"/>
                    </w:rPr>
                  </w:pPr>
                  <w:r>
                    <w:rPr>
                      <w:rFonts w:hint="eastAsia" w:ascii="宋体" w:hAnsi="宋体" w:cs="宋体"/>
                      <w:sz w:val="24"/>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8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 w:val="24"/>
                    </w:rPr>
                  </w:pPr>
                  <w:r>
                    <w:rPr>
                      <w:rFonts w:hint="eastAsia" w:ascii="宋体" w:hAnsi="宋体" w:cs="宋体"/>
                      <w:sz w:val="24"/>
                    </w:rPr>
                    <w:t>1</w:t>
                  </w:r>
                </w:p>
              </w:tc>
              <w:tc>
                <w:tcPr>
                  <w:tcW w:w="2664" w:type="dxa"/>
                  <w:gridSpan w:val="3"/>
                  <w:tcBorders>
                    <w:top w:val="single" w:color="000000" w:sz="8" w:space="0"/>
                    <w:left w:val="nil"/>
                    <w:bottom w:val="single" w:color="000000" w:sz="8" w:space="0"/>
                    <w:right w:val="single" w:color="000000" w:sz="8" w:space="0"/>
                  </w:tcBorders>
                </w:tcPr>
                <w:p>
                  <w:pPr>
                    <w:jc w:val="center"/>
                    <w:rPr>
                      <w:rFonts w:hint="eastAsia" w:ascii="宋体" w:hAnsi="宋体" w:cs="宋体"/>
                      <w:b/>
                      <w:bCs/>
                      <w:color w:val="0000FF"/>
                      <w:sz w:val="24"/>
                    </w:rPr>
                  </w:pPr>
                  <w:r>
                    <w:rPr>
                      <w:rFonts w:hint="eastAsia" w:ascii="宋体" w:hAnsi="宋体" w:cs="宋体"/>
                      <w:b/>
                      <w:bCs/>
                      <w:color w:val="0000FF"/>
                      <w:sz w:val="24"/>
                    </w:rPr>
                    <w:t>价格部分</w:t>
                  </w:r>
                </w:p>
              </w:tc>
              <w:tc>
                <w:tcPr>
                  <w:tcW w:w="6246" w:type="dxa"/>
                  <w:tcBorders>
                    <w:top w:val="single" w:color="000000" w:sz="8" w:space="0"/>
                    <w:left w:val="nil"/>
                    <w:bottom w:val="single" w:color="000000" w:sz="8" w:space="0"/>
                    <w:right w:val="single" w:color="000000" w:sz="8" w:space="0"/>
                  </w:tcBorders>
                </w:tcPr>
                <w:p>
                  <w:pPr>
                    <w:jc w:val="center"/>
                    <w:rPr>
                      <w:rFonts w:hint="eastAsia" w:ascii="宋体" w:hAnsi="宋体" w:cs="宋体"/>
                      <w:b/>
                      <w:bCs/>
                      <w:color w:val="0000FF"/>
                      <w:sz w:val="24"/>
                    </w:rPr>
                  </w:pPr>
                  <w:r>
                    <w:rPr>
                      <w:rFonts w:hint="eastAsia" w:ascii="宋体" w:hAnsi="宋体" w:cs="宋体"/>
                      <w:b/>
                      <w:bCs/>
                      <w:color w:val="0000FF"/>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22" w:hRule="atLeast"/>
                <w:jc w:val="center"/>
              </w:trPr>
              <w:tc>
                <w:tcPr>
                  <w:tcW w:w="488" w:type="dxa"/>
                  <w:vMerge w:val="restart"/>
                  <w:tcBorders>
                    <w:top w:val="single" w:color="000000" w:sz="8" w:space="0"/>
                    <w:left w:val="single" w:color="000000" w:sz="8" w:space="0"/>
                    <w:bottom w:val="single" w:color="000000" w:sz="8" w:space="0"/>
                    <w:right w:val="single" w:color="000000" w:sz="8" w:space="0"/>
                  </w:tcBorders>
                </w:tcPr>
                <w:p>
                  <w:pPr>
                    <w:rPr>
                      <w:rFonts w:hint="eastAsia" w:ascii="宋体" w:hAnsi="宋体" w:cs="宋体"/>
                      <w:sz w:val="24"/>
                    </w:rPr>
                  </w:pPr>
                  <w:r>
                    <w:rPr>
                      <w:rFonts w:hint="eastAsia" w:ascii="宋体" w:hAnsi="宋体" w:cs="宋体"/>
                      <w:sz w:val="24"/>
                    </w:rPr>
                    <w:t>2</w:t>
                  </w:r>
                </w:p>
              </w:tc>
              <w:tc>
                <w:tcPr>
                  <w:tcW w:w="2664" w:type="dxa"/>
                  <w:gridSpan w:val="3"/>
                  <w:tcBorders>
                    <w:top w:val="single" w:color="000000" w:sz="8" w:space="0"/>
                    <w:left w:val="nil"/>
                    <w:bottom w:val="single" w:color="000000" w:sz="8" w:space="0"/>
                    <w:right w:val="single" w:color="000000" w:sz="8" w:space="0"/>
                  </w:tcBorders>
                </w:tcPr>
                <w:p>
                  <w:pPr>
                    <w:jc w:val="center"/>
                    <w:rPr>
                      <w:rFonts w:hint="eastAsia" w:ascii="宋体" w:hAnsi="宋体" w:cs="宋体"/>
                      <w:b/>
                      <w:bCs/>
                      <w:color w:val="0000FF"/>
                      <w:sz w:val="24"/>
                    </w:rPr>
                  </w:pPr>
                  <w:r>
                    <w:rPr>
                      <w:rFonts w:hint="eastAsia" w:ascii="宋体" w:hAnsi="宋体" w:cs="宋体"/>
                      <w:b/>
                      <w:bCs/>
                      <w:color w:val="0000FF"/>
                      <w:sz w:val="24"/>
                    </w:rPr>
                    <w:t>技术部分</w:t>
                  </w:r>
                </w:p>
              </w:tc>
              <w:tc>
                <w:tcPr>
                  <w:tcW w:w="6246" w:type="dxa"/>
                  <w:tcBorders>
                    <w:top w:val="single" w:color="000000" w:sz="8" w:space="0"/>
                    <w:left w:val="nil"/>
                    <w:bottom w:val="single" w:color="000000" w:sz="8" w:space="0"/>
                    <w:right w:val="single" w:color="000000" w:sz="8" w:space="0"/>
                  </w:tcBorders>
                </w:tcPr>
                <w:p>
                  <w:pPr>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8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sz w:val="24"/>
                    </w:rPr>
                  </w:pPr>
                </w:p>
              </w:tc>
              <w:tc>
                <w:tcPr>
                  <w:tcW w:w="8910" w:type="dxa"/>
                  <w:gridSpan w:val="4"/>
                  <w:tcBorders>
                    <w:top w:val="single" w:color="000000" w:sz="8" w:space="0"/>
                    <w:left w:val="nil"/>
                    <w:bottom w:val="single" w:color="000000" w:sz="8" w:space="0"/>
                    <w:right w:val="single" w:color="000000" w:sz="8" w:space="0"/>
                  </w:tcBorders>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8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sz w:val="24"/>
                    </w:rPr>
                  </w:pPr>
                </w:p>
              </w:tc>
              <w:tc>
                <w:tcPr>
                  <w:tcW w:w="423" w:type="dxa"/>
                  <w:tcBorders>
                    <w:top w:val="single" w:color="000000" w:sz="8" w:space="0"/>
                    <w:left w:val="nil"/>
                    <w:bottom w:val="single" w:color="000000" w:sz="8" w:space="0"/>
                    <w:right w:val="single" w:color="000000" w:sz="8" w:space="0"/>
                  </w:tcBorders>
                  <w:vAlign w:val="center"/>
                </w:tcPr>
                <w:p>
                  <w:pPr>
                    <w:rPr>
                      <w:rFonts w:hint="eastAsia" w:ascii="宋体" w:hAnsi="宋体" w:cs="宋体"/>
                      <w:sz w:val="24"/>
                    </w:rPr>
                  </w:pPr>
                  <w:r>
                    <w:rPr>
                      <w:rFonts w:hint="eastAsia" w:ascii="宋体" w:hAnsi="宋体" w:cs="宋体"/>
                      <w:sz w:val="24"/>
                    </w:rPr>
                    <w:t>序号</w:t>
                  </w:r>
                </w:p>
              </w:tc>
              <w:tc>
                <w:tcPr>
                  <w:tcW w:w="1442" w:type="dxa"/>
                  <w:tcBorders>
                    <w:top w:val="single" w:color="000000" w:sz="8" w:space="0"/>
                    <w:left w:val="nil"/>
                    <w:bottom w:val="single" w:color="000000" w:sz="8" w:space="0"/>
                    <w:right w:val="single" w:color="000000" w:sz="8" w:space="0"/>
                  </w:tcBorders>
                  <w:vAlign w:val="center"/>
                </w:tcPr>
                <w:p>
                  <w:pPr>
                    <w:rPr>
                      <w:rFonts w:hint="eastAsia" w:ascii="宋体" w:hAnsi="宋体" w:cs="宋体"/>
                      <w:sz w:val="24"/>
                    </w:rPr>
                  </w:pPr>
                  <w:r>
                    <w:rPr>
                      <w:rFonts w:hint="eastAsia" w:ascii="宋体" w:hAnsi="宋体" w:cs="宋体"/>
                      <w:sz w:val="24"/>
                    </w:rPr>
                    <w:t>评分因素</w:t>
                  </w:r>
                </w:p>
              </w:tc>
              <w:tc>
                <w:tcPr>
                  <w:tcW w:w="799" w:type="dxa"/>
                  <w:tcBorders>
                    <w:top w:val="single" w:color="000000" w:sz="8" w:space="0"/>
                    <w:left w:val="nil"/>
                    <w:bottom w:val="single" w:color="000000" w:sz="8" w:space="0"/>
                    <w:right w:val="single" w:color="000000" w:sz="8" w:space="0"/>
                  </w:tcBorders>
                  <w:vAlign w:val="center"/>
                </w:tcPr>
                <w:p>
                  <w:pPr>
                    <w:rPr>
                      <w:rFonts w:hint="eastAsia" w:ascii="宋体" w:hAnsi="宋体" w:cs="宋体"/>
                      <w:sz w:val="24"/>
                    </w:rPr>
                  </w:pPr>
                  <w:r>
                    <w:rPr>
                      <w:rFonts w:hint="eastAsia" w:ascii="宋体" w:hAnsi="宋体" w:cs="宋体"/>
                      <w:sz w:val="24"/>
                    </w:rPr>
                    <w:t>权重(%)</w:t>
                  </w:r>
                </w:p>
              </w:tc>
              <w:tc>
                <w:tcPr>
                  <w:tcW w:w="6246" w:type="dxa"/>
                  <w:tcBorders>
                    <w:top w:val="single" w:color="000000" w:sz="8" w:space="0"/>
                    <w:left w:val="nil"/>
                    <w:bottom w:val="single" w:color="000000" w:sz="8" w:space="0"/>
                    <w:right w:val="single" w:color="000000" w:sz="8" w:space="0"/>
                  </w:tcBorders>
                  <w:vAlign w:val="center"/>
                </w:tcPr>
                <w:p>
                  <w:pPr>
                    <w:rPr>
                      <w:rFonts w:hint="eastAsia" w:ascii="宋体" w:hAnsi="宋体" w:cs="宋体"/>
                      <w:sz w:val="24"/>
                    </w:rPr>
                  </w:pPr>
                  <w:r>
                    <w:rPr>
                      <w:rFonts w:hint="eastAsia" w:ascii="宋体" w:hAnsi="宋体" w:cs="宋体"/>
                      <w:sz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02" w:hRule="atLeast"/>
                <w:jc w:val="center"/>
              </w:trPr>
              <w:tc>
                <w:tcPr>
                  <w:tcW w:w="48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sz w:val="24"/>
                    </w:rPr>
                  </w:pPr>
                </w:p>
              </w:tc>
              <w:tc>
                <w:tcPr>
                  <w:tcW w:w="423"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sz w:val="24"/>
                    </w:rPr>
                  </w:pPr>
                  <w:r>
                    <w:rPr>
                      <w:rFonts w:hint="eastAsia" w:ascii="宋体" w:hAnsi="宋体" w:cs="宋体"/>
                      <w:sz w:val="24"/>
                    </w:rPr>
                    <w:t>1</w:t>
                  </w:r>
                </w:p>
              </w:tc>
              <w:tc>
                <w:tcPr>
                  <w:tcW w:w="1442"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zh-CN"/>
                    </w:rPr>
                    <w:t>实施方案</w:t>
                  </w:r>
                </w:p>
              </w:tc>
              <w:tc>
                <w:tcPr>
                  <w:tcW w:w="799"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12</w:t>
                  </w:r>
                </w:p>
              </w:tc>
              <w:tc>
                <w:tcPr>
                  <w:tcW w:w="6246" w:type="dxa"/>
                  <w:tcBorders>
                    <w:top w:val="single" w:color="000000" w:sz="8" w:space="0"/>
                    <w:left w:val="nil"/>
                    <w:bottom w:val="single" w:color="000000" w:sz="8" w:space="0"/>
                    <w:right w:val="single" w:color="000000" w:sz="8" w:space="0"/>
                  </w:tcBorders>
                  <w:vAlign w:val="center"/>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（一）评分内容</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投标人针对本项目的项目服务方案，方案内容包括：</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1.消杀服务工作计划；</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2.病媒生物防制（治）实施方案；</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3.人员培训方案；</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4.人员组织安排和岗位设置；</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5.质量保障措施；</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（二）评审标准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1、上述5项内容，每提供一项得1.5分，全部提供得7分。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2、在此基础上，由评审委员会对具体响应内容进一步评审：</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（1）方案清晰、完整、科学、可操作性强的，评审为优，得5分；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（2）方案较清晰、较完整、较科学、可操作性较强的，评审为良，得3分；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（3）方案一般清晰、完整性一般、科学性一般、可操作性一般的，评审为中，得1分；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（4）方案不清晰、完整性差、科学性差、可操作性差的，评审为差，不得分；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上述未按要求提供相关材料或不清晰导致无法判断内容的不得分。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02" w:hRule="atLeast"/>
                <w:jc w:val="center"/>
              </w:trPr>
              <w:tc>
                <w:tcPr>
                  <w:tcW w:w="48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sz w:val="24"/>
                    </w:rPr>
                  </w:pPr>
                </w:p>
              </w:tc>
              <w:tc>
                <w:tcPr>
                  <w:tcW w:w="423"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sz w:val="24"/>
                    </w:rPr>
                  </w:pPr>
                  <w:r>
                    <w:rPr>
                      <w:rFonts w:hint="eastAsia" w:ascii="宋体" w:hAnsi="宋体" w:cs="宋体"/>
                      <w:sz w:val="24"/>
                    </w:rPr>
                    <w:t>2</w:t>
                  </w:r>
                </w:p>
              </w:tc>
              <w:tc>
                <w:tcPr>
                  <w:tcW w:w="1442"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项目重点难点分析、应对措施及相关的合理化建议</w:t>
                  </w:r>
                </w:p>
              </w:tc>
              <w:tc>
                <w:tcPr>
                  <w:tcW w:w="799"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12</w:t>
                  </w:r>
                </w:p>
              </w:tc>
              <w:tc>
                <w:tcPr>
                  <w:tcW w:w="6246" w:type="dxa"/>
                  <w:tcBorders>
                    <w:top w:val="single" w:color="000000" w:sz="8" w:space="0"/>
                    <w:left w:val="nil"/>
                    <w:bottom w:val="single" w:color="000000" w:sz="8" w:space="0"/>
                    <w:right w:val="single" w:color="000000" w:sz="8" w:space="0"/>
                  </w:tcBorders>
                  <w:vAlign w:val="center"/>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（一）评审内容：</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投标人针对本项目服务内容的特点及实际情况，进行重点难点分析并提出合理且有针对性</w:t>
                  </w:r>
                  <w:r>
                    <w:rPr>
                      <w:rFonts w:hint="eastAsia" w:ascii="宋体" w:hAnsi="宋体" w:cs="宋体"/>
                      <w:b w:val="0"/>
                      <w:bCs w:val="0"/>
                      <w:color w:val="auto"/>
                      <w:sz w:val="24"/>
                      <w:highlight w:val="none"/>
                      <w:lang w:eastAsia="zh-CN"/>
                    </w:rPr>
                    <w:t>的</w:t>
                  </w:r>
                  <w:r>
                    <w:rPr>
                      <w:rFonts w:hint="eastAsia" w:ascii="宋体" w:hAnsi="宋体" w:cs="宋体"/>
                      <w:b w:val="0"/>
                      <w:bCs w:val="0"/>
                      <w:color w:val="auto"/>
                      <w:sz w:val="24"/>
                      <w:highlight w:val="none"/>
                      <w:lang w:val="en-US" w:eastAsia="zh-CN"/>
                    </w:rPr>
                    <w:t>建议</w:t>
                  </w:r>
                  <w:r>
                    <w:rPr>
                      <w:rFonts w:hint="eastAsia" w:ascii="宋体" w:hAnsi="宋体" w:cs="宋体"/>
                      <w:b w:val="0"/>
                      <w:bCs w:val="0"/>
                      <w:color w:val="auto"/>
                      <w:sz w:val="24"/>
                      <w:highlight w:val="none"/>
                    </w:rPr>
                    <w:t>；</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1、重点难点分析；</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2、应对措施；</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3、合理化建议；</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（二）评审标准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1、上述3项内容，每提供一项得2.5分，全部提供得7分。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2、在此基础上，由评审委员会对具体响应内容进一步评审：</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（1）方案清晰、完整、科学、可操作性强的，评审为优，得5分；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（2）方案较清晰、较完整、较科学、可操作性较强的，评审为良，得3分；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（3）方案一般清晰、完整性一般、科学性一般、可操作性一般的，评审为中，得1分；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（4）方案不清晰、完整性差、科学性差、可操作性差的，评审为差，不得分；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上述未按要求提供相关材料或不清晰导致无法判断内容的不得分。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8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sz w:val="24"/>
                    </w:rPr>
                  </w:pPr>
                </w:p>
              </w:tc>
              <w:tc>
                <w:tcPr>
                  <w:tcW w:w="423"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sz w:val="24"/>
                    </w:rPr>
                  </w:pPr>
                  <w:r>
                    <w:rPr>
                      <w:rFonts w:hint="eastAsia" w:ascii="宋体" w:hAnsi="宋体" w:cs="宋体"/>
                      <w:sz w:val="24"/>
                    </w:rPr>
                    <w:t>3</w:t>
                  </w:r>
                </w:p>
              </w:tc>
              <w:tc>
                <w:tcPr>
                  <w:tcW w:w="1442"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zh-CN"/>
                    </w:rPr>
                    <w:t>应急方案</w:t>
                  </w:r>
                </w:p>
              </w:tc>
              <w:tc>
                <w:tcPr>
                  <w:tcW w:w="799"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12</w:t>
                  </w:r>
                </w:p>
              </w:tc>
              <w:tc>
                <w:tcPr>
                  <w:tcW w:w="6246" w:type="dxa"/>
                  <w:tcBorders>
                    <w:top w:val="single" w:color="000000" w:sz="8" w:space="0"/>
                    <w:left w:val="nil"/>
                    <w:bottom w:val="single" w:color="000000" w:sz="8" w:space="0"/>
                    <w:right w:val="single" w:color="000000" w:sz="8" w:space="0"/>
                  </w:tcBorders>
                  <w:vAlign w:val="center"/>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（一）评分内容</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投标人根据项目实际情况提供突发事件应急处理措施方案，内容包括但不限于：</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（1）应急处理措施；</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（2）应急响应机制；</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（3）应急预案体系；</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（4）应急人员的储备。</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（二）评审标准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1、上述4项内容，每提供一项得2分，全部提供得7分。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2、在此基础上，由评审委员会对具体响应内容进一步评审：</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（1）方案清晰、完整、科学、可操作性强的，评审为优，得5分；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（2）方案较清晰、较完整、较科学、可操作性较强的，评审为良，得3分；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（3）方案一般清晰、完整性一般、科学性一般、可操作性一般的，评审为中，得1分；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（4）方案不清晰、完整性差、科学性差、可操作性差的，评审为差，不得分；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上述未按要求提供相关材料或不清晰导致无法判断内容的不得分。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08" w:hRule="atLeast"/>
                <w:jc w:val="center"/>
              </w:trPr>
              <w:tc>
                <w:tcPr>
                  <w:tcW w:w="488" w:type="dxa"/>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sz w:val="24"/>
                    </w:rPr>
                  </w:pPr>
                </w:p>
              </w:tc>
              <w:tc>
                <w:tcPr>
                  <w:tcW w:w="423"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1442"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拟安排的项目人员情况</w:t>
                  </w:r>
                </w:p>
              </w:tc>
              <w:tc>
                <w:tcPr>
                  <w:tcW w:w="799" w:type="dxa"/>
                  <w:tcBorders>
                    <w:top w:val="single" w:color="000000" w:sz="8" w:space="0"/>
                    <w:left w:val="nil"/>
                    <w:bottom w:val="single" w:color="000000" w:sz="8" w:space="0"/>
                    <w:right w:val="single" w:color="000000" w:sz="8" w:space="0"/>
                  </w:tcBorders>
                  <w:vAlign w:val="center"/>
                </w:tcPr>
                <w:p>
                  <w:pPr>
                    <w:jc w:val="cente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16</w:t>
                  </w:r>
                </w:p>
              </w:tc>
              <w:tc>
                <w:tcPr>
                  <w:tcW w:w="6246" w:type="dxa"/>
                  <w:tcBorders>
                    <w:top w:val="single" w:color="000000" w:sz="8" w:space="0"/>
                    <w:left w:val="nil"/>
                    <w:bottom w:val="single" w:color="000000" w:sz="8" w:space="0"/>
                    <w:right w:val="single" w:color="000000" w:sz="8" w:space="0"/>
                  </w:tcBorders>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1、投标人拟派本项目负责人（仅限1人）须为自有员工</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 xml:space="preserve">： </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（1）具有大专（或以上）学历的，得2分；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（2）具有害虫（如红火蚁、白蚁等病害）防控技术培训证书的，得3分；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（3）具有病媒生物防治员证书的得</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分；</w:t>
                  </w:r>
                </w:p>
                <w:p>
                  <w:pPr>
                    <w:pStyle w:val="2"/>
                    <w:rPr>
                      <w:rFonts w:hint="default"/>
                      <w:color w:val="auto"/>
                      <w:highlight w:val="none"/>
                      <w:lang w:val="en-US" w:eastAsia="zh-CN"/>
                    </w:rPr>
                  </w:pP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lang w:eastAsia="zh-CN"/>
                    </w:rPr>
                    <w:t>具有</w:t>
                  </w:r>
                  <w:bookmarkStart w:id="0" w:name="OLE_LINK1"/>
                  <w:r>
                    <w:rPr>
                      <w:rFonts w:hint="eastAsia" w:ascii="宋体" w:hAnsi="宋体" w:cs="宋体"/>
                      <w:b w:val="0"/>
                      <w:bCs w:val="0"/>
                      <w:color w:val="auto"/>
                      <w:sz w:val="24"/>
                      <w:highlight w:val="none"/>
                      <w:lang w:eastAsia="zh-CN"/>
                    </w:rPr>
                    <w:t>公共环境消毒杀菌员证书</w:t>
                  </w:r>
                  <w:bookmarkEnd w:id="0"/>
                  <w:r>
                    <w:rPr>
                      <w:rFonts w:hint="eastAsia" w:ascii="宋体" w:hAnsi="宋体" w:cs="宋体"/>
                      <w:b w:val="0"/>
                      <w:bCs w:val="0"/>
                      <w:color w:val="auto"/>
                      <w:sz w:val="24"/>
                      <w:highlight w:val="none"/>
                      <w:lang w:eastAsia="zh-CN"/>
                    </w:rPr>
                    <w:t>的得</w:t>
                  </w:r>
                  <w:r>
                    <w:rPr>
                      <w:rFonts w:hint="eastAsia" w:ascii="宋体" w:hAnsi="宋体" w:cs="宋体"/>
                      <w:b w:val="0"/>
                      <w:bCs w:val="0"/>
                      <w:color w:val="auto"/>
                      <w:sz w:val="24"/>
                      <w:highlight w:val="none"/>
                      <w:lang w:val="en-US" w:eastAsia="zh-CN"/>
                    </w:rPr>
                    <w:t>3分；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以上累加计分，最高得</w:t>
                  </w:r>
                  <w:r>
                    <w:rPr>
                      <w:rFonts w:hint="eastAsia" w:ascii="宋体" w:hAnsi="宋体" w:cs="宋体"/>
                      <w:b w:val="0"/>
                      <w:bCs w:val="0"/>
                      <w:color w:val="auto"/>
                      <w:sz w:val="24"/>
                      <w:highlight w:val="none"/>
                      <w:lang w:val="en-US" w:eastAsia="zh-CN"/>
                    </w:rPr>
                    <w:t>10</w:t>
                  </w:r>
                  <w:r>
                    <w:rPr>
                      <w:rFonts w:hint="eastAsia" w:ascii="宋体" w:hAnsi="宋体" w:cs="宋体"/>
                      <w:b w:val="0"/>
                      <w:bCs w:val="0"/>
                      <w:color w:val="auto"/>
                      <w:sz w:val="24"/>
                      <w:highlight w:val="none"/>
                    </w:rPr>
                    <w:t>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2、消杀人员：</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提供病媒生物防治员证书，每提供一个得</w:t>
                  </w:r>
                  <w:r>
                    <w:rPr>
                      <w:rFonts w:hint="eastAsia" w:ascii="宋体" w:hAnsi="宋体" w:cs="宋体"/>
                      <w:b w:val="0"/>
                      <w:bCs w:val="0"/>
                      <w:color w:val="auto"/>
                      <w:sz w:val="24"/>
                      <w:highlight w:val="none"/>
                      <w:lang w:val="en-US" w:eastAsia="zh-CN"/>
                    </w:rPr>
                    <w:t>1.5</w:t>
                  </w:r>
                  <w:r>
                    <w:rPr>
                      <w:rFonts w:hint="eastAsia" w:ascii="宋体" w:hAnsi="宋体" w:cs="宋体"/>
                      <w:b w:val="0"/>
                      <w:bCs w:val="0"/>
                      <w:color w:val="auto"/>
                      <w:sz w:val="24"/>
                      <w:highlight w:val="none"/>
                    </w:rPr>
                    <w:t>分，最高得</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rPr>
                    <w:t>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以上两大项累计得分，最高得1</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rPr>
                    <w:t>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二、评审标准：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第（1）项提供学历证书扫描件及学信网查询记录截图（如较早颁发的学历证书，学信网无法查询的，可提供毕业院校或教育或人社部门等颁发机构或监管机构等出具的证明，如海外留学（含港澳台）人学历无法通过学信网站查询的，应当提供教育部留学服务中心出具的国外学历学位认证证书以及教育部留学服务中心官网查询截图。若证明文件为其它语言，必须附中文译文，以中文译文为准）；</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2、第（2）-（</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）项和第2项提供证书扫描件；</w:t>
                  </w:r>
                </w:p>
                <w:p>
                  <w:pPr>
                    <w:widowControl w:val="0"/>
                    <w:shd w:val="clear" w:color="auto" w:fill="auto"/>
                    <w:wordWrap w:val="0"/>
                    <w:adjustRightInd/>
                    <w:snapToGrid/>
                    <w:spacing w:line="24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w:t>
                  </w:r>
                  <w:r>
                    <w:rPr>
                      <w:rFonts w:hint="eastAsia" w:ascii="宋体" w:hAnsi="宋体" w:eastAsia="宋体" w:cs="宋体"/>
                      <w:color w:val="auto"/>
                      <w:kern w:val="2"/>
                      <w:sz w:val="24"/>
                      <w:szCs w:val="24"/>
                      <w:highlight w:val="none"/>
                      <w:lang w:eastAsia="zh-Hans"/>
                    </w:rPr>
                    <w:t>提供投标截止日前近</w:t>
                  </w: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eastAsia="zh-Hans"/>
                    </w:rPr>
                    <w:t>个月内投标人为</w:t>
                  </w:r>
                  <w:r>
                    <w:rPr>
                      <w:rFonts w:hint="eastAsia" w:ascii="宋体" w:hAnsi="宋体" w:eastAsia="宋体" w:cs="宋体"/>
                      <w:color w:val="auto"/>
                      <w:kern w:val="2"/>
                      <w:sz w:val="24"/>
                      <w:szCs w:val="24"/>
                      <w:highlight w:val="none"/>
                      <w:lang w:val="en-US" w:eastAsia="zh-CN"/>
                    </w:rPr>
                    <w:t>上述人员</w:t>
                  </w:r>
                  <w:r>
                    <w:rPr>
                      <w:rFonts w:hint="eastAsia" w:ascii="宋体" w:hAnsi="宋体" w:eastAsia="宋体" w:cs="宋体"/>
                      <w:color w:val="auto"/>
                      <w:kern w:val="2"/>
                      <w:sz w:val="24"/>
                      <w:szCs w:val="24"/>
                      <w:highlight w:val="none"/>
                      <w:lang w:eastAsia="zh-Hans"/>
                    </w:rPr>
                    <w:t>购买的社保</w:t>
                  </w:r>
                  <w:r>
                    <w:rPr>
                      <w:rFonts w:hint="eastAsia" w:ascii="宋体" w:hAnsi="宋体" w:eastAsia="宋体" w:cs="宋体"/>
                      <w:color w:val="auto"/>
                      <w:kern w:val="2"/>
                      <w:sz w:val="24"/>
                      <w:szCs w:val="24"/>
                      <w:highlight w:val="none"/>
                      <w:lang w:val="en-US" w:eastAsia="zh-CN"/>
                    </w:rPr>
                    <w:t>证明</w:t>
                  </w:r>
                  <w:r>
                    <w:rPr>
                      <w:rFonts w:hint="eastAsia" w:ascii="宋体" w:hAnsi="宋体" w:eastAsia="宋体" w:cs="宋体"/>
                      <w:color w:val="auto"/>
                      <w:kern w:val="2"/>
                      <w:sz w:val="24"/>
                      <w:szCs w:val="24"/>
                      <w:highlight w:val="none"/>
                      <w:lang w:eastAsia="zh-Hans"/>
                    </w:rPr>
                    <w:t>，如供应商为新成立企业且成立时间不足</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Hans"/>
                    </w:rPr>
                    <w:t>个月可提供加盖公章的情况说明或者证明材料亦视为符合</w:t>
                  </w:r>
                  <w:r>
                    <w:rPr>
                      <w:rFonts w:hint="eastAsia" w:ascii="宋体" w:hAnsi="宋体" w:eastAsia="宋体" w:cs="宋体"/>
                      <w:color w:val="auto"/>
                      <w:kern w:val="2"/>
                      <w:sz w:val="24"/>
                      <w:szCs w:val="24"/>
                      <w:highlight w:val="none"/>
                    </w:rPr>
                    <w:t>；法定退休人员提供返聘合同作为证明材料</w:t>
                  </w:r>
                  <w:r>
                    <w:rPr>
                      <w:rFonts w:hint="eastAsia" w:ascii="宋体" w:hAnsi="宋体" w:eastAsia="宋体" w:cs="宋体"/>
                      <w:color w:val="auto"/>
                      <w:kern w:val="2"/>
                      <w:sz w:val="24"/>
                      <w:szCs w:val="24"/>
                      <w:highlight w:val="none"/>
                      <w:lang w:eastAsia="zh-Hans"/>
                    </w:rPr>
                    <w:t>。</w:t>
                  </w: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4、未按要求提供相关证明材料（或相关证明材料无法判断是否符合评分要求）的不计得分。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88" w:type="dxa"/>
                  <w:vMerge w:val="restart"/>
                  <w:tcBorders>
                    <w:top w:val="single" w:color="000000" w:sz="8" w:space="0"/>
                    <w:left w:val="single" w:color="000000" w:sz="8" w:space="0"/>
                    <w:bottom w:val="single" w:color="000000" w:sz="8" w:space="0"/>
                    <w:right w:val="single" w:color="000000" w:sz="8" w:space="0"/>
                  </w:tcBorders>
                </w:tcPr>
                <w:p>
                  <w:pPr>
                    <w:rPr>
                      <w:rFonts w:hint="eastAsia" w:ascii="宋体" w:hAnsi="宋体" w:cs="宋体"/>
                      <w:sz w:val="24"/>
                    </w:rPr>
                  </w:pPr>
                  <w:r>
                    <w:rPr>
                      <w:rFonts w:hint="eastAsia" w:ascii="宋体" w:hAnsi="宋体" w:cs="宋体"/>
                      <w:sz w:val="24"/>
                    </w:rPr>
                    <w:t>3</w:t>
                  </w:r>
                </w:p>
              </w:tc>
              <w:tc>
                <w:tcPr>
                  <w:tcW w:w="2664" w:type="dxa"/>
                  <w:gridSpan w:val="3"/>
                  <w:tcBorders>
                    <w:top w:val="single" w:color="000000" w:sz="8" w:space="0"/>
                    <w:left w:val="nil"/>
                    <w:bottom w:val="single" w:color="000000" w:sz="8" w:space="0"/>
                    <w:right w:val="single" w:color="000000" w:sz="8" w:space="0"/>
                  </w:tcBorders>
                </w:tcPr>
                <w:p>
                  <w:pPr>
                    <w:jc w:val="center"/>
                    <w:rPr>
                      <w:rFonts w:hint="eastAsia" w:ascii="宋体" w:hAnsi="宋体" w:cs="宋体"/>
                      <w:b/>
                      <w:bCs/>
                      <w:color w:val="0000FF"/>
                      <w:sz w:val="24"/>
                    </w:rPr>
                  </w:pPr>
                  <w:r>
                    <w:rPr>
                      <w:rFonts w:hint="eastAsia" w:ascii="宋体" w:hAnsi="宋体" w:cs="宋体"/>
                      <w:b/>
                      <w:bCs/>
                      <w:color w:val="0000FF"/>
                      <w:sz w:val="24"/>
                    </w:rPr>
                    <w:t>综合实力部分</w:t>
                  </w:r>
                </w:p>
              </w:tc>
              <w:tc>
                <w:tcPr>
                  <w:tcW w:w="6246" w:type="dxa"/>
                  <w:tcBorders>
                    <w:top w:val="single" w:color="000000" w:sz="8" w:space="0"/>
                    <w:left w:val="nil"/>
                    <w:bottom w:val="single" w:color="000000" w:sz="8" w:space="0"/>
                    <w:right w:val="single" w:color="000000" w:sz="8" w:space="0"/>
                  </w:tcBorders>
                </w:tcPr>
                <w:p>
                  <w:pPr>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88"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hint="eastAsia" w:ascii="宋体" w:hAnsi="宋体" w:cs="宋体"/>
                      <w:sz w:val="24"/>
                    </w:rPr>
                  </w:pPr>
                </w:p>
              </w:tc>
              <w:tc>
                <w:tcPr>
                  <w:tcW w:w="8910" w:type="dxa"/>
                  <w:gridSpan w:val="4"/>
                  <w:tcBorders>
                    <w:top w:val="inset" w:color="000000" w:sz="6" w:space="0"/>
                    <w:left w:val="inset" w:color="000000" w:sz="6" w:space="0"/>
                    <w:bottom w:val="inset" w:color="000000" w:sz="6" w:space="0"/>
                    <w:right w:val="inset" w:color="000000" w:sz="6" w:space="0"/>
                  </w:tcBorders>
                  <w:shd w:val="clear" w:color="auto" w:fill="E6EFFA"/>
                </w:tcPr>
                <w:p>
                  <w:pPr>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42" w:hRule="atLeast"/>
                <w:jc w:val="center"/>
              </w:trPr>
              <w:tc>
                <w:tcPr>
                  <w:tcW w:w="48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rPr>
                  </w:pPr>
                </w:p>
              </w:tc>
              <w:tc>
                <w:tcPr>
                  <w:tcW w:w="4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评分因素</w:t>
                  </w:r>
                </w:p>
              </w:tc>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权重(%)</w:t>
                  </w:r>
                </w:p>
              </w:tc>
              <w:tc>
                <w:tcPr>
                  <w:tcW w:w="62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rPr>
                  </w:pPr>
                  <w:r>
                    <w:rPr>
                      <w:rFonts w:hint="eastAsia" w:ascii="宋体" w:hAnsi="宋体" w:cs="宋体"/>
                      <w:sz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7" w:hRule="atLeast"/>
                <w:jc w:val="center"/>
              </w:trPr>
              <w:tc>
                <w:tcPr>
                  <w:tcW w:w="48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highlight w:val="none"/>
                    </w:rPr>
                  </w:pPr>
                </w:p>
              </w:tc>
              <w:tc>
                <w:tcPr>
                  <w:tcW w:w="4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同类项目业绩</w:t>
                  </w:r>
                </w:p>
              </w:tc>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6246"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24"/>
                      <w:highlight w:val="none"/>
                    </w:rPr>
                  </w:pPr>
                  <w:r>
                    <w:rPr>
                      <w:rFonts w:hint="eastAsia" w:ascii="宋体" w:hAnsi="宋体" w:cs="宋体"/>
                      <w:color w:val="auto"/>
                      <w:sz w:val="24"/>
                      <w:highlight w:val="none"/>
                    </w:rPr>
                    <w:t>(一)评审内容：</w:t>
                  </w:r>
                </w:p>
                <w:p>
                  <w:pPr>
                    <w:rPr>
                      <w:rFonts w:hint="eastAsia" w:ascii="宋体" w:hAnsi="宋体" w:cs="宋体"/>
                      <w:color w:val="auto"/>
                      <w:sz w:val="24"/>
                      <w:highlight w:val="none"/>
                    </w:rPr>
                  </w:pPr>
                  <w:r>
                    <w:rPr>
                      <w:rFonts w:hint="eastAsia" w:ascii="宋体" w:hAnsi="宋体" w:cs="宋体"/>
                      <w:color w:val="auto"/>
                      <w:sz w:val="24"/>
                      <w:highlight w:val="none"/>
                    </w:rPr>
                    <w:t>投标人自</w:t>
                  </w:r>
                  <w:r>
                    <w:rPr>
                      <w:rFonts w:hint="eastAsia" w:ascii="宋体" w:hAnsi="宋体" w:cs="宋体"/>
                      <w:b w:val="0"/>
                      <w:bCs w:val="0"/>
                      <w:color w:val="auto"/>
                      <w:sz w:val="24"/>
                      <w:highlight w:val="none"/>
                    </w:rPr>
                    <w:t>202</w:t>
                  </w:r>
                  <w:r>
                    <w:rPr>
                      <w:rFonts w:hint="eastAsia" w:ascii="宋体" w:hAnsi="宋体" w:cs="宋体"/>
                      <w:b w:val="0"/>
                      <w:bCs w:val="0"/>
                      <w:color w:val="auto"/>
                      <w:sz w:val="24"/>
                      <w:highlight w:val="none"/>
                      <w:lang w:val="en-US" w:eastAsia="zh-CN"/>
                    </w:rPr>
                    <w:t>3</w:t>
                  </w:r>
                  <w:r>
                    <w:rPr>
                      <w:rFonts w:hint="eastAsia" w:ascii="宋体" w:hAnsi="宋体" w:cs="宋体"/>
                      <w:color w:val="auto"/>
                      <w:sz w:val="24"/>
                      <w:highlight w:val="none"/>
                    </w:rPr>
                    <w:t>年1月1日至本项目投标截止日止（以合同签订时间为准），</w:t>
                  </w:r>
                  <w:r>
                    <w:rPr>
                      <w:rFonts w:hint="eastAsia" w:asciiTheme="minorEastAsia" w:hAnsiTheme="minorEastAsia" w:eastAsiaTheme="minorEastAsia"/>
                      <w:color w:val="auto"/>
                      <w:sz w:val="24"/>
                      <w:highlight w:val="none"/>
                    </w:rPr>
                    <w:t>具有</w:t>
                  </w:r>
                  <w:r>
                    <w:rPr>
                      <w:rFonts w:asciiTheme="minorEastAsia" w:hAnsiTheme="minorEastAsia" w:eastAsiaTheme="minorEastAsia"/>
                      <w:color w:val="auto"/>
                      <w:sz w:val="24"/>
                      <w:highlight w:val="none"/>
                    </w:rPr>
                    <w:t>政府部门或事业单位</w:t>
                  </w:r>
                  <w:r>
                    <w:rPr>
                      <w:rFonts w:hint="eastAsia" w:asciiTheme="minorEastAsia" w:hAnsiTheme="minorEastAsia" w:eastAsiaTheme="minorEastAsia"/>
                      <w:color w:val="auto"/>
                      <w:sz w:val="24"/>
                      <w:highlight w:val="none"/>
                      <w:lang w:eastAsia="zh-CN"/>
                    </w:rPr>
                    <w:t>户外</w:t>
                  </w:r>
                  <w:r>
                    <w:rPr>
                      <w:rFonts w:hint="eastAsia" w:asciiTheme="minorEastAsia" w:hAnsiTheme="minorEastAsia" w:eastAsiaTheme="minorEastAsia"/>
                      <w:color w:val="auto"/>
                      <w:sz w:val="24"/>
                      <w:highlight w:val="none"/>
                    </w:rPr>
                    <w:t>消杀服务</w:t>
                  </w:r>
                  <w:r>
                    <w:rPr>
                      <w:rFonts w:asciiTheme="minorEastAsia" w:hAnsiTheme="minorEastAsia" w:eastAsiaTheme="minorEastAsia"/>
                      <w:color w:val="auto"/>
                      <w:sz w:val="24"/>
                      <w:highlight w:val="none"/>
                    </w:rPr>
                    <w:t>项目业绩</w:t>
                  </w:r>
                  <w:r>
                    <w:rPr>
                      <w:rFonts w:hint="eastAsia" w:asciiTheme="minorEastAsia" w:hAnsiTheme="minorEastAsia" w:eastAsiaTheme="minorEastAsia"/>
                      <w:color w:val="auto"/>
                      <w:sz w:val="24"/>
                      <w:highlight w:val="none"/>
                    </w:rPr>
                    <w:t>的，每提供一个</w:t>
                  </w:r>
                  <w:r>
                    <w:rPr>
                      <w:rFonts w:asciiTheme="minorEastAsia" w:hAnsiTheme="minorEastAsia" w:eastAsiaTheme="minorEastAsia"/>
                      <w:color w:val="auto"/>
                      <w:sz w:val="24"/>
                      <w:highlight w:val="none"/>
                    </w:rPr>
                    <w:t>得</w:t>
                  </w:r>
                  <w:r>
                    <w:rPr>
                      <w:rFonts w:hint="eastAsia" w:asciiTheme="minorEastAsia" w:hAnsiTheme="minorEastAsia" w:eastAsiaTheme="minorEastAsia"/>
                      <w:b w:val="0"/>
                      <w:bCs w:val="0"/>
                      <w:color w:val="auto"/>
                      <w:sz w:val="24"/>
                      <w:highlight w:val="none"/>
                      <w:lang w:val="en-US" w:eastAsia="zh-CN"/>
                    </w:rPr>
                    <w:t>4</w:t>
                  </w:r>
                  <w:r>
                    <w:rPr>
                      <w:rFonts w:hint="eastAsia" w:asciiTheme="minorEastAsia" w:hAnsiTheme="minorEastAsia" w:eastAsiaTheme="minorEastAsia"/>
                      <w:b w:val="0"/>
                      <w:bCs w:val="0"/>
                      <w:color w:val="auto"/>
                      <w:sz w:val="24"/>
                      <w:highlight w:val="none"/>
                    </w:rPr>
                    <w:t>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累计</w:t>
                  </w:r>
                  <w:r>
                    <w:rPr>
                      <w:rFonts w:asciiTheme="minorEastAsia" w:hAnsiTheme="minorEastAsia" w:eastAsiaTheme="minorEastAsia"/>
                      <w:color w:val="auto"/>
                      <w:sz w:val="24"/>
                      <w:highlight w:val="none"/>
                    </w:rPr>
                    <w:t>最高得</w:t>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w:t>
                  </w:r>
                </w:p>
                <w:p>
                  <w:pPr>
                    <w:rPr>
                      <w:rFonts w:hint="eastAsia" w:ascii="宋体" w:hAnsi="宋体" w:cs="宋体"/>
                      <w:color w:val="auto"/>
                      <w:sz w:val="24"/>
                      <w:highlight w:val="none"/>
                    </w:rPr>
                  </w:pPr>
                  <w:r>
                    <w:rPr>
                      <w:rFonts w:hint="eastAsia" w:ascii="宋体" w:hAnsi="宋体" w:cs="宋体"/>
                      <w:color w:val="auto"/>
                      <w:sz w:val="24"/>
                      <w:highlight w:val="none"/>
                    </w:rPr>
                    <w:t>一年一签的长期服务续签合同只计算一个业绩。</w:t>
                  </w:r>
                </w:p>
                <w:p>
                  <w:pPr>
                    <w:rPr>
                      <w:rFonts w:hint="eastAsia" w:ascii="宋体" w:hAnsi="宋体" w:cs="宋体"/>
                      <w:color w:val="auto"/>
                      <w:sz w:val="24"/>
                      <w:highlight w:val="none"/>
                    </w:rPr>
                  </w:pPr>
                  <w:r>
                    <w:rPr>
                      <w:rFonts w:hint="eastAsia" w:ascii="宋体" w:hAnsi="宋体" w:cs="宋体"/>
                      <w:color w:val="auto"/>
                      <w:sz w:val="24"/>
                      <w:highlight w:val="none"/>
                    </w:rPr>
                    <w:t>（二）评审标准：</w:t>
                  </w:r>
                </w:p>
                <w:p>
                  <w:pPr>
                    <w:rPr>
                      <w:rFonts w:hint="eastAsia" w:ascii="宋体" w:hAnsi="宋体" w:cs="宋体"/>
                      <w:color w:val="auto"/>
                      <w:sz w:val="24"/>
                      <w:highlight w:val="none"/>
                    </w:rPr>
                  </w:pPr>
                  <w:r>
                    <w:rPr>
                      <w:rFonts w:hint="eastAsia" w:ascii="宋体" w:hAnsi="宋体" w:cs="宋体"/>
                      <w:color w:val="auto"/>
                      <w:sz w:val="24"/>
                      <w:highlight w:val="none"/>
                    </w:rPr>
                    <w:t>提供合同关键页（关键信息包括但不仅限于合同的项目名称、服务内容、签订日期</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签字盖章页等</w:t>
                  </w:r>
                  <w:r>
                    <w:rPr>
                      <w:rFonts w:hint="eastAsia" w:ascii="宋体" w:hAnsi="宋体" w:cs="宋体"/>
                      <w:color w:val="auto"/>
                      <w:sz w:val="24"/>
                      <w:highlight w:val="none"/>
                    </w:rPr>
                    <w:t>）；</w:t>
                  </w:r>
                </w:p>
                <w:p>
                  <w:pPr>
                    <w:rPr>
                      <w:rFonts w:hint="eastAsia" w:ascii="宋体" w:hAnsi="宋体" w:cs="宋体"/>
                      <w:color w:val="auto"/>
                      <w:sz w:val="24"/>
                      <w:highlight w:val="none"/>
                    </w:rPr>
                  </w:pPr>
                  <w:r>
                    <w:rPr>
                      <w:rFonts w:hint="eastAsia" w:ascii="宋体" w:hAnsi="宋体" w:cs="宋体"/>
                      <w:color w:val="auto"/>
                      <w:sz w:val="24"/>
                      <w:highlight w:val="none"/>
                    </w:rPr>
                    <w:t>以上资料原件备查。未按要求提供或提供不清晰导致专家无法判断的不得分。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7" w:hRule="atLeast"/>
                <w:jc w:val="center"/>
              </w:trPr>
              <w:tc>
                <w:tcPr>
                  <w:tcW w:w="48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highlight w:val="none"/>
                    </w:rPr>
                  </w:pPr>
                </w:p>
              </w:tc>
              <w:tc>
                <w:tcPr>
                  <w:tcW w:w="4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r>
                    <w:rPr>
                      <w:rFonts w:hint="eastAsia" w:ascii="宋体" w:hAnsi="宋体" w:cs="宋体"/>
                      <w:sz w:val="24"/>
                      <w:highlight w:val="none"/>
                    </w:rPr>
                    <w:t>2</w:t>
                  </w:r>
                </w:p>
              </w:tc>
              <w:tc>
                <w:tcPr>
                  <w:tcW w:w="1442"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cs="宋体"/>
                      <w:color w:val="auto"/>
                      <w:sz w:val="24"/>
                      <w:highlight w:val="none"/>
                    </w:rPr>
                  </w:pPr>
                  <w:r>
                    <w:rPr>
                      <w:rFonts w:hint="eastAsia" w:ascii="宋体" w:hAnsi="宋体" w:cs="宋体"/>
                      <w:color w:val="auto"/>
                      <w:sz w:val="24"/>
                      <w:highlight w:val="none"/>
                    </w:rPr>
                    <w:t>投标人服务能力情况</w:t>
                  </w:r>
                </w:p>
              </w:tc>
              <w:tc>
                <w:tcPr>
                  <w:tcW w:w="799" w:type="dxa"/>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6246" w:type="dxa"/>
                  <w:tcBorders>
                    <w:top w:val="single" w:color="auto" w:sz="4" w:space="0"/>
                    <w:left w:val="single" w:color="auto" w:sz="4" w:space="0"/>
                    <w:bottom w:val="single" w:color="auto" w:sz="4" w:space="0"/>
                    <w:right w:val="single" w:color="auto" w:sz="4" w:space="0"/>
                  </w:tcBorders>
                </w:tcPr>
                <w:p>
                  <w:pPr>
                    <w:widowControl/>
                    <w:spacing w:after="60"/>
                    <w:jc w:val="left"/>
                    <w:rPr>
                      <w:rFonts w:hint="eastAsia" w:ascii="宋体" w:hAnsi="宋体" w:cs="宋体"/>
                      <w:b/>
                      <w:color w:val="auto"/>
                      <w:sz w:val="24"/>
                      <w:highlight w:val="none"/>
                    </w:rPr>
                  </w:pPr>
                  <w:r>
                    <w:rPr>
                      <w:rFonts w:hint="eastAsia" w:ascii="宋体" w:hAnsi="宋体" w:cs="宋体"/>
                      <w:b/>
                      <w:color w:val="auto"/>
                      <w:sz w:val="24"/>
                      <w:highlight w:val="none"/>
                    </w:rPr>
                    <w:t>（一）评分内容：</w:t>
                  </w:r>
                </w:p>
                <w:p>
                  <w:pPr>
                    <w:widowControl/>
                    <w:wordWrap w:val="0"/>
                    <w:jc w:val="left"/>
                    <w:rPr>
                      <w:rFonts w:hint="eastAsia"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投标人具有</w:t>
                  </w:r>
                  <w:r>
                    <w:rPr>
                      <w:rFonts w:hint="eastAsia" w:asciiTheme="minorEastAsia" w:hAnsiTheme="minorEastAsia" w:eastAsiaTheme="minorEastAsia"/>
                      <w:color w:val="auto"/>
                      <w:kern w:val="0"/>
                      <w:sz w:val="24"/>
                      <w:highlight w:val="none"/>
                    </w:rPr>
                    <w:t>病媒生物防制（治）服务能力</w:t>
                  </w:r>
                  <w:r>
                    <w:rPr>
                      <w:rFonts w:asciiTheme="minorEastAsia" w:hAnsiTheme="minorEastAsia" w:eastAsiaTheme="minorEastAsia"/>
                      <w:color w:val="auto"/>
                      <w:kern w:val="0"/>
                      <w:sz w:val="24"/>
                      <w:highlight w:val="none"/>
                    </w:rPr>
                    <w:t>证书</w:t>
                  </w:r>
                  <w:r>
                    <w:rPr>
                      <w:rFonts w:hint="eastAsia" w:asciiTheme="minorEastAsia" w:hAnsiTheme="minorEastAsia" w:eastAsiaTheme="minorEastAsia"/>
                      <w:color w:val="auto"/>
                      <w:kern w:val="0"/>
                      <w:sz w:val="24"/>
                      <w:highlight w:val="none"/>
                    </w:rPr>
                    <w:t>，且通过区级（或以上）爱卫办备案并取得备案证书的，</w:t>
                  </w:r>
                  <w:r>
                    <w:rPr>
                      <w:rFonts w:asciiTheme="minorEastAsia" w:hAnsiTheme="minorEastAsia" w:eastAsiaTheme="minorEastAsia"/>
                      <w:color w:val="auto"/>
                      <w:kern w:val="0"/>
                      <w:sz w:val="24"/>
                      <w:highlight w:val="none"/>
                    </w:rPr>
                    <w:t>得</w:t>
                  </w:r>
                  <w:r>
                    <w:rPr>
                      <w:rFonts w:hint="eastAsia" w:asciiTheme="minorEastAsia" w:hAnsiTheme="minorEastAsia" w:eastAsiaTheme="minorEastAsia"/>
                      <w:color w:val="auto"/>
                      <w:kern w:val="0"/>
                      <w:sz w:val="24"/>
                      <w:highlight w:val="none"/>
                      <w:lang w:val="en-US" w:eastAsia="zh-CN"/>
                    </w:rPr>
                    <w:t>5</w:t>
                  </w:r>
                  <w:r>
                    <w:rPr>
                      <w:rFonts w:hint="eastAsia" w:asciiTheme="minorEastAsia" w:hAnsiTheme="minorEastAsia" w:eastAsiaTheme="minorEastAsia"/>
                      <w:color w:val="auto"/>
                      <w:kern w:val="0"/>
                      <w:sz w:val="24"/>
                      <w:highlight w:val="none"/>
                    </w:rPr>
                    <w:t>分</w:t>
                  </w:r>
                  <w:r>
                    <w:rPr>
                      <w:rFonts w:asciiTheme="minorEastAsia" w:hAnsiTheme="minorEastAsia" w:eastAsiaTheme="minorEastAsia"/>
                      <w:color w:val="auto"/>
                      <w:kern w:val="0"/>
                      <w:sz w:val="24"/>
                      <w:highlight w:val="none"/>
                    </w:rPr>
                    <w:t>。</w:t>
                  </w:r>
                </w:p>
                <w:p>
                  <w:pPr>
                    <w:widowControl/>
                    <w:wordWrap w:val="0"/>
                    <w:jc w:val="left"/>
                    <w:rPr>
                      <w:rFonts w:ascii="Calibri" w:hAnsi="Calibri"/>
                      <w:color w:val="auto"/>
                      <w:szCs w:val="21"/>
                      <w:highlight w:val="none"/>
                    </w:rPr>
                  </w:pPr>
                  <w:r>
                    <w:rPr>
                      <w:rFonts w:hint="eastAsia" w:asciiTheme="minorEastAsia" w:hAnsiTheme="minorEastAsia" w:eastAsiaTheme="minorEastAsia"/>
                      <w:color w:val="auto"/>
                      <w:sz w:val="24"/>
                      <w:highlight w:val="none"/>
                    </w:rPr>
                    <w:t>本评分项累计</w:t>
                  </w:r>
                  <w:r>
                    <w:rPr>
                      <w:rFonts w:asciiTheme="minorEastAsia" w:hAnsiTheme="minorEastAsia" w:eastAsiaTheme="minorEastAsia"/>
                      <w:color w:val="auto"/>
                      <w:sz w:val="24"/>
                      <w:highlight w:val="none"/>
                    </w:rPr>
                    <w:t>最高得</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w:t>
                  </w:r>
                </w:p>
                <w:p>
                  <w:pPr>
                    <w:widowControl/>
                    <w:spacing w:after="60"/>
                    <w:jc w:val="left"/>
                    <w:rPr>
                      <w:rFonts w:hint="eastAsia"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（二）评分依据：</w:t>
                  </w:r>
                </w:p>
                <w:p>
                  <w:pPr>
                    <w:widowControl/>
                    <w:spacing w:after="60"/>
                    <w:jc w:val="left"/>
                    <w:rPr>
                      <w:rFonts w:hint="eastAsia" w:ascii="宋体" w:hAnsi="宋体" w:cs="宋体"/>
                      <w:color w:val="auto"/>
                      <w:sz w:val="24"/>
                      <w:highlight w:val="none"/>
                    </w:rPr>
                  </w:pPr>
                  <w:r>
                    <w:rPr>
                      <w:rFonts w:hint="eastAsia" w:asciiTheme="minorEastAsia" w:hAnsiTheme="minorEastAsia" w:eastAsiaTheme="minorEastAsia"/>
                      <w:color w:val="auto"/>
                      <w:sz w:val="24"/>
                      <w:highlight w:val="none"/>
                    </w:rPr>
                    <w:t>提供相关资质证书、备案</w:t>
                  </w:r>
                  <w:r>
                    <w:rPr>
                      <w:rFonts w:hint="eastAsia" w:asciiTheme="minorEastAsia" w:hAnsiTheme="minorEastAsia" w:eastAsiaTheme="minorEastAsia"/>
                      <w:color w:val="auto"/>
                      <w:kern w:val="0"/>
                      <w:sz w:val="24"/>
                      <w:highlight w:val="none"/>
                    </w:rPr>
                    <w:t>证</w:t>
                  </w:r>
                  <w:r>
                    <w:rPr>
                      <w:rFonts w:hint="eastAsia" w:asciiTheme="minorEastAsia" w:hAnsiTheme="minorEastAsia" w:eastAsiaTheme="minorEastAsia"/>
                      <w:color w:val="auto"/>
                      <w:sz w:val="24"/>
                      <w:highlight w:val="none"/>
                    </w:rPr>
                    <w:t>书扫描件或复印件并加盖投标人公章，原件备查，未提供相关证明材料或者提供的证明材料不符合要求的或提供的证明材料不清晰评审专家无法辨认的，不得分。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88" w:type="dxa"/>
                  <w:vMerge w:val="continue"/>
                  <w:tcBorders>
                    <w:top w:val="single" w:color="000000" w:sz="8" w:space="0"/>
                    <w:left w:val="single" w:color="000000" w:sz="8" w:space="0"/>
                    <w:bottom w:val="single" w:color="000000" w:sz="8" w:space="0"/>
                    <w:right w:val="single" w:color="auto" w:sz="4" w:space="0"/>
                  </w:tcBorders>
                  <w:vAlign w:val="center"/>
                </w:tcPr>
                <w:p>
                  <w:pPr>
                    <w:rPr>
                      <w:rFonts w:hint="eastAsia" w:ascii="宋体" w:hAnsi="宋体" w:cs="宋体"/>
                      <w:sz w:val="24"/>
                      <w:highlight w:val="none"/>
                    </w:rPr>
                  </w:pPr>
                </w:p>
              </w:tc>
              <w:tc>
                <w:tcPr>
                  <w:tcW w:w="4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r>
                    <w:rPr>
                      <w:rFonts w:hint="eastAsia" w:ascii="宋体" w:hAnsi="宋体" w:cs="宋体"/>
                      <w:sz w:val="24"/>
                      <w:highlight w:val="none"/>
                    </w:rPr>
                    <w:t>3</w:t>
                  </w:r>
                </w:p>
              </w:tc>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认证情况</w:t>
                  </w:r>
                </w:p>
              </w:tc>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6246" w:type="dxa"/>
                  <w:tcBorders>
                    <w:top w:val="single" w:color="auto" w:sz="4" w:space="0"/>
                    <w:left w:val="single" w:color="auto" w:sz="4" w:space="0"/>
                    <w:bottom w:val="single" w:color="auto" w:sz="4" w:space="0"/>
                    <w:right w:val="single" w:color="auto" w:sz="4" w:space="0"/>
                  </w:tcBorders>
                </w:tcPr>
                <w:p>
                  <w:pPr>
                    <w:widowControl/>
                    <w:spacing w:after="6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kern w:val="0"/>
                      <w:sz w:val="24"/>
                      <w:highlight w:val="none"/>
                    </w:rPr>
                    <w:t>（一）评分内容：</w:t>
                  </w:r>
                </w:p>
                <w:p>
                  <w:pPr>
                    <w:rPr>
                      <w:rFonts w:hint="default" w:ascii="宋体" w:hAnsi="宋体" w:cs="宋体"/>
                      <w:color w:val="auto"/>
                      <w:sz w:val="24"/>
                      <w:highlight w:val="none"/>
                      <w:lang w:val="en-US" w:eastAsia="zh-CN"/>
                    </w:rPr>
                  </w:pPr>
                  <w:r>
                    <w:rPr>
                      <w:rFonts w:hint="eastAsia" w:ascii="宋体" w:hAnsi="宋体" w:cs="宋体"/>
                      <w:color w:val="auto"/>
                      <w:sz w:val="24"/>
                      <w:highlight w:val="none"/>
                    </w:rPr>
                    <w:t>投标人具有有效</w:t>
                  </w:r>
                  <w:r>
                    <w:rPr>
                      <w:rFonts w:hint="eastAsia" w:ascii="宋体" w:hAnsi="宋体" w:cs="宋体"/>
                      <w:color w:val="auto"/>
                      <w:sz w:val="24"/>
                      <w:highlight w:val="none"/>
                      <w:lang w:val="en-US" w:eastAsia="zh-CN"/>
                    </w:rPr>
                    <w:t>认证证书：</w:t>
                  </w:r>
                </w:p>
                <w:p>
                  <w:pPr>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质量管理体系认证证书</w:t>
                  </w:r>
                  <w:r>
                    <w:rPr>
                      <w:rFonts w:hint="eastAsia" w:ascii="宋体" w:hAnsi="宋体" w:cs="宋体"/>
                      <w:color w:val="auto"/>
                      <w:sz w:val="24"/>
                      <w:highlight w:val="none"/>
                      <w:lang w:eastAsia="zh-CN"/>
                    </w:rPr>
                    <w:t>；</w:t>
                  </w:r>
                </w:p>
                <w:p>
                  <w:pP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环境管理体系认证证书</w:t>
                  </w:r>
                  <w:r>
                    <w:rPr>
                      <w:rFonts w:hint="eastAsia" w:ascii="宋体" w:hAnsi="宋体" w:cs="宋体"/>
                      <w:color w:val="auto"/>
                      <w:sz w:val="24"/>
                      <w:highlight w:val="none"/>
                      <w:lang w:eastAsia="zh-CN"/>
                    </w:rPr>
                    <w:t>；</w:t>
                  </w:r>
                </w:p>
                <w:p>
                  <w:pPr>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职业健康安全管理体系认证证书</w:t>
                  </w:r>
                  <w:r>
                    <w:rPr>
                      <w:rFonts w:hint="eastAsia" w:ascii="宋体" w:hAnsi="宋体" w:cs="宋体"/>
                      <w:color w:val="auto"/>
                      <w:sz w:val="24"/>
                      <w:highlight w:val="none"/>
                      <w:lang w:eastAsia="zh-CN"/>
                    </w:rPr>
                    <w:t>；</w:t>
                  </w:r>
                </w:p>
                <w:p>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bookmarkStart w:id="1" w:name="OLE_LINK2"/>
                  <w:r>
                    <w:rPr>
                      <w:rFonts w:hint="eastAsia" w:ascii="宋体" w:hAnsi="宋体" w:cs="宋体"/>
                      <w:color w:val="auto"/>
                      <w:sz w:val="24"/>
                      <w:highlight w:val="none"/>
                    </w:rPr>
                    <w:t>有害生物防制服务专业资质证书</w:t>
                  </w:r>
                  <w:r>
                    <w:rPr>
                      <w:rFonts w:hint="eastAsia" w:ascii="宋体" w:hAnsi="宋体" w:cs="宋体"/>
                      <w:color w:val="auto"/>
                      <w:sz w:val="24"/>
                      <w:highlight w:val="none"/>
                      <w:lang w:val="en-US" w:eastAsia="zh-CN"/>
                    </w:rPr>
                    <w:t>；</w:t>
                  </w:r>
                  <w:bookmarkEnd w:id="1"/>
                  <w:r>
                    <w:rPr>
                      <w:rFonts w:hint="eastAsia" w:ascii="宋体" w:hAnsi="宋体" w:cs="宋体"/>
                      <w:color w:val="auto"/>
                      <w:sz w:val="24"/>
                      <w:highlight w:val="none"/>
                      <w:lang w:val="en-US" w:eastAsia="zh-CN"/>
                    </w:rPr>
                    <w:t xml:space="preserve"> </w:t>
                  </w:r>
                </w:p>
                <w:p>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5、公共环境消毒灭菌服务能力认证证书；</w:t>
                  </w:r>
                </w:p>
                <w:p>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6、应急预案管理体系认证证书；</w:t>
                  </w:r>
                </w:p>
                <w:p>
                  <w:pP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7、履约管理体系认证证书。</w:t>
                  </w:r>
                </w:p>
                <w:p>
                  <w:pPr>
                    <w:rPr>
                      <w:rFonts w:hint="eastAsia" w:ascii="宋体" w:hAnsi="宋体" w:cs="宋体"/>
                      <w:color w:val="auto"/>
                      <w:sz w:val="24"/>
                      <w:highlight w:val="none"/>
                    </w:rPr>
                  </w:pPr>
                  <w:r>
                    <w:rPr>
                      <w:rFonts w:hint="eastAsia" w:ascii="宋体" w:hAnsi="宋体" w:cs="宋体"/>
                      <w:color w:val="auto"/>
                      <w:sz w:val="24"/>
                      <w:highlight w:val="none"/>
                    </w:rPr>
                    <w:t>每提供一项有效认证的得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分，最高得</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分。</w:t>
                  </w:r>
                </w:p>
                <w:p>
                  <w:pPr>
                    <w:widowControl/>
                    <w:spacing w:after="60"/>
                    <w:jc w:val="left"/>
                    <w:rPr>
                      <w:rFonts w:hint="eastAsia"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（二）评分依据：</w:t>
                  </w:r>
                </w:p>
                <w:p>
                  <w:pPr>
                    <w:rPr>
                      <w:rFonts w:hint="eastAsia" w:ascii="宋体" w:hAnsi="宋体" w:cs="宋体"/>
                      <w:color w:val="auto"/>
                      <w:sz w:val="24"/>
                      <w:highlight w:val="none"/>
                    </w:rPr>
                  </w:pPr>
                  <w:r>
                    <w:rPr>
                      <w:rFonts w:hint="eastAsia" w:ascii="宋体" w:hAnsi="宋体" w:cs="宋体"/>
                      <w:color w:val="auto"/>
                      <w:sz w:val="24"/>
                      <w:highlight w:val="none"/>
                    </w:rPr>
                    <w:t>提供有效期内的认证书扫描件及全国认证认可信息公共服务平台</w:t>
                  </w:r>
                </w:p>
                <w:p>
                  <w:pPr>
                    <w:rPr>
                      <w:rFonts w:hint="eastAsia" w:ascii="宋体" w:hAnsi="宋体" w:cs="宋体"/>
                      <w:color w:val="auto"/>
                      <w:sz w:val="24"/>
                      <w:highlight w:val="none"/>
                    </w:rPr>
                  </w:pPr>
                  <w:r>
                    <w:rPr>
                      <w:rFonts w:hint="eastAsia" w:ascii="宋体" w:hAnsi="宋体" w:cs="宋体"/>
                      <w:color w:val="auto"/>
                      <w:sz w:val="24"/>
                      <w:highlight w:val="none"/>
                    </w:rPr>
                    <w:t>（http://cx.cnca.cn/CertECloud/index/index/page）有效状态查询截图，原件备查。未按要求提供或资料不清晰导致无法判断的不得分。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66" w:hRule="atLeast"/>
                <w:jc w:val="center"/>
              </w:trPr>
              <w:tc>
                <w:tcPr>
                  <w:tcW w:w="48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sz w:val="24"/>
                      <w:highlight w:val="none"/>
                    </w:rPr>
                  </w:pPr>
                </w:p>
              </w:tc>
              <w:tc>
                <w:tcPr>
                  <w:tcW w:w="423" w:type="dxa"/>
                  <w:tcBorders>
                    <w:top w:val="single" w:color="000000" w:sz="8" w:space="0"/>
                    <w:left w:val="nil"/>
                    <w:bottom w:val="single" w:color="000000" w:sz="8" w:space="0"/>
                    <w:right w:val="single" w:color="000000" w:sz="8" w:space="0"/>
                  </w:tcBorders>
                  <w:shd w:val="clear" w:color="auto" w:fill="auto"/>
                  <w:vAlign w:val="center"/>
                </w:tcPr>
                <w:p>
                  <w:pPr>
                    <w:wordWrap w:val="0"/>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1442" w:type="dxa"/>
                  <w:tcBorders>
                    <w:top w:val="single" w:color="000000" w:sz="8" w:space="0"/>
                    <w:left w:val="nil"/>
                    <w:bottom w:val="single" w:color="000000" w:sz="8" w:space="0"/>
                    <w:right w:val="single" w:color="000000" w:sz="8" w:space="0"/>
                  </w:tcBorders>
                  <w:shd w:val="clear" w:color="auto" w:fill="auto"/>
                  <w:vAlign w:val="center"/>
                </w:tcPr>
                <w:p>
                  <w:pPr>
                    <w:wordWrap w:val="0"/>
                    <w:jc w:val="center"/>
                    <w:rPr>
                      <w:rFonts w:hint="eastAsia" w:ascii="宋体" w:hAnsi="宋体" w:cs="宋体"/>
                      <w:color w:val="auto"/>
                      <w:sz w:val="24"/>
                      <w:highlight w:val="none"/>
                    </w:rPr>
                  </w:pPr>
                  <w:r>
                    <w:rPr>
                      <w:rFonts w:hint="eastAsia" w:ascii="宋体" w:hAnsi="宋体" w:cs="宋体"/>
                      <w:color w:val="auto"/>
                      <w:sz w:val="24"/>
                      <w:highlight w:val="none"/>
                    </w:rPr>
                    <w:t>项目拟投入的车辆及设备情况</w:t>
                  </w:r>
                </w:p>
              </w:tc>
              <w:tc>
                <w:tcPr>
                  <w:tcW w:w="799" w:type="dxa"/>
                  <w:tcBorders>
                    <w:top w:val="single" w:color="000000" w:sz="8" w:space="0"/>
                    <w:left w:val="nil"/>
                    <w:bottom w:val="single" w:color="000000" w:sz="8" w:space="0"/>
                    <w:right w:val="single" w:color="000000" w:sz="8" w:space="0"/>
                  </w:tcBorders>
                  <w:shd w:val="clear" w:color="auto" w:fill="auto"/>
                  <w:vAlign w:val="center"/>
                </w:tcPr>
                <w:p>
                  <w:pPr>
                    <w:wordWrap w:val="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6246" w:type="dxa"/>
                  <w:tcBorders>
                    <w:top w:val="single" w:color="000000" w:sz="8" w:space="0"/>
                    <w:left w:val="nil"/>
                    <w:bottom w:val="single" w:color="000000" w:sz="8" w:space="0"/>
                    <w:right w:val="single" w:color="000000" w:sz="8" w:space="0"/>
                  </w:tcBorders>
                  <w:shd w:val="clear" w:color="auto" w:fill="auto"/>
                </w:tcPr>
                <w:p>
                  <w:pPr>
                    <w:widowControl/>
                    <w:spacing w:after="6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kern w:val="0"/>
                      <w:sz w:val="24"/>
                      <w:highlight w:val="none"/>
                    </w:rPr>
                    <w:t>（一）评分内容：</w:t>
                  </w:r>
                </w:p>
                <w:p>
                  <w:pPr>
                    <w:widowControl/>
                    <w:spacing w:after="6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投标人承诺，中标后，提供专用车辆及消杀设备用于消杀工作时使用的得</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分。</w:t>
                  </w:r>
                </w:p>
                <w:p>
                  <w:pPr>
                    <w:widowControl/>
                    <w:spacing w:after="60"/>
                    <w:jc w:val="left"/>
                    <w:rPr>
                      <w:rFonts w:hint="eastAsia"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（二）评分依据：</w:t>
                  </w:r>
                </w:p>
                <w:p>
                  <w:pPr>
                    <w:widowControl/>
                    <w:spacing w:after="6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提供承诺函（格式自拟），未提供相关证明材料或者提供的证明材料不符合要求的或提供的证明材料不清晰评审专家无法辨认的，不得分。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66" w:hRule="atLeast"/>
                <w:jc w:val="center"/>
              </w:trPr>
              <w:tc>
                <w:tcPr>
                  <w:tcW w:w="488" w:type="dxa"/>
                  <w:vMerge w:val="continue"/>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cs="宋体"/>
                      <w:sz w:val="24"/>
                      <w:highlight w:val="none"/>
                    </w:rPr>
                  </w:pPr>
                </w:p>
              </w:tc>
              <w:tc>
                <w:tcPr>
                  <w:tcW w:w="423"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sz w:val="24"/>
                      <w:highlight w:val="none"/>
                    </w:rPr>
                  </w:pPr>
                  <w:r>
                    <w:rPr>
                      <w:rFonts w:hint="eastAsia" w:ascii="宋体" w:hAnsi="宋体" w:cs="宋体"/>
                      <w:sz w:val="24"/>
                      <w:highlight w:val="none"/>
                    </w:rPr>
                    <w:t>5</w:t>
                  </w:r>
                </w:p>
              </w:tc>
              <w:tc>
                <w:tcPr>
                  <w:tcW w:w="1442"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sz w:val="24"/>
                      <w:highlight w:val="none"/>
                    </w:rPr>
                  </w:pPr>
                  <w:r>
                    <w:rPr>
                      <w:rFonts w:hint="eastAsia" w:ascii="宋体" w:hAnsi="宋体" w:cs="宋体"/>
                      <w:sz w:val="24"/>
                      <w:highlight w:val="none"/>
                    </w:rPr>
                    <w:t>诚信情况</w:t>
                  </w:r>
                </w:p>
              </w:tc>
              <w:tc>
                <w:tcPr>
                  <w:tcW w:w="799" w:type="dxa"/>
                  <w:tcBorders>
                    <w:top w:val="single" w:color="000000" w:sz="8" w:space="0"/>
                    <w:left w:val="nil"/>
                    <w:bottom w:val="single" w:color="000000" w:sz="8" w:space="0"/>
                    <w:right w:val="single" w:color="000000" w:sz="8" w:space="0"/>
                  </w:tcBorders>
                  <w:vAlign w:val="center"/>
                </w:tcPr>
                <w:p>
                  <w:pPr>
                    <w:jc w:val="center"/>
                    <w:rPr>
                      <w:rFonts w:hint="eastAsia" w:ascii="宋体" w:hAnsi="宋体" w:cs="宋体"/>
                      <w:sz w:val="24"/>
                      <w:highlight w:val="none"/>
                    </w:rPr>
                  </w:pPr>
                  <w:r>
                    <w:rPr>
                      <w:rFonts w:hint="eastAsia" w:ascii="宋体" w:hAnsi="宋体" w:cs="宋体"/>
                      <w:sz w:val="24"/>
                      <w:highlight w:val="none"/>
                    </w:rPr>
                    <w:t>5</w:t>
                  </w:r>
                </w:p>
              </w:tc>
              <w:tc>
                <w:tcPr>
                  <w:tcW w:w="6246" w:type="dxa"/>
                  <w:tcBorders>
                    <w:top w:val="single" w:color="000000" w:sz="8" w:space="0"/>
                    <w:left w:val="nil"/>
                    <w:bottom w:val="single" w:color="000000" w:sz="8" w:space="0"/>
                    <w:right w:val="single" w:color="000000" w:sz="8" w:space="0"/>
                  </w:tcBorders>
                  <w:vAlign w:val="top"/>
                </w:tcPr>
                <w:p>
                  <w:pPr>
                    <w:pStyle w:val="2"/>
                    <w:wordWrap w:val="0"/>
                    <w:spacing w:line="240" w:lineRule="auto"/>
                    <w:ind w:firstLine="480" w:firstLineChars="20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投标人存在《深圳市财政局政府采购供应商信用信息管理办法》（深财规〔2023〕3号）列明的一般行政处罚信息、一般违法失信记录信息的，本项不得分，不存在上述情形的本项得</w:t>
                  </w:r>
                  <w:r>
                    <w:rPr>
                      <w:rFonts w:hint="eastAsia" w:asciiTheme="minorEastAsia" w:hAnsiTheme="minorEastAsia" w:eastAsiaTheme="minorEastAsia" w:cstheme="minorEastAsia"/>
                      <w:b w:val="0"/>
                      <w:bCs w:val="0"/>
                      <w:sz w:val="24"/>
                      <w:szCs w:val="24"/>
                      <w:highlight w:val="none"/>
                      <w:lang w:val="en-US" w:eastAsia="zh-CN"/>
                    </w:rPr>
                    <w:t>满</w:t>
                  </w:r>
                  <w:r>
                    <w:rPr>
                      <w:rFonts w:hint="eastAsia" w:asciiTheme="minorEastAsia" w:hAnsiTheme="minorEastAsia" w:eastAsiaTheme="minorEastAsia" w:cstheme="minorEastAsia"/>
                      <w:b w:val="0"/>
                      <w:bCs w:val="0"/>
                      <w:sz w:val="24"/>
                      <w:szCs w:val="24"/>
                      <w:highlight w:val="none"/>
                    </w:rPr>
                    <w:t>分。投标人无需提供任何证明材料，评标过程中由工作人员向评审委员会提供</w:t>
                  </w:r>
                  <w:r>
                    <w:rPr>
                      <w:rFonts w:hint="eastAsia" w:asciiTheme="minorEastAsia" w:hAnsiTheme="minorEastAsia" w:eastAsiaTheme="minorEastAsia" w:cstheme="minorEastAsia"/>
                      <w:b w:val="0"/>
                      <w:bCs w:val="0"/>
                      <w:sz w:val="24"/>
                      <w:szCs w:val="24"/>
                      <w:highlight w:val="none"/>
                      <w:lang w:val="en-US" w:eastAsia="zh-CN"/>
                    </w:rPr>
                    <w:t>有关</w:t>
                  </w:r>
                  <w:r>
                    <w:rPr>
                      <w:rFonts w:hint="eastAsia" w:asciiTheme="minorEastAsia" w:hAnsiTheme="minorEastAsia" w:eastAsiaTheme="minorEastAsia" w:cstheme="minorEastAsia"/>
                      <w:b w:val="0"/>
                      <w:bCs w:val="0"/>
                      <w:sz w:val="24"/>
                      <w:szCs w:val="24"/>
                      <w:highlight w:val="none"/>
                    </w:rPr>
                    <w:t>供应商诚信查询结果。</w:t>
                  </w:r>
                </w:p>
                <w:p>
                  <w:pPr>
                    <w:pStyle w:val="2"/>
                    <w:wordWrap w:val="0"/>
                    <w:spacing w:line="240" w:lineRule="auto"/>
                    <w:ind w:firstLine="480" w:firstLineChars="200"/>
                    <w:rPr>
                      <w:rFonts w:hint="eastAsia" w:ascii="宋体" w:hAnsi="宋体" w:cs="宋体"/>
                      <w:sz w:val="24"/>
                      <w:highlight w:val="none"/>
                    </w:rPr>
                  </w:pPr>
                  <w:r>
                    <w:rPr>
                      <w:rFonts w:hint="eastAsia" w:asciiTheme="minorEastAsia" w:hAnsiTheme="minorEastAsia" w:eastAsiaTheme="minorEastAsia" w:cstheme="minorEastAsia"/>
                      <w:b w:val="0"/>
                      <w:bCs w:val="0"/>
                      <w:sz w:val="24"/>
                      <w:szCs w:val="24"/>
                      <w:highlight w:val="none"/>
                      <w:lang w:val="en-US" w:eastAsia="zh-CN"/>
                    </w:rPr>
                    <w:t>查询渠道：通过“信用中国”（www.creditchina.gov.cn，下载信用信息报告）、“中国政府采购网”（www.ccgp.gov.cn）、、“深圳市政府采购监管网”（http://zfcg.sz.gov.cn）以及财政部门认可的“供应商诚信档案库”查询供应商信用信息，信用信息以开标当日的查询结果为准。</w:t>
                  </w:r>
                </w:p>
              </w:tc>
            </w:tr>
          </w:tbl>
          <w:p>
            <w:pPr>
              <w:spacing w:line="360" w:lineRule="auto"/>
              <w:rPr>
                <w:rFonts w:hint="eastAsia" w:ascii="宋体" w:hAnsi="宋体" w:cs="宋体"/>
                <w:sz w:val="22"/>
                <w:szCs w:val="28"/>
                <w:highlight w:val="none"/>
              </w:rPr>
            </w:pPr>
            <w:r>
              <w:rPr>
                <w:rFonts w:hint="eastAsia" w:ascii="宋体" w:hAnsi="宋体" w:cs="宋体"/>
                <w:sz w:val="22"/>
                <w:szCs w:val="28"/>
                <w:highlight w:val="none"/>
              </w:rPr>
              <w:t>备注：</w:t>
            </w:r>
          </w:p>
          <w:p>
            <w:pPr>
              <w:spacing w:line="360" w:lineRule="auto"/>
              <w:ind w:firstLine="444" w:firstLineChars="202"/>
              <w:rPr>
                <w:rFonts w:hint="eastAsia" w:ascii="宋体" w:hAnsi="宋体" w:cs="宋体"/>
                <w:sz w:val="22"/>
                <w:szCs w:val="28"/>
                <w:highlight w:val="none"/>
              </w:rPr>
            </w:pPr>
            <w:r>
              <w:rPr>
                <w:rFonts w:hint="eastAsia" w:ascii="宋体" w:hAnsi="宋体" w:cs="宋体"/>
                <w:sz w:val="22"/>
                <w:szCs w:val="28"/>
                <w:highlight w:val="none"/>
              </w:rPr>
              <w:t>1.每一项的得分均不能超过该项最高分值。</w:t>
            </w:r>
          </w:p>
          <w:p>
            <w:pPr>
              <w:spacing w:line="360" w:lineRule="auto"/>
              <w:ind w:firstLine="444" w:firstLineChars="202"/>
              <w:rPr>
                <w:rFonts w:hint="eastAsia" w:ascii="宋体" w:hAnsi="宋体" w:cs="宋体"/>
                <w:sz w:val="22"/>
                <w:szCs w:val="28"/>
                <w:highlight w:val="none"/>
              </w:rPr>
            </w:pPr>
            <w:r>
              <w:rPr>
                <w:rFonts w:hint="eastAsia" w:ascii="宋体" w:hAnsi="宋体" w:cs="宋体"/>
                <w:sz w:val="22"/>
                <w:szCs w:val="28"/>
                <w:highlight w:val="none"/>
              </w:rPr>
              <w:t>2.缺项则该项为0分或不合格为0分。</w:t>
            </w:r>
          </w:p>
          <w:p>
            <w:pPr>
              <w:spacing w:line="360" w:lineRule="auto"/>
              <w:ind w:firstLine="444" w:firstLineChars="202"/>
              <w:rPr>
                <w:rFonts w:hint="eastAsia" w:ascii="宋体" w:hAnsi="宋体" w:cs="宋体"/>
                <w:sz w:val="22"/>
                <w:szCs w:val="28"/>
              </w:rPr>
            </w:pPr>
            <w:r>
              <w:rPr>
                <w:rFonts w:hint="eastAsia" w:ascii="宋体" w:hAnsi="宋体" w:cs="宋体"/>
                <w:sz w:val="22"/>
                <w:szCs w:val="28"/>
                <w:highlight w:val="none"/>
              </w:rPr>
              <w:t>3.价格、</w:t>
            </w:r>
            <w:r>
              <w:rPr>
                <w:rFonts w:hint="eastAsia" w:ascii="宋体" w:hAnsi="宋体" w:cs="宋体"/>
                <w:sz w:val="22"/>
                <w:szCs w:val="28"/>
              </w:rPr>
              <w:t>技术、综合实力部分为针对项目具体情况设置项目，累加满分为100分。</w:t>
            </w:r>
          </w:p>
          <w:p>
            <w:pPr>
              <w:spacing w:line="360" w:lineRule="auto"/>
              <w:ind w:firstLine="444" w:firstLineChars="202"/>
              <w:rPr>
                <w:rFonts w:hint="eastAsia" w:ascii="宋体" w:hAnsi="宋体" w:cs="宋体"/>
                <w:snapToGrid w:val="0"/>
                <w:sz w:val="22"/>
                <w:szCs w:val="20"/>
              </w:rPr>
            </w:pPr>
            <w:r>
              <w:rPr>
                <w:rFonts w:hint="eastAsia" w:ascii="宋体" w:hAnsi="宋体" w:cs="宋体"/>
                <w:sz w:val="22"/>
                <w:szCs w:val="28"/>
              </w:rPr>
              <w:t>4.综合以上</w:t>
            </w:r>
            <w:r>
              <w:rPr>
                <w:rFonts w:hint="eastAsia" w:ascii="宋体" w:hAnsi="宋体" w:cs="宋体"/>
                <w:snapToGrid w:val="0"/>
                <w:sz w:val="22"/>
                <w:szCs w:val="28"/>
              </w:rPr>
              <w:t>分析比较，评委会将对各投标文件进行书面的量化评定，得分</w:t>
            </w:r>
            <w:r>
              <w:rPr>
                <w:rFonts w:hint="eastAsia" w:ascii="宋体" w:hAnsi="宋体" w:cs="宋体"/>
                <w:snapToGrid w:val="0"/>
                <w:sz w:val="22"/>
                <w:szCs w:val="20"/>
              </w:rPr>
              <w:t>精确到小数点后两位。</w:t>
            </w:r>
          </w:p>
          <w:p>
            <w:pPr>
              <w:spacing w:line="360" w:lineRule="auto"/>
              <w:ind w:firstLine="444" w:firstLineChars="202"/>
              <w:rPr>
                <w:rFonts w:hint="eastAsia" w:ascii="宋体" w:hAnsi="宋体" w:cs="宋体"/>
                <w:sz w:val="22"/>
                <w:szCs w:val="22"/>
              </w:rPr>
            </w:pPr>
            <w:r>
              <w:rPr>
                <w:rFonts w:hint="eastAsia" w:ascii="宋体" w:hAnsi="宋体" w:cs="宋体"/>
                <w:bCs/>
                <w:color w:val="000000"/>
                <w:sz w:val="22"/>
                <w:szCs w:val="28"/>
              </w:rPr>
              <w:t>5.客观评分项，所有评审专家应当统一打分分值；主观评分项，评审专家应当按照打分标准独立打分，对于方案评审</w:t>
            </w:r>
            <w:r>
              <w:rPr>
                <w:rFonts w:hint="eastAsia" w:ascii="宋体" w:hAnsi="宋体" w:cs="宋体"/>
                <w:sz w:val="22"/>
                <w:szCs w:val="22"/>
              </w:rPr>
              <w:t>为差的</w:t>
            </w:r>
            <w:r>
              <w:rPr>
                <w:rFonts w:hint="eastAsia" w:ascii="宋体" w:hAnsi="宋体" w:cs="宋体"/>
                <w:bCs/>
                <w:color w:val="000000"/>
                <w:sz w:val="22"/>
                <w:szCs w:val="28"/>
              </w:rPr>
              <w:t>，评审专家需要做出书面合理说明。</w:t>
            </w:r>
          </w:p>
        </w:tc>
      </w:tr>
    </w:tbl>
    <w:p>
      <w:pPr>
        <w:rPr>
          <w:rFonts w:hint="eastAsia" w:ascii="宋体" w:hAnsi="宋体" w:cs="宋体"/>
          <w:vanish/>
        </w:rPr>
      </w:pPr>
    </w:p>
    <w:p>
      <w:pPr>
        <w:pStyle w:val="3"/>
        <w:rPr>
          <w:rFonts w:hint="eastAsia" w:ascii="宋体" w:hAnsi="宋体" w:cs="宋体"/>
          <w:sz w:val="40"/>
          <w:szCs w:val="40"/>
        </w:rPr>
      </w:pPr>
      <w:r>
        <w:rPr>
          <w:rFonts w:hint="eastAsia" w:ascii="宋体" w:hAnsi="宋体" w:cs="宋体"/>
        </w:rPr>
        <w:br w:type="page"/>
      </w:r>
      <w:r>
        <w:rPr>
          <w:rFonts w:hint="eastAsia" w:ascii="宋体" w:hAnsi="宋体" w:cs="宋体"/>
          <w:sz w:val="40"/>
          <w:szCs w:val="40"/>
        </w:rPr>
        <w:t>招标书目录</w:t>
      </w:r>
    </w:p>
    <w:p>
      <w:pPr>
        <w:pStyle w:val="77"/>
        <w:spacing w:line="480" w:lineRule="auto"/>
        <w:jc w:val="center"/>
        <w:rPr>
          <w:rFonts w:hint="eastAsia" w:ascii="宋体" w:hAnsi="宋体" w:cs="宋体"/>
          <w:b/>
        </w:rPr>
      </w:pPr>
      <w:r>
        <w:rPr>
          <w:rFonts w:hint="eastAsia" w:ascii="宋体" w:hAnsi="宋体" w:cs="宋体"/>
          <w:b/>
        </w:rPr>
        <w:t>第一册  专用条款</w:t>
      </w:r>
    </w:p>
    <w:p>
      <w:pPr>
        <w:pStyle w:val="77"/>
        <w:numPr>
          <w:ilvl w:val="0"/>
          <w:numId w:val="2"/>
        </w:numPr>
        <w:spacing w:line="480" w:lineRule="auto"/>
        <w:rPr>
          <w:rFonts w:hint="eastAsia" w:ascii="宋体" w:hAnsi="宋体" w:cs="宋体"/>
        </w:rPr>
      </w:pPr>
      <w:r>
        <w:rPr>
          <w:rFonts w:hint="eastAsia" w:ascii="宋体" w:hAnsi="宋体" w:cs="宋体"/>
        </w:rPr>
        <w:t xml:space="preserve"> 招标公告</w:t>
      </w:r>
    </w:p>
    <w:p>
      <w:pPr>
        <w:pStyle w:val="77"/>
        <w:numPr>
          <w:ilvl w:val="0"/>
          <w:numId w:val="2"/>
        </w:numPr>
        <w:spacing w:line="480" w:lineRule="auto"/>
        <w:rPr>
          <w:rFonts w:hint="eastAsia" w:ascii="宋体" w:hAnsi="宋体" w:cs="宋体"/>
        </w:rPr>
      </w:pPr>
      <w:r>
        <w:rPr>
          <w:rFonts w:hint="eastAsia" w:ascii="宋体" w:hAnsi="宋体" w:cs="宋体"/>
        </w:rPr>
        <w:t>对通用条款的补充内容及其他关键信息</w:t>
      </w:r>
    </w:p>
    <w:p>
      <w:pPr>
        <w:pStyle w:val="77"/>
        <w:spacing w:line="480" w:lineRule="auto"/>
        <w:rPr>
          <w:rFonts w:hint="eastAsia" w:ascii="宋体" w:hAnsi="宋体" w:cs="宋体"/>
        </w:rPr>
      </w:pPr>
      <w:r>
        <w:rPr>
          <w:rFonts w:hint="eastAsia" w:ascii="宋体" w:hAnsi="宋体" w:cs="宋体"/>
        </w:rPr>
        <w:t>第三章  招标项目需求</w:t>
      </w:r>
    </w:p>
    <w:p>
      <w:pPr>
        <w:pStyle w:val="77"/>
        <w:spacing w:line="480" w:lineRule="auto"/>
        <w:rPr>
          <w:rFonts w:hint="eastAsia" w:ascii="宋体" w:hAnsi="宋体" w:cs="宋体"/>
        </w:rPr>
      </w:pPr>
      <w:r>
        <w:rPr>
          <w:rFonts w:hint="eastAsia" w:ascii="宋体" w:hAnsi="宋体" w:cs="宋体"/>
        </w:rPr>
        <w:t>第四章  投标文件格式、附件</w:t>
      </w:r>
    </w:p>
    <w:p>
      <w:pPr>
        <w:spacing w:line="480" w:lineRule="auto"/>
        <w:jc w:val="center"/>
        <w:rPr>
          <w:rFonts w:hint="eastAsia" w:ascii="宋体" w:hAnsi="宋体" w:cs="宋体"/>
          <w:b/>
          <w:sz w:val="24"/>
        </w:rPr>
      </w:pPr>
      <w:r>
        <w:rPr>
          <w:rFonts w:hint="eastAsia" w:ascii="宋体" w:hAnsi="宋体" w:cs="宋体"/>
          <w:b/>
          <w:sz w:val="24"/>
        </w:rPr>
        <w:t>第二册  通用条款</w:t>
      </w:r>
    </w:p>
    <w:p>
      <w:pPr>
        <w:rPr>
          <w:rFonts w:hint="eastAsia" w:ascii="宋体" w:hAnsi="宋体" w:cs="宋体"/>
          <w:b/>
          <w:sz w:val="24"/>
        </w:rPr>
      </w:pPr>
    </w:p>
    <w:p>
      <w:pPr>
        <w:pStyle w:val="77"/>
        <w:spacing w:line="480" w:lineRule="auto"/>
        <w:rPr>
          <w:rFonts w:hint="eastAsia" w:ascii="宋体" w:hAnsi="宋体" w:cs="宋体"/>
        </w:rPr>
      </w:pPr>
      <w:r>
        <w:rPr>
          <w:rFonts w:hint="eastAsia" w:ascii="宋体" w:hAnsi="宋体" w:cs="宋体"/>
        </w:rPr>
        <w:t>第一章  投标文件的编制</w:t>
      </w:r>
    </w:p>
    <w:p>
      <w:pPr>
        <w:pStyle w:val="77"/>
        <w:spacing w:line="480" w:lineRule="auto"/>
        <w:rPr>
          <w:rFonts w:hint="eastAsia" w:ascii="宋体" w:hAnsi="宋体" w:cs="宋体"/>
        </w:rPr>
      </w:pPr>
      <w:r>
        <w:rPr>
          <w:rFonts w:hint="eastAsia" w:ascii="宋体" w:hAnsi="宋体" w:cs="宋体"/>
        </w:rPr>
        <w:t>第二章  投标文件的递交</w:t>
      </w:r>
    </w:p>
    <w:p>
      <w:pPr>
        <w:pStyle w:val="77"/>
        <w:spacing w:line="480" w:lineRule="auto"/>
        <w:rPr>
          <w:rFonts w:hint="eastAsia" w:ascii="宋体" w:hAnsi="宋体" w:cs="宋体"/>
        </w:rPr>
      </w:pPr>
      <w:r>
        <w:rPr>
          <w:rFonts w:hint="eastAsia" w:ascii="宋体" w:hAnsi="宋体" w:cs="宋体"/>
        </w:rPr>
        <w:t>第三章  开标前、开标与评标</w:t>
      </w:r>
    </w:p>
    <w:p>
      <w:pPr>
        <w:pStyle w:val="77"/>
        <w:spacing w:line="480" w:lineRule="auto"/>
        <w:rPr>
          <w:rFonts w:hint="eastAsia" w:ascii="宋体" w:hAnsi="宋体" w:cs="宋体"/>
        </w:rPr>
      </w:pPr>
      <w:r>
        <w:rPr>
          <w:rFonts w:hint="eastAsia" w:ascii="宋体" w:hAnsi="宋体" w:cs="宋体"/>
        </w:rPr>
        <w:t>第四章  异议的提出与答复</w:t>
      </w:r>
    </w:p>
    <w:p>
      <w:pPr>
        <w:pStyle w:val="77"/>
        <w:spacing w:line="480" w:lineRule="auto"/>
        <w:rPr>
          <w:rFonts w:hint="eastAsia" w:ascii="宋体" w:hAnsi="宋体" w:cs="宋体"/>
        </w:rPr>
      </w:pPr>
      <w:r>
        <w:rPr>
          <w:rFonts w:hint="eastAsia" w:ascii="宋体" w:hAnsi="宋体" w:cs="宋体"/>
        </w:rPr>
        <w:t>第五章  授予合同</w:t>
      </w:r>
    </w:p>
    <w:p>
      <w:pPr>
        <w:pStyle w:val="77"/>
        <w:spacing w:line="480" w:lineRule="auto"/>
        <w:rPr>
          <w:rFonts w:hint="eastAsia" w:ascii="宋体" w:hAnsi="宋体" w:cs="宋体"/>
        </w:rPr>
      </w:pPr>
      <w:r>
        <w:rPr>
          <w:rFonts w:hint="eastAsia" w:ascii="宋体" w:hAnsi="宋体" w:cs="宋体"/>
        </w:rPr>
        <w:t>第六章  其他</w:t>
      </w:r>
    </w:p>
    <w:p>
      <w:pPr>
        <w:jc w:val="center"/>
        <w:rPr>
          <w:rFonts w:hint="eastAsia" w:ascii="宋体" w:hAnsi="宋体" w:cs="宋体"/>
        </w:rPr>
      </w:pPr>
      <w:r>
        <w:rPr>
          <w:rFonts w:hint="eastAsia" w:ascii="宋体" w:hAnsi="宋体" w:cs="宋体"/>
          <w:b/>
          <w:sz w:val="28"/>
          <w:szCs w:val="28"/>
        </w:rPr>
        <w:br w:type="page"/>
      </w:r>
      <w:r>
        <w:rPr>
          <w:rFonts w:hint="eastAsia" w:ascii="宋体" w:hAnsi="宋体" w:cs="宋体"/>
          <w:b/>
          <w:sz w:val="28"/>
          <w:szCs w:val="28"/>
        </w:rPr>
        <w:t>第一册  专用条款</w:t>
      </w:r>
    </w:p>
    <w:p>
      <w:pPr>
        <w:pStyle w:val="4"/>
        <w:rPr>
          <w:rFonts w:hint="eastAsia" w:cs="宋体"/>
          <w:b w:val="0"/>
          <w:kern w:val="2"/>
          <w:szCs w:val="24"/>
        </w:rPr>
      </w:pPr>
      <w:r>
        <w:rPr>
          <w:rFonts w:hint="eastAsia" w:cs="宋体"/>
          <w:b w:val="0"/>
          <w:kern w:val="2"/>
          <w:szCs w:val="24"/>
        </w:rPr>
        <w:t>第一章  招标公告</w:t>
      </w:r>
    </w:p>
    <w:p>
      <w:pPr>
        <w:keepNext/>
        <w:keepLines/>
        <w:spacing w:before="260" w:after="260" w:line="360" w:lineRule="auto"/>
        <w:ind w:firstLine="482" w:firstLineChars="200"/>
        <w:outlineLvl w:val="1"/>
        <w:rPr>
          <w:rFonts w:hint="eastAsia" w:ascii="宋体" w:hAnsi="宋体" w:cs="宋体"/>
          <w:b/>
          <w:sz w:val="24"/>
        </w:rPr>
      </w:pPr>
      <w:r>
        <w:rPr>
          <w:rFonts w:hint="eastAsia" w:ascii="宋体" w:hAnsi="宋体" w:cs="宋体"/>
          <w:b/>
          <w:sz w:val="24"/>
        </w:rPr>
        <w:t>一、项目基本情况</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2026年度盐田区国有储备地除“四害”消杀服务</w:t>
      </w:r>
    </w:p>
    <w:p>
      <w:pPr>
        <w:spacing w:line="360" w:lineRule="auto"/>
        <w:ind w:firstLine="480" w:firstLineChars="200"/>
        <w:rPr>
          <w:rFonts w:hint="eastAsia" w:ascii="宋体" w:hAnsi="宋体" w:cs="宋体"/>
          <w:sz w:val="24"/>
        </w:rPr>
      </w:pPr>
      <w:r>
        <w:rPr>
          <w:rFonts w:hint="eastAsia" w:ascii="宋体" w:hAnsi="宋体" w:cs="宋体"/>
          <w:sz w:val="24"/>
        </w:rPr>
        <w:t>预算金额：339,155.88 元</w:t>
      </w:r>
    </w:p>
    <w:p>
      <w:pPr>
        <w:spacing w:line="360" w:lineRule="auto"/>
        <w:ind w:firstLine="480" w:firstLineChars="200"/>
        <w:rPr>
          <w:rFonts w:hint="eastAsia" w:ascii="宋体" w:hAnsi="宋体" w:cs="宋体"/>
          <w:sz w:val="24"/>
        </w:rPr>
      </w:pPr>
      <w:r>
        <w:rPr>
          <w:rFonts w:hint="eastAsia" w:ascii="宋体" w:hAnsi="宋体" w:cs="宋体"/>
          <w:sz w:val="24"/>
        </w:rPr>
        <w:t>最高限价：339,155.88 元（消杀单价不超过0.25元/平方米/次）</w:t>
      </w:r>
    </w:p>
    <w:p>
      <w:pPr>
        <w:spacing w:line="360" w:lineRule="auto"/>
        <w:ind w:firstLine="480" w:firstLineChars="200"/>
        <w:rPr>
          <w:rFonts w:hint="eastAsia" w:ascii="宋体" w:hAnsi="宋体" w:cs="宋体"/>
          <w:sz w:val="24"/>
          <w:lang w:eastAsia="zh-CN"/>
        </w:rPr>
      </w:pPr>
      <w:r>
        <w:rPr>
          <w:rFonts w:hint="eastAsia" w:ascii="宋体" w:hAnsi="宋体" w:cs="宋体"/>
          <w:sz w:val="24"/>
        </w:rPr>
        <w:t>采购需求： 根据区爱卫办开展病媒生物统一灭蚊消杀的要求，2026年需持续开展“除四害”消杀行动。经现场排查核实，盐田区有9宗国有储备地块(面积为28,262.99</w:t>
      </w:r>
      <w:r>
        <w:rPr>
          <w:rFonts w:hint="eastAsia" w:ascii="宋体" w:hAnsi="宋体" w:cs="宋体"/>
          <w:sz w:val="24"/>
          <w:lang w:val="en-US" w:eastAsia="zh-CN"/>
        </w:rPr>
        <w:t>m2</w:t>
      </w:r>
      <w:r>
        <w:rPr>
          <w:rFonts w:hint="eastAsia" w:ascii="宋体" w:hAnsi="宋体" w:cs="宋体"/>
          <w:sz w:val="24"/>
        </w:rPr>
        <w:t>)需要进行“除四害”消杀。每月消杀4次</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合同履行期限：详见招标文件。</w:t>
      </w:r>
    </w:p>
    <w:p>
      <w:pPr>
        <w:keepNext/>
        <w:keepLines/>
        <w:spacing w:before="260" w:after="260" w:line="360" w:lineRule="auto"/>
        <w:ind w:firstLine="482" w:firstLineChars="200"/>
        <w:outlineLvl w:val="1"/>
        <w:rPr>
          <w:rFonts w:hint="eastAsia" w:ascii="宋体" w:hAnsi="宋体" w:cs="宋体"/>
          <w:b/>
          <w:sz w:val="24"/>
        </w:rPr>
      </w:pPr>
      <w:r>
        <w:rPr>
          <w:rFonts w:hint="eastAsia" w:ascii="宋体" w:hAnsi="宋体" w:cs="宋体"/>
          <w:b/>
          <w:sz w:val="24"/>
        </w:rPr>
        <w:t>二、供应商的资格要求</w:t>
      </w:r>
    </w:p>
    <w:p>
      <w:pPr>
        <w:spacing w:line="360" w:lineRule="auto"/>
        <w:ind w:firstLine="480" w:firstLineChars="200"/>
        <w:rPr>
          <w:rFonts w:hint="eastAsia" w:ascii="宋体" w:hAnsi="宋体" w:cs="宋体"/>
          <w:sz w:val="24"/>
        </w:rPr>
      </w:pPr>
      <w:r>
        <w:rPr>
          <w:rFonts w:hint="eastAsia" w:ascii="宋体" w:hAnsi="宋体" w:cs="宋体"/>
          <w:sz w:val="24"/>
        </w:rPr>
        <w:t>1、具有独立法人资格或是具有独立承担民事责任能力的其它组织（提供营业执照或事业单位法人证书等证明资料扫描件）；</w:t>
      </w:r>
    </w:p>
    <w:p>
      <w:pPr>
        <w:spacing w:line="360" w:lineRule="auto"/>
        <w:ind w:firstLine="480" w:firstLineChars="200"/>
        <w:rPr>
          <w:rFonts w:hint="eastAsia" w:ascii="宋体" w:hAnsi="宋体" w:cs="宋体"/>
          <w:sz w:val="24"/>
        </w:rPr>
      </w:pPr>
      <w:r>
        <w:rPr>
          <w:rFonts w:hint="eastAsia" w:ascii="宋体" w:hAnsi="宋体" w:cs="宋体"/>
          <w:sz w:val="24"/>
        </w:rPr>
        <w:t>2、本项目不接受联合体投标,不允许分包、转包；</w:t>
      </w:r>
    </w:p>
    <w:p>
      <w:pPr>
        <w:spacing w:line="360" w:lineRule="auto"/>
        <w:ind w:firstLine="480" w:firstLineChars="200"/>
        <w:rPr>
          <w:rFonts w:hint="eastAsia" w:ascii="宋体" w:hAnsi="宋体" w:cs="宋体"/>
          <w:sz w:val="24"/>
        </w:rPr>
      </w:pPr>
      <w:r>
        <w:rPr>
          <w:rFonts w:hint="eastAsia" w:ascii="宋体" w:hAnsi="宋体" w:cs="宋体"/>
          <w:sz w:val="24"/>
        </w:rPr>
        <w:t>3、参与本项目投标前三年内，在经营活动中没有重大违法记录（由供应商在《政府采购投标及履约承诺函》中作出声明）；</w:t>
      </w:r>
    </w:p>
    <w:p>
      <w:pPr>
        <w:spacing w:line="360" w:lineRule="auto"/>
        <w:ind w:firstLine="480" w:firstLineChars="200"/>
        <w:rPr>
          <w:rFonts w:hint="eastAsia" w:ascii="宋体" w:hAnsi="宋体" w:cs="宋体"/>
          <w:sz w:val="24"/>
        </w:rPr>
      </w:pPr>
      <w:r>
        <w:rPr>
          <w:rFonts w:hint="eastAsia" w:ascii="宋体" w:hAnsi="宋体" w:cs="宋体"/>
          <w:sz w:val="24"/>
        </w:rPr>
        <w:t>4、参与本项目政府采购活动时不存在被有关部门禁止参与政府采购活动且在有效期内的情况（由供应商在《政府采购投标及履约承诺函》中作出声明）；</w:t>
      </w:r>
    </w:p>
    <w:p>
      <w:pPr>
        <w:spacing w:line="360" w:lineRule="auto"/>
        <w:ind w:firstLine="480" w:firstLineChars="200"/>
        <w:rPr>
          <w:rFonts w:hint="eastAsia" w:ascii="宋体" w:hAnsi="宋体" w:cs="宋体"/>
          <w:sz w:val="24"/>
        </w:rPr>
      </w:pPr>
      <w:r>
        <w:rPr>
          <w:rFonts w:hint="eastAsia" w:ascii="宋体" w:hAnsi="宋体" w:cs="宋体"/>
          <w:sz w:val="24"/>
        </w:rPr>
        <w:t>5、具备《中华人民共和国政府采购法》第二十二条第一款的条件（由供应商在《政府采购投标及履约承诺函》中作出声明）；</w:t>
      </w:r>
    </w:p>
    <w:p>
      <w:pPr>
        <w:spacing w:line="360" w:lineRule="auto"/>
        <w:ind w:firstLine="480" w:firstLineChars="200"/>
        <w:rPr>
          <w:rFonts w:hint="eastAsia" w:ascii="宋体" w:hAnsi="宋体" w:cs="宋体"/>
          <w:sz w:val="24"/>
        </w:rPr>
      </w:pPr>
      <w:r>
        <w:rPr>
          <w:rFonts w:hint="eastAsia" w:ascii="宋体" w:hAnsi="宋体" w:cs="宋体"/>
          <w:sz w:val="24"/>
        </w:rPr>
        <w:t>6、未被列入失信被执行人、重大税收违法案件当事人名单、政府采购严重违法失信行为记录名单（由供应商在《政府采购投标及履约承诺函》中作出声明）；</w:t>
      </w:r>
    </w:p>
    <w:p>
      <w:pPr>
        <w:spacing w:line="360" w:lineRule="auto"/>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zh-CN"/>
        </w:rPr>
        <w:t>、与其他投标供应商不存在单位负责人为同一人或者存在直接控股、管理关系；未对本次</w:t>
      </w:r>
      <w:r>
        <w:rPr>
          <w:rFonts w:hint="eastAsia" w:ascii="宋体" w:hAnsi="宋体" w:cs="宋体"/>
          <w:sz w:val="24"/>
        </w:rPr>
        <w:t>采购项目提供整体设计、规范编制或者项目管理、监理、检测等服务（</w:t>
      </w:r>
      <w:r>
        <w:rPr>
          <w:rFonts w:hint="eastAsia" w:ascii="宋体" w:hAnsi="宋体" w:cs="宋体"/>
          <w:sz w:val="24"/>
          <w:lang w:val="zh-CN"/>
        </w:rPr>
        <w:t>由供应商在《政府采购投标及履约承诺函》中作出声明</w:t>
      </w:r>
      <w:r>
        <w:rPr>
          <w:rFonts w:hint="eastAsia" w:ascii="宋体" w:hAnsi="宋体" w:cs="宋体"/>
          <w:sz w:val="24"/>
        </w:rPr>
        <w:t>）；</w:t>
      </w:r>
    </w:p>
    <w:p>
      <w:pPr>
        <w:pStyle w:val="2"/>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w:t>
      </w:r>
      <w:r>
        <w:rPr>
          <w:rFonts w:hint="eastAsia" w:ascii="宋体" w:hAnsi="宋体" w:cs="宋体"/>
          <w:b w:val="0"/>
          <w:bCs w:val="0"/>
          <w:kern w:val="2"/>
          <w:sz w:val="24"/>
          <w:szCs w:val="24"/>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keepLines/>
        <w:spacing w:before="260" w:after="260" w:line="360" w:lineRule="auto"/>
        <w:ind w:firstLine="482" w:firstLineChars="200"/>
        <w:outlineLvl w:val="1"/>
        <w:rPr>
          <w:rFonts w:hint="eastAsia" w:ascii="宋体" w:hAnsi="宋体" w:cs="宋体"/>
          <w:b/>
          <w:sz w:val="24"/>
        </w:rPr>
      </w:pPr>
      <w:r>
        <w:rPr>
          <w:rFonts w:hint="eastAsia" w:ascii="宋体" w:hAnsi="宋体" w:cs="宋体"/>
          <w:b/>
          <w:sz w:val="24"/>
        </w:rPr>
        <w:t>三、供应商提供采购文件主要内容（需盖公章）</w:t>
      </w:r>
    </w:p>
    <w:p>
      <w:pPr>
        <w:spacing w:line="360" w:lineRule="auto"/>
        <w:ind w:firstLine="480" w:firstLineChars="200"/>
        <w:rPr>
          <w:rFonts w:hint="eastAsia" w:ascii="宋体" w:hAnsi="宋体" w:cs="宋体"/>
          <w:sz w:val="24"/>
        </w:rPr>
      </w:pPr>
      <w:r>
        <w:rPr>
          <w:rFonts w:hint="eastAsia" w:ascii="宋体" w:hAnsi="宋体" w:cs="宋体"/>
          <w:sz w:val="24"/>
        </w:rPr>
        <w:t>详见招标文件要求。</w:t>
      </w:r>
    </w:p>
    <w:p>
      <w:pPr>
        <w:keepNext/>
        <w:keepLines/>
        <w:spacing w:before="260" w:after="260" w:line="360" w:lineRule="auto"/>
        <w:ind w:firstLine="482" w:firstLineChars="200"/>
        <w:outlineLvl w:val="1"/>
        <w:rPr>
          <w:rFonts w:hint="eastAsia" w:ascii="宋体" w:hAnsi="宋体" w:cs="宋体"/>
          <w:b/>
          <w:sz w:val="24"/>
        </w:rPr>
      </w:pPr>
      <w:r>
        <w:rPr>
          <w:rFonts w:hint="eastAsia" w:ascii="宋体" w:hAnsi="宋体" w:cs="宋体"/>
          <w:b/>
          <w:sz w:val="24"/>
        </w:rPr>
        <w:t>四、评定方式</w:t>
      </w:r>
    </w:p>
    <w:p>
      <w:pPr>
        <w:keepNext/>
        <w:keepLines/>
        <w:spacing w:before="260" w:after="260" w:line="360" w:lineRule="auto"/>
        <w:ind w:firstLine="480" w:firstLineChars="200"/>
        <w:outlineLvl w:val="1"/>
        <w:rPr>
          <w:rFonts w:hint="eastAsia" w:ascii="宋体" w:hAnsi="宋体" w:cs="宋体"/>
          <w:sz w:val="24"/>
        </w:rPr>
      </w:pPr>
      <w:r>
        <w:rPr>
          <w:rFonts w:hint="eastAsia" w:ascii="宋体" w:hAnsi="宋体" w:cs="宋体"/>
          <w:sz w:val="24"/>
        </w:rPr>
        <w:t>综合评分法</w:t>
      </w:r>
    </w:p>
    <w:p>
      <w:pPr>
        <w:keepNext/>
        <w:keepLines/>
        <w:spacing w:before="260" w:after="260" w:line="360" w:lineRule="auto"/>
        <w:ind w:firstLine="482" w:firstLineChars="200"/>
        <w:outlineLvl w:val="1"/>
        <w:rPr>
          <w:rFonts w:hint="eastAsia" w:ascii="宋体" w:hAnsi="宋体" w:cs="宋体"/>
          <w:b/>
          <w:sz w:val="24"/>
        </w:rPr>
      </w:pPr>
      <w:r>
        <w:rPr>
          <w:rFonts w:hint="eastAsia" w:ascii="宋体" w:hAnsi="宋体" w:cs="宋体"/>
          <w:b/>
          <w:sz w:val="24"/>
        </w:rPr>
        <w:t>五、公告期限</w:t>
      </w:r>
    </w:p>
    <w:p>
      <w:pPr>
        <w:spacing w:line="360" w:lineRule="auto"/>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3</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 xml:space="preserve"> 20</w:t>
      </w:r>
      <w:r>
        <w:rPr>
          <w:rFonts w:hint="eastAsia" w:ascii="宋体" w:hAnsi="宋体" w:cs="宋体"/>
          <w:b w:val="0"/>
          <w:bCs w:val="0"/>
          <w:color w:val="auto"/>
          <w:sz w:val="24"/>
          <w:highlight w:val="none"/>
        </w:rPr>
        <w:t>日至202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3</w:t>
      </w:r>
      <w:r>
        <w:rPr>
          <w:rFonts w:hint="eastAsia" w:ascii="宋体" w:hAnsi="宋体" w:cs="宋体"/>
          <w:b w:val="0"/>
          <w:bCs w:val="0"/>
          <w:color w:val="auto"/>
          <w:sz w:val="24"/>
          <w:highlight w:val="none"/>
        </w:rPr>
        <w:t xml:space="preserve">月 </w:t>
      </w:r>
      <w:r>
        <w:rPr>
          <w:rFonts w:hint="eastAsia" w:ascii="宋体" w:hAnsi="宋体" w:cs="宋体"/>
          <w:b w:val="0"/>
          <w:bCs w:val="0"/>
          <w:color w:val="auto"/>
          <w:sz w:val="24"/>
          <w:highlight w:val="none"/>
          <w:lang w:val="en-US" w:eastAsia="zh-CN"/>
        </w:rPr>
        <w:t>25</w:t>
      </w:r>
      <w:r>
        <w:rPr>
          <w:rFonts w:hint="eastAsia" w:ascii="宋体" w:hAnsi="宋体" w:cs="宋体"/>
          <w:b w:val="0"/>
          <w:bCs w:val="0"/>
          <w:color w:val="auto"/>
          <w:sz w:val="24"/>
          <w:highlight w:val="none"/>
        </w:rPr>
        <w:t>日。</w:t>
      </w:r>
    </w:p>
    <w:p>
      <w:pPr>
        <w:spacing w:line="360" w:lineRule="auto"/>
        <w:ind w:firstLine="480" w:firstLineChars="200"/>
        <w:rPr>
          <w:rFonts w:hint="eastAsia" w:ascii="宋体" w:hAnsi="宋体" w:cs="宋体"/>
          <w:sz w:val="24"/>
        </w:rPr>
      </w:pPr>
      <w:r>
        <w:rPr>
          <w:rFonts w:hint="eastAsia" w:ascii="宋体" w:hAnsi="宋体" w:cs="宋体"/>
          <w:sz w:val="24"/>
        </w:rPr>
        <w:t>本项目相关公告在以下媒体发布，相关公告在法定媒体上公布之日即视为有效送达，不再另行通知。</w:t>
      </w:r>
    </w:p>
    <w:p>
      <w:pPr>
        <w:spacing w:line="360" w:lineRule="auto"/>
        <w:ind w:firstLine="480" w:firstLineChars="200"/>
        <w:rPr>
          <w:rFonts w:hint="eastAsia" w:ascii="宋体" w:hAnsi="宋体" w:cs="宋体"/>
          <w:sz w:val="24"/>
        </w:rPr>
      </w:pPr>
      <w:r>
        <w:rPr>
          <w:rFonts w:hint="eastAsia" w:ascii="宋体" w:hAnsi="宋体" w:cs="宋体"/>
          <w:sz w:val="24"/>
        </w:rPr>
        <w:t>（1）深圳盐田政府在线（http://www.yantian.gov.cn/）。</w:t>
      </w:r>
    </w:p>
    <w:p>
      <w:pPr>
        <w:spacing w:line="360" w:lineRule="auto"/>
        <w:ind w:firstLine="480" w:firstLineChars="200"/>
        <w:rPr>
          <w:rFonts w:hint="eastAsia" w:ascii="宋体" w:hAnsi="宋体" w:cs="宋体"/>
          <w:sz w:val="24"/>
        </w:rPr>
      </w:pPr>
      <w:r>
        <w:rPr>
          <w:rFonts w:hint="eastAsia" w:ascii="宋体" w:hAnsi="宋体" w:cs="宋体"/>
          <w:sz w:val="24"/>
        </w:rPr>
        <w:t>（2）采购代理机构网站（http://www.sz-gdx.com）。</w:t>
      </w:r>
    </w:p>
    <w:p>
      <w:pPr>
        <w:keepNext/>
        <w:keepLines/>
        <w:spacing w:before="260" w:after="260" w:line="360" w:lineRule="auto"/>
        <w:ind w:firstLine="482" w:firstLineChars="200"/>
        <w:outlineLvl w:val="1"/>
        <w:rPr>
          <w:rFonts w:hint="eastAsia" w:ascii="宋体" w:hAnsi="宋体" w:cs="宋体"/>
          <w:b/>
          <w:sz w:val="24"/>
        </w:rPr>
      </w:pPr>
      <w:r>
        <w:rPr>
          <w:rFonts w:hint="eastAsia" w:ascii="宋体" w:hAnsi="宋体" w:cs="宋体"/>
          <w:b/>
          <w:sz w:val="24"/>
        </w:rPr>
        <w:t>六、供应商提交采购文件截止时间、评审时间和地点</w:t>
      </w:r>
    </w:p>
    <w:p>
      <w:pPr>
        <w:spacing w:line="360" w:lineRule="auto"/>
        <w:ind w:firstLine="480" w:firstLineChars="200"/>
        <w:rPr>
          <w:rFonts w:hint="eastAsia" w:ascii="宋体" w:hAnsi="宋体" w:cs="宋体"/>
          <w:sz w:val="24"/>
        </w:rPr>
      </w:pPr>
      <w:r>
        <w:rPr>
          <w:rFonts w:hint="eastAsia" w:ascii="宋体" w:hAnsi="宋体" w:cs="宋体"/>
          <w:sz w:val="24"/>
        </w:rPr>
        <w:t>1.投标报名</w:t>
      </w:r>
    </w:p>
    <w:p>
      <w:pPr>
        <w:spacing w:line="360" w:lineRule="auto"/>
        <w:ind w:firstLine="480" w:firstLineChars="200"/>
        <w:rPr>
          <w:rFonts w:hint="eastAsia" w:ascii="宋体" w:hAnsi="宋体" w:cs="宋体"/>
          <w:sz w:val="24"/>
        </w:rPr>
      </w:pPr>
      <w:r>
        <w:rPr>
          <w:rFonts w:hint="eastAsia" w:ascii="宋体" w:hAnsi="宋体" w:cs="宋体"/>
          <w:sz w:val="24"/>
        </w:rPr>
        <w:t>时间：</w:t>
      </w:r>
      <w:r>
        <w:rPr>
          <w:rFonts w:hint="eastAsia" w:ascii="宋体" w:hAnsi="宋体" w:cs="宋体"/>
          <w:b w:val="0"/>
          <w:bCs w:val="0"/>
          <w:color w:val="auto"/>
          <w:sz w:val="24"/>
          <w:highlight w:val="none"/>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3</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 xml:space="preserve"> 20 </w:t>
      </w:r>
      <w:r>
        <w:rPr>
          <w:rFonts w:hint="eastAsia" w:ascii="宋体" w:hAnsi="宋体" w:cs="宋体"/>
          <w:b w:val="0"/>
          <w:bCs w:val="0"/>
          <w:color w:val="auto"/>
          <w:sz w:val="24"/>
          <w:highlight w:val="none"/>
        </w:rPr>
        <w:t>日至202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3</w:t>
      </w:r>
      <w:r>
        <w:rPr>
          <w:rFonts w:hint="eastAsia" w:ascii="宋体" w:hAnsi="宋体" w:cs="宋体"/>
          <w:b w:val="0"/>
          <w:bCs w:val="0"/>
          <w:color w:val="auto"/>
          <w:sz w:val="24"/>
          <w:highlight w:val="none"/>
        </w:rPr>
        <w:t xml:space="preserve">月 </w:t>
      </w:r>
      <w:r>
        <w:rPr>
          <w:rFonts w:hint="eastAsia" w:ascii="宋体" w:hAnsi="宋体" w:cs="宋体"/>
          <w:b w:val="0"/>
          <w:bCs w:val="0"/>
          <w:color w:val="auto"/>
          <w:sz w:val="24"/>
          <w:highlight w:val="none"/>
          <w:lang w:val="en-US" w:eastAsia="zh-CN"/>
        </w:rPr>
        <w:t xml:space="preserve">25 </w:t>
      </w:r>
      <w:r>
        <w:rPr>
          <w:rFonts w:hint="eastAsia" w:ascii="宋体" w:hAnsi="宋体" w:cs="宋体"/>
          <w:b w:val="0"/>
          <w:bCs w:val="0"/>
          <w:color w:val="auto"/>
          <w:sz w:val="24"/>
          <w:highlight w:val="none"/>
        </w:rPr>
        <w:t>日</w:t>
      </w:r>
      <w:r>
        <w:rPr>
          <w:rFonts w:hint="eastAsia" w:ascii="宋体" w:hAnsi="宋体" w:cs="宋体"/>
          <w:sz w:val="24"/>
        </w:rPr>
        <w:t>，每天上午9:00至12:00，下午14:00至17:00（北京时间，法定节假日除外）</w:t>
      </w:r>
    </w:p>
    <w:p>
      <w:pPr>
        <w:spacing w:line="360" w:lineRule="auto"/>
        <w:ind w:firstLine="480" w:firstLineChars="200"/>
        <w:rPr>
          <w:rFonts w:hint="eastAsia" w:ascii="宋体" w:hAnsi="宋体" w:cs="宋体"/>
          <w:sz w:val="24"/>
        </w:rPr>
      </w:pPr>
      <w:r>
        <w:rPr>
          <w:rFonts w:hint="eastAsia" w:ascii="宋体" w:hAnsi="宋体" w:cs="宋体"/>
          <w:sz w:val="24"/>
        </w:rPr>
        <w:t>地点：深圳市广得信工程造价咨询有限公司【详细地址：深圳市龙岗区横岗街道荣德国际B座701】</w:t>
      </w:r>
    </w:p>
    <w:p>
      <w:pPr>
        <w:spacing w:line="360" w:lineRule="auto"/>
        <w:ind w:firstLine="480" w:firstLineChars="200"/>
        <w:rPr>
          <w:rFonts w:hint="eastAsia" w:ascii="宋体" w:hAnsi="宋体" w:cs="宋体"/>
          <w:sz w:val="24"/>
        </w:rPr>
      </w:pPr>
      <w:r>
        <w:rPr>
          <w:rFonts w:hint="eastAsia" w:ascii="宋体" w:hAnsi="宋体" w:cs="宋体"/>
          <w:sz w:val="24"/>
        </w:rPr>
        <w:t xml:space="preserve"> 方式：（1）现场报名。报名时须提交投标报名申请表（投标报名申请表http://www.sz-gdx.com下载中心下载）及营业执照副本复印件、法定代表人证明书、授权委托书、经办人身份证复印件。以上证明材料须加盖公章用A4纸装订成册，原件备查。（2）网上报名。报名时须提交投标报名申请表（投标报名申请表http://www.sz-gdx.com下载中心下载）及营业执照副本复印件、法定代表人证明书、授权委托书、经办人身份证复印件。以上证明材料须加盖公章，扫描件发至邮箱</w:t>
      </w:r>
      <w:r>
        <w:rPr>
          <w:rFonts w:hint="eastAsia" w:ascii="宋体" w:hAnsi="宋体" w:cs="宋体"/>
          <w:sz w:val="24"/>
          <w:lang w:val="en-US" w:eastAsia="zh-CN"/>
        </w:rPr>
        <w:t>879975643</w:t>
      </w:r>
      <w:r>
        <w:rPr>
          <w:rFonts w:hint="eastAsia" w:ascii="宋体" w:hAnsi="宋体" w:cs="宋体"/>
          <w:sz w:val="24"/>
        </w:rPr>
        <w:t>@qq.com。</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2.提交采购文件截止时间：202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 xml:space="preserve"> 26 </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点</w:t>
      </w:r>
      <w:r>
        <w:rPr>
          <w:rFonts w:hint="eastAsia" w:ascii="宋体" w:hAnsi="宋体" w:cs="宋体"/>
          <w:sz w:val="24"/>
          <w:lang w:val="en-US" w:eastAsia="zh-CN"/>
        </w:rPr>
        <w:t>30</w:t>
      </w:r>
      <w:r>
        <w:rPr>
          <w:rFonts w:hint="eastAsia" w:ascii="宋体" w:hAnsi="宋体" w:cs="宋体"/>
          <w:sz w:val="24"/>
        </w:rPr>
        <w:t>分</w:t>
      </w:r>
    </w:p>
    <w:p>
      <w:pPr>
        <w:spacing w:line="360" w:lineRule="auto"/>
        <w:ind w:firstLine="480" w:firstLineChars="200"/>
        <w:rPr>
          <w:rFonts w:hint="eastAsia" w:ascii="宋体" w:hAnsi="宋体" w:cs="宋体"/>
          <w:sz w:val="24"/>
        </w:rPr>
      </w:pPr>
      <w:r>
        <w:rPr>
          <w:rFonts w:hint="eastAsia" w:ascii="宋体" w:hAnsi="宋体" w:cs="宋体"/>
          <w:sz w:val="24"/>
        </w:rPr>
        <w:t>3.采购文件提交方式：（1）现场递交：招标代理机构只接受在截标当日递交投标文件时间之前由投标人法定代表人或其授权代表亲自现场递交的投标文件，逾期收到或不符合规定的投标文件恕不接受。（2）邮寄递交：邮寄地址：深圳市龙岗区横岗街道荣德国际B座701，收件人：</w:t>
      </w:r>
      <w:r>
        <w:rPr>
          <w:rFonts w:hint="eastAsia" w:ascii="宋体" w:hAnsi="宋体" w:cs="宋体"/>
          <w:sz w:val="24"/>
          <w:lang w:val="en-US" w:eastAsia="zh-CN"/>
        </w:rPr>
        <w:t>汤</w:t>
      </w:r>
      <w:r>
        <w:rPr>
          <w:rFonts w:hint="eastAsia" w:ascii="宋体" w:hAnsi="宋体" w:cs="宋体"/>
          <w:sz w:val="24"/>
        </w:rPr>
        <w:t>工，联系电话：0755-28703515。为避免快递未按时送达，投标人邮寄投标文件的，应确保开标前送达指定地点，并及时与收件人联系确认是否收到投标文件（邮寄方式的递交时间为送达我司由我司代表签收的时间），逾期收到或不符合规定的投标文件恕不接受。</w:t>
      </w:r>
    </w:p>
    <w:p>
      <w:pPr>
        <w:spacing w:line="360" w:lineRule="auto"/>
        <w:ind w:firstLine="480" w:firstLineChars="200"/>
        <w:rPr>
          <w:rFonts w:hint="eastAsia" w:ascii="宋体" w:hAnsi="宋体" w:cs="宋体"/>
          <w:sz w:val="24"/>
        </w:rPr>
      </w:pPr>
      <w:r>
        <w:rPr>
          <w:rFonts w:hint="eastAsia" w:ascii="宋体" w:hAnsi="宋体" w:cs="宋体"/>
          <w:sz w:val="24"/>
        </w:rPr>
        <w:t>4.投标文件递交份数：详见招标文件要求。</w:t>
      </w:r>
    </w:p>
    <w:p>
      <w:pPr>
        <w:spacing w:line="360" w:lineRule="auto"/>
        <w:ind w:firstLine="480" w:firstLineChars="200"/>
        <w:rPr>
          <w:rFonts w:hint="eastAsia" w:ascii="宋体" w:hAnsi="宋体" w:cs="宋体"/>
          <w:sz w:val="24"/>
        </w:rPr>
      </w:pPr>
      <w:r>
        <w:rPr>
          <w:rFonts w:hint="eastAsia" w:ascii="宋体" w:hAnsi="宋体" w:cs="宋体"/>
          <w:sz w:val="24"/>
        </w:rPr>
        <w:t>5.开标时间、地点：定于202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 xml:space="preserve"> 26 </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点</w:t>
      </w:r>
      <w:r>
        <w:rPr>
          <w:rFonts w:hint="eastAsia" w:ascii="宋体" w:hAnsi="宋体" w:cs="宋体"/>
          <w:sz w:val="24"/>
          <w:lang w:val="en-US" w:eastAsia="zh-CN"/>
        </w:rPr>
        <w:t>30</w:t>
      </w:r>
      <w:r>
        <w:rPr>
          <w:rFonts w:hint="eastAsia" w:ascii="宋体" w:hAnsi="宋体" w:cs="宋体"/>
          <w:sz w:val="24"/>
        </w:rPr>
        <w:t>分(北京时间)，在深圳市广得信工程造价咨询有限公司评标一室开标。投标人未参加开标的，视同认可开标结果。</w:t>
      </w:r>
    </w:p>
    <w:p>
      <w:pPr>
        <w:spacing w:line="360" w:lineRule="auto"/>
        <w:ind w:firstLine="480" w:firstLineChars="200"/>
        <w:rPr>
          <w:rFonts w:hint="eastAsia" w:ascii="宋体" w:hAnsi="宋体" w:cs="宋体"/>
          <w:sz w:val="24"/>
        </w:rPr>
      </w:pPr>
      <w:r>
        <w:rPr>
          <w:rFonts w:hint="eastAsia" w:ascii="宋体" w:hAnsi="宋体" w:cs="宋体"/>
          <w:sz w:val="24"/>
        </w:rPr>
        <w:t>6.采购评审时间和地点：定于202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 xml:space="preserve"> 26 </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点</w:t>
      </w:r>
      <w:r>
        <w:rPr>
          <w:rFonts w:hint="eastAsia" w:ascii="宋体" w:hAnsi="宋体" w:cs="宋体"/>
          <w:sz w:val="24"/>
          <w:lang w:val="en-US" w:eastAsia="zh-CN"/>
        </w:rPr>
        <w:t>30</w:t>
      </w:r>
      <w:r>
        <w:rPr>
          <w:rFonts w:hint="eastAsia" w:ascii="宋体" w:hAnsi="宋体" w:cs="宋体"/>
          <w:sz w:val="24"/>
        </w:rPr>
        <w:t>分（北京时间），地址：深圳市龙岗区横岗街道荣德国际B座701。</w:t>
      </w:r>
    </w:p>
    <w:p>
      <w:pPr>
        <w:keepNext/>
        <w:keepLines/>
        <w:spacing w:before="260" w:after="260" w:line="360" w:lineRule="auto"/>
        <w:ind w:firstLine="482" w:firstLineChars="200"/>
        <w:outlineLvl w:val="1"/>
        <w:rPr>
          <w:rFonts w:hint="eastAsia" w:ascii="宋体" w:hAnsi="宋体" w:cs="宋体"/>
          <w:b/>
          <w:sz w:val="24"/>
        </w:rPr>
      </w:pPr>
      <w:r>
        <w:rPr>
          <w:rFonts w:hint="eastAsia" w:ascii="宋体" w:hAnsi="宋体" w:cs="宋体"/>
          <w:b/>
          <w:sz w:val="24"/>
        </w:rPr>
        <w:t>七、本单位负责对项目的询问、质疑和投诉进行处理。</w:t>
      </w:r>
    </w:p>
    <w:p>
      <w:pPr>
        <w:spacing w:line="360" w:lineRule="auto"/>
        <w:ind w:firstLine="480" w:firstLineChars="200"/>
        <w:rPr>
          <w:rFonts w:hint="eastAsia" w:ascii="宋体" w:hAnsi="宋体" w:cs="宋体"/>
          <w:sz w:val="24"/>
        </w:rPr>
      </w:pPr>
      <w:r>
        <w:rPr>
          <w:rFonts w:hint="eastAsia" w:ascii="宋体" w:hAnsi="宋体" w:cs="宋体"/>
          <w:sz w:val="24"/>
        </w:rPr>
        <w:t>1.采购人信息</w:t>
      </w:r>
    </w:p>
    <w:p>
      <w:pPr>
        <w:spacing w:line="360" w:lineRule="auto"/>
        <w:ind w:firstLine="480" w:firstLineChars="200"/>
        <w:rPr>
          <w:rFonts w:hint="eastAsia" w:ascii="宋体" w:hAnsi="宋体" w:cs="宋体"/>
          <w:sz w:val="24"/>
        </w:rPr>
      </w:pPr>
      <w:r>
        <w:rPr>
          <w:rFonts w:hint="eastAsia" w:ascii="宋体" w:hAnsi="宋体" w:cs="宋体"/>
          <w:sz w:val="24"/>
        </w:rPr>
        <w:t>名　称：深圳市盐田区土地整备事务中心</w:t>
      </w:r>
    </w:p>
    <w:p>
      <w:pPr>
        <w:spacing w:line="360" w:lineRule="auto"/>
        <w:ind w:firstLine="480" w:firstLineChars="200"/>
        <w:rPr>
          <w:rFonts w:hint="eastAsia" w:ascii="宋体" w:hAnsi="宋体" w:cs="宋体"/>
          <w:sz w:val="24"/>
        </w:rPr>
      </w:pPr>
      <w:r>
        <w:rPr>
          <w:rFonts w:hint="eastAsia" w:ascii="宋体" w:hAnsi="宋体" w:cs="宋体"/>
          <w:sz w:val="24"/>
        </w:rPr>
        <w:t xml:space="preserve">地　址：深圳市盐田区海山街道深圳市盐田区沙头角东和路人福大厦3楼 </w:t>
      </w:r>
    </w:p>
    <w:p>
      <w:pPr>
        <w:spacing w:line="360" w:lineRule="auto"/>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联系方式：孙工、</w:t>
      </w:r>
      <w:r>
        <w:rPr>
          <w:rFonts w:hint="eastAsia" w:ascii="宋体" w:hAnsi="宋体" w:cs="宋体"/>
          <w:b w:val="0"/>
          <w:bCs w:val="0"/>
          <w:color w:val="auto"/>
          <w:sz w:val="24"/>
          <w:highlight w:val="none"/>
          <w:lang w:val="en-US" w:eastAsia="zh-CN"/>
        </w:rPr>
        <w:t>82679811</w:t>
      </w:r>
    </w:p>
    <w:p>
      <w:pPr>
        <w:spacing w:line="360" w:lineRule="auto"/>
        <w:ind w:firstLine="480" w:firstLineChars="200"/>
        <w:rPr>
          <w:rFonts w:hint="eastAsia" w:ascii="宋体" w:hAnsi="宋体" w:cs="宋体"/>
          <w:sz w:val="24"/>
        </w:rPr>
      </w:pPr>
      <w:r>
        <w:rPr>
          <w:rFonts w:hint="eastAsia" w:ascii="宋体" w:hAnsi="宋体" w:cs="宋体"/>
          <w:sz w:val="24"/>
        </w:rPr>
        <w:t>2.采购代理机构信息</w:t>
      </w:r>
    </w:p>
    <w:p>
      <w:pPr>
        <w:spacing w:line="360" w:lineRule="auto"/>
        <w:ind w:firstLine="480" w:firstLineChars="200"/>
        <w:rPr>
          <w:rFonts w:hint="eastAsia" w:ascii="宋体" w:hAnsi="宋体" w:cs="宋体"/>
          <w:sz w:val="24"/>
        </w:rPr>
      </w:pPr>
      <w:r>
        <w:rPr>
          <w:rFonts w:hint="eastAsia" w:ascii="宋体" w:hAnsi="宋体" w:cs="宋体"/>
          <w:sz w:val="24"/>
        </w:rPr>
        <w:t>名　称：深圳市广得信工程造价咨询有限公司</w:t>
      </w:r>
    </w:p>
    <w:p>
      <w:pPr>
        <w:spacing w:line="360" w:lineRule="auto"/>
        <w:ind w:firstLine="480" w:firstLineChars="200"/>
        <w:rPr>
          <w:rFonts w:hint="eastAsia" w:ascii="宋体" w:hAnsi="宋体" w:cs="宋体"/>
          <w:sz w:val="24"/>
        </w:rPr>
      </w:pPr>
      <w:r>
        <w:rPr>
          <w:rFonts w:hint="eastAsia" w:ascii="宋体" w:hAnsi="宋体" w:cs="宋体"/>
          <w:sz w:val="24"/>
        </w:rPr>
        <w:t>地　址：深圳市龙岗区横岗街道荣德国际B座701</w:t>
      </w:r>
    </w:p>
    <w:p>
      <w:pPr>
        <w:spacing w:line="360" w:lineRule="auto"/>
        <w:ind w:firstLine="480" w:firstLineChars="200"/>
        <w:rPr>
          <w:rFonts w:hint="eastAsia" w:ascii="宋体" w:hAnsi="宋体" w:cs="宋体"/>
          <w:sz w:val="24"/>
        </w:rPr>
      </w:pPr>
      <w:r>
        <w:rPr>
          <w:rFonts w:hint="eastAsia" w:ascii="宋体" w:hAnsi="宋体" w:cs="宋体"/>
          <w:sz w:val="24"/>
        </w:rPr>
        <w:t>联系方式：</w:t>
      </w:r>
      <w:r>
        <w:rPr>
          <w:rFonts w:hint="eastAsia" w:ascii="宋体" w:hAnsi="宋体" w:cs="宋体"/>
          <w:sz w:val="24"/>
          <w:lang w:val="en-US" w:eastAsia="zh-CN"/>
        </w:rPr>
        <w:t>汤</w:t>
      </w:r>
      <w:r>
        <w:rPr>
          <w:rFonts w:hint="eastAsia" w:ascii="宋体" w:hAnsi="宋体" w:cs="宋体"/>
          <w:sz w:val="24"/>
        </w:rPr>
        <w:t>工、0755-28703515</w:t>
      </w:r>
    </w:p>
    <w:p>
      <w:pPr>
        <w:keepNext/>
        <w:keepLines/>
        <w:numPr>
          <w:ilvl w:val="255"/>
          <w:numId w:val="0"/>
        </w:numPr>
        <w:spacing w:before="260" w:after="260" w:line="360" w:lineRule="auto"/>
        <w:ind w:firstLine="482" w:firstLineChars="200"/>
        <w:outlineLvl w:val="1"/>
        <w:rPr>
          <w:rFonts w:hint="eastAsia" w:ascii="宋体" w:hAnsi="宋体" w:cs="宋体"/>
          <w:b/>
          <w:sz w:val="24"/>
        </w:rPr>
      </w:pPr>
      <w:r>
        <w:rPr>
          <w:rFonts w:hint="eastAsia" w:ascii="宋体" w:hAnsi="宋体" w:cs="宋体"/>
          <w:b/>
          <w:sz w:val="24"/>
        </w:rPr>
        <w:t>八、评审评分规则</w:t>
      </w:r>
    </w:p>
    <w:p>
      <w:pPr>
        <w:spacing w:line="360" w:lineRule="auto"/>
        <w:ind w:firstLine="480" w:firstLineChars="200"/>
        <w:rPr>
          <w:rFonts w:hint="eastAsia" w:ascii="宋体" w:hAnsi="宋体" w:cs="宋体"/>
          <w:sz w:val="24"/>
        </w:rPr>
      </w:pPr>
      <w:r>
        <w:rPr>
          <w:rFonts w:hint="eastAsia" w:ascii="宋体" w:hAnsi="宋体" w:cs="宋体"/>
          <w:sz w:val="24"/>
        </w:rPr>
        <w:t>详见招标文件要求。</w:t>
      </w:r>
    </w:p>
    <w:p>
      <w:pPr>
        <w:spacing w:before="156" w:beforeLines="50"/>
        <w:jc w:val="left"/>
        <w:rPr>
          <w:rFonts w:hint="eastAsia" w:ascii="宋体" w:hAnsi="宋体" w:cs="宋体"/>
          <w:color w:val="000000"/>
          <w:sz w:val="24"/>
        </w:rPr>
      </w:pPr>
    </w:p>
    <w:p>
      <w:pPr>
        <w:pStyle w:val="171"/>
        <w:rPr>
          <w:rFonts w:hint="eastAsia" w:ascii="宋体" w:hAnsi="宋体" w:cs="宋体"/>
        </w:rPr>
      </w:pPr>
    </w:p>
    <w:p>
      <w:pPr>
        <w:pStyle w:val="171"/>
        <w:jc w:val="right"/>
        <w:rPr>
          <w:rFonts w:hint="eastAsia" w:ascii="宋体" w:hAnsi="宋体" w:cs="宋体"/>
        </w:rPr>
      </w:pPr>
      <w:r>
        <w:rPr>
          <w:rFonts w:hint="eastAsia" w:ascii="宋体" w:hAnsi="宋体" w:cs="宋体"/>
        </w:rPr>
        <w:t>深圳市盐田区土地整备事务中心</w:t>
      </w:r>
    </w:p>
    <w:p>
      <w:pPr>
        <w:spacing w:line="360" w:lineRule="auto"/>
        <w:ind w:firstLine="480" w:firstLineChars="200"/>
        <w:jc w:val="right"/>
        <w:rPr>
          <w:rFonts w:hint="eastAsia" w:ascii="宋体" w:hAnsi="宋体" w:cs="宋体"/>
          <w:sz w:val="24"/>
        </w:rPr>
      </w:pPr>
      <w:r>
        <w:rPr>
          <w:rFonts w:hint="eastAsia" w:ascii="宋体" w:hAnsi="宋体" w:cs="宋体"/>
          <w:sz w:val="24"/>
        </w:rPr>
        <w:t>深圳市广得信工程造价咨询有限公司</w:t>
      </w:r>
    </w:p>
    <w:p>
      <w:pPr>
        <w:spacing w:line="360" w:lineRule="auto"/>
        <w:ind w:firstLine="480" w:firstLineChars="200"/>
        <w:jc w:val="right"/>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年0</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 xml:space="preserve"> 20</w:t>
      </w:r>
      <w:r>
        <w:rPr>
          <w:rFonts w:hint="eastAsia" w:ascii="宋体" w:hAnsi="宋体" w:cs="宋体"/>
          <w:sz w:val="24"/>
        </w:rPr>
        <w:t>日</w:t>
      </w:r>
      <w:bookmarkStart w:id="43" w:name="_GoBack"/>
      <w:bookmarkEnd w:id="43"/>
    </w:p>
    <w:p>
      <w:pPr>
        <w:rPr>
          <w:rFonts w:hint="eastAsia" w:ascii="宋体" w:hAnsi="宋体" w:cs="宋体"/>
          <w:sz w:val="24"/>
        </w:rPr>
      </w:pPr>
      <w:r>
        <w:rPr>
          <w:rFonts w:hint="eastAsia" w:ascii="宋体" w:hAnsi="宋体" w:cs="宋体"/>
          <w:sz w:val="24"/>
        </w:rPr>
        <w:br w:type="page"/>
      </w:r>
    </w:p>
    <w:p>
      <w:pPr>
        <w:jc w:val="center"/>
        <w:rPr>
          <w:rFonts w:hint="eastAsia" w:ascii="宋体" w:hAnsi="宋体" w:cs="宋体"/>
          <w:b/>
          <w:bCs/>
          <w:sz w:val="28"/>
          <w:szCs w:val="28"/>
        </w:rPr>
      </w:pPr>
      <w:r>
        <w:rPr>
          <w:rFonts w:hint="eastAsia" w:ascii="宋体" w:hAnsi="宋体" w:cs="宋体"/>
          <w:b/>
          <w:bCs/>
          <w:sz w:val="28"/>
          <w:szCs w:val="28"/>
        </w:rPr>
        <w:t>第二章 对通用条款的补充内容及其他关键信息</w:t>
      </w:r>
    </w:p>
    <w:p>
      <w:pPr>
        <w:pStyle w:val="4"/>
        <w:spacing w:before="156" w:beforeLines="50" w:after="156" w:afterLines="50"/>
        <w:rPr>
          <w:rFonts w:hint="eastAsia" w:cs="宋体"/>
          <w:sz w:val="28"/>
          <w:szCs w:val="28"/>
        </w:rPr>
      </w:pPr>
      <w:r>
        <w:rPr>
          <w:rFonts w:hint="eastAsia" w:cs="宋体"/>
          <w:sz w:val="28"/>
          <w:szCs w:val="28"/>
        </w:rPr>
        <w:t>一、对通用条款的补充内容</w:t>
      </w:r>
    </w:p>
    <w:p>
      <w:pPr>
        <w:pStyle w:val="4"/>
        <w:spacing w:before="156" w:beforeLines="50" w:after="156" w:afterLines="50"/>
        <w:rPr>
          <w:rFonts w:hint="eastAsia" w:cs="宋体"/>
          <w:sz w:val="28"/>
          <w:szCs w:val="28"/>
        </w:rPr>
      </w:pPr>
      <w:r>
        <w:rPr>
          <w:rFonts w:hint="eastAsia" w:cs="宋体"/>
          <w:sz w:val="28"/>
          <w:szCs w:val="28"/>
        </w:rPr>
        <w:t>（一）投标须知前附表</w:t>
      </w:r>
    </w:p>
    <w:tbl>
      <w:tblPr>
        <w:tblStyle w:val="50"/>
        <w:tblW w:w="81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9"/>
        <w:gridCol w:w="2160"/>
        <w:gridCol w:w="54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b/>
                <w:bCs/>
              </w:rPr>
            </w:pPr>
            <w:r>
              <w:rPr>
                <w:rFonts w:hint="eastAsia" w:ascii="宋体" w:hAnsi="宋体" w:cs="宋体"/>
                <w:b/>
                <w:bCs/>
              </w:rPr>
              <w:t>序号</w:t>
            </w:r>
          </w:p>
        </w:tc>
        <w:tc>
          <w:tcPr>
            <w:tcW w:w="2160" w:type="dxa"/>
            <w:vAlign w:val="center"/>
          </w:tcPr>
          <w:p>
            <w:pPr>
              <w:jc w:val="center"/>
              <w:rPr>
                <w:rFonts w:hint="eastAsia" w:ascii="宋体" w:hAnsi="宋体" w:cs="宋体"/>
                <w:b/>
                <w:bCs/>
              </w:rPr>
            </w:pPr>
            <w:r>
              <w:rPr>
                <w:rFonts w:hint="eastAsia" w:ascii="宋体" w:hAnsi="宋体" w:cs="宋体"/>
                <w:b/>
                <w:bCs/>
              </w:rPr>
              <w:t>内   容</w:t>
            </w:r>
          </w:p>
        </w:tc>
        <w:tc>
          <w:tcPr>
            <w:tcW w:w="5400" w:type="dxa"/>
            <w:vAlign w:val="center"/>
          </w:tcPr>
          <w:p>
            <w:pPr>
              <w:jc w:val="center"/>
              <w:rPr>
                <w:rFonts w:hint="eastAsia" w:ascii="宋体" w:hAnsi="宋体" w:cs="宋体"/>
                <w:b/>
                <w:bCs/>
              </w:rPr>
            </w:pPr>
            <w:r>
              <w:rPr>
                <w:rFonts w:hint="eastAsia" w:ascii="宋体" w:hAnsi="宋体" w:cs="宋体"/>
                <w:b/>
                <w:bCs/>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b/>
                <w:bCs/>
              </w:rPr>
            </w:pPr>
            <w:r>
              <w:rPr>
                <w:rFonts w:hint="eastAsia" w:ascii="宋体" w:hAnsi="宋体" w:cs="宋体"/>
                <w:b/>
                <w:bCs/>
              </w:rPr>
              <w:t>1</w:t>
            </w:r>
          </w:p>
        </w:tc>
        <w:tc>
          <w:tcPr>
            <w:tcW w:w="2160" w:type="dxa"/>
            <w:vAlign w:val="center"/>
          </w:tcPr>
          <w:p>
            <w:pPr>
              <w:rPr>
                <w:rFonts w:hint="eastAsia" w:ascii="宋体" w:hAnsi="宋体" w:cs="宋体"/>
                <w:b/>
                <w:bCs/>
              </w:rPr>
            </w:pPr>
            <w:r>
              <w:rPr>
                <w:rFonts w:hint="eastAsia" w:ascii="宋体" w:hAnsi="宋体" w:cs="宋体"/>
                <w:b/>
                <w:bCs/>
              </w:rPr>
              <w:t>投标人的资质要求</w:t>
            </w:r>
          </w:p>
        </w:tc>
        <w:tc>
          <w:tcPr>
            <w:tcW w:w="5400" w:type="dxa"/>
            <w:vAlign w:val="center"/>
          </w:tcPr>
          <w:p>
            <w:pPr>
              <w:rPr>
                <w:rFonts w:hint="eastAsia" w:ascii="宋体" w:hAnsi="宋体" w:cs="宋体"/>
                <w:snapToGrid w:val="0"/>
                <w:kern w:val="0"/>
                <w:szCs w:val="32"/>
                <w:u w:val="single"/>
                <w:lang w:val="zh-CN"/>
              </w:rPr>
            </w:pPr>
            <w:r>
              <w:rPr>
                <w:rFonts w:hint="eastAsia" w:ascii="宋体" w:hAnsi="宋体" w:cs="宋体"/>
                <w:bCs/>
                <w:szCs w:val="21"/>
                <w:u w:val="single"/>
              </w:rPr>
              <w:t>见招标公告中“投标人资质要求”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2</w:t>
            </w:r>
          </w:p>
        </w:tc>
        <w:tc>
          <w:tcPr>
            <w:tcW w:w="2160" w:type="dxa"/>
            <w:vAlign w:val="center"/>
          </w:tcPr>
          <w:p>
            <w:pPr>
              <w:rPr>
                <w:rFonts w:hint="eastAsia" w:ascii="宋体" w:hAnsi="宋体" w:cs="宋体"/>
              </w:rPr>
            </w:pPr>
            <w:r>
              <w:rPr>
                <w:rFonts w:hint="eastAsia" w:ascii="宋体" w:hAnsi="宋体" w:cs="宋体"/>
              </w:rPr>
              <w:t>联合体投标</w:t>
            </w:r>
          </w:p>
        </w:tc>
        <w:tc>
          <w:tcPr>
            <w:tcW w:w="5400" w:type="dxa"/>
            <w:vAlign w:val="center"/>
          </w:tcPr>
          <w:p>
            <w:pPr>
              <w:rPr>
                <w:rFonts w:hint="eastAsia" w:ascii="宋体" w:hAnsi="宋体" w:cs="宋体"/>
                <w:snapToGrid w:val="0"/>
                <w:kern w:val="0"/>
                <w:szCs w:val="32"/>
                <w:u w:val="single"/>
                <w:lang w:val="zh-CN"/>
              </w:rPr>
            </w:pPr>
            <w:r>
              <w:rPr>
                <w:rFonts w:hint="eastAsia" w:ascii="宋体" w:hAnsi="宋体" w:cs="宋体"/>
                <w:snapToGrid w:val="0"/>
                <w:kern w:val="0"/>
                <w:szCs w:val="32"/>
                <w:u w:val="single"/>
                <w:lang w:val="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3</w:t>
            </w:r>
          </w:p>
        </w:tc>
        <w:tc>
          <w:tcPr>
            <w:tcW w:w="2160" w:type="dxa"/>
            <w:vAlign w:val="center"/>
          </w:tcPr>
          <w:p>
            <w:pPr>
              <w:rPr>
                <w:rFonts w:hint="eastAsia" w:ascii="宋体" w:hAnsi="宋体" w:cs="宋体"/>
              </w:rPr>
            </w:pPr>
            <w:r>
              <w:rPr>
                <w:rFonts w:hint="eastAsia" w:ascii="宋体" w:hAnsi="宋体" w:cs="宋体"/>
              </w:rPr>
              <w:t>投标有效期</w:t>
            </w:r>
          </w:p>
        </w:tc>
        <w:tc>
          <w:tcPr>
            <w:tcW w:w="5400" w:type="dxa"/>
            <w:vAlign w:val="center"/>
          </w:tcPr>
          <w:p>
            <w:pPr>
              <w:rPr>
                <w:rFonts w:hint="eastAsia" w:ascii="宋体" w:hAnsi="宋体" w:cs="宋体"/>
              </w:rPr>
            </w:pPr>
            <w:r>
              <w:rPr>
                <w:rFonts w:hint="eastAsia" w:ascii="宋体" w:hAnsi="宋体" w:cs="宋体"/>
                <w:u w:val="single"/>
              </w:rPr>
              <w:t>90个日历日</w:t>
            </w:r>
            <w:r>
              <w:rPr>
                <w:rFonts w:hint="eastAsia" w:ascii="宋体" w:hAnsi="宋体" w:cs="宋体"/>
              </w:rPr>
              <w:t>（从投标截止之日算起）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4</w:t>
            </w:r>
          </w:p>
        </w:tc>
        <w:tc>
          <w:tcPr>
            <w:tcW w:w="2160" w:type="dxa"/>
            <w:vAlign w:val="center"/>
          </w:tcPr>
          <w:p>
            <w:pPr>
              <w:rPr>
                <w:rFonts w:hint="eastAsia" w:ascii="宋体" w:hAnsi="宋体" w:cs="宋体"/>
              </w:rPr>
            </w:pPr>
            <w:r>
              <w:rPr>
                <w:rFonts w:hint="eastAsia" w:ascii="宋体" w:hAnsi="宋体" w:cs="宋体"/>
              </w:rPr>
              <w:t>提交投标文件</w:t>
            </w:r>
          </w:p>
        </w:tc>
        <w:tc>
          <w:tcPr>
            <w:tcW w:w="5400" w:type="dxa"/>
            <w:vAlign w:val="center"/>
          </w:tcPr>
          <w:p>
            <w:pPr>
              <w:numPr>
                <w:ilvl w:val="0"/>
                <w:numId w:val="3"/>
              </w:numPr>
              <w:rPr>
                <w:rFonts w:hint="eastAsia" w:ascii="宋体" w:hAnsi="宋体" w:cs="宋体"/>
                <w:szCs w:val="21"/>
              </w:rPr>
            </w:pPr>
            <w:r>
              <w:rPr>
                <w:rFonts w:hint="eastAsia" w:ascii="宋体" w:hAnsi="宋体" w:cs="宋体"/>
                <w:szCs w:val="21"/>
              </w:rPr>
              <w:t>纸质投标文件：正本一份，副本四份</w:t>
            </w:r>
          </w:p>
          <w:p>
            <w:pPr>
              <w:rPr>
                <w:rFonts w:hint="eastAsia" w:ascii="宋体" w:hAnsi="宋体" w:cs="宋体"/>
                <w:szCs w:val="21"/>
              </w:rPr>
            </w:pPr>
            <w:r>
              <w:rPr>
                <w:rFonts w:hint="eastAsia" w:ascii="宋体" w:hAnsi="宋体" w:cs="宋体"/>
                <w:szCs w:val="21"/>
              </w:rPr>
              <w:t>2、唱标文件：开标一览表一份</w:t>
            </w:r>
          </w:p>
          <w:p>
            <w:pPr>
              <w:rPr>
                <w:rFonts w:hint="eastAsia" w:ascii="宋体" w:hAnsi="宋体" w:cs="宋体"/>
              </w:rPr>
            </w:pPr>
            <w:r>
              <w:rPr>
                <w:rFonts w:hint="eastAsia" w:ascii="宋体" w:hAnsi="宋体" w:cs="宋体"/>
                <w:szCs w:val="21"/>
              </w:rPr>
              <w:t>3、电子投标文件一份（附有投标文件的光盘或U盘，为正本盖章后的彩色扫描件，扫描件要求为PDF格式)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5</w:t>
            </w:r>
          </w:p>
        </w:tc>
        <w:tc>
          <w:tcPr>
            <w:tcW w:w="2160" w:type="dxa"/>
            <w:vAlign w:val="center"/>
          </w:tcPr>
          <w:p>
            <w:pPr>
              <w:rPr>
                <w:rFonts w:hint="eastAsia" w:ascii="宋体" w:hAnsi="宋体" w:cs="宋体"/>
              </w:rPr>
            </w:pPr>
            <w:r>
              <w:rPr>
                <w:rFonts w:hint="eastAsia" w:ascii="宋体" w:hAnsi="宋体" w:cs="宋体"/>
              </w:rPr>
              <w:t>评标标准及方法</w:t>
            </w:r>
          </w:p>
        </w:tc>
        <w:tc>
          <w:tcPr>
            <w:tcW w:w="5400" w:type="dxa"/>
            <w:vAlign w:val="center"/>
          </w:tcPr>
          <w:p>
            <w:pPr>
              <w:rPr>
                <w:rFonts w:hint="eastAsia" w:ascii="宋体" w:hAnsi="宋体" w:cs="宋体"/>
              </w:rPr>
            </w:pPr>
            <w:r>
              <w:rPr>
                <w:rFonts w:hint="eastAsia" w:ascii="宋体" w:hAnsi="宋体" w:cs="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6</w:t>
            </w:r>
          </w:p>
        </w:tc>
        <w:tc>
          <w:tcPr>
            <w:tcW w:w="2160" w:type="dxa"/>
            <w:vAlign w:val="center"/>
          </w:tcPr>
          <w:p>
            <w:pPr>
              <w:jc w:val="center"/>
              <w:rPr>
                <w:rFonts w:hint="eastAsia" w:ascii="宋体" w:hAnsi="宋体" w:cs="宋体"/>
                <w:szCs w:val="21"/>
              </w:rPr>
            </w:pPr>
            <w:r>
              <w:rPr>
                <w:rFonts w:hint="eastAsia" w:ascii="宋体" w:hAnsi="宋体" w:cs="宋体"/>
                <w:szCs w:val="21"/>
              </w:rPr>
              <w:t>是否评定分离</w:t>
            </w:r>
          </w:p>
        </w:tc>
        <w:tc>
          <w:tcPr>
            <w:tcW w:w="5400" w:type="dxa"/>
            <w:vAlign w:val="center"/>
          </w:tcPr>
          <w:p>
            <w:pPr>
              <w:rPr>
                <w:rFonts w:hint="eastAsia" w:ascii="宋体" w:hAnsi="宋体" w:cs="宋体"/>
                <w:szCs w:val="21"/>
              </w:rPr>
            </w:pPr>
            <w:r>
              <w:rPr>
                <w:rFonts w:hint="eastAsia" w:ascii="宋体" w:hAnsi="宋体" w:cs="宋体"/>
                <w:szCs w:val="21"/>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7</w:t>
            </w:r>
          </w:p>
        </w:tc>
        <w:tc>
          <w:tcPr>
            <w:tcW w:w="2160" w:type="dxa"/>
            <w:vAlign w:val="center"/>
          </w:tcPr>
          <w:p>
            <w:pPr>
              <w:jc w:val="center"/>
              <w:rPr>
                <w:rFonts w:hint="eastAsia" w:ascii="宋体" w:hAnsi="宋体" w:cs="宋体"/>
                <w:szCs w:val="21"/>
              </w:rPr>
            </w:pPr>
            <w:r>
              <w:rPr>
                <w:rFonts w:hint="eastAsia" w:ascii="宋体" w:hAnsi="宋体" w:cs="宋体"/>
                <w:szCs w:val="21"/>
              </w:rPr>
              <w:t>中标供应商家数</w:t>
            </w:r>
          </w:p>
        </w:tc>
        <w:tc>
          <w:tcPr>
            <w:tcW w:w="5400" w:type="dxa"/>
            <w:vAlign w:val="center"/>
          </w:tcPr>
          <w:p>
            <w:pPr>
              <w:rPr>
                <w:rFonts w:hint="eastAsia" w:ascii="宋体" w:hAnsi="宋体" w:cs="宋体"/>
                <w:szCs w:val="21"/>
              </w:rPr>
            </w:pPr>
            <w:r>
              <w:rPr>
                <w:rFonts w:hint="eastAsia" w:ascii="宋体" w:hAnsi="宋体" w:cs="宋体"/>
                <w:szCs w:val="21"/>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8</w:t>
            </w:r>
          </w:p>
        </w:tc>
        <w:tc>
          <w:tcPr>
            <w:tcW w:w="2160" w:type="dxa"/>
            <w:vAlign w:val="center"/>
          </w:tcPr>
          <w:p>
            <w:pPr>
              <w:jc w:val="center"/>
              <w:rPr>
                <w:rFonts w:hint="eastAsia" w:ascii="宋体" w:hAnsi="宋体" w:cs="宋体"/>
                <w:szCs w:val="21"/>
              </w:rPr>
            </w:pPr>
            <w:r>
              <w:rPr>
                <w:rFonts w:hint="eastAsia" w:ascii="宋体" w:hAnsi="宋体" w:cs="宋体"/>
                <w:szCs w:val="21"/>
              </w:rPr>
              <w:t>候选中标供应商家数</w:t>
            </w:r>
          </w:p>
        </w:tc>
        <w:tc>
          <w:tcPr>
            <w:tcW w:w="5400" w:type="dxa"/>
            <w:vAlign w:val="center"/>
          </w:tcPr>
          <w:p>
            <w:pPr>
              <w:rPr>
                <w:rFonts w:hint="eastAsia" w:ascii="宋体" w:hAnsi="宋体" w:cs="宋体"/>
                <w:szCs w:val="21"/>
              </w:rPr>
            </w:pPr>
            <w:r>
              <w:rPr>
                <w:rFonts w:hint="eastAsia" w:ascii="宋体" w:hAnsi="宋体" w:cs="宋体"/>
                <w:szCs w:val="21"/>
              </w:rPr>
              <w:t>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9</w:t>
            </w:r>
          </w:p>
        </w:tc>
        <w:tc>
          <w:tcPr>
            <w:tcW w:w="2160" w:type="dxa"/>
            <w:vAlign w:val="center"/>
          </w:tcPr>
          <w:p>
            <w:pPr>
              <w:rPr>
                <w:rFonts w:hint="eastAsia" w:ascii="宋体" w:hAnsi="宋体" w:cs="宋体"/>
                <w:szCs w:val="21"/>
              </w:rPr>
            </w:pPr>
            <w:r>
              <w:rPr>
                <w:rFonts w:hint="eastAsia" w:ascii="宋体" w:hAnsi="宋体" w:cs="宋体"/>
                <w:szCs w:val="21"/>
              </w:rPr>
              <w:t>投标担保金额</w:t>
            </w:r>
          </w:p>
        </w:tc>
        <w:tc>
          <w:tcPr>
            <w:tcW w:w="5400" w:type="dxa"/>
            <w:vAlign w:val="center"/>
          </w:tcPr>
          <w:p>
            <w:pPr>
              <w:rPr>
                <w:rFonts w:hint="eastAsia" w:ascii="宋体" w:hAnsi="宋体" w:cs="宋体"/>
                <w:szCs w:val="21"/>
              </w:rPr>
            </w:pPr>
            <w:r>
              <w:rPr>
                <w:rFonts w:hint="eastAsia" w:ascii="宋体" w:hAnsi="宋体" w:cs="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vAlign w:val="center"/>
          </w:tcPr>
          <w:p>
            <w:pPr>
              <w:jc w:val="center"/>
              <w:rPr>
                <w:rFonts w:hint="eastAsia" w:ascii="宋体" w:hAnsi="宋体" w:cs="宋体"/>
              </w:rPr>
            </w:pPr>
            <w:r>
              <w:rPr>
                <w:rFonts w:hint="eastAsia" w:ascii="宋体" w:hAnsi="宋体" w:cs="宋体"/>
              </w:rPr>
              <w:t>10</w:t>
            </w:r>
          </w:p>
        </w:tc>
        <w:tc>
          <w:tcPr>
            <w:tcW w:w="2160" w:type="dxa"/>
            <w:vAlign w:val="center"/>
          </w:tcPr>
          <w:p>
            <w:pPr>
              <w:rPr>
                <w:rFonts w:hint="eastAsia" w:ascii="宋体" w:hAnsi="宋体" w:cs="宋体"/>
              </w:rPr>
            </w:pPr>
            <w:r>
              <w:rPr>
                <w:rFonts w:hint="eastAsia" w:ascii="宋体" w:hAnsi="宋体" w:cs="宋体"/>
              </w:rPr>
              <w:t>履约保证金</w:t>
            </w:r>
          </w:p>
        </w:tc>
        <w:tc>
          <w:tcPr>
            <w:tcW w:w="5400" w:type="dxa"/>
            <w:vAlign w:val="center"/>
          </w:tcPr>
          <w:p>
            <w:pPr>
              <w:pStyle w:val="23"/>
              <w:jc w:val="both"/>
              <w:rPr>
                <w:rFonts w:hint="eastAsia" w:hAnsi="宋体"/>
                <w:color w:val="auto"/>
                <w:sz w:val="21"/>
                <w:szCs w:val="21"/>
              </w:rPr>
            </w:pPr>
            <w:r>
              <w:rPr>
                <w:rFonts w:hint="eastAsia" w:hAnsi="宋体"/>
                <w:color w:val="auto"/>
                <w:sz w:val="21"/>
                <w:szCs w:val="21"/>
              </w:rPr>
              <w:t xml:space="preserve">■不提交 □提交 </w:t>
            </w:r>
          </w:p>
          <w:p>
            <w:pPr>
              <w:pStyle w:val="23"/>
              <w:jc w:val="both"/>
              <w:rPr>
                <w:rFonts w:hint="eastAsia" w:hAnsi="宋体"/>
                <w:color w:val="auto"/>
                <w:sz w:val="21"/>
                <w:szCs w:val="21"/>
              </w:rPr>
            </w:pPr>
            <w:r>
              <w:rPr>
                <w:rFonts w:hint="eastAsia" w:hAnsi="宋体"/>
                <w:color w:val="auto"/>
                <w:sz w:val="21"/>
                <w:szCs w:val="21"/>
              </w:rPr>
              <w:t>担保金额：为中标价的</w:t>
            </w:r>
            <w:r>
              <w:rPr>
                <w:rFonts w:hint="eastAsia" w:hAnsi="宋体"/>
                <w:color w:val="auto"/>
                <w:sz w:val="21"/>
                <w:szCs w:val="21"/>
                <w:u w:val="single"/>
              </w:rPr>
              <w:t xml:space="preserve">   </w:t>
            </w:r>
            <w:r>
              <w:rPr>
                <w:rFonts w:hint="eastAsia" w:hAnsi="宋体"/>
                <w:color w:val="auto"/>
                <w:sz w:val="21"/>
                <w:szCs w:val="21"/>
              </w:rPr>
              <w:t xml:space="preserve">% </w:t>
            </w:r>
          </w:p>
          <w:p>
            <w:pPr>
              <w:pStyle w:val="23"/>
              <w:jc w:val="both"/>
              <w:rPr>
                <w:rFonts w:hint="eastAsia" w:hAnsi="宋体"/>
                <w:color w:val="auto"/>
                <w:sz w:val="21"/>
                <w:szCs w:val="21"/>
              </w:rPr>
            </w:pPr>
            <w:r>
              <w:rPr>
                <w:rFonts w:hint="eastAsia" w:hAnsi="宋体"/>
                <w:color w:val="auto"/>
                <w:sz w:val="21"/>
                <w:szCs w:val="21"/>
              </w:rPr>
              <w:t xml:space="preserve">担保形式：银行保函 </w:t>
            </w:r>
          </w:p>
          <w:p>
            <w:pPr>
              <w:rPr>
                <w:rFonts w:hint="eastAsia" w:ascii="宋体" w:hAnsi="宋体" w:cs="宋体"/>
              </w:rPr>
            </w:pPr>
            <w:r>
              <w:rPr>
                <w:rFonts w:hint="eastAsia" w:ascii="宋体" w:hAnsi="宋体" w:cs="宋体"/>
                <w:szCs w:val="21"/>
              </w:rPr>
              <w:t>担保提交时间：收到中标通知书后，签订合同时提交。</w:t>
            </w:r>
          </w:p>
        </w:tc>
      </w:tr>
    </w:tbl>
    <w:p>
      <w:pPr>
        <w:rPr>
          <w:rFonts w:hint="eastAsia" w:ascii="宋体" w:hAnsi="宋体" w:cs="宋体"/>
          <w:szCs w:val="21"/>
        </w:rPr>
      </w:pPr>
      <w:r>
        <w:rPr>
          <w:rFonts w:hint="eastAsia" w:ascii="宋体" w:hAnsi="宋体" w:cs="宋体"/>
          <w:szCs w:val="21"/>
        </w:rPr>
        <w:t>备注：本表为通用条款相关内容的补充和明确，如与通用条款相冲突的以本表为准。</w:t>
      </w:r>
    </w:p>
    <w:p>
      <w:pPr>
        <w:widowControl/>
        <w:tabs>
          <w:tab w:val="left" w:pos="426"/>
        </w:tabs>
        <w:jc w:val="center"/>
        <w:rPr>
          <w:rFonts w:hint="eastAsia" w:ascii="宋体" w:hAnsi="宋体" w:cs="宋体"/>
          <w:b/>
          <w:kern w:val="0"/>
          <w:sz w:val="28"/>
          <w:szCs w:val="28"/>
        </w:rPr>
      </w:pPr>
      <w:bookmarkStart w:id="2" w:name="工程技术要求"/>
      <w:bookmarkStart w:id="3" w:name="_Toc77407614"/>
    </w:p>
    <w:p>
      <w:pPr>
        <w:pStyle w:val="4"/>
        <w:spacing w:before="156" w:beforeLines="50" w:after="156" w:afterLines="50"/>
        <w:rPr>
          <w:rFonts w:hint="eastAsia" w:cs="宋体"/>
          <w:szCs w:val="24"/>
        </w:rPr>
      </w:pPr>
      <w:r>
        <w:rPr>
          <w:rFonts w:hint="eastAsia" w:cs="宋体"/>
          <w:szCs w:val="24"/>
        </w:rPr>
        <w:t>二、其他关键信息</w:t>
      </w:r>
    </w:p>
    <w:p>
      <w:pPr>
        <w:ind w:firstLine="422" w:firstLineChars="200"/>
        <w:rPr>
          <w:rFonts w:hint="eastAsia" w:ascii="宋体" w:hAnsi="宋体" w:cs="宋体"/>
          <w:b/>
          <w:bCs/>
        </w:rPr>
      </w:pPr>
      <w:r>
        <w:rPr>
          <w:rFonts w:hint="eastAsia" w:ascii="宋体" w:hAnsi="宋体" w:cs="宋体"/>
          <w:b/>
          <w:bCs/>
        </w:rPr>
        <w:t>（一）与“对通用条款的补充内容”章节相关的事项</w:t>
      </w:r>
    </w:p>
    <w:p>
      <w:pPr>
        <w:widowControl/>
        <w:ind w:firstLine="480"/>
        <w:jc w:val="left"/>
        <w:rPr>
          <w:rFonts w:hint="eastAsia" w:ascii="宋体" w:hAnsi="宋体" w:cs="宋体"/>
          <w:color w:val="000000"/>
          <w:kern w:val="0"/>
          <w:sz w:val="24"/>
        </w:rPr>
      </w:pPr>
      <w:bookmarkStart w:id="4" w:name="_Hlk72579465"/>
      <w:r>
        <w:rPr>
          <w:rFonts w:hint="eastAsia" w:ascii="宋体" w:hAnsi="宋体" w:cs="宋体"/>
          <w:color w:val="000000"/>
          <w:kern w:val="0"/>
          <w:sz w:val="24"/>
        </w:rPr>
        <w:t>无</w:t>
      </w:r>
    </w:p>
    <w:p>
      <w:pPr>
        <w:widowControl/>
        <w:ind w:firstLine="480"/>
        <w:jc w:val="left"/>
        <w:rPr>
          <w:rFonts w:hint="eastAsia" w:ascii="宋体" w:hAnsi="宋体" w:cs="宋体"/>
          <w:color w:val="FF0000"/>
          <w:kern w:val="0"/>
          <w:sz w:val="24"/>
        </w:rPr>
      </w:pPr>
    </w:p>
    <w:bookmarkEnd w:id="4"/>
    <w:p>
      <w:pPr>
        <w:ind w:firstLine="482" w:firstLineChars="200"/>
        <w:rPr>
          <w:rFonts w:hint="eastAsia" w:ascii="宋体" w:hAnsi="宋体" w:cs="宋体"/>
          <w:b/>
          <w:bCs/>
          <w:sz w:val="24"/>
        </w:rPr>
      </w:pPr>
      <w:r>
        <w:rPr>
          <w:rFonts w:hint="eastAsia" w:ascii="宋体" w:hAnsi="宋体" w:cs="宋体"/>
          <w:b/>
          <w:sz w:val="24"/>
        </w:rPr>
        <w:t>（二）其他事项</w:t>
      </w:r>
    </w:p>
    <w:p>
      <w:pPr>
        <w:ind w:firstLine="480" w:firstLineChars="200"/>
        <w:rPr>
          <w:rFonts w:hint="eastAsia" w:ascii="宋体" w:hAnsi="宋体" w:cs="宋体"/>
          <w:sz w:val="24"/>
        </w:rPr>
      </w:pPr>
      <w:r>
        <w:rPr>
          <w:rFonts w:hint="eastAsia" w:ascii="宋体" w:hAnsi="宋体" w:cs="宋体"/>
          <w:sz w:val="24"/>
        </w:rPr>
        <w:t>1、关于享受优惠政策的主体及价格扣除比例</w:t>
      </w:r>
    </w:p>
    <w:p>
      <w:pPr>
        <w:ind w:firstLine="480" w:firstLineChars="200"/>
        <w:rPr>
          <w:rFonts w:hint="eastAsia" w:ascii="宋体" w:hAnsi="宋体" w:cs="宋体"/>
          <w:sz w:val="24"/>
        </w:rPr>
      </w:pPr>
      <w:r>
        <w:rPr>
          <w:rFonts w:hint="eastAsia" w:ascii="宋体" w:hAnsi="宋体" w:cs="宋体"/>
          <w:sz w:val="24"/>
          <w:highlight w:val="yellow"/>
        </w:rPr>
        <w:t>（1）投标人提供的服务全部均由优惠主体承接，则对其投标总价给予</w:t>
      </w:r>
      <w:r>
        <w:rPr>
          <w:rFonts w:hint="eastAsia" w:ascii="宋体" w:hAnsi="宋体" w:cs="宋体"/>
          <w:b/>
          <w:bCs/>
          <w:color w:val="0000FF"/>
          <w:sz w:val="24"/>
          <w:highlight w:val="yellow"/>
          <w:u w:val="single"/>
        </w:rPr>
        <w:t>10%</w:t>
      </w:r>
      <w:r>
        <w:rPr>
          <w:rFonts w:hint="eastAsia" w:ascii="宋体" w:hAnsi="宋体" w:cs="宋体"/>
          <w:sz w:val="24"/>
          <w:highlight w:val="yellow"/>
        </w:rPr>
        <w:t>的扣除，用扣除后的价格参与评审。满足多项优惠政策的企业，不重复享受多项价格扣除政策。</w:t>
      </w:r>
    </w:p>
    <w:p>
      <w:pPr>
        <w:ind w:firstLine="480" w:firstLineChars="200"/>
        <w:rPr>
          <w:rFonts w:hint="eastAsia" w:ascii="宋体" w:hAnsi="宋体" w:cs="宋体"/>
          <w:sz w:val="24"/>
        </w:rPr>
      </w:pPr>
      <w:r>
        <w:rPr>
          <w:rFonts w:hint="eastAsia" w:ascii="宋体" w:hAnsi="宋体" w:cs="宋体"/>
          <w:sz w:val="24"/>
        </w:rPr>
        <w:t>备注：（a）优惠主体包括小型企业、微型企业、监狱企业、残疾人福利性单位；中小企业是指在中华人民共和国境内依法设立，依据国务院批准的</w:t>
      </w:r>
      <w:bookmarkStart w:id="5" w:name="_Hlk81319386"/>
      <w:r>
        <w:rPr>
          <w:rFonts w:hint="eastAsia" w:ascii="宋体" w:hAnsi="宋体" w:cs="宋体"/>
          <w:sz w:val="24"/>
        </w:rPr>
        <w:t>中小企业</w:t>
      </w:r>
      <w:bookmarkEnd w:id="5"/>
      <w:r>
        <w:rPr>
          <w:rFonts w:hint="eastAsia" w:ascii="宋体" w:hAnsi="宋体" w:cs="宋体"/>
          <w:sz w:val="24"/>
        </w:rPr>
        <w:t>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ind w:firstLine="480" w:firstLineChars="200"/>
        <w:rPr>
          <w:rFonts w:hint="eastAsia" w:ascii="宋体" w:hAnsi="宋体" w:cs="宋体"/>
          <w:color w:val="FF0000"/>
          <w:sz w:val="24"/>
        </w:rPr>
      </w:pPr>
      <w:r>
        <w:rPr>
          <w:rFonts w:hint="eastAsia" w:ascii="宋体" w:hAnsi="宋体" w:cs="宋体"/>
          <w:sz w:val="24"/>
        </w:rPr>
        <w:t>（2）根据《工业和信息化部、国家统计局、国家发展和改革委员会、财政部关于印发中小企业划型标准规定的通知》（工信部联企业〔2011〕300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cs="宋体"/>
          <w:b/>
          <w:bCs/>
          <w:color w:val="0000FF"/>
          <w:sz w:val="24"/>
          <w:u w:val="single"/>
        </w:rPr>
        <w:t>其他未列明行业。</w:t>
      </w:r>
    </w:p>
    <w:p>
      <w:pPr>
        <w:ind w:firstLine="480" w:firstLineChars="200"/>
        <w:rPr>
          <w:rFonts w:hint="eastAsia" w:ascii="宋体" w:hAnsi="宋体" w:cs="宋体"/>
          <w:sz w:val="24"/>
        </w:rPr>
      </w:pPr>
      <w:r>
        <w:rPr>
          <w:rFonts w:hint="eastAsia" w:ascii="宋体" w:hAnsi="宋体" w:cs="宋体"/>
          <w:sz w:val="24"/>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投标人情况及资格证明文件”章节提供的格式）。</w:t>
      </w:r>
    </w:p>
    <w:p>
      <w:pPr>
        <w:ind w:firstLine="480" w:firstLineChars="200"/>
        <w:rPr>
          <w:rFonts w:hint="eastAsia" w:ascii="宋体" w:hAnsi="宋体" w:cs="宋体"/>
          <w:sz w:val="24"/>
        </w:rPr>
      </w:pPr>
      <w:r>
        <w:rPr>
          <w:rFonts w:hint="eastAsia" w:ascii="宋体" w:hAnsi="宋体" w:cs="宋体"/>
          <w:sz w:val="24"/>
        </w:rPr>
        <w:t>（4）享受价格扣除获得政府采购合同的，小微企业不得将合同分包给大中型企业。</w:t>
      </w:r>
    </w:p>
    <w:p>
      <w:pPr>
        <w:spacing w:before="50" w:after="50"/>
        <w:ind w:firstLine="480" w:firstLineChars="200"/>
        <w:rPr>
          <w:rFonts w:hint="eastAsia" w:ascii="宋体" w:hAnsi="宋体" w:cs="宋体"/>
          <w:sz w:val="24"/>
        </w:rPr>
      </w:pPr>
      <w:r>
        <w:rPr>
          <w:rFonts w:hint="eastAsia" w:ascii="宋体" w:hAnsi="宋体" w:cs="宋体"/>
          <w:sz w:val="24"/>
        </w:rPr>
        <w:t>2、中标供应商在领取《中标通知书》之前须向深圳市广得信工程造价咨询有限公司交纳代理服务费。若因中标供应商交纳代理服务费所产生的时间影响到合同签订的，由中标供应商自行承担责任。代理服务费标准参照深财购〔2018〕27号文所列标准收取。本项目类型为</w:t>
      </w:r>
      <w:r>
        <w:rPr>
          <w:rFonts w:hint="eastAsia" w:ascii="宋体" w:hAnsi="宋体" w:cs="宋体"/>
          <w:b/>
          <w:bCs/>
          <w:sz w:val="24"/>
        </w:rPr>
        <w:t>服务类</w:t>
      </w:r>
      <w:r>
        <w:rPr>
          <w:rFonts w:hint="eastAsia" w:ascii="宋体" w:hAnsi="宋体" w:cs="宋体"/>
          <w:sz w:val="24"/>
        </w:rPr>
        <w:t>：</w:t>
      </w:r>
    </w:p>
    <w:p>
      <w:pPr>
        <w:widowControl/>
        <w:ind w:firstLine="480" w:firstLineChars="200"/>
        <w:jc w:val="left"/>
        <w:rPr>
          <w:rFonts w:hint="eastAsia" w:ascii="宋体" w:hAnsi="宋体" w:cs="宋体"/>
          <w:sz w:val="24"/>
        </w:rPr>
      </w:pPr>
      <w:r>
        <w:rPr>
          <w:rFonts w:hint="eastAsia" w:ascii="宋体" w:hAnsi="宋体" w:cs="宋体"/>
          <w:sz w:val="24"/>
        </w:rPr>
        <w:t>（一）代理服务费以《中标通知书》确定的中标金额作为计算基数，按差额定率累进法计算。</w:t>
      </w:r>
    </w:p>
    <w:p>
      <w:pPr>
        <w:widowControl/>
        <w:ind w:firstLine="480" w:firstLineChars="200"/>
        <w:jc w:val="left"/>
        <w:rPr>
          <w:rFonts w:hint="eastAsia" w:ascii="宋体" w:hAnsi="宋体" w:cs="宋体"/>
          <w:sz w:val="24"/>
        </w:rPr>
      </w:pPr>
      <w:r>
        <w:rPr>
          <w:rFonts w:hint="eastAsia" w:ascii="宋体" w:hAnsi="宋体" w:cs="宋体"/>
          <w:sz w:val="24"/>
        </w:rPr>
        <w:t>（二）中标金额的各部分费率如下表：</w:t>
      </w:r>
    </w:p>
    <w:tbl>
      <w:tblPr>
        <w:tblStyle w:val="50"/>
        <w:tblW w:w="7161" w:type="dxa"/>
        <w:jc w:val="center"/>
        <w:tblLayout w:type="fixed"/>
        <w:tblCellMar>
          <w:top w:w="0" w:type="dxa"/>
          <w:left w:w="108" w:type="dxa"/>
          <w:bottom w:w="0" w:type="dxa"/>
          <w:right w:w="108" w:type="dxa"/>
        </w:tblCellMar>
      </w:tblPr>
      <w:tblGrid>
        <w:gridCol w:w="2887"/>
        <w:gridCol w:w="1440"/>
        <w:gridCol w:w="1395"/>
        <w:gridCol w:w="1439"/>
      </w:tblGrid>
      <w:tr>
        <w:tblPrEx>
          <w:tblCellMar>
            <w:top w:w="0" w:type="dxa"/>
            <w:left w:w="108" w:type="dxa"/>
            <w:bottom w:w="0" w:type="dxa"/>
            <w:right w:w="108" w:type="dxa"/>
          </w:tblCellMar>
        </w:tblPrEx>
        <w:trPr>
          <w:trHeight w:val="752" w:hRule="atLeast"/>
          <w:jc w:val="center"/>
        </w:trPr>
        <w:tc>
          <w:tcPr>
            <w:tcW w:w="2887" w:type="dxa"/>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napToGrid w:val="0"/>
              <w:spacing w:before="156" w:beforeLines="50" w:after="156" w:afterLines="50"/>
              <w:ind w:firstLine="1920" w:firstLineChars="800"/>
              <w:jc w:val="left"/>
              <w:rPr>
                <w:rFonts w:hint="eastAsia" w:ascii="宋体" w:hAnsi="宋体" w:cs="宋体"/>
                <w:sz w:val="24"/>
              </w:rPr>
            </w:pPr>
            <w:r>
              <w:rPr>
                <w:rFonts w:hint="eastAsia" w:ascii="宋体" w:hAnsi="宋体" w:cs="宋体"/>
                <w:sz w:val="24"/>
              </w:rPr>
              <w:t>类别</w:t>
            </w:r>
          </w:p>
          <w:p>
            <w:pPr>
              <w:widowControl/>
              <w:snapToGrid w:val="0"/>
              <w:spacing w:before="156" w:beforeLines="50" w:after="156" w:afterLines="50"/>
              <w:jc w:val="left"/>
              <w:rPr>
                <w:rFonts w:hint="eastAsia" w:ascii="宋体" w:hAnsi="宋体" w:cs="宋体"/>
                <w:sz w:val="24"/>
              </w:rPr>
            </w:pPr>
            <w:r>
              <w:rPr>
                <w:rFonts w:hint="eastAsia" w:ascii="宋体" w:hAnsi="宋体" w:cs="宋体"/>
                <w:sz w:val="24"/>
              </w:rPr>
              <w:t>金额(万元)</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工程采购</w:t>
            </w:r>
          </w:p>
        </w:tc>
        <w:tc>
          <w:tcPr>
            <w:tcW w:w="1395" w:type="dxa"/>
            <w:tcBorders>
              <w:top w:val="single" w:color="auto" w:sz="4" w:space="0"/>
              <w:left w:val="nil"/>
              <w:bottom w:val="single" w:color="auto" w:sz="4" w:space="0"/>
              <w:right w:val="single" w:color="auto" w:sz="4" w:space="0"/>
            </w:tcBorders>
            <w:vAlign w:val="center"/>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货物采购</w:t>
            </w:r>
          </w:p>
        </w:tc>
        <w:tc>
          <w:tcPr>
            <w:tcW w:w="1439" w:type="dxa"/>
            <w:tcBorders>
              <w:top w:val="single" w:color="auto" w:sz="4" w:space="0"/>
              <w:left w:val="nil"/>
              <w:bottom w:val="single" w:color="auto" w:sz="4" w:space="0"/>
              <w:right w:val="single" w:color="auto" w:sz="4" w:space="0"/>
            </w:tcBorders>
            <w:vAlign w:val="center"/>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服务采购</w:t>
            </w:r>
          </w:p>
        </w:tc>
      </w:tr>
      <w:tr>
        <w:tblPrEx>
          <w:tblCellMar>
            <w:top w:w="0" w:type="dxa"/>
            <w:left w:w="108" w:type="dxa"/>
            <w:bottom w:w="0" w:type="dxa"/>
            <w:right w:w="108" w:type="dxa"/>
          </w:tblCellMar>
        </w:tblPrEx>
        <w:trPr>
          <w:trHeight w:val="402" w:hRule="atLeast"/>
          <w:jc w:val="center"/>
        </w:trPr>
        <w:tc>
          <w:tcPr>
            <w:tcW w:w="2887" w:type="dxa"/>
            <w:tcBorders>
              <w:top w:val="single" w:color="auto" w:sz="4" w:space="0"/>
              <w:left w:val="single" w:color="auto" w:sz="8" w:space="0"/>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100以下</w:t>
            </w:r>
          </w:p>
        </w:tc>
        <w:tc>
          <w:tcPr>
            <w:tcW w:w="1440"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1.00%</w:t>
            </w:r>
          </w:p>
        </w:tc>
        <w:tc>
          <w:tcPr>
            <w:tcW w:w="1395"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1.50%</w:t>
            </w:r>
          </w:p>
        </w:tc>
        <w:tc>
          <w:tcPr>
            <w:tcW w:w="1439"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1.50%</w:t>
            </w:r>
          </w:p>
        </w:tc>
      </w:tr>
      <w:tr>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100-500</w:t>
            </w:r>
          </w:p>
        </w:tc>
        <w:tc>
          <w:tcPr>
            <w:tcW w:w="1440"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0.70%</w:t>
            </w:r>
          </w:p>
        </w:tc>
        <w:tc>
          <w:tcPr>
            <w:tcW w:w="1395"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1.10%</w:t>
            </w:r>
          </w:p>
        </w:tc>
        <w:tc>
          <w:tcPr>
            <w:tcW w:w="1439"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0.80%</w:t>
            </w:r>
          </w:p>
        </w:tc>
      </w:tr>
      <w:tr>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500-1000</w:t>
            </w:r>
          </w:p>
        </w:tc>
        <w:tc>
          <w:tcPr>
            <w:tcW w:w="1440"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0.55%</w:t>
            </w:r>
          </w:p>
        </w:tc>
        <w:tc>
          <w:tcPr>
            <w:tcW w:w="1395"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0.80%</w:t>
            </w:r>
          </w:p>
        </w:tc>
        <w:tc>
          <w:tcPr>
            <w:tcW w:w="1439" w:type="dxa"/>
            <w:tcBorders>
              <w:top w:val="nil"/>
              <w:left w:val="nil"/>
              <w:bottom w:val="single" w:color="auto" w:sz="8" w:space="0"/>
              <w:right w:val="single" w:color="auto" w:sz="8" w:space="0"/>
            </w:tcBorders>
          </w:tcPr>
          <w:p>
            <w:pPr>
              <w:widowControl/>
              <w:snapToGrid w:val="0"/>
              <w:spacing w:before="156" w:beforeLines="50" w:after="156" w:afterLines="50"/>
              <w:jc w:val="center"/>
              <w:rPr>
                <w:rFonts w:hint="eastAsia" w:ascii="宋体" w:hAnsi="宋体" w:cs="宋体"/>
                <w:sz w:val="24"/>
              </w:rPr>
            </w:pPr>
            <w:r>
              <w:rPr>
                <w:rFonts w:hint="eastAsia" w:ascii="宋体" w:hAnsi="宋体" w:cs="宋体"/>
                <w:sz w:val="24"/>
              </w:rPr>
              <w:t>0.45%</w:t>
            </w:r>
          </w:p>
        </w:tc>
      </w:tr>
    </w:tbl>
    <w:p>
      <w:pPr>
        <w:widowControl/>
        <w:ind w:firstLine="480" w:firstLineChars="200"/>
        <w:jc w:val="left"/>
        <w:rPr>
          <w:rFonts w:hint="eastAsia" w:ascii="宋体" w:hAnsi="宋体" w:cs="宋体"/>
          <w:sz w:val="24"/>
        </w:rPr>
      </w:pPr>
    </w:p>
    <w:p>
      <w:pPr>
        <w:widowControl/>
        <w:ind w:firstLine="480" w:firstLineChars="200"/>
        <w:jc w:val="left"/>
        <w:rPr>
          <w:rFonts w:hint="eastAsia" w:ascii="宋体" w:hAnsi="宋体" w:cs="宋体"/>
          <w:sz w:val="24"/>
        </w:rPr>
      </w:pPr>
      <w:r>
        <w:rPr>
          <w:rFonts w:hint="eastAsia" w:ascii="宋体" w:hAnsi="宋体" w:cs="宋体"/>
          <w:sz w:val="24"/>
        </w:rPr>
        <w:t>如某货物采购项目，中标金额为600万元，总共交纳的代理服务费的具体计算过程如下：</w:t>
      </w:r>
    </w:p>
    <w:p>
      <w:pPr>
        <w:widowControl/>
        <w:ind w:firstLine="480" w:firstLineChars="200"/>
        <w:jc w:val="left"/>
        <w:rPr>
          <w:rFonts w:hint="eastAsia" w:ascii="宋体" w:hAnsi="宋体" w:cs="宋体"/>
          <w:sz w:val="24"/>
        </w:rPr>
      </w:pPr>
      <w:r>
        <w:rPr>
          <w:rFonts w:hint="eastAsia" w:ascii="宋体" w:hAnsi="宋体" w:cs="宋体"/>
          <w:sz w:val="24"/>
        </w:rPr>
        <w:t>标准代理服务费＝（100万以下部分的代理服务费）+（100万～500万部分的代理服务费）+（500万～600万部分的代理服务费）＝100万元×1.5%+（500-100）万元×1.1%+（600-500）万元×0.8%=1.5万元+4.4万元+0.8万元＝6.7万元</w:t>
      </w:r>
    </w:p>
    <w:p>
      <w:pPr>
        <w:ind w:firstLine="480" w:firstLineChars="200"/>
        <w:rPr>
          <w:rFonts w:hint="eastAsia" w:ascii="宋体" w:hAnsi="宋体" w:cs="宋体"/>
          <w:color w:val="FF0000"/>
          <w:sz w:val="24"/>
        </w:rPr>
      </w:pPr>
      <w:r>
        <w:rPr>
          <w:rFonts w:hint="eastAsia" w:ascii="宋体" w:hAnsi="宋体" w:cs="宋体"/>
          <w:sz w:val="24"/>
        </w:rPr>
        <w:t>每宗交易代理服务费不低于6000元。</w:t>
      </w:r>
    </w:p>
    <w:p>
      <w:pPr>
        <w:widowControl/>
        <w:ind w:firstLine="480" w:firstLineChars="200"/>
        <w:jc w:val="left"/>
        <w:rPr>
          <w:rFonts w:hint="eastAsia" w:ascii="宋体" w:hAnsi="宋体" w:cs="宋体"/>
          <w:sz w:val="24"/>
        </w:rPr>
      </w:pPr>
      <w:r>
        <w:rPr>
          <w:rFonts w:hint="eastAsia" w:ascii="宋体" w:hAnsi="宋体" w:cs="宋体"/>
          <w:sz w:val="24"/>
        </w:rPr>
        <w:t>（三）中标供应商中标后，必须按规定采用银行对公转账方式向深圳市广得信工程造价咨询有限公司直接交纳代理服务费，交纳信息及要求按以下规定执行：</w:t>
      </w:r>
    </w:p>
    <w:p>
      <w:pPr>
        <w:widowControl/>
        <w:ind w:firstLine="482" w:firstLineChars="200"/>
        <w:jc w:val="left"/>
        <w:rPr>
          <w:rFonts w:hint="eastAsia" w:ascii="宋体" w:hAnsi="宋体" w:cs="宋体"/>
          <w:b/>
          <w:bCs/>
          <w:sz w:val="24"/>
        </w:rPr>
      </w:pPr>
      <w:r>
        <w:rPr>
          <w:rFonts w:hint="eastAsia" w:ascii="宋体" w:hAnsi="宋体" w:cs="宋体"/>
          <w:b/>
          <w:bCs/>
          <w:sz w:val="24"/>
        </w:rPr>
        <w:t>中标服务费缴纳至：</w:t>
      </w:r>
    </w:p>
    <w:p>
      <w:pPr>
        <w:widowControl/>
        <w:ind w:firstLine="480" w:firstLineChars="200"/>
        <w:jc w:val="left"/>
        <w:rPr>
          <w:rFonts w:hint="eastAsia" w:ascii="宋体" w:hAnsi="宋体" w:cs="宋体"/>
          <w:sz w:val="24"/>
        </w:rPr>
      </w:pPr>
      <w:r>
        <w:rPr>
          <w:rFonts w:hint="eastAsia" w:ascii="宋体" w:hAnsi="宋体" w:cs="宋体"/>
          <w:sz w:val="24"/>
        </w:rPr>
        <w:t>开户名称：深圳市广得信工程造价咨询有限公司</w:t>
      </w:r>
    </w:p>
    <w:p>
      <w:pPr>
        <w:widowControl/>
        <w:ind w:firstLine="480" w:firstLineChars="200"/>
        <w:jc w:val="left"/>
        <w:rPr>
          <w:rFonts w:hint="eastAsia" w:ascii="宋体" w:hAnsi="宋体" w:cs="宋体"/>
          <w:sz w:val="24"/>
        </w:rPr>
      </w:pPr>
      <w:r>
        <w:rPr>
          <w:rFonts w:hint="eastAsia" w:ascii="宋体" w:hAnsi="宋体" w:cs="宋体"/>
          <w:sz w:val="24"/>
        </w:rPr>
        <w:t>银行帐号：4000025109201798117</w:t>
      </w:r>
    </w:p>
    <w:p>
      <w:pPr>
        <w:widowControl/>
        <w:ind w:firstLine="480" w:firstLineChars="200"/>
        <w:jc w:val="left"/>
        <w:rPr>
          <w:rFonts w:hint="eastAsia" w:ascii="宋体" w:hAnsi="宋体" w:cs="宋体"/>
          <w:sz w:val="24"/>
        </w:rPr>
      </w:pPr>
      <w:r>
        <w:rPr>
          <w:rFonts w:hint="eastAsia" w:ascii="宋体" w:hAnsi="宋体" w:cs="宋体"/>
          <w:sz w:val="24"/>
        </w:rPr>
        <w:t>开户银行：工商银行深圳荣德支行</w:t>
      </w:r>
    </w:p>
    <w:p>
      <w:pPr>
        <w:ind w:firstLine="482" w:firstLineChars="200"/>
        <w:rPr>
          <w:rFonts w:hint="eastAsia" w:ascii="宋体" w:hAnsi="宋体" w:cs="宋体"/>
          <w:szCs w:val="21"/>
        </w:rPr>
      </w:pPr>
      <w:r>
        <w:rPr>
          <w:rFonts w:hint="eastAsia" w:ascii="宋体" w:hAnsi="宋体" w:cs="宋体"/>
          <w:b/>
          <w:bCs/>
          <w:sz w:val="24"/>
        </w:rPr>
        <w:t>转账备注：</w:t>
      </w:r>
      <w:r>
        <w:rPr>
          <w:rFonts w:hint="eastAsia" w:ascii="宋体" w:hAnsi="宋体" w:cs="宋体"/>
          <w:sz w:val="24"/>
        </w:rPr>
        <w:t>项目名称</w:t>
      </w:r>
    </w:p>
    <w:p>
      <w:pPr>
        <w:pStyle w:val="2"/>
        <w:jc w:val="center"/>
        <w:rPr>
          <w:rFonts w:hint="eastAsia" w:ascii="宋体" w:hAnsi="宋体" w:cs="宋体"/>
          <w:b w:val="0"/>
          <w:kern w:val="0"/>
          <w:sz w:val="28"/>
          <w:szCs w:val="28"/>
        </w:rPr>
      </w:pPr>
      <w:r>
        <w:rPr>
          <w:rFonts w:hint="eastAsia" w:ascii="宋体" w:hAnsi="宋体" w:cs="宋体"/>
        </w:rPr>
        <w:br w:type="page"/>
      </w:r>
      <w:r>
        <w:rPr>
          <w:rFonts w:hint="eastAsia" w:ascii="宋体" w:hAnsi="宋体" w:cs="宋体"/>
          <w:sz w:val="28"/>
          <w:szCs w:val="28"/>
        </w:rPr>
        <w:t>第三章 招标项目需求</w:t>
      </w:r>
    </w:p>
    <w:p>
      <w:pPr>
        <w:pStyle w:val="4"/>
        <w:spacing w:before="156" w:beforeLines="50" w:after="156" w:afterLines="50"/>
        <w:rPr>
          <w:rFonts w:hint="eastAsia" w:cs="宋体"/>
          <w:bCs w:val="0"/>
          <w:kern w:val="2"/>
          <w:szCs w:val="24"/>
        </w:rPr>
      </w:pPr>
      <w:bookmarkStart w:id="6" w:name="_Toc222480773"/>
      <w:bookmarkStart w:id="7" w:name="_Toc222480778"/>
      <w:bookmarkStart w:id="8" w:name="_Toc222751161"/>
      <w:bookmarkStart w:id="9" w:name="_Toc354571431"/>
      <w:bookmarkStart w:id="10" w:name="_Toc283323487"/>
      <w:bookmarkStart w:id="11" w:name="_Toc269225695"/>
      <w:bookmarkStart w:id="12" w:name="_Toc222751156"/>
      <w:r>
        <w:rPr>
          <w:rFonts w:hint="eastAsia" w:cs="宋体"/>
          <w:bCs w:val="0"/>
          <w:kern w:val="2"/>
          <w:szCs w:val="24"/>
        </w:rPr>
        <w:t>一、实质性条款</w:t>
      </w:r>
    </w:p>
    <w:tbl>
      <w:tblPr>
        <w:tblStyle w:val="5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9" w:type="dxa"/>
            <w:vAlign w:val="center"/>
          </w:tcPr>
          <w:p>
            <w:pPr>
              <w:jc w:val="center"/>
              <w:rPr>
                <w:rFonts w:hint="eastAsia" w:ascii="宋体" w:hAnsi="宋体" w:cs="宋体"/>
                <w:bCs/>
                <w:sz w:val="24"/>
              </w:rPr>
            </w:pPr>
            <w:r>
              <w:rPr>
                <w:rFonts w:hint="eastAsia" w:ascii="宋体" w:hAnsi="宋体" w:cs="宋体"/>
                <w:bCs/>
                <w:sz w:val="24"/>
              </w:rPr>
              <w:t>序号</w:t>
            </w:r>
          </w:p>
        </w:tc>
        <w:tc>
          <w:tcPr>
            <w:tcW w:w="6819" w:type="dxa"/>
            <w:vAlign w:val="center"/>
          </w:tcPr>
          <w:p>
            <w:pPr>
              <w:jc w:val="center"/>
              <w:rPr>
                <w:rFonts w:hint="eastAsia" w:ascii="宋体" w:hAnsi="宋体" w:cs="宋体"/>
                <w:bCs/>
                <w:sz w:val="24"/>
              </w:rPr>
            </w:pPr>
            <w:r>
              <w:rPr>
                <w:rFonts w:hint="eastAsia" w:ascii="宋体" w:hAnsi="宋体" w:cs="宋体"/>
                <w:bCs/>
                <w:sz w:val="24"/>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9" w:type="dxa"/>
            <w:vAlign w:val="center"/>
          </w:tcPr>
          <w:p>
            <w:pPr>
              <w:jc w:val="center"/>
              <w:rPr>
                <w:rFonts w:hint="eastAsia" w:ascii="宋体" w:hAnsi="宋体" w:cs="宋体"/>
                <w:bCs/>
                <w:sz w:val="24"/>
              </w:rPr>
            </w:pPr>
            <w:r>
              <w:rPr>
                <w:rFonts w:hint="eastAsia" w:ascii="宋体" w:hAnsi="宋体" w:cs="宋体"/>
                <w:bCs/>
                <w:sz w:val="24"/>
              </w:rPr>
              <w:t>1</w:t>
            </w:r>
          </w:p>
        </w:tc>
        <w:tc>
          <w:tcPr>
            <w:tcW w:w="6819" w:type="dxa"/>
            <w:vAlign w:val="center"/>
          </w:tcPr>
          <w:p>
            <w:pPr>
              <w:jc w:val="center"/>
              <w:rPr>
                <w:rFonts w:hint="eastAsia" w:ascii="宋体" w:hAnsi="宋体" w:cs="宋体"/>
                <w:bCs/>
                <w:sz w:val="24"/>
              </w:rPr>
            </w:pPr>
            <w:r>
              <w:rPr>
                <w:rFonts w:hint="eastAsia" w:ascii="宋体" w:hAnsi="宋体" w:cs="宋体"/>
                <w:bCs/>
                <w:sz w:val="24"/>
              </w:rPr>
              <w:t>招标文件规定的带★部分</w:t>
            </w:r>
          </w:p>
        </w:tc>
      </w:tr>
    </w:tbl>
    <w:p>
      <w:pPr>
        <w:ind w:firstLine="482" w:firstLineChars="200"/>
        <w:rPr>
          <w:rFonts w:hint="eastAsia" w:ascii="宋体" w:hAnsi="宋体" w:cs="宋体"/>
          <w:b/>
          <w:bCs/>
          <w:sz w:val="24"/>
        </w:rPr>
      </w:pPr>
    </w:p>
    <w:p>
      <w:pPr>
        <w:ind w:firstLine="482" w:firstLineChars="200"/>
        <w:rPr>
          <w:rFonts w:hint="eastAsia" w:ascii="宋体" w:hAnsi="宋体" w:cs="宋体"/>
          <w:b/>
          <w:bCs/>
          <w:sz w:val="24"/>
        </w:rPr>
      </w:pPr>
      <w:r>
        <w:rPr>
          <w:rFonts w:hint="eastAsia" w:ascii="宋体" w:hAnsi="宋体" w:cs="宋体"/>
          <w:b/>
          <w:bCs/>
          <w:sz w:val="24"/>
        </w:rPr>
        <w:t>注：上表所列内容为不可负偏离条款，负偏离将视为未实质性满足招标文件要求和条件作投标无效处理。</w:t>
      </w:r>
    </w:p>
    <w:p>
      <w:pPr>
        <w:widowControl/>
        <w:spacing w:line="360" w:lineRule="exact"/>
        <w:jc w:val="center"/>
        <w:outlineLvl w:val="2"/>
        <w:rPr>
          <w:rStyle w:val="134"/>
          <w:rFonts w:hint="eastAsia" w:cs="宋体"/>
          <w:color w:val="000000"/>
        </w:rPr>
      </w:pPr>
    </w:p>
    <w:p>
      <w:pPr>
        <w:pStyle w:val="5"/>
        <w:jc w:val="center"/>
        <w:rPr>
          <w:rFonts w:hint="eastAsia" w:cs="宋体"/>
          <w:bCs w:val="0"/>
          <w:sz w:val="24"/>
          <w:szCs w:val="24"/>
        </w:rPr>
      </w:pPr>
      <w:r>
        <w:rPr>
          <w:rFonts w:hint="eastAsia" w:cs="宋体"/>
          <w:bCs w:val="0"/>
          <w:sz w:val="24"/>
          <w:szCs w:val="24"/>
        </w:rPr>
        <w:t>二、</w:t>
      </w:r>
      <w:bookmarkStart w:id="13" w:name="_Hlk72073432"/>
      <w:r>
        <w:rPr>
          <w:rFonts w:hint="eastAsia" w:cs="宋体"/>
          <w:bCs w:val="0"/>
          <w:sz w:val="24"/>
          <w:szCs w:val="24"/>
        </w:rPr>
        <w:t>服务需求</w:t>
      </w:r>
      <w:bookmarkEnd w:id="13"/>
    </w:p>
    <w:tbl>
      <w:tblPr>
        <w:tblStyle w:val="5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5" w:type="dxa"/>
            <w:vAlign w:val="center"/>
          </w:tcPr>
          <w:p>
            <w:pPr>
              <w:spacing w:line="480" w:lineRule="exact"/>
              <w:ind w:firstLine="480" w:firstLineChars="200"/>
              <w:rPr>
                <w:rFonts w:hint="eastAsia" w:ascii="宋体" w:hAnsi="宋体" w:cs="宋体"/>
                <w:sz w:val="24"/>
              </w:rPr>
            </w:pPr>
            <w:r>
              <w:rPr>
                <w:rFonts w:hint="eastAsia" w:ascii="宋体" w:hAnsi="宋体" w:cs="宋体"/>
                <w:sz w:val="24"/>
              </w:rPr>
              <w:t>（一）项目基本情况</w:t>
            </w:r>
          </w:p>
          <w:p>
            <w:pPr>
              <w:spacing w:line="48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1.基本情况</w:t>
            </w:r>
          </w:p>
          <w:p>
            <w:pPr>
              <w:spacing w:line="360" w:lineRule="auto"/>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根据区爱卫办开展病媒生物统一灭蚊消杀的要求，2026年需持续开展“除四害”消杀行动。经现场排查核实，盐田区有9宗国有储备地块(面积为28,262.99</w:t>
            </w:r>
            <w:r>
              <w:rPr>
                <w:rFonts w:hint="eastAsia" w:ascii="宋体" w:hAnsi="宋体" w:cs="宋体"/>
                <w:sz w:val="24"/>
                <w:lang w:val="en-US" w:eastAsia="zh-CN"/>
              </w:rPr>
              <w:t>m2</w:t>
            </w:r>
            <w:r>
              <w:rPr>
                <w:rFonts w:hint="eastAsia" w:ascii="宋体" w:hAnsi="宋体" w:cs="宋体"/>
                <w:b w:val="0"/>
                <w:bCs w:val="0"/>
                <w:color w:val="auto"/>
                <w:sz w:val="24"/>
                <w:highlight w:val="none"/>
              </w:rPr>
              <w:t>)需要进行“除四害”消杀。每月消杀4次。</w:t>
            </w:r>
          </w:p>
          <w:p>
            <w:pPr>
              <w:spacing w:line="48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2.预算金额</w:t>
            </w:r>
          </w:p>
          <w:p>
            <w:pPr>
              <w:spacing w:line="48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国有储备地除“四害”消杀费用总预算不超过339,155.88 元，消杀单价不超过0.25元/平方米/次。在消杀项目实施过程中，如消杀面积发生变化，另行签订补充协议，根据中标价据实结算。</w:t>
            </w:r>
          </w:p>
          <w:p>
            <w:pPr>
              <w:spacing w:line="480" w:lineRule="exact"/>
              <w:ind w:firstLine="480" w:firstLineChars="200"/>
              <w:rPr>
                <w:rFonts w:hint="eastAsia" w:ascii="宋体" w:hAnsi="宋体" w:cs="宋体"/>
                <w:sz w:val="24"/>
              </w:rPr>
            </w:pPr>
            <w:r>
              <w:rPr>
                <w:rFonts w:hint="eastAsia" w:ascii="宋体" w:hAnsi="宋体" w:cs="宋体"/>
                <w:b w:val="0"/>
                <w:bCs w:val="0"/>
                <w:color w:val="auto"/>
                <w:sz w:val="24"/>
                <w:highlight w:val="none"/>
              </w:rPr>
              <w:t>（二）服务范围和内容</w:t>
            </w:r>
          </w:p>
          <w:p>
            <w:pPr>
              <w:spacing w:line="480" w:lineRule="exact"/>
              <w:ind w:firstLine="480" w:firstLineChars="200"/>
              <w:rPr>
                <w:rFonts w:hint="eastAsia" w:ascii="宋体" w:hAnsi="宋体" w:cs="宋体"/>
                <w:sz w:val="24"/>
              </w:rPr>
            </w:pPr>
            <w:r>
              <w:rPr>
                <w:rFonts w:hint="eastAsia" w:ascii="宋体" w:hAnsi="宋体" w:cs="宋体"/>
                <w:sz w:val="24"/>
              </w:rPr>
              <w:t>服务区域：盐田区。</w:t>
            </w:r>
          </w:p>
          <w:p>
            <w:pPr>
              <w:spacing w:line="480" w:lineRule="exact"/>
              <w:ind w:firstLine="480" w:firstLineChars="200"/>
              <w:rPr>
                <w:rFonts w:hint="eastAsia" w:ascii="宋体" w:hAnsi="宋体" w:cs="宋体"/>
                <w:sz w:val="24"/>
              </w:rPr>
            </w:pPr>
            <w:r>
              <w:rPr>
                <w:rFonts w:hint="eastAsia" w:ascii="宋体" w:hAnsi="宋体" w:cs="宋体"/>
                <w:sz w:val="24"/>
              </w:rPr>
              <w:t>服务内容及要求：</w:t>
            </w:r>
          </w:p>
          <w:p>
            <w:pPr>
              <w:spacing w:line="480" w:lineRule="exact"/>
              <w:ind w:firstLine="480" w:firstLineChars="200"/>
              <w:rPr>
                <w:rFonts w:hint="eastAsia" w:ascii="宋体" w:hAnsi="宋体" w:cs="宋体"/>
                <w:sz w:val="24"/>
              </w:rPr>
            </w:pPr>
            <w:r>
              <w:rPr>
                <w:rFonts w:hint="eastAsia" w:ascii="宋体" w:hAnsi="宋体" w:cs="宋体"/>
                <w:sz w:val="24"/>
              </w:rPr>
              <w:t>1.投标单位根据采购人的工作需求，对采购人指定的区域进行重点防治，把病媒生物控制到不危害水平，坚决控制病媒生物蔓延和扩散。</w:t>
            </w:r>
          </w:p>
          <w:p>
            <w:pPr>
              <w:spacing w:line="480" w:lineRule="exact"/>
              <w:ind w:firstLine="480" w:firstLineChars="200"/>
              <w:rPr>
                <w:rFonts w:hint="eastAsia" w:ascii="宋体" w:hAnsi="宋体" w:cs="宋体"/>
                <w:sz w:val="24"/>
              </w:rPr>
            </w:pPr>
            <w:r>
              <w:rPr>
                <w:rFonts w:hint="eastAsia" w:ascii="宋体" w:hAnsi="宋体" w:cs="宋体"/>
                <w:sz w:val="24"/>
              </w:rPr>
              <w:t>2.投标单位需按照采购单位要求做好如下工作：</w:t>
            </w:r>
          </w:p>
          <w:p>
            <w:pPr>
              <w:spacing w:line="480" w:lineRule="exact"/>
              <w:ind w:firstLine="480" w:firstLineChars="200"/>
              <w:rPr>
                <w:rFonts w:hint="eastAsia" w:ascii="宋体" w:hAnsi="宋体" w:cs="宋体"/>
                <w:sz w:val="24"/>
              </w:rPr>
            </w:pPr>
            <w:r>
              <w:rPr>
                <w:rFonts w:hint="eastAsia" w:ascii="宋体" w:hAnsi="宋体" w:cs="宋体"/>
                <w:sz w:val="24"/>
              </w:rPr>
              <w:t>（1）定期组织消杀。专业队伍对范围内所有的场地和建筑物进行全方位消杀。每周进行消杀服务1次；如发现虫害没有得到控制，应做好补救工作，确保消杀工作安全、有效。</w:t>
            </w:r>
          </w:p>
          <w:p>
            <w:pPr>
              <w:spacing w:line="480" w:lineRule="exact"/>
              <w:ind w:firstLine="480" w:firstLineChars="200"/>
              <w:rPr>
                <w:rFonts w:hint="eastAsia" w:ascii="宋体" w:hAnsi="宋体" w:cs="宋体"/>
                <w:sz w:val="24"/>
              </w:rPr>
            </w:pPr>
            <w:r>
              <w:rPr>
                <w:rFonts w:hint="eastAsia" w:ascii="宋体" w:hAnsi="宋体" w:cs="宋体"/>
                <w:sz w:val="24"/>
              </w:rPr>
              <w:t>（2）在消杀施工过程中，积极提出防治措施和注意事项，确保综合防治措施落实到位。</w:t>
            </w:r>
          </w:p>
          <w:p>
            <w:pPr>
              <w:spacing w:line="480" w:lineRule="exact"/>
              <w:ind w:firstLine="480" w:firstLineChars="200"/>
              <w:rPr>
                <w:rFonts w:hint="eastAsia" w:ascii="宋体" w:hAnsi="宋体" w:cs="宋体"/>
                <w:sz w:val="24"/>
              </w:rPr>
            </w:pPr>
            <w:r>
              <w:rPr>
                <w:rFonts w:hint="eastAsia" w:ascii="宋体" w:hAnsi="宋体" w:cs="宋体"/>
                <w:sz w:val="24"/>
              </w:rPr>
              <w:t>（3）投标单位有权要求采购方协调中标单位与业主及其他部门的关系。</w:t>
            </w:r>
          </w:p>
          <w:p>
            <w:pPr>
              <w:spacing w:line="480" w:lineRule="exact"/>
              <w:ind w:firstLine="480" w:firstLineChars="200"/>
              <w:rPr>
                <w:rFonts w:hint="eastAsia" w:ascii="宋体" w:hAnsi="宋体" w:cs="宋体"/>
                <w:sz w:val="24"/>
              </w:rPr>
            </w:pPr>
            <w:r>
              <w:rPr>
                <w:rFonts w:hint="eastAsia" w:ascii="宋体" w:hAnsi="宋体" w:cs="宋体"/>
                <w:sz w:val="24"/>
              </w:rPr>
              <w:t>（4）要严格按有关规定进行施药，药物必须符合环保要求，在施药消杀过程中，要做好防范措施和注意人畜安全，避免因操作不当或消杀药物中毒造成损失；如发生事故，责任由中标方自己承担。</w:t>
            </w:r>
          </w:p>
          <w:p>
            <w:pPr>
              <w:spacing w:line="480" w:lineRule="exact"/>
              <w:ind w:firstLine="480" w:firstLineChars="200"/>
              <w:rPr>
                <w:rFonts w:hint="eastAsia" w:ascii="宋体" w:hAnsi="宋体" w:cs="宋体"/>
                <w:sz w:val="24"/>
              </w:rPr>
            </w:pPr>
            <w:r>
              <w:rPr>
                <w:rFonts w:hint="eastAsia" w:ascii="宋体" w:hAnsi="宋体" w:cs="宋体"/>
                <w:sz w:val="24"/>
              </w:rPr>
              <w:t>（5）投标单位须严格按照相关作业标准开展工作，指派专业人员提供消杀服务，并严格组织安全服务教育、培训和管理，承担所有安全服务责任。</w:t>
            </w:r>
          </w:p>
          <w:p>
            <w:pPr>
              <w:spacing w:line="480" w:lineRule="exact"/>
              <w:ind w:firstLine="480" w:firstLineChars="200"/>
            </w:pPr>
            <w:r>
              <w:rPr>
                <w:rFonts w:hint="eastAsia" w:ascii="宋体" w:hAnsi="宋体" w:cs="宋体"/>
                <w:sz w:val="24"/>
              </w:rPr>
              <w:t>（6）投标单位按时提交现场所有工作的记录，现场工作图片等需由采购方管理存档保管。</w:t>
            </w:r>
          </w:p>
        </w:tc>
      </w:tr>
    </w:tbl>
    <w:p>
      <w:pPr>
        <w:rPr>
          <w:rFonts w:hint="eastAsia" w:ascii="宋体" w:hAnsi="宋体" w:cs="宋体"/>
          <w:b/>
          <w:color w:val="FF0000"/>
          <w:sz w:val="24"/>
        </w:rPr>
      </w:pPr>
    </w:p>
    <w:p>
      <w:pPr>
        <w:widowControl/>
        <w:spacing w:line="360" w:lineRule="exact"/>
        <w:jc w:val="center"/>
        <w:outlineLvl w:val="2"/>
        <w:rPr>
          <w:rStyle w:val="134"/>
          <w:rFonts w:hint="eastAsia" w:cs="宋体"/>
          <w:color w:val="000000"/>
        </w:rPr>
      </w:pPr>
    </w:p>
    <w:p>
      <w:pPr>
        <w:pStyle w:val="5"/>
        <w:autoSpaceDE w:val="0"/>
        <w:spacing w:before="0" w:after="0"/>
        <w:jc w:val="center"/>
        <w:rPr>
          <w:rFonts w:hint="eastAsia" w:cs="宋体"/>
          <w:sz w:val="24"/>
          <w:szCs w:val="24"/>
        </w:rPr>
      </w:pPr>
      <w:r>
        <w:rPr>
          <w:rFonts w:hint="eastAsia" w:cs="宋体"/>
          <w:sz w:val="24"/>
          <w:szCs w:val="24"/>
        </w:rPr>
        <w:t>三、商务条款要求</w:t>
      </w:r>
    </w:p>
    <w:tbl>
      <w:tblPr>
        <w:tblStyle w:val="50"/>
        <w:tblpPr w:leftFromText="180" w:rightFromText="180" w:vertAnchor="text" w:horzAnchor="page" w:tblpXSpec="center" w:tblpY="590"/>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72"/>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16" w:type="dxa"/>
            <w:shd w:val="clear" w:color="auto" w:fill="F1F1F1"/>
            <w:vAlign w:val="center"/>
          </w:tcPr>
          <w:p>
            <w:pPr>
              <w:spacing w:line="480" w:lineRule="exact"/>
              <w:jc w:val="center"/>
              <w:rPr>
                <w:rFonts w:hint="eastAsia" w:ascii="宋体" w:hAnsi="宋体" w:cs="宋体"/>
                <w:b/>
                <w:bCs/>
                <w:color w:val="000000"/>
                <w:sz w:val="24"/>
              </w:rPr>
            </w:pPr>
            <w:r>
              <w:rPr>
                <w:rFonts w:hint="eastAsia" w:ascii="宋体" w:hAnsi="宋体" w:cs="宋体"/>
                <w:b/>
                <w:bCs/>
                <w:color w:val="000000"/>
                <w:sz w:val="24"/>
              </w:rPr>
              <w:t>序号</w:t>
            </w:r>
          </w:p>
        </w:tc>
        <w:tc>
          <w:tcPr>
            <w:tcW w:w="1172" w:type="dxa"/>
            <w:shd w:val="clear" w:color="auto" w:fill="F1F1F1"/>
            <w:vAlign w:val="center"/>
          </w:tcPr>
          <w:p>
            <w:pPr>
              <w:spacing w:line="480" w:lineRule="exact"/>
              <w:jc w:val="center"/>
              <w:rPr>
                <w:rFonts w:hint="eastAsia" w:ascii="宋体" w:hAnsi="宋体" w:cs="宋体"/>
                <w:b/>
                <w:bCs/>
                <w:color w:val="000000"/>
                <w:sz w:val="24"/>
              </w:rPr>
            </w:pPr>
            <w:r>
              <w:rPr>
                <w:rFonts w:hint="eastAsia" w:ascii="宋体" w:hAnsi="宋体" w:cs="宋体"/>
                <w:b/>
                <w:bCs/>
                <w:color w:val="000000"/>
                <w:sz w:val="24"/>
              </w:rPr>
              <w:t>目录</w:t>
            </w:r>
          </w:p>
        </w:tc>
        <w:tc>
          <w:tcPr>
            <w:tcW w:w="7929" w:type="dxa"/>
            <w:shd w:val="clear" w:color="auto" w:fill="F1F1F1"/>
            <w:vAlign w:val="center"/>
          </w:tcPr>
          <w:p>
            <w:pPr>
              <w:spacing w:line="480" w:lineRule="exact"/>
              <w:jc w:val="center"/>
              <w:rPr>
                <w:rFonts w:hint="eastAsia" w:ascii="宋体" w:hAnsi="宋体" w:cs="宋体"/>
                <w:b/>
                <w:bCs/>
                <w:color w:val="000000"/>
                <w:sz w:val="24"/>
              </w:rPr>
            </w:pPr>
            <w:r>
              <w:rPr>
                <w:rFonts w:hint="eastAsia" w:ascii="宋体" w:hAnsi="宋体" w:cs="宋体"/>
                <w:b/>
                <w:bCs/>
                <w:color w:val="000000"/>
                <w:sz w:val="24"/>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16" w:type="dxa"/>
            <w:vAlign w:val="center"/>
          </w:tcPr>
          <w:p>
            <w:pPr>
              <w:jc w:val="center"/>
              <w:outlineLvl w:val="0"/>
              <w:rPr>
                <w:rFonts w:hint="eastAsia" w:ascii="宋体" w:hAnsi="宋体" w:cs="宋体"/>
                <w:b/>
                <w:bCs/>
                <w:sz w:val="24"/>
              </w:rPr>
            </w:pPr>
            <w:r>
              <w:rPr>
                <w:rFonts w:hint="eastAsia" w:ascii="宋体" w:hAnsi="宋体" w:cs="宋体"/>
                <w:b/>
                <w:bCs/>
                <w:sz w:val="24"/>
              </w:rPr>
              <w:t>1</w:t>
            </w:r>
          </w:p>
        </w:tc>
        <w:tc>
          <w:tcPr>
            <w:tcW w:w="1172" w:type="dxa"/>
            <w:vAlign w:val="center"/>
          </w:tcPr>
          <w:p>
            <w:pPr>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服务期要求</w:t>
            </w:r>
          </w:p>
        </w:tc>
        <w:tc>
          <w:tcPr>
            <w:tcW w:w="7929" w:type="dxa"/>
          </w:tcPr>
          <w:p>
            <w:pPr>
              <w:spacing w:line="480" w:lineRule="exact"/>
              <w:rPr>
                <w:rFonts w:hint="eastAsia" w:ascii="宋体" w:hAnsi="宋体" w:cs="宋体"/>
                <w:color w:val="auto"/>
                <w:sz w:val="24"/>
                <w:highlight w:val="none"/>
              </w:rPr>
            </w:pPr>
            <w:r>
              <w:rPr>
                <w:rFonts w:hint="eastAsia" w:ascii="宋体" w:hAnsi="宋体" w:cs="宋体"/>
                <w:b/>
                <w:bCs/>
                <w:color w:val="auto"/>
                <w:sz w:val="24"/>
                <w:highlight w:val="none"/>
              </w:rPr>
              <w:t>★</w:t>
            </w:r>
            <w:r>
              <w:rPr>
                <w:rFonts w:hint="eastAsia" w:ascii="宋体" w:hAnsi="宋体" w:cs="宋体"/>
                <w:color w:val="auto"/>
                <w:sz w:val="24"/>
                <w:highlight w:val="none"/>
              </w:rPr>
              <w:t>1、</w:t>
            </w:r>
            <w:r>
              <w:rPr>
                <w:rFonts w:hint="eastAsia" w:ascii="宋体" w:hAnsi="宋体" w:cs="宋体"/>
                <w:b/>
                <w:bCs/>
                <w:color w:val="auto"/>
                <w:sz w:val="24"/>
                <w:highlight w:val="none"/>
                <w:lang w:val="zh-CN"/>
              </w:rPr>
              <w:t>本项目服务期限：</w:t>
            </w:r>
            <w:r>
              <w:rPr>
                <w:rFonts w:hint="eastAsia" w:ascii="宋体" w:hAnsi="宋体" w:cs="宋体"/>
                <w:b/>
                <w:bCs/>
                <w:color w:val="auto"/>
                <w:sz w:val="24"/>
                <w:highlight w:val="none"/>
              </w:rPr>
              <w:t>自签订合同之日起一年</w:t>
            </w:r>
            <w:r>
              <w:rPr>
                <w:rFonts w:hint="eastAsia" w:ascii="宋体" w:hAnsi="宋体" w:cs="宋体"/>
                <w:color w:val="auto"/>
                <w:sz w:val="24"/>
                <w:highlight w:val="none"/>
                <w:lang w:val="zh-CN"/>
              </w:rPr>
              <w:t>。</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（服务不满一个月的，按每周一次支付费用，标准为中标单价的四分之一）</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2.若因本项目处于待命状态，工作量减少的，经双方协商核减相应的消杀费用。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6" w:type="dxa"/>
            <w:vAlign w:val="center"/>
          </w:tcPr>
          <w:p>
            <w:pPr>
              <w:jc w:val="center"/>
              <w:outlineLvl w:val="0"/>
              <w:rPr>
                <w:rFonts w:hint="eastAsia" w:ascii="宋体" w:hAnsi="宋体" w:cs="宋体"/>
                <w:b/>
                <w:bCs/>
                <w:sz w:val="24"/>
              </w:rPr>
            </w:pPr>
            <w:r>
              <w:rPr>
                <w:rFonts w:hint="eastAsia" w:ascii="宋体" w:hAnsi="宋体" w:cs="宋体"/>
                <w:b/>
                <w:bCs/>
                <w:sz w:val="24"/>
              </w:rPr>
              <w:t>2</w:t>
            </w:r>
          </w:p>
        </w:tc>
        <w:tc>
          <w:tcPr>
            <w:tcW w:w="1172" w:type="dxa"/>
            <w:vAlign w:val="center"/>
          </w:tcPr>
          <w:p>
            <w:pPr>
              <w:jc w:val="center"/>
              <w:outlineLvl w:val="0"/>
              <w:rPr>
                <w:rFonts w:hint="eastAsia" w:ascii="宋体" w:hAnsi="宋体" w:cs="宋体"/>
                <w:b/>
                <w:bCs/>
                <w:color w:val="auto"/>
                <w:sz w:val="24"/>
              </w:rPr>
            </w:pPr>
            <w:r>
              <w:rPr>
                <w:rFonts w:hint="eastAsia" w:ascii="宋体" w:hAnsi="宋体" w:cs="宋体"/>
                <w:b/>
                <w:bCs/>
                <w:color w:val="auto"/>
                <w:sz w:val="24"/>
              </w:rPr>
              <w:t>服务地点</w:t>
            </w:r>
          </w:p>
        </w:tc>
        <w:tc>
          <w:tcPr>
            <w:tcW w:w="7929" w:type="dxa"/>
            <w:vAlign w:val="center"/>
          </w:tcPr>
          <w:p>
            <w:pPr>
              <w:jc w:val="left"/>
              <w:outlineLvl w:val="0"/>
              <w:rPr>
                <w:rFonts w:hint="eastAsia" w:ascii="宋体" w:hAnsi="宋体" w:cs="宋体"/>
                <w:color w:val="auto"/>
                <w:sz w:val="24"/>
              </w:rPr>
            </w:pPr>
            <w:r>
              <w:rPr>
                <w:rFonts w:hint="eastAsia" w:ascii="宋体" w:hAnsi="宋体" w:cs="宋体"/>
                <w:color w:val="auto"/>
                <w:sz w:val="24"/>
              </w:rPr>
              <w:t>盐田区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6" w:type="dxa"/>
            <w:vAlign w:val="center"/>
          </w:tcPr>
          <w:p>
            <w:pPr>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3</w:t>
            </w:r>
          </w:p>
        </w:tc>
        <w:tc>
          <w:tcPr>
            <w:tcW w:w="1172" w:type="dxa"/>
            <w:vAlign w:val="center"/>
          </w:tcPr>
          <w:p>
            <w:pPr>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用药要求</w:t>
            </w:r>
          </w:p>
        </w:tc>
        <w:tc>
          <w:tcPr>
            <w:tcW w:w="7929" w:type="dxa"/>
            <w:vAlign w:val="center"/>
          </w:tcPr>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1、病媒生物防制所使用的药物必须是国家规定允许使用的卫生杀虫剂（以下简称药物），其使用范围、使用剂型、浓度、剂量应符合国家规定要求。</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2、从事病媒生物防制服务的单位应确保所使用的药物符合国家和市有关部门的现行规定。</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3、药物必须是国家有关主管部门批准生产（具有三证）或已登记进口的卫生杀虫剂的合格产品。药物包装应符合化工产品通用标准。严禁把农用杀虫剂用于病媒生物的防制。</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4、不同类型药物的混合配伍用药，应注意互补增效作用，并进行相应的测度，避免两用药配伍产生拮搞作用，影响防制效果。</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5、药物在不同环境用于不同的防制对象，应采用相配套的喷洒器械，滞留喷洒应采用手动或背负式、手推式机动喷雾器，室内空间喷杀应采用超低容量电动喷雾机，特殊环境（下水道、电缆沟、地下室、防空洞、垃圾场）喷杀应采用热烟雾发生机或机动喷雾器。</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6、用于病媒生物防制的药物，其性能应符合化学性质稳定，且残效期较长；高效低毒、安全、对人畜及环境无害；具有显著的击倒和致死作用等要求。</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7、药物必须存放在专用仓库，分类离墙离地存放，并设有专人管理，药物采购及进出仓库制度健全。</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8、存放药物专用仓库，应当符合有关安全、防火规定，设置相应的通风防爆、防火、报警等安全设施。</w:t>
            </w:r>
          </w:p>
          <w:p>
            <w:pPr>
              <w:spacing w:line="480" w:lineRule="exact"/>
              <w:rPr>
                <w:rFonts w:hint="eastAsia" w:ascii="宋体" w:hAnsi="宋体" w:cs="宋体"/>
                <w:color w:val="auto"/>
                <w:sz w:val="24"/>
                <w:highlight w:val="none"/>
              </w:rPr>
            </w:pPr>
            <w:r>
              <w:rPr>
                <w:rFonts w:hint="eastAsia" w:ascii="宋体" w:hAnsi="宋体" w:cs="宋体"/>
                <w:color w:val="auto"/>
                <w:sz w:val="24"/>
                <w:highlight w:val="none"/>
              </w:rPr>
              <w:t>9、盛装药物的容器，入库时必须检查包装是否完好无损。药物使用完毕，应按照环境保护法的有关规定，妥善处理。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16" w:type="dxa"/>
            <w:vAlign w:val="center"/>
          </w:tcPr>
          <w:p>
            <w:pPr>
              <w:jc w:val="center"/>
              <w:outlineLvl w:val="0"/>
              <w:rPr>
                <w:rFonts w:hint="eastAsia" w:ascii="宋体" w:hAnsi="宋体" w:cs="宋体"/>
                <w:b/>
                <w:bCs/>
                <w:sz w:val="24"/>
              </w:rPr>
            </w:pPr>
            <w:r>
              <w:rPr>
                <w:rFonts w:hint="eastAsia" w:ascii="宋体" w:hAnsi="宋体" w:cs="宋体"/>
                <w:b/>
                <w:bCs/>
                <w:sz w:val="24"/>
              </w:rPr>
              <w:t>4</w:t>
            </w:r>
          </w:p>
        </w:tc>
        <w:tc>
          <w:tcPr>
            <w:tcW w:w="1172" w:type="dxa"/>
            <w:vAlign w:val="center"/>
          </w:tcPr>
          <w:p>
            <w:pPr>
              <w:jc w:val="center"/>
              <w:outlineLvl w:val="0"/>
              <w:rPr>
                <w:rFonts w:hint="eastAsia" w:ascii="宋体" w:hAnsi="宋体" w:cs="宋体"/>
                <w:b/>
                <w:bCs/>
                <w:sz w:val="24"/>
              </w:rPr>
            </w:pPr>
            <w:r>
              <w:rPr>
                <w:rFonts w:hint="eastAsia" w:ascii="宋体" w:hAnsi="宋体" w:cs="宋体"/>
                <w:b/>
                <w:bCs/>
                <w:sz w:val="24"/>
              </w:rPr>
              <w:t>付款方式</w:t>
            </w:r>
          </w:p>
        </w:tc>
        <w:tc>
          <w:tcPr>
            <w:tcW w:w="7929" w:type="dxa"/>
          </w:tcPr>
          <w:p>
            <w:pPr>
              <w:rPr>
                <w:rFonts w:hint="eastAsia" w:ascii="宋体" w:hAnsi="宋体" w:cs="宋体"/>
                <w:b w:val="0"/>
                <w:bCs w:val="0"/>
                <w:color w:val="auto"/>
                <w:sz w:val="24"/>
                <w:highlight w:val="none"/>
              </w:rPr>
            </w:pP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按月支付。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16" w:type="dxa"/>
            <w:vAlign w:val="center"/>
          </w:tcPr>
          <w:p>
            <w:pPr>
              <w:jc w:val="center"/>
              <w:outlineLvl w:val="0"/>
              <w:rPr>
                <w:rFonts w:hint="eastAsia" w:ascii="宋体" w:hAnsi="宋体" w:cs="宋体"/>
                <w:b/>
                <w:bCs/>
                <w:sz w:val="24"/>
              </w:rPr>
            </w:pPr>
            <w:r>
              <w:rPr>
                <w:rFonts w:hint="eastAsia" w:ascii="宋体" w:hAnsi="宋体" w:cs="宋体"/>
                <w:b/>
                <w:bCs/>
                <w:sz w:val="24"/>
              </w:rPr>
              <w:t>5</w:t>
            </w:r>
          </w:p>
        </w:tc>
        <w:tc>
          <w:tcPr>
            <w:tcW w:w="1172" w:type="dxa"/>
            <w:vAlign w:val="center"/>
          </w:tcPr>
          <w:p>
            <w:pPr>
              <w:jc w:val="center"/>
              <w:rPr>
                <w:rFonts w:hint="eastAsia" w:ascii="宋体" w:hAnsi="宋体" w:cs="宋体"/>
                <w:b/>
                <w:bCs/>
                <w:sz w:val="24"/>
              </w:rPr>
            </w:pPr>
          </w:p>
          <w:p>
            <w:pPr>
              <w:jc w:val="center"/>
              <w:rPr>
                <w:rFonts w:hint="eastAsia" w:ascii="宋体" w:hAnsi="宋体" w:cs="宋体"/>
                <w:b/>
                <w:bCs/>
                <w:sz w:val="24"/>
              </w:rPr>
            </w:pPr>
            <w:r>
              <w:rPr>
                <w:rFonts w:hint="eastAsia" w:ascii="宋体" w:hAnsi="宋体" w:cs="宋体"/>
                <w:b/>
                <w:bCs/>
                <w:sz w:val="24"/>
              </w:rPr>
              <w:t>关于验收</w:t>
            </w:r>
          </w:p>
          <w:p>
            <w:pPr>
              <w:ind w:firstLine="402"/>
              <w:jc w:val="center"/>
              <w:outlineLvl w:val="0"/>
              <w:rPr>
                <w:rFonts w:hint="eastAsia" w:ascii="宋体" w:hAnsi="宋体" w:cs="宋体"/>
                <w:b/>
                <w:bCs/>
                <w:sz w:val="24"/>
              </w:rPr>
            </w:pPr>
          </w:p>
        </w:tc>
        <w:tc>
          <w:tcPr>
            <w:tcW w:w="7929" w:type="dxa"/>
          </w:tcPr>
          <w:p>
            <w:pPr>
              <w:rPr>
                <w:rFonts w:hint="eastAsia" w:ascii="宋体" w:hAnsi="宋体" w:cs="宋体"/>
                <w:b w:val="0"/>
                <w:bCs w:val="0"/>
                <w:color w:val="auto"/>
                <w:sz w:val="24"/>
                <w:highlight w:val="none"/>
              </w:rPr>
            </w:pPr>
          </w:p>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服务经过双方检验认可后，签署验收表。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jc w:val="center"/>
              <w:outlineLvl w:val="0"/>
              <w:rPr>
                <w:rFonts w:hint="eastAsia" w:ascii="宋体" w:hAnsi="宋体" w:cs="宋体"/>
                <w:b/>
                <w:bCs/>
                <w:sz w:val="24"/>
              </w:rPr>
            </w:pPr>
            <w:r>
              <w:rPr>
                <w:rFonts w:hint="eastAsia" w:ascii="宋体" w:hAnsi="宋体" w:cs="宋体"/>
                <w:b/>
                <w:bCs/>
                <w:sz w:val="24"/>
              </w:rPr>
              <w:t>6</w:t>
            </w:r>
          </w:p>
        </w:tc>
        <w:tc>
          <w:tcPr>
            <w:tcW w:w="1172" w:type="dxa"/>
            <w:vAlign w:val="center"/>
          </w:tcPr>
          <w:p>
            <w:pPr>
              <w:outlineLvl w:val="0"/>
              <w:rPr>
                <w:rFonts w:hint="eastAsia" w:ascii="宋体" w:hAnsi="宋体" w:cs="宋体"/>
                <w:b/>
                <w:bCs/>
                <w:sz w:val="24"/>
              </w:rPr>
            </w:pPr>
            <w:r>
              <w:rPr>
                <w:rFonts w:hint="eastAsia" w:ascii="宋体" w:hAnsi="宋体" w:cs="宋体"/>
                <w:b/>
                <w:bCs/>
                <w:sz w:val="24"/>
              </w:rPr>
              <w:t>违约责任</w:t>
            </w:r>
          </w:p>
        </w:tc>
        <w:tc>
          <w:tcPr>
            <w:tcW w:w="7929" w:type="dxa"/>
          </w:tcPr>
          <w:p>
            <w:pPr>
              <w:spacing w:line="480" w:lineRule="exact"/>
              <w:rPr>
                <w:rFonts w:hint="eastAsia" w:ascii="宋体" w:hAnsi="宋体" w:cs="宋体"/>
                <w:sz w:val="24"/>
              </w:rPr>
            </w:pPr>
            <w:r>
              <w:rPr>
                <w:rFonts w:hint="eastAsia" w:ascii="宋体" w:hAnsi="宋体" w:cs="宋体"/>
                <w:sz w:val="24"/>
              </w:rPr>
              <w:t>（一）采购单位对投标单位服务人员的管理、监督、指导、检查等行为是对投标单位履行合同的监督，不改变投标单位与服务人员的劳动关系。如服务人员在岗位上发生任何责任事故及劳动纠纷，均由投标单位负责处理并承担全部责任，如对采购单位造成严重影响的，采购人有权解除合同，并由投标单位负责消除影响。</w:t>
            </w:r>
          </w:p>
          <w:p>
            <w:pPr>
              <w:spacing w:line="480" w:lineRule="exact"/>
              <w:rPr>
                <w:rFonts w:hint="eastAsia" w:ascii="宋体" w:hAnsi="宋体" w:cs="宋体"/>
                <w:sz w:val="24"/>
              </w:rPr>
            </w:pPr>
            <w:r>
              <w:rPr>
                <w:rFonts w:hint="eastAsia" w:ascii="宋体" w:hAnsi="宋体" w:cs="宋体"/>
                <w:sz w:val="24"/>
              </w:rPr>
              <w:t>（二）投标单位须在本项目中严格遵守国家相关法规和行业规范，切实落实企业安全生产主体责任，因自身过失或管理不当造成人员伤亡或其他损失等，均由投标单位负责处理并承担相应法律责任和损失赔偿补救义务，采购单位不承担任何责任。</w:t>
            </w:r>
          </w:p>
          <w:p>
            <w:pPr>
              <w:spacing w:line="480" w:lineRule="exact"/>
              <w:rPr>
                <w:rFonts w:hint="eastAsia" w:ascii="宋体" w:hAnsi="宋体" w:cs="宋体"/>
                <w:sz w:val="24"/>
              </w:rPr>
            </w:pPr>
            <w:r>
              <w:rPr>
                <w:rFonts w:hint="eastAsia" w:ascii="宋体" w:hAnsi="宋体" w:cs="宋体"/>
                <w:sz w:val="24"/>
              </w:rPr>
              <w:t>（三）投标单位须确保项目服务管理工作切实履行好合同约定的相应职责：</w:t>
            </w:r>
          </w:p>
          <w:p>
            <w:pPr>
              <w:spacing w:line="480" w:lineRule="exact"/>
              <w:rPr>
                <w:rFonts w:hint="eastAsia" w:ascii="宋体" w:hAnsi="宋体" w:cs="宋体"/>
                <w:sz w:val="24"/>
              </w:rPr>
            </w:pPr>
            <w:r>
              <w:rPr>
                <w:rFonts w:hint="eastAsia" w:ascii="宋体" w:hAnsi="宋体" w:cs="宋体"/>
                <w:sz w:val="24"/>
              </w:rPr>
              <w:t>1.若采购单位发现投标单位项目管理服务未履行相应职责，可向投标单位下发书面整改通知，要求投标单位按期整改；</w:t>
            </w:r>
          </w:p>
          <w:p>
            <w:pPr>
              <w:spacing w:line="480" w:lineRule="exact"/>
              <w:rPr>
                <w:rFonts w:hint="eastAsia" w:ascii="宋体" w:hAnsi="宋体" w:cs="宋体"/>
                <w:sz w:val="24"/>
              </w:rPr>
            </w:pPr>
            <w:r>
              <w:rPr>
                <w:rFonts w:hint="eastAsia" w:ascii="宋体" w:hAnsi="宋体" w:cs="宋体"/>
                <w:sz w:val="24"/>
              </w:rPr>
              <w:t>2.若投标单位未按照采购单位的要求在规定期限内整改，或整改后同一岗位出现相同问题者，采购单位有权对投标单位处以1000元/次进行处罚；</w:t>
            </w:r>
          </w:p>
          <w:p>
            <w:pPr>
              <w:spacing w:line="480" w:lineRule="exact"/>
              <w:rPr>
                <w:rFonts w:hint="eastAsia" w:ascii="宋体" w:hAnsi="宋体" w:cs="宋体"/>
                <w:sz w:val="24"/>
              </w:rPr>
            </w:pPr>
            <w:r>
              <w:rPr>
                <w:rFonts w:hint="eastAsia" w:ascii="宋体" w:hAnsi="宋体" w:cs="宋体"/>
                <w:sz w:val="24"/>
              </w:rPr>
              <w:t>3.经采购单位对投标单位下发整改通知或罚款后投标单位仍未在规定时间内按要求整改或整改后未达到合同约定的标准者，采购单位有权解除合同。造成采购单位经济损失的，投标单位应给予采购人经济补偿；</w:t>
            </w:r>
          </w:p>
          <w:p>
            <w:pPr>
              <w:spacing w:line="480" w:lineRule="exact"/>
              <w:rPr>
                <w:rFonts w:hint="eastAsia" w:ascii="宋体" w:hAnsi="宋体" w:cs="宋体"/>
                <w:sz w:val="24"/>
              </w:rPr>
            </w:pPr>
            <w:r>
              <w:rPr>
                <w:rFonts w:hint="eastAsia" w:ascii="宋体" w:hAnsi="宋体" w:cs="宋体"/>
                <w:sz w:val="24"/>
              </w:rPr>
              <w:t>4.因投标单位原因导致物品损坏的，由投标单位负责承担物品损失赔偿责任，如投标单位未及时赔偿物品损失的，采购单位有权对投标单位按损失物品同等价值进行处罚。</w:t>
            </w:r>
          </w:p>
          <w:p>
            <w:pPr>
              <w:spacing w:line="480" w:lineRule="exact"/>
              <w:rPr>
                <w:rFonts w:hint="eastAsia" w:ascii="宋体" w:hAnsi="宋体" w:cs="宋体"/>
                <w:sz w:val="24"/>
              </w:rPr>
            </w:pPr>
            <w:r>
              <w:rPr>
                <w:rFonts w:hint="eastAsia" w:ascii="宋体" w:hAnsi="宋体" w:cs="宋体"/>
                <w:sz w:val="24"/>
              </w:rPr>
              <w:t>（四）投标单位无正当理由提前解除合同的，应向采购单位支付合同金额20%作为违约金；给采购单位造成损失应予赔偿和消除损失，损失超过违约金的，应予补足。</w:t>
            </w:r>
          </w:p>
        </w:tc>
      </w:tr>
      <w:bookmarkEnd w:id="6"/>
      <w:bookmarkEnd w:id="7"/>
      <w:bookmarkEnd w:id="8"/>
      <w:bookmarkEnd w:id="9"/>
      <w:bookmarkEnd w:id="10"/>
      <w:bookmarkEnd w:id="11"/>
      <w:bookmarkEnd w:id="12"/>
    </w:tbl>
    <w:p>
      <w:pPr>
        <w:widowControl/>
        <w:spacing w:line="360" w:lineRule="auto"/>
        <w:ind w:firstLine="440" w:firstLineChars="200"/>
        <w:rPr>
          <w:rFonts w:hint="eastAsia" w:ascii="宋体" w:hAnsi="宋体" w:cs="宋体"/>
          <w:sz w:val="22"/>
          <w:szCs w:val="22"/>
        </w:rPr>
      </w:pPr>
    </w:p>
    <w:p>
      <w:pPr>
        <w:pStyle w:val="5"/>
        <w:spacing w:before="0" w:after="0"/>
        <w:jc w:val="center"/>
        <w:rPr>
          <w:rFonts w:hint="eastAsia" w:cs="宋体"/>
          <w:sz w:val="24"/>
          <w:szCs w:val="24"/>
        </w:rPr>
      </w:pPr>
      <w:r>
        <w:rPr>
          <w:rFonts w:hint="eastAsia" w:cs="宋体"/>
          <w:sz w:val="24"/>
          <w:szCs w:val="24"/>
        </w:rPr>
        <w:t>四、其他重要条款</w:t>
      </w:r>
    </w:p>
    <w:p>
      <w:pPr>
        <w:pStyle w:val="8"/>
        <w:autoSpaceDE w:val="0"/>
        <w:spacing w:before="78" w:beforeLines="25" w:after="78" w:afterLines="25" w:line="540" w:lineRule="exact"/>
        <w:ind w:firstLine="448" w:firstLineChars="187"/>
        <w:rPr>
          <w:rFonts w:hint="eastAsia" w:ascii="宋体" w:hAnsi="宋体" w:cs="宋体"/>
          <w:sz w:val="24"/>
        </w:rPr>
      </w:pPr>
      <w:r>
        <w:rPr>
          <w:rFonts w:hint="eastAsia" w:ascii="宋体" w:hAnsi="宋体" w:cs="宋体"/>
          <w:sz w:val="24"/>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2"/>
        <w:ind w:firstLine="480" w:firstLineChars="200"/>
        <w:rPr>
          <w:rFonts w:hint="eastAsia" w:ascii="宋体" w:hAnsi="宋体" w:cs="宋体"/>
          <w:b w:val="0"/>
          <w:bCs w:val="0"/>
        </w:rPr>
      </w:pPr>
      <w:r>
        <w:rPr>
          <w:rFonts w:hint="eastAsia" w:ascii="宋体" w:hAnsi="宋体" w:cs="宋体"/>
          <w:b w:val="0"/>
          <w:bCs w:val="0"/>
        </w:rPr>
        <w:t>2、本项目服务费包括服务成本、法定税费和管理企业的利润等一切应尽费用。</w:t>
      </w:r>
    </w:p>
    <w:p>
      <w:pPr>
        <w:pStyle w:val="2"/>
        <w:ind w:firstLine="480" w:firstLineChars="200"/>
        <w:rPr>
          <w:rFonts w:hint="eastAsia" w:ascii="宋体" w:hAnsi="宋体" w:cs="宋体"/>
          <w:b w:val="0"/>
          <w:bCs w:val="0"/>
        </w:rPr>
      </w:pPr>
      <w:r>
        <w:rPr>
          <w:rFonts w:hint="eastAsia" w:ascii="宋体" w:hAnsi="宋体" w:cs="宋体"/>
          <w:b w:val="0"/>
          <w:bCs w:val="0"/>
        </w:rPr>
        <w:t>3、投标人的投标报价不得超过财政预算限额；</w:t>
      </w:r>
    </w:p>
    <w:p>
      <w:pPr>
        <w:pStyle w:val="2"/>
        <w:ind w:firstLine="480" w:firstLineChars="200"/>
        <w:rPr>
          <w:rFonts w:hint="eastAsia" w:ascii="宋体" w:hAnsi="宋体" w:cs="宋体"/>
          <w:b w:val="0"/>
          <w:bCs w:val="0"/>
        </w:rPr>
      </w:pPr>
      <w:r>
        <w:rPr>
          <w:rFonts w:hint="eastAsia" w:ascii="宋体" w:hAnsi="宋体" w:cs="宋体"/>
          <w:b w:val="0"/>
          <w:bCs w:val="0"/>
        </w:rPr>
        <w:t>4、投标人的投标报价，应是本项目招标范围和招标文件及合同条款上所列的各项内容中所述的全部，不得以任何理由予以重复，并以投标人提出的单价为依据；</w:t>
      </w:r>
    </w:p>
    <w:p>
      <w:pPr>
        <w:pStyle w:val="2"/>
        <w:ind w:firstLine="480" w:firstLineChars="200"/>
        <w:rPr>
          <w:rStyle w:val="134"/>
          <w:rFonts w:hint="eastAsia" w:cs="宋体"/>
          <w:b w:val="0"/>
          <w:bCs w:val="0"/>
          <w:color w:val="000000"/>
          <w:kern w:val="0"/>
          <w:sz w:val="22"/>
          <w:szCs w:val="22"/>
        </w:rPr>
      </w:pPr>
      <w:r>
        <w:rPr>
          <w:rFonts w:hint="eastAsia" w:ascii="宋体" w:hAnsi="宋体" w:cs="宋体"/>
          <w:b w:val="0"/>
          <w:bCs w:val="0"/>
        </w:rPr>
        <w:t>5、本合同以人民币进行结算。</w:t>
      </w:r>
    </w:p>
    <w:p>
      <w:pPr>
        <w:pStyle w:val="4"/>
        <w:pageBreakBefore/>
        <w:ind w:left="839"/>
        <w:rPr>
          <w:rFonts w:hint="eastAsia" w:cs="宋体"/>
          <w:kern w:val="2"/>
          <w:sz w:val="28"/>
          <w:szCs w:val="28"/>
        </w:rPr>
      </w:pPr>
      <w:r>
        <w:rPr>
          <w:rFonts w:hint="eastAsia" w:cs="宋体"/>
          <w:kern w:val="2"/>
          <w:sz w:val="28"/>
          <w:szCs w:val="28"/>
        </w:rPr>
        <w:t>第四章 投标文件格式、附件</w:t>
      </w:r>
    </w:p>
    <w:p>
      <w:pPr>
        <w:pStyle w:val="110"/>
        <w:ind w:firstLine="480"/>
        <w:rPr>
          <w:rFonts w:hint="eastAsia" w:ascii="宋体" w:hAnsi="宋体" w:cs="宋体"/>
          <w:kern w:val="2"/>
          <w:sz w:val="24"/>
          <w:szCs w:val="24"/>
        </w:rPr>
      </w:pPr>
      <w:r>
        <w:rPr>
          <w:rStyle w:val="132"/>
          <w:rFonts w:hint="eastAsia" w:ascii="宋体" w:hAnsi="宋体" w:eastAsia="宋体" w:cs="宋体"/>
        </w:rPr>
        <w:t>特别提醒：</w:t>
      </w:r>
      <w:r>
        <w:rPr>
          <w:rFonts w:hint="eastAsia" w:ascii="宋体" w:hAnsi="宋体" w:cs="宋体"/>
          <w:kern w:val="2"/>
          <w:sz w:val="24"/>
          <w:szCs w:val="24"/>
        </w:rPr>
        <w:t>投标人在编制投标文件时，在投标文件目录中属于本节点内容的必须在本节点中填写，填写到其他节点或附件的将可能导致投标无效，投标人应自行承担不利后果。</w:t>
      </w:r>
    </w:p>
    <w:p>
      <w:pPr>
        <w:pStyle w:val="110"/>
        <w:ind w:firstLine="480"/>
        <w:rPr>
          <w:rFonts w:hint="eastAsia" w:ascii="宋体" w:hAnsi="宋体" w:cs="宋体"/>
          <w:kern w:val="2"/>
          <w:sz w:val="24"/>
          <w:szCs w:val="24"/>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ind w:firstLine="480"/>
        <w:rPr>
          <w:rFonts w:hint="eastAsia" w:ascii="宋体" w:hAnsi="宋体" w:cs="宋体"/>
        </w:rPr>
      </w:pPr>
    </w:p>
    <w:p>
      <w:pPr>
        <w:pStyle w:val="110"/>
        <w:rPr>
          <w:rFonts w:hint="eastAsia" w:ascii="宋体" w:hAnsi="宋体" w:cs="宋体"/>
        </w:rPr>
      </w:pPr>
    </w:p>
    <w:p>
      <w:pPr>
        <w:pStyle w:val="4"/>
        <w:rPr>
          <w:rFonts w:hint="eastAsia" w:cs="宋体"/>
          <w:kern w:val="28"/>
          <w:sz w:val="44"/>
          <w:szCs w:val="44"/>
        </w:rPr>
      </w:pPr>
      <w:r>
        <w:rPr>
          <w:rFonts w:hint="eastAsia" w:cs="宋体"/>
        </w:rPr>
        <w:br w:type="page"/>
      </w:r>
      <w:r>
        <w:rPr>
          <w:rFonts w:hint="eastAsia" w:cs="宋体"/>
          <w:sz w:val="32"/>
          <w:szCs w:val="32"/>
        </w:rPr>
        <w:t>附件1：开标文件</w:t>
      </w:r>
    </w:p>
    <w:p>
      <w:pPr>
        <w:pStyle w:val="101"/>
        <w:rPr>
          <w:rFonts w:hint="eastAsia" w:ascii="宋体" w:hAnsi="宋体" w:cs="宋体"/>
        </w:rPr>
      </w:pPr>
    </w:p>
    <w:p>
      <w:pPr>
        <w:pStyle w:val="101"/>
        <w:rPr>
          <w:rFonts w:hint="eastAsia" w:ascii="宋体" w:hAnsi="宋体" w:cs="宋体"/>
        </w:rPr>
      </w:pPr>
    </w:p>
    <w:p>
      <w:pPr>
        <w:pStyle w:val="101"/>
        <w:rPr>
          <w:rFonts w:hint="eastAsia" w:ascii="宋体" w:hAnsi="宋体" w:cs="宋体"/>
        </w:rPr>
      </w:pPr>
    </w:p>
    <w:p>
      <w:pPr>
        <w:jc w:val="center"/>
        <w:rPr>
          <w:rFonts w:hint="eastAsia" w:ascii="宋体" w:hAnsi="宋体" w:eastAsia="宋体" w:cs="宋体"/>
          <w:sz w:val="36"/>
          <w:szCs w:val="36"/>
          <w:lang w:eastAsia="zh-CN"/>
        </w:rPr>
      </w:pPr>
      <w:r>
        <w:rPr>
          <w:rFonts w:hint="eastAsia" w:ascii="宋体" w:hAnsi="宋体" w:cs="宋体"/>
          <w:b/>
          <w:sz w:val="36"/>
          <w:szCs w:val="36"/>
          <w:lang w:eastAsia="zh-CN"/>
        </w:rPr>
        <w:t>2026年度盐田区国有储备地除“四害”消杀服务</w:t>
      </w:r>
    </w:p>
    <w:p>
      <w:pPr>
        <w:jc w:val="center"/>
        <w:rPr>
          <w:rFonts w:hint="eastAsia" w:ascii="宋体" w:hAnsi="宋体" w:cs="宋体"/>
          <w:sz w:val="44"/>
          <w:szCs w:val="44"/>
        </w:rPr>
      </w:pPr>
      <w:r>
        <w:rPr>
          <w:rFonts w:hint="eastAsia" w:ascii="宋体" w:hAnsi="宋体" w:cs="宋体"/>
          <w:sz w:val="44"/>
          <w:szCs w:val="44"/>
        </w:rPr>
        <w:t>（唱标信封）</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rPr>
          <w:rFonts w:hint="eastAsia" w:ascii="宋体" w:hAnsi="宋体" w:cs="宋体"/>
          <w:sz w:val="44"/>
          <w:szCs w:val="44"/>
        </w:rPr>
      </w:pPr>
    </w:p>
    <w:p>
      <w:pPr>
        <w:pStyle w:val="49"/>
        <w:ind w:firstLine="880"/>
        <w:rPr>
          <w:rFonts w:hint="eastAsia" w:ascii="宋体" w:hAnsi="宋体" w:cs="宋体"/>
          <w:sz w:val="44"/>
          <w:szCs w:val="44"/>
        </w:rPr>
      </w:pPr>
    </w:p>
    <w:p>
      <w:pPr>
        <w:pStyle w:val="49"/>
        <w:ind w:firstLine="880"/>
        <w:rPr>
          <w:rFonts w:hint="eastAsia" w:ascii="宋体" w:hAnsi="宋体" w:cs="宋体"/>
          <w:sz w:val="44"/>
          <w:szCs w:val="44"/>
        </w:rPr>
      </w:pPr>
    </w:p>
    <w:p>
      <w:pPr>
        <w:spacing w:line="480" w:lineRule="auto"/>
        <w:ind w:firstLine="1260" w:firstLineChars="450"/>
        <w:rPr>
          <w:rFonts w:hint="eastAsia" w:ascii="宋体" w:hAnsi="宋体" w:cs="宋体"/>
          <w:sz w:val="28"/>
          <w:szCs w:val="28"/>
          <w:u w:val="single"/>
        </w:rPr>
      </w:pPr>
      <w:r>
        <w:rPr>
          <w:rFonts w:hint="eastAsia" w:ascii="宋体" w:hAnsi="宋体" w:cs="宋体"/>
          <w:sz w:val="28"/>
          <w:szCs w:val="28"/>
        </w:rPr>
        <w:t>项目编号：_____________________________</w:t>
      </w:r>
    </w:p>
    <w:p>
      <w:pPr>
        <w:spacing w:line="480" w:lineRule="auto"/>
        <w:ind w:firstLine="1260" w:firstLineChars="450"/>
        <w:rPr>
          <w:rFonts w:hint="eastAsia" w:ascii="宋体" w:hAnsi="宋体" w:cs="宋体"/>
          <w:sz w:val="28"/>
          <w:szCs w:val="28"/>
          <w:u w:val="single"/>
        </w:rPr>
      </w:pPr>
      <w:r>
        <w:rPr>
          <w:rFonts w:hint="eastAsia" w:ascii="宋体" w:hAnsi="宋体" w:cs="宋体"/>
          <w:sz w:val="28"/>
          <w:szCs w:val="28"/>
        </w:rPr>
        <w:t>供应商（盖章）：___________________________</w:t>
      </w:r>
    </w:p>
    <w:p>
      <w:pPr>
        <w:spacing w:line="480" w:lineRule="auto"/>
        <w:ind w:firstLine="1260" w:firstLineChars="450"/>
        <w:rPr>
          <w:rFonts w:hint="eastAsia" w:ascii="宋体" w:hAnsi="宋体" w:cs="宋体"/>
          <w:sz w:val="28"/>
          <w:szCs w:val="28"/>
        </w:rPr>
      </w:pPr>
      <w:r>
        <w:rPr>
          <w:rFonts w:hint="eastAsia" w:ascii="宋体" w:hAnsi="宋体" w:cs="宋体"/>
          <w:sz w:val="28"/>
          <w:szCs w:val="28"/>
        </w:rPr>
        <w:t>法定代表人或授权委托人签字：__________________</w:t>
      </w:r>
    </w:p>
    <w:p>
      <w:pPr>
        <w:spacing w:line="360" w:lineRule="auto"/>
        <w:ind w:firstLine="1260" w:firstLineChars="450"/>
        <w:rPr>
          <w:rFonts w:hint="eastAsia" w:ascii="宋体" w:hAnsi="宋体" w:cs="宋体"/>
          <w:sz w:val="28"/>
          <w:szCs w:val="28"/>
        </w:rPr>
      </w:pPr>
      <w:r>
        <w:rPr>
          <w:rFonts w:hint="eastAsia" w:ascii="宋体" w:hAnsi="宋体" w:cs="宋体"/>
          <w:sz w:val="28"/>
          <w:szCs w:val="28"/>
        </w:rPr>
        <w:t>投标日期：____________年_____月______日</w:t>
      </w:r>
    </w:p>
    <w:p>
      <w:pPr>
        <w:spacing w:line="360" w:lineRule="auto"/>
        <w:ind w:firstLine="1400" w:firstLineChars="500"/>
        <w:rPr>
          <w:rFonts w:hint="eastAsia" w:ascii="宋体" w:hAnsi="宋体" w:cs="宋体"/>
          <w:sz w:val="28"/>
          <w:szCs w:val="28"/>
        </w:rPr>
      </w:pPr>
    </w:p>
    <w:p>
      <w:pPr>
        <w:spacing w:line="360" w:lineRule="auto"/>
        <w:ind w:firstLine="1400" w:firstLineChars="500"/>
        <w:rPr>
          <w:rFonts w:hint="eastAsia" w:ascii="宋体" w:hAnsi="宋体" w:cs="宋体"/>
          <w:sz w:val="28"/>
          <w:szCs w:val="28"/>
        </w:rPr>
      </w:pPr>
    </w:p>
    <w:p>
      <w:pPr>
        <w:spacing w:line="360" w:lineRule="auto"/>
        <w:ind w:firstLine="1400" w:firstLineChars="500"/>
        <w:rPr>
          <w:rFonts w:hint="eastAsia" w:ascii="宋体" w:hAnsi="宋体" w:cs="宋体"/>
          <w:sz w:val="28"/>
          <w:szCs w:val="28"/>
        </w:rPr>
      </w:pPr>
    </w:p>
    <w:p>
      <w:pPr>
        <w:pStyle w:val="64"/>
        <w:ind w:firstLine="560"/>
        <w:rPr>
          <w:rFonts w:hint="eastAsia" w:ascii="宋体" w:hAnsi="宋体" w:cs="宋体"/>
          <w:sz w:val="28"/>
          <w:szCs w:val="28"/>
        </w:rPr>
      </w:pPr>
    </w:p>
    <w:p>
      <w:pPr>
        <w:pStyle w:val="64"/>
        <w:ind w:firstLine="560"/>
        <w:rPr>
          <w:rFonts w:hint="eastAsia" w:ascii="宋体" w:hAnsi="宋体" w:cs="宋体"/>
          <w:sz w:val="28"/>
          <w:szCs w:val="28"/>
        </w:rPr>
      </w:pPr>
    </w:p>
    <w:p>
      <w:pPr>
        <w:spacing w:line="360" w:lineRule="auto"/>
        <w:ind w:firstLine="1400" w:firstLineChars="500"/>
        <w:rPr>
          <w:rFonts w:hint="eastAsia" w:ascii="宋体" w:hAnsi="宋体" w:cs="宋体"/>
          <w:sz w:val="28"/>
          <w:szCs w:val="28"/>
        </w:rPr>
      </w:pPr>
    </w:p>
    <w:p>
      <w:pPr>
        <w:pStyle w:val="49"/>
        <w:ind w:left="0" w:leftChars="0" w:firstLine="0" w:firstLineChars="0"/>
        <w:jc w:val="center"/>
        <w:rPr>
          <w:rFonts w:hint="eastAsia" w:ascii="宋体" w:hAnsi="宋体" w:cs="宋体"/>
          <w:bCs/>
          <w:snapToGrid w:val="0"/>
          <w:sz w:val="18"/>
          <w:szCs w:val="18"/>
        </w:rPr>
      </w:pPr>
      <w:r>
        <w:rPr>
          <w:rFonts w:hint="eastAsia" w:ascii="宋体" w:hAnsi="宋体" w:cs="宋体"/>
          <w:b/>
          <w:bCs/>
          <w:kern w:val="0"/>
          <w:sz w:val="28"/>
          <w:szCs w:val="32"/>
        </w:rPr>
        <w:t>一、开标一览表</w:t>
      </w:r>
    </w:p>
    <w:p>
      <w:pPr>
        <w:adjustRightInd w:val="0"/>
        <w:snapToGrid w:val="0"/>
        <w:spacing w:line="600" w:lineRule="exact"/>
        <w:ind w:left="-88" w:leftChars="-42" w:firstLine="360" w:firstLineChars="150"/>
        <w:outlineLvl w:val="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pPr>
        <w:adjustRightInd w:val="0"/>
        <w:snapToGrid w:val="0"/>
        <w:spacing w:line="600" w:lineRule="exact"/>
        <w:ind w:left="-88" w:leftChars="-42" w:firstLine="360" w:firstLineChars="150"/>
        <w:outlineLvl w:val="0"/>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tbl>
      <w:tblPr>
        <w:tblStyle w:val="50"/>
        <w:tblW w:w="808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5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448" w:type="dxa"/>
            <w:vMerge w:val="restart"/>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left="88" w:leftChars="42" w:firstLine="570"/>
              <w:outlineLvl w:val="0"/>
              <w:rPr>
                <w:rFonts w:hint="eastAsia" w:ascii="宋体" w:hAnsi="宋体" w:cs="宋体"/>
                <w:b/>
                <w:bCs/>
                <w:sz w:val="24"/>
              </w:rPr>
            </w:pPr>
          </w:p>
          <w:p>
            <w:pPr>
              <w:adjustRightInd w:val="0"/>
              <w:snapToGrid w:val="0"/>
              <w:spacing w:line="600" w:lineRule="exact"/>
              <w:ind w:left="88" w:leftChars="42" w:firstLine="570"/>
              <w:outlineLvl w:val="0"/>
              <w:rPr>
                <w:rFonts w:hint="eastAsia" w:ascii="宋体" w:hAnsi="宋体" w:cs="宋体"/>
                <w:b/>
                <w:bCs/>
                <w:sz w:val="24"/>
              </w:rPr>
            </w:pPr>
            <w:r>
              <w:rPr>
                <w:rFonts w:hint="eastAsia" w:ascii="宋体" w:hAnsi="宋体" w:cs="宋体"/>
                <w:b/>
                <w:bCs/>
                <w:sz w:val="24"/>
              </w:rPr>
              <w:t xml:space="preserve">      </w:t>
            </w:r>
          </w:p>
          <w:p>
            <w:pPr>
              <w:adjustRightInd w:val="0"/>
              <w:snapToGrid w:val="0"/>
              <w:spacing w:line="600" w:lineRule="exact"/>
              <w:ind w:left="88" w:leftChars="42"/>
              <w:outlineLvl w:val="0"/>
              <w:rPr>
                <w:rFonts w:hint="eastAsia" w:ascii="宋体" w:hAnsi="宋体" w:cs="宋体"/>
                <w:b/>
                <w:bCs/>
                <w:sz w:val="24"/>
              </w:rPr>
            </w:pPr>
            <w:r>
              <w:rPr>
                <w:rFonts w:hint="eastAsia" w:ascii="宋体" w:hAnsi="宋体" w:cs="宋体"/>
                <w:b/>
                <w:bCs/>
                <w:sz w:val="24"/>
              </w:rPr>
              <w:t>消杀单价（元/平方米/次）</w:t>
            </w:r>
          </w:p>
          <w:p>
            <w:pPr>
              <w:adjustRightInd w:val="0"/>
              <w:snapToGrid w:val="0"/>
              <w:spacing w:line="600" w:lineRule="exact"/>
              <w:outlineLvl w:val="0"/>
              <w:rPr>
                <w:rFonts w:hint="eastAsia" w:ascii="宋体" w:hAnsi="宋体" w:cs="宋体"/>
                <w:b/>
                <w:bCs/>
                <w:sz w:val="24"/>
              </w:rPr>
            </w:pPr>
          </w:p>
        </w:tc>
        <w:tc>
          <w:tcPr>
            <w:tcW w:w="5632" w:type="dxa"/>
            <w:tcBorders>
              <w:top w:val="single" w:color="auto" w:sz="4" w:space="0"/>
              <w:left w:val="nil"/>
              <w:bottom w:val="single" w:color="auto" w:sz="4" w:space="0"/>
              <w:right w:val="single" w:color="auto" w:sz="4" w:space="0"/>
            </w:tcBorders>
          </w:tcPr>
          <w:p>
            <w:pPr>
              <w:widowControl/>
              <w:spacing w:line="600" w:lineRule="exact"/>
              <w:jc w:val="left"/>
              <w:rPr>
                <w:rFonts w:hint="eastAsia" w:ascii="宋体" w:hAnsi="宋体" w:cs="宋体"/>
                <w:b/>
                <w:bCs/>
                <w:sz w:val="24"/>
              </w:rPr>
            </w:pPr>
          </w:p>
          <w:p>
            <w:pPr>
              <w:adjustRightInd w:val="0"/>
              <w:snapToGrid w:val="0"/>
              <w:spacing w:line="600" w:lineRule="exact"/>
              <w:outlineLvl w:val="0"/>
              <w:rPr>
                <w:rFonts w:hint="eastAsia" w:ascii="宋体" w:hAnsi="宋体" w:cs="宋体"/>
                <w:b/>
                <w:bCs/>
                <w:sz w:val="24"/>
              </w:rPr>
            </w:pPr>
            <w:r>
              <w:rPr>
                <w:rFonts w:hint="eastAsia" w:ascii="宋体" w:hAnsi="宋体" w:cs="宋体"/>
                <w:b/>
                <w:bCs/>
                <w:sz w:val="24"/>
              </w:rPr>
              <w:t xml:space="preserve">人民币（小写）：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sz w:val="24"/>
              </w:rPr>
            </w:pPr>
          </w:p>
        </w:tc>
        <w:tc>
          <w:tcPr>
            <w:tcW w:w="5632" w:type="dxa"/>
            <w:tcBorders>
              <w:top w:val="single" w:color="auto" w:sz="4" w:space="0"/>
              <w:left w:val="nil"/>
              <w:bottom w:val="single" w:color="auto" w:sz="4" w:space="0"/>
              <w:right w:val="single" w:color="auto" w:sz="4" w:space="0"/>
            </w:tcBorders>
          </w:tcPr>
          <w:p>
            <w:pPr>
              <w:adjustRightInd w:val="0"/>
              <w:snapToGrid w:val="0"/>
              <w:spacing w:line="600" w:lineRule="exact"/>
              <w:outlineLvl w:val="0"/>
              <w:rPr>
                <w:rFonts w:hint="eastAsia" w:ascii="宋体" w:hAnsi="宋体" w:cs="宋体"/>
                <w:b/>
                <w:bCs/>
                <w:sz w:val="24"/>
                <w:u w:val="single"/>
              </w:rPr>
            </w:pPr>
          </w:p>
          <w:p>
            <w:pPr>
              <w:adjustRightInd w:val="0"/>
              <w:snapToGrid w:val="0"/>
              <w:spacing w:line="600" w:lineRule="exact"/>
              <w:outlineLvl w:val="0"/>
              <w:rPr>
                <w:rFonts w:hint="eastAsia" w:ascii="宋体" w:hAnsi="宋体" w:cs="宋体"/>
                <w:b/>
                <w:bCs/>
                <w:sz w:val="24"/>
              </w:rPr>
            </w:pPr>
            <w:r>
              <w:rPr>
                <w:rFonts w:hint="eastAsia" w:ascii="宋体" w:hAnsi="宋体" w:cs="宋体"/>
                <w:b/>
                <w:bCs/>
                <w:sz w:val="24"/>
              </w:rPr>
              <w:t>人民币（大写）：</w:t>
            </w:r>
          </w:p>
        </w:tc>
      </w:tr>
    </w:tbl>
    <w:p>
      <w:pPr>
        <w:adjustRightInd w:val="0"/>
        <w:snapToGrid w:val="0"/>
        <w:spacing w:line="600" w:lineRule="exact"/>
        <w:ind w:firstLine="241" w:firstLineChars="100"/>
        <w:rPr>
          <w:rFonts w:hint="eastAsia" w:ascii="宋体" w:hAnsi="宋体" w:cs="宋体"/>
          <w:sz w:val="24"/>
        </w:rPr>
      </w:pPr>
      <w:r>
        <w:rPr>
          <w:rFonts w:hint="eastAsia" w:ascii="宋体" w:hAnsi="宋体" w:cs="宋体"/>
          <w:b/>
          <w:bCs/>
          <w:sz w:val="24"/>
        </w:rPr>
        <w:t>注：</w:t>
      </w:r>
      <w:r>
        <w:rPr>
          <w:rFonts w:hint="eastAsia" w:ascii="宋体" w:hAnsi="宋体" w:cs="宋体"/>
          <w:sz w:val="24"/>
        </w:rPr>
        <w:t>所有价格均以人民币计算。</w:t>
      </w:r>
    </w:p>
    <w:p>
      <w:pPr>
        <w:adjustRightInd w:val="0"/>
        <w:snapToGrid w:val="0"/>
        <w:spacing w:line="600" w:lineRule="exact"/>
        <w:rPr>
          <w:rFonts w:hint="eastAsia" w:ascii="宋体" w:hAnsi="宋体" w:cs="宋体"/>
          <w:sz w:val="24"/>
        </w:rPr>
      </w:pPr>
      <w:r>
        <w:rPr>
          <w:rFonts w:hint="eastAsia" w:ascii="宋体" w:hAnsi="宋体" w:cs="宋体"/>
          <w:sz w:val="24"/>
        </w:rPr>
        <w:t xml:space="preserve">                           </w:t>
      </w:r>
    </w:p>
    <w:p>
      <w:pPr>
        <w:spacing w:line="360" w:lineRule="exact"/>
        <w:ind w:right="2100" w:rightChars="1000"/>
        <w:jc w:val="right"/>
        <w:rPr>
          <w:rFonts w:hint="eastAsia" w:ascii="宋体" w:hAnsi="宋体" w:cs="宋体"/>
          <w:snapToGrid w:val="0"/>
          <w:kern w:val="0"/>
          <w:sz w:val="22"/>
        </w:rPr>
      </w:pPr>
    </w:p>
    <w:p>
      <w:pPr>
        <w:spacing w:line="360" w:lineRule="exact"/>
        <w:ind w:right="2100" w:rightChars="1000"/>
        <w:jc w:val="right"/>
        <w:rPr>
          <w:rFonts w:hint="eastAsia" w:ascii="宋体" w:hAnsi="宋体" w:cs="宋体"/>
          <w:snapToGrid w:val="0"/>
          <w:kern w:val="0"/>
          <w:sz w:val="22"/>
        </w:rPr>
      </w:pPr>
      <w:r>
        <w:rPr>
          <w:rFonts w:hint="eastAsia" w:ascii="宋体" w:hAnsi="宋体" w:cs="宋体"/>
          <w:snapToGrid w:val="0"/>
          <w:kern w:val="0"/>
          <w:sz w:val="22"/>
        </w:rPr>
        <w:t>法定代表人或被授权人签名：</w:t>
      </w:r>
    </w:p>
    <w:p>
      <w:pPr>
        <w:spacing w:line="360" w:lineRule="exact"/>
        <w:ind w:right="2100" w:rightChars="1000"/>
        <w:jc w:val="right"/>
        <w:rPr>
          <w:rFonts w:hint="eastAsia" w:ascii="宋体" w:hAnsi="宋体" w:cs="宋体"/>
          <w:snapToGrid w:val="0"/>
          <w:kern w:val="0"/>
          <w:sz w:val="22"/>
        </w:rPr>
      </w:pPr>
    </w:p>
    <w:p>
      <w:pPr>
        <w:spacing w:line="360" w:lineRule="exact"/>
        <w:ind w:right="2100" w:rightChars="1000"/>
        <w:jc w:val="right"/>
        <w:rPr>
          <w:rFonts w:hint="eastAsia" w:ascii="宋体" w:hAnsi="宋体" w:cs="宋体"/>
          <w:snapToGrid w:val="0"/>
          <w:kern w:val="0"/>
          <w:sz w:val="22"/>
        </w:rPr>
      </w:pPr>
      <w:r>
        <w:rPr>
          <w:rFonts w:hint="eastAsia" w:ascii="宋体" w:hAnsi="宋体" w:cs="宋体"/>
          <w:snapToGrid w:val="0"/>
          <w:kern w:val="0"/>
          <w:sz w:val="22"/>
        </w:rPr>
        <w:t>投标单位公章：</w:t>
      </w:r>
    </w:p>
    <w:p>
      <w:pPr>
        <w:pStyle w:val="2"/>
        <w:rPr>
          <w:rFonts w:hint="eastAsia" w:ascii="宋体" w:hAnsi="宋体" w:cs="宋体"/>
          <w:snapToGrid w:val="0"/>
          <w:kern w:val="0"/>
          <w:sz w:val="22"/>
        </w:rPr>
      </w:pPr>
    </w:p>
    <w:p>
      <w:pPr>
        <w:rPr>
          <w:rFonts w:hint="eastAsia" w:ascii="宋体" w:hAnsi="宋体" w:cs="宋体"/>
          <w:snapToGrid w:val="0"/>
          <w:kern w:val="0"/>
          <w:sz w:val="22"/>
        </w:rPr>
      </w:pPr>
    </w:p>
    <w:p>
      <w:pPr>
        <w:pStyle w:val="2"/>
        <w:rPr>
          <w:rFonts w:hint="eastAsia" w:ascii="宋体" w:hAnsi="宋体" w:cs="宋体"/>
          <w:snapToGrid w:val="0"/>
          <w:kern w:val="0"/>
          <w:sz w:val="22"/>
        </w:rPr>
      </w:pPr>
    </w:p>
    <w:p>
      <w:pPr>
        <w:rPr>
          <w:rFonts w:hint="eastAsia" w:ascii="宋体" w:hAnsi="宋体" w:cs="宋体"/>
          <w:snapToGrid w:val="0"/>
          <w:kern w:val="0"/>
          <w:sz w:val="22"/>
        </w:rPr>
      </w:pPr>
    </w:p>
    <w:p>
      <w:pPr>
        <w:pStyle w:val="2"/>
        <w:rPr>
          <w:rFonts w:hint="eastAsia" w:ascii="宋体" w:hAnsi="宋体" w:cs="宋体"/>
          <w:snapToGrid w:val="0"/>
          <w:kern w:val="0"/>
          <w:sz w:val="22"/>
        </w:rPr>
      </w:pPr>
    </w:p>
    <w:p>
      <w:pPr>
        <w:rPr>
          <w:rFonts w:hint="eastAsia" w:ascii="宋体" w:hAnsi="宋体" w:cs="宋体"/>
          <w:snapToGrid w:val="0"/>
          <w:kern w:val="0"/>
          <w:sz w:val="22"/>
        </w:rPr>
      </w:pPr>
    </w:p>
    <w:p>
      <w:pPr>
        <w:pStyle w:val="2"/>
        <w:rPr>
          <w:rFonts w:hint="eastAsia" w:ascii="宋体" w:hAnsi="宋体" w:cs="宋体"/>
          <w:snapToGrid w:val="0"/>
          <w:kern w:val="0"/>
          <w:sz w:val="22"/>
        </w:rPr>
      </w:pPr>
    </w:p>
    <w:p>
      <w:pPr>
        <w:rPr>
          <w:rFonts w:hint="eastAsia" w:ascii="宋体" w:hAnsi="宋体" w:cs="宋体"/>
          <w:snapToGrid w:val="0"/>
          <w:kern w:val="0"/>
          <w:sz w:val="22"/>
        </w:rPr>
      </w:pPr>
    </w:p>
    <w:p>
      <w:pPr>
        <w:pStyle w:val="2"/>
        <w:rPr>
          <w:rFonts w:hint="eastAsia" w:ascii="宋体" w:hAnsi="宋体" w:cs="宋体"/>
          <w:snapToGrid w:val="0"/>
          <w:kern w:val="0"/>
          <w:sz w:val="22"/>
        </w:rPr>
      </w:pPr>
    </w:p>
    <w:p>
      <w:pPr>
        <w:rPr>
          <w:rFonts w:hint="eastAsia" w:ascii="宋体" w:hAnsi="宋体" w:cs="宋体"/>
          <w:snapToGrid w:val="0"/>
          <w:kern w:val="0"/>
          <w:sz w:val="22"/>
        </w:rPr>
      </w:pPr>
    </w:p>
    <w:p>
      <w:pPr>
        <w:pStyle w:val="2"/>
        <w:rPr>
          <w:rFonts w:hint="eastAsia" w:ascii="宋体" w:hAnsi="宋体" w:cs="宋体"/>
          <w:snapToGrid w:val="0"/>
          <w:kern w:val="0"/>
          <w:sz w:val="22"/>
        </w:rPr>
      </w:pPr>
    </w:p>
    <w:p>
      <w:pPr>
        <w:rPr>
          <w:rFonts w:hint="eastAsia" w:ascii="宋体" w:hAnsi="宋体" w:cs="宋体"/>
          <w:snapToGrid w:val="0"/>
          <w:kern w:val="0"/>
          <w:sz w:val="22"/>
        </w:rPr>
      </w:pPr>
    </w:p>
    <w:p>
      <w:pPr>
        <w:pStyle w:val="2"/>
        <w:rPr>
          <w:rFonts w:hint="eastAsia" w:ascii="宋体" w:hAnsi="宋体" w:cs="宋体"/>
          <w:snapToGrid w:val="0"/>
          <w:kern w:val="0"/>
          <w:sz w:val="22"/>
        </w:rPr>
      </w:pPr>
    </w:p>
    <w:p>
      <w:pPr>
        <w:rPr>
          <w:rFonts w:hint="eastAsia" w:ascii="宋体" w:hAnsi="宋体" w:cs="宋体"/>
        </w:rPr>
      </w:pPr>
    </w:p>
    <w:p>
      <w:pPr>
        <w:spacing w:line="360" w:lineRule="exact"/>
        <w:ind w:right="2100" w:rightChars="1000"/>
        <w:jc w:val="left"/>
        <w:rPr>
          <w:rFonts w:hint="eastAsia" w:ascii="宋体" w:hAnsi="宋体" w:cs="宋体"/>
          <w:snapToGrid w:val="0"/>
          <w:kern w:val="0"/>
        </w:rPr>
      </w:pPr>
    </w:p>
    <w:p>
      <w:pPr>
        <w:pStyle w:val="109"/>
        <w:ind w:left="602" w:leftChars="0" w:hanging="602" w:hangingChars="250"/>
        <w:jc w:val="center"/>
        <w:rPr>
          <w:rFonts w:hint="eastAsia" w:ascii="宋体" w:hAnsi="宋体" w:eastAsia="宋体" w:cs="宋体"/>
          <w:b/>
          <w:bCs/>
          <w:sz w:val="24"/>
          <w:szCs w:val="32"/>
        </w:rPr>
      </w:pPr>
      <w:r>
        <w:rPr>
          <w:rFonts w:hint="eastAsia" w:ascii="宋体" w:hAnsi="宋体" w:eastAsia="宋体" w:cs="宋体"/>
          <w:b/>
          <w:bCs/>
          <w:sz w:val="24"/>
          <w:szCs w:val="32"/>
        </w:rPr>
        <w:t>二、法定代表人证明书</w:t>
      </w:r>
    </w:p>
    <w:p>
      <w:pPr>
        <w:rPr>
          <w:rFonts w:hint="eastAsia" w:ascii="宋体" w:hAnsi="宋体" w:cs="宋体"/>
          <w:sz w:val="24"/>
        </w:rPr>
      </w:pPr>
    </w:p>
    <w:p>
      <w:pPr>
        <w:rPr>
          <w:rFonts w:hint="eastAsia" w:ascii="宋体" w:hAnsi="宋体" w:cs="宋体"/>
          <w:szCs w:val="21"/>
          <w:u w:val="single"/>
        </w:rPr>
      </w:pPr>
      <w:r>
        <w:rPr>
          <w:rFonts w:hint="eastAsia" w:ascii="宋体" w:hAnsi="宋体" w:cs="宋体"/>
          <w:szCs w:val="21"/>
        </w:rPr>
        <w:t>单位名称：</w:t>
      </w:r>
    </w:p>
    <w:p>
      <w:pPr>
        <w:rPr>
          <w:rFonts w:hint="eastAsia" w:ascii="宋体" w:hAnsi="宋体" w:cs="宋体"/>
          <w:szCs w:val="21"/>
          <w:u w:val="single"/>
        </w:rPr>
      </w:pPr>
      <w:r>
        <w:rPr>
          <w:rFonts w:hint="eastAsia" w:ascii="宋体" w:hAnsi="宋体" w:cs="宋体"/>
          <w:szCs w:val="21"/>
        </w:rPr>
        <w:t>地址：</w:t>
      </w:r>
    </w:p>
    <w:p>
      <w:pPr>
        <w:rPr>
          <w:rFonts w:hint="eastAsia" w:ascii="宋体" w:hAnsi="宋体" w:cs="宋体"/>
          <w:szCs w:val="21"/>
          <w:u w:val="single"/>
        </w:rPr>
      </w:pPr>
      <w:r>
        <w:rPr>
          <w:rFonts w:hint="eastAsia" w:ascii="宋体" w:hAnsi="宋体" w:cs="宋体"/>
          <w:szCs w:val="21"/>
        </w:rPr>
        <w:t>姓名：  性别：    年龄：       身份证号码：                   职务：</w:t>
      </w:r>
    </w:p>
    <w:p>
      <w:pPr>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（投标人名称）</w:t>
      </w:r>
      <w:r>
        <w:rPr>
          <w:rFonts w:hint="eastAsia" w:ascii="宋体" w:hAnsi="宋体" w:cs="宋体"/>
          <w:szCs w:val="21"/>
        </w:rPr>
        <w:t>的法定代表人。</w:t>
      </w:r>
    </w:p>
    <w:p>
      <w:pPr>
        <w:rPr>
          <w:rFonts w:hint="eastAsia" w:ascii="宋体" w:hAnsi="宋体" w:cs="宋体"/>
          <w:szCs w:val="21"/>
        </w:rPr>
      </w:pPr>
      <w:r>
        <w:rPr>
          <w:rFonts w:hint="eastAsia" w:ascii="宋体" w:hAnsi="宋体" w:cs="宋体"/>
          <w:szCs w:val="21"/>
        </w:rPr>
        <w:t>特此证明</w:t>
      </w:r>
    </w:p>
    <w:p>
      <w:pPr>
        <w:ind w:right="420"/>
        <w:jc w:val="right"/>
        <w:rPr>
          <w:rFonts w:hint="eastAsia" w:ascii="宋体" w:hAnsi="宋体" w:cs="宋体"/>
          <w:szCs w:val="21"/>
        </w:rPr>
      </w:pPr>
      <w:r>
        <w:rPr>
          <w:rFonts w:hint="eastAsia" w:ascii="宋体" w:hAnsi="宋体" w:cs="宋体"/>
          <w:szCs w:val="21"/>
        </w:rPr>
        <w:t>投标单位（盖章）：</w:t>
      </w:r>
    </w:p>
    <w:p>
      <w:pPr>
        <w:ind w:right="420"/>
        <w:jc w:val="right"/>
        <w:rPr>
          <w:rFonts w:hint="eastAsia" w:ascii="宋体" w:hAnsi="宋体" w:cs="宋体"/>
          <w:szCs w:val="21"/>
        </w:rPr>
      </w:pPr>
      <w:r>
        <w:rPr>
          <w:rFonts w:hint="eastAsia" w:ascii="宋体" w:hAnsi="宋体" w:cs="宋体"/>
          <w:szCs w:val="21"/>
        </w:rPr>
        <w:t>日期：  年  月  日</w:t>
      </w:r>
    </w:p>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附：法定代表人身份证复印件。</w:t>
      </w:r>
    </w:p>
    <w:p>
      <w:pPr>
        <w:rPr>
          <w:rFonts w:hint="eastAsia" w:ascii="宋体" w:hAnsi="宋体" w:cs="宋体"/>
          <w:szCs w:val="21"/>
        </w:rPr>
      </w:pPr>
    </w:p>
    <w:p>
      <w:pPr>
        <w:ind w:firstLine="422" w:firstLineChars="200"/>
        <w:rPr>
          <w:rFonts w:hint="eastAsia" w:ascii="宋体" w:hAnsi="宋体" w:cs="宋体"/>
          <w:b/>
          <w:szCs w:val="21"/>
        </w:rPr>
      </w:pPr>
      <w:r>
        <w:rPr>
          <w:rFonts w:hint="eastAsia" w:ascii="宋体" w:hAnsi="宋体" w:cs="宋体"/>
          <w:b/>
          <w:szCs w:val="21"/>
        </w:rPr>
        <w:t>注：必须提供法定代表人（负责人）有效期内身份证（正反面）扫描件（非中国境内居民，可提供公安部门认可的身份证明材料），否则将导致投标无效。</w:t>
      </w:r>
    </w:p>
    <w:p>
      <w:pPr>
        <w:ind w:firstLine="422" w:firstLineChars="200"/>
        <w:rPr>
          <w:rFonts w:hint="eastAsia" w:ascii="宋体" w:hAnsi="宋体" w:cs="宋体"/>
          <w:b/>
          <w:szCs w:val="21"/>
        </w:rPr>
      </w:pPr>
    </w:p>
    <w:p>
      <w:pPr>
        <w:ind w:firstLine="422" w:firstLineChars="200"/>
        <w:rPr>
          <w:rFonts w:hint="eastAsia" w:ascii="宋体" w:hAnsi="宋体" w:cs="宋体"/>
          <w:b/>
          <w:szCs w:val="21"/>
        </w:rPr>
      </w:pPr>
    </w:p>
    <w:p>
      <w:pPr>
        <w:ind w:firstLine="422" w:firstLineChars="200"/>
        <w:rPr>
          <w:rFonts w:hint="eastAsia" w:ascii="宋体" w:hAnsi="宋体" w:cs="宋体"/>
          <w:b/>
          <w:szCs w:val="21"/>
        </w:rPr>
      </w:pPr>
    </w:p>
    <w:p>
      <w:pPr>
        <w:pStyle w:val="5"/>
        <w:jc w:val="center"/>
        <w:rPr>
          <w:rFonts w:hint="eastAsia" w:cs="宋体"/>
          <w:sz w:val="24"/>
        </w:rPr>
      </w:pPr>
      <w:r>
        <w:rPr>
          <w:rFonts w:hint="eastAsia" w:cs="宋体"/>
          <w:sz w:val="24"/>
        </w:rPr>
        <w:t>三、授权委托书</w:t>
      </w:r>
    </w:p>
    <w:p>
      <w:pPr>
        <w:spacing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（投标人名称）的</w:t>
      </w:r>
      <w:r>
        <w:rPr>
          <w:rFonts w:hint="eastAsia" w:ascii="宋体" w:hAnsi="宋体" w:cs="宋体"/>
          <w:szCs w:val="21"/>
        </w:rPr>
        <w:t>法定代表人，现授权我单位的</w:t>
      </w:r>
      <w:r>
        <w:rPr>
          <w:rFonts w:hint="eastAsia" w:ascii="宋体" w:hAnsi="宋体" w:cs="宋体"/>
          <w:szCs w:val="21"/>
          <w:u w:val="single"/>
        </w:rPr>
        <w:t>（姓名）（身份证号码：）</w:t>
      </w:r>
      <w:r>
        <w:rPr>
          <w:rFonts w:hint="eastAsia" w:ascii="宋体" w:hAnsi="宋体" w:cs="宋体"/>
          <w:szCs w:val="21"/>
        </w:rPr>
        <w:t>代表我单位签署</w:t>
      </w:r>
      <w:r>
        <w:rPr>
          <w:rFonts w:hint="eastAsia" w:ascii="宋体" w:hAnsi="宋体" w:cs="宋体"/>
          <w:szCs w:val="21"/>
          <w:u w:val="single"/>
        </w:rPr>
        <w:t>（项目名称）</w:t>
      </w:r>
      <w:r>
        <w:rPr>
          <w:rFonts w:hint="eastAsia" w:ascii="宋体" w:hAnsi="宋体" w:cs="宋体"/>
          <w:szCs w:val="21"/>
        </w:rPr>
        <w:t>的投标文件、参与项目投标、澄清投标文件、签署合同和处理与该项目有关的一切事务。在此过程中所签署的一切文件及处理与该项目有关的一切事务，我均予以承认；</w:t>
      </w:r>
    </w:p>
    <w:p>
      <w:pPr>
        <w:spacing w:line="360" w:lineRule="auto"/>
        <w:ind w:firstLine="420" w:firstLineChars="200"/>
        <w:rPr>
          <w:rFonts w:hint="eastAsia" w:ascii="宋体" w:hAnsi="宋体" w:cs="宋体"/>
          <w:szCs w:val="21"/>
        </w:rPr>
      </w:pPr>
      <w:r>
        <w:rPr>
          <w:rFonts w:hint="eastAsia" w:ascii="宋体" w:hAnsi="宋体" w:cs="宋体"/>
          <w:szCs w:val="21"/>
        </w:rPr>
        <w:t>被授权人签署的所有文件不因授权的撤消而消失；被授权人无转委权。</w:t>
      </w:r>
    </w:p>
    <w:p>
      <w:pPr>
        <w:spacing w:line="360" w:lineRule="auto"/>
        <w:ind w:left="540" w:leftChars="257"/>
        <w:rPr>
          <w:rFonts w:hint="eastAsia" w:ascii="宋体" w:hAnsi="宋体" w:cs="宋体"/>
          <w:szCs w:val="21"/>
          <w:u w:val="single"/>
        </w:rPr>
      </w:pPr>
      <w:r>
        <w:rPr>
          <w:rFonts w:hint="eastAsia" w:ascii="宋体" w:hAnsi="宋体" w:cs="宋体"/>
          <w:szCs w:val="21"/>
        </w:rPr>
        <w:t>被授权人：性别：年龄：</w:t>
      </w:r>
    </w:p>
    <w:p>
      <w:pPr>
        <w:spacing w:line="360" w:lineRule="auto"/>
        <w:ind w:left="540" w:leftChars="257"/>
        <w:rPr>
          <w:rFonts w:hint="eastAsia" w:ascii="宋体" w:hAnsi="宋体" w:cs="宋体"/>
          <w:szCs w:val="21"/>
        </w:rPr>
      </w:pPr>
      <w:r>
        <w:rPr>
          <w:rFonts w:hint="eastAsia" w:ascii="宋体" w:hAnsi="宋体" w:cs="宋体"/>
          <w:szCs w:val="21"/>
        </w:rPr>
        <w:t>联系电话：手机：</w:t>
      </w:r>
    </w:p>
    <w:p>
      <w:pPr>
        <w:spacing w:line="360" w:lineRule="auto"/>
        <w:ind w:left="540" w:leftChars="257"/>
        <w:jc w:val="right"/>
        <w:rPr>
          <w:rFonts w:hint="eastAsia" w:ascii="宋体" w:hAnsi="宋体" w:cs="宋体"/>
          <w:szCs w:val="21"/>
        </w:rPr>
      </w:pPr>
      <w:r>
        <w:rPr>
          <w:rFonts w:hint="eastAsia" w:ascii="宋体" w:hAnsi="宋体" w:cs="宋体"/>
          <w:szCs w:val="21"/>
        </w:rPr>
        <w:t xml:space="preserve">投标单位（盖章）：      </w:t>
      </w:r>
    </w:p>
    <w:p>
      <w:pPr>
        <w:spacing w:line="360" w:lineRule="auto"/>
        <w:ind w:left="540" w:leftChars="257"/>
        <w:jc w:val="right"/>
        <w:rPr>
          <w:rFonts w:hint="eastAsia" w:ascii="宋体" w:hAnsi="宋体" w:cs="宋体"/>
          <w:szCs w:val="21"/>
        </w:rPr>
      </w:pPr>
      <w:r>
        <w:rPr>
          <w:rFonts w:hint="eastAsia" w:ascii="宋体" w:hAnsi="宋体" w:cs="宋体"/>
          <w:szCs w:val="21"/>
        </w:rPr>
        <w:t xml:space="preserve">法定代表人（签名或盖章）：       </w:t>
      </w:r>
    </w:p>
    <w:p>
      <w:pPr>
        <w:spacing w:line="360" w:lineRule="auto"/>
        <w:ind w:left="540" w:leftChars="257"/>
        <w:jc w:val="right"/>
        <w:rPr>
          <w:rFonts w:hint="eastAsia" w:ascii="宋体" w:hAnsi="宋体" w:cs="宋体"/>
          <w:szCs w:val="21"/>
        </w:rPr>
      </w:pPr>
      <w:r>
        <w:rPr>
          <w:rFonts w:hint="eastAsia" w:ascii="宋体" w:hAnsi="宋体" w:cs="宋体"/>
          <w:szCs w:val="21"/>
        </w:rPr>
        <w:t>日期：  年  月   日</w:t>
      </w:r>
    </w:p>
    <w:p>
      <w:pPr>
        <w:spacing w:line="360" w:lineRule="auto"/>
        <w:ind w:left="540" w:leftChars="257"/>
        <w:rPr>
          <w:rFonts w:hint="eastAsia" w:ascii="宋体" w:hAnsi="宋体" w:cs="宋体"/>
          <w:szCs w:val="21"/>
        </w:rPr>
      </w:pPr>
      <w:r>
        <w:rPr>
          <w:rFonts w:hint="eastAsia" w:ascii="宋体" w:hAnsi="宋体" w:cs="宋体"/>
          <w:szCs w:val="21"/>
        </w:rPr>
        <w:t>附：被授权人身份证复印件。</w:t>
      </w:r>
    </w:p>
    <w:p>
      <w:pPr>
        <w:ind w:firstLine="422" w:firstLineChars="200"/>
        <w:rPr>
          <w:rFonts w:hint="eastAsia" w:ascii="宋体" w:hAnsi="宋体" w:cs="宋体"/>
          <w:b/>
          <w:szCs w:val="21"/>
        </w:rPr>
      </w:pPr>
    </w:p>
    <w:p>
      <w:pPr>
        <w:ind w:firstLine="422" w:firstLineChars="200"/>
        <w:rPr>
          <w:rFonts w:hint="eastAsia" w:ascii="宋体" w:hAnsi="宋体" w:cs="宋体"/>
          <w:b/>
          <w:szCs w:val="21"/>
        </w:rPr>
      </w:pPr>
      <w:r>
        <w:rPr>
          <w:rFonts w:hint="eastAsia" w:ascii="宋体" w:hAnsi="宋体" w:cs="宋体"/>
          <w:b/>
          <w:szCs w:val="21"/>
        </w:rPr>
        <w:t>注：须提供被授权人有效期内身份证（正反面）扫描件。</w:t>
      </w:r>
    </w:p>
    <w:p>
      <w:pPr>
        <w:ind w:firstLine="422" w:firstLineChars="200"/>
        <w:rPr>
          <w:rFonts w:hint="eastAsia" w:ascii="宋体" w:hAnsi="宋体" w:cs="宋体"/>
          <w:b/>
        </w:rPr>
      </w:pPr>
      <w:r>
        <w:rPr>
          <w:rFonts w:hint="eastAsia" w:ascii="宋体" w:hAnsi="宋体" w:cs="宋体"/>
          <w:b/>
        </w:rPr>
        <w:t>投标人确保被授权人的联系方式正确，并保证在项目开评标过程中及项目履约期间保持电话、手机畅通。如因投标人自身原因导致无法联系的情况，投标人应自行承担不利后果。</w:t>
      </w:r>
    </w:p>
    <w:p>
      <w:pPr>
        <w:spacing w:line="360" w:lineRule="auto"/>
        <w:ind w:firstLine="723" w:firstLineChars="300"/>
        <w:jc w:val="center"/>
        <w:rPr>
          <w:rFonts w:hint="eastAsia" w:ascii="宋体" w:hAnsi="宋体" w:cs="宋体"/>
          <w:b/>
          <w:sz w:val="24"/>
        </w:rPr>
      </w:pPr>
      <w:r>
        <w:rPr>
          <w:rFonts w:hint="eastAsia" w:ascii="宋体" w:hAnsi="宋体" w:cs="宋体"/>
          <w:b/>
          <w:sz w:val="24"/>
        </w:rPr>
        <w:br w:type="page"/>
      </w:r>
    </w:p>
    <w:p>
      <w:pPr>
        <w:spacing w:line="360" w:lineRule="auto"/>
        <w:ind w:firstLine="3213" w:firstLineChars="1000"/>
        <w:rPr>
          <w:rFonts w:hint="eastAsia" w:ascii="宋体" w:hAnsi="宋体" w:cs="宋体"/>
          <w:sz w:val="32"/>
          <w:szCs w:val="32"/>
        </w:rPr>
      </w:pPr>
      <w:r>
        <w:rPr>
          <w:rFonts w:hint="eastAsia" w:ascii="宋体" w:hAnsi="宋体" w:cs="宋体"/>
          <w:b/>
          <w:bCs/>
          <w:sz w:val="32"/>
          <w:szCs w:val="32"/>
        </w:rPr>
        <w:t>附件2、投标文件</w:t>
      </w:r>
    </w:p>
    <w:p>
      <w:pPr>
        <w:rPr>
          <w:rFonts w:hint="eastAsia" w:ascii="宋体" w:hAnsi="宋体" w:cs="宋体"/>
          <w:szCs w:val="21"/>
        </w:rPr>
      </w:pPr>
    </w:p>
    <w:p>
      <w:pPr>
        <w:rPr>
          <w:rFonts w:hint="eastAsia" w:ascii="宋体" w:hAnsi="宋体" w:cs="宋体"/>
          <w:szCs w:val="21"/>
        </w:rPr>
      </w:pPr>
    </w:p>
    <w:p>
      <w:pPr>
        <w:pStyle w:val="49"/>
        <w:ind w:left="0" w:leftChars="0" w:firstLine="0" w:firstLineChars="0"/>
        <w:rPr>
          <w:rFonts w:hint="eastAsia" w:ascii="宋体" w:hAnsi="宋体" w:cs="宋体"/>
        </w:rPr>
      </w:pPr>
    </w:p>
    <w:p>
      <w:pPr>
        <w:pStyle w:val="49"/>
        <w:ind w:left="0" w:leftChars="0" w:firstLine="0" w:firstLineChars="0"/>
        <w:rPr>
          <w:rFonts w:hint="eastAsia" w:ascii="宋体" w:hAnsi="宋体" w:cs="宋体"/>
        </w:rPr>
      </w:pPr>
    </w:p>
    <w:p>
      <w:pPr>
        <w:pStyle w:val="49"/>
        <w:ind w:left="0" w:leftChars="0" w:firstLine="0" w:firstLineChars="0"/>
        <w:rPr>
          <w:rFonts w:hint="eastAsia" w:ascii="宋体" w:hAnsi="宋体" w:cs="宋体"/>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eastAsia="宋体" w:cs="宋体"/>
          <w:sz w:val="36"/>
          <w:szCs w:val="36"/>
          <w:lang w:eastAsia="zh-CN"/>
        </w:rPr>
      </w:pPr>
      <w:r>
        <w:rPr>
          <w:rFonts w:hint="eastAsia" w:ascii="宋体" w:hAnsi="宋体" w:cs="宋体"/>
          <w:b/>
          <w:sz w:val="36"/>
          <w:szCs w:val="36"/>
          <w:lang w:eastAsia="zh-CN"/>
        </w:rPr>
        <w:t>2026年度盐田区国有储备地除“四害”消杀服务</w:t>
      </w:r>
    </w:p>
    <w:p>
      <w:pPr>
        <w:jc w:val="center"/>
        <w:rPr>
          <w:rFonts w:hint="eastAsia" w:ascii="宋体" w:hAnsi="宋体" w:cs="宋体"/>
          <w:sz w:val="44"/>
          <w:szCs w:val="44"/>
        </w:rPr>
      </w:pPr>
    </w:p>
    <w:p>
      <w:pPr>
        <w:jc w:val="center"/>
        <w:rPr>
          <w:rFonts w:hint="eastAsia" w:ascii="宋体" w:hAnsi="宋体" w:cs="宋体"/>
          <w:sz w:val="44"/>
          <w:szCs w:val="44"/>
        </w:rPr>
      </w:pPr>
      <w:r>
        <w:rPr>
          <w:rFonts w:hint="eastAsia" w:ascii="宋体" w:hAnsi="宋体" w:cs="宋体"/>
          <w:sz w:val="44"/>
          <w:szCs w:val="44"/>
        </w:rPr>
        <w:t>（投标文件）</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rPr>
          <w:rFonts w:hint="eastAsia" w:ascii="宋体" w:hAnsi="宋体" w:cs="宋体"/>
          <w:sz w:val="44"/>
          <w:szCs w:val="44"/>
        </w:rPr>
      </w:pPr>
    </w:p>
    <w:p>
      <w:pPr>
        <w:spacing w:line="480" w:lineRule="auto"/>
        <w:ind w:firstLine="1400" w:firstLineChars="500"/>
        <w:rPr>
          <w:rFonts w:hint="eastAsia" w:ascii="宋体" w:hAnsi="宋体" w:cs="宋体"/>
          <w:sz w:val="28"/>
          <w:szCs w:val="28"/>
          <w:u w:val="single"/>
        </w:rPr>
      </w:pPr>
      <w:r>
        <w:rPr>
          <w:rFonts w:hint="eastAsia" w:ascii="宋体" w:hAnsi="宋体" w:cs="宋体"/>
          <w:sz w:val="28"/>
          <w:szCs w:val="28"/>
        </w:rPr>
        <w:t>项目编号：________________________</w:t>
      </w:r>
    </w:p>
    <w:p>
      <w:pPr>
        <w:spacing w:line="480" w:lineRule="auto"/>
        <w:ind w:firstLine="1400" w:firstLineChars="500"/>
        <w:rPr>
          <w:rFonts w:hint="eastAsia" w:ascii="宋体" w:hAnsi="宋体" w:cs="宋体"/>
          <w:sz w:val="28"/>
          <w:szCs w:val="28"/>
          <w:u w:val="single"/>
        </w:rPr>
      </w:pPr>
      <w:r>
        <w:rPr>
          <w:rFonts w:hint="eastAsia" w:ascii="宋体" w:hAnsi="宋体" w:cs="宋体"/>
          <w:sz w:val="28"/>
          <w:szCs w:val="28"/>
        </w:rPr>
        <w:t>供应商（盖章）：___________________</w:t>
      </w:r>
    </w:p>
    <w:p>
      <w:pPr>
        <w:spacing w:line="480" w:lineRule="auto"/>
        <w:ind w:firstLine="1400" w:firstLineChars="500"/>
        <w:rPr>
          <w:rFonts w:hint="eastAsia" w:ascii="宋体" w:hAnsi="宋体" w:cs="宋体"/>
          <w:sz w:val="28"/>
          <w:szCs w:val="28"/>
        </w:rPr>
      </w:pPr>
      <w:r>
        <w:rPr>
          <w:rFonts w:hint="eastAsia" w:ascii="宋体" w:hAnsi="宋体" w:cs="宋体"/>
          <w:sz w:val="28"/>
          <w:szCs w:val="28"/>
        </w:rPr>
        <w:t>法定代表人或授权委托人签字：____________</w:t>
      </w:r>
    </w:p>
    <w:p>
      <w:pPr>
        <w:ind w:firstLine="1400" w:firstLineChars="500"/>
        <w:rPr>
          <w:rFonts w:hint="eastAsia" w:ascii="宋体" w:hAnsi="宋体" w:cs="宋体"/>
          <w:sz w:val="28"/>
          <w:szCs w:val="28"/>
        </w:rPr>
      </w:pPr>
      <w:r>
        <w:rPr>
          <w:rFonts w:hint="eastAsia" w:ascii="宋体" w:hAnsi="宋体" w:cs="宋体"/>
          <w:sz w:val="28"/>
          <w:szCs w:val="28"/>
        </w:rPr>
        <w:t>投标日期：______年_____月______日</w:t>
      </w:r>
    </w:p>
    <w:p>
      <w:pPr>
        <w:rPr>
          <w:rFonts w:hint="eastAsia" w:ascii="宋体" w:hAnsi="宋体" w:cs="宋体"/>
        </w:rPr>
      </w:pPr>
    </w:p>
    <w:p>
      <w:pPr>
        <w:pStyle w:val="5"/>
        <w:jc w:val="center"/>
        <w:rPr>
          <w:rFonts w:hint="eastAsia" w:cs="宋体"/>
          <w:sz w:val="24"/>
        </w:rPr>
      </w:pPr>
      <w:r>
        <w:rPr>
          <w:rFonts w:hint="eastAsia" w:cs="宋体"/>
        </w:rPr>
        <w:br w:type="page"/>
      </w:r>
      <w:r>
        <w:rPr>
          <w:rFonts w:hint="eastAsia" w:cs="宋体"/>
          <w:sz w:val="24"/>
        </w:rPr>
        <w:t>一、法定代表人证明书</w:t>
      </w:r>
    </w:p>
    <w:p>
      <w:pPr>
        <w:rPr>
          <w:rFonts w:hint="eastAsia" w:ascii="宋体" w:hAnsi="宋体" w:cs="宋体"/>
          <w:sz w:val="24"/>
        </w:rPr>
      </w:pPr>
    </w:p>
    <w:p>
      <w:pPr>
        <w:rPr>
          <w:rFonts w:hint="eastAsia" w:ascii="宋体" w:hAnsi="宋体" w:cs="宋体"/>
          <w:szCs w:val="21"/>
          <w:u w:val="single"/>
        </w:rPr>
      </w:pPr>
      <w:r>
        <w:rPr>
          <w:rFonts w:hint="eastAsia" w:ascii="宋体" w:hAnsi="宋体" w:cs="宋体"/>
          <w:szCs w:val="21"/>
        </w:rPr>
        <w:t>单位名称：</w:t>
      </w:r>
    </w:p>
    <w:p>
      <w:pPr>
        <w:rPr>
          <w:rFonts w:hint="eastAsia" w:ascii="宋体" w:hAnsi="宋体" w:cs="宋体"/>
          <w:szCs w:val="21"/>
          <w:u w:val="single"/>
        </w:rPr>
      </w:pPr>
      <w:r>
        <w:rPr>
          <w:rFonts w:hint="eastAsia" w:ascii="宋体" w:hAnsi="宋体" w:cs="宋体"/>
          <w:szCs w:val="21"/>
        </w:rPr>
        <w:t>地址：</w:t>
      </w:r>
    </w:p>
    <w:p>
      <w:pPr>
        <w:rPr>
          <w:rFonts w:hint="eastAsia" w:ascii="宋体" w:hAnsi="宋体" w:cs="宋体"/>
          <w:szCs w:val="21"/>
          <w:u w:val="single"/>
        </w:rPr>
      </w:pPr>
      <w:r>
        <w:rPr>
          <w:rFonts w:hint="eastAsia" w:ascii="宋体" w:hAnsi="宋体" w:cs="宋体"/>
          <w:szCs w:val="21"/>
        </w:rPr>
        <w:t>姓名：  性别：    年龄：       身份证号码：                   职务：</w:t>
      </w:r>
    </w:p>
    <w:p>
      <w:pPr>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（投标人名称）</w:t>
      </w:r>
      <w:r>
        <w:rPr>
          <w:rFonts w:hint="eastAsia" w:ascii="宋体" w:hAnsi="宋体" w:cs="宋体"/>
          <w:szCs w:val="21"/>
        </w:rPr>
        <w:t>的法定代表人。</w:t>
      </w:r>
    </w:p>
    <w:p>
      <w:pPr>
        <w:rPr>
          <w:rFonts w:hint="eastAsia" w:ascii="宋体" w:hAnsi="宋体" w:cs="宋体"/>
          <w:szCs w:val="21"/>
        </w:rPr>
      </w:pPr>
      <w:r>
        <w:rPr>
          <w:rFonts w:hint="eastAsia" w:ascii="宋体" w:hAnsi="宋体" w:cs="宋体"/>
          <w:szCs w:val="21"/>
        </w:rPr>
        <w:t>特此证明</w:t>
      </w:r>
    </w:p>
    <w:p>
      <w:pPr>
        <w:ind w:right="420"/>
        <w:jc w:val="right"/>
        <w:rPr>
          <w:rFonts w:hint="eastAsia" w:ascii="宋体" w:hAnsi="宋体" w:cs="宋体"/>
          <w:szCs w:val="21"/>
        </w:rPr>
      </w:pPr>
      <w:r>
        <w:rPr>
          <w:rFonts w:hint="eastAsia" w:ascii="宋体" w:hAnsi="宋体" w:cs="宋体"/>
          <w:szCs w:val="21"/>
        </w:rPr>
        <w:t>投标单位（盖章）：</w:t>
      </w:r>
    </w:p>
    <w:p>
      <w:pPr>
        <w:ind w:right="420"/>
        <w:jc w:val="right"/>
        <w:rPr>
          <w:rFonts w:hint="eastAsia" w:ascii="宋体" w:hAnsi="宋体" w:cs="宋体"/>
          <w:szCs w:val="21"/>
        </w:rPr>
      </w:pPr>
      <w:r>
        <w:rPr>
          <w:rFonts w:hint="eastAsia" w:ascii="宋体" w:hAnsi="宋体" w:cs="宋体"/>
          <w:szCs w:val="21"/>
        </w:rPr>
        <w:t>日期：  年  月  日</w:t>
      </w:r>
    </w:p>
    <w:p>
      <w:pPr>
        <w:ind w:right="420"/>
        <w:jc w:val="right"/>
        <w:rPr>
          <w:rFonts w:hint="eastAsia" w:ascii="宋体" w:hAnsi="宋体" w:cs="宋体"/>
          <w:szCs w:val="21"/>
        </w:rPr>
      </w:pPr>
    </w:p>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附：法定代表人身份证复印件。</w:t>
      </w:r>
    </w:p>
    <w:p>
      <w:pPr>
        <w:rPr>
          <w:rFonts w:hint="eastAsia" w:ascii="宋体" w:hAnsi="宋体" w:cs="宋体"/>
          <w:szCs w:val="21"/>
        </w:rPr>
      </w:pPr>
    </w:p>
    <w:p>
      <w:pPr>
        <w:ind w:firstLine="422" w:firstLineChars="200"/>
        <w:rPr>
          <w:rFonts w:hint="eastAsia" w:ascii="宋体" w:hAnsi="宋体" w:cs="宋体"/>
          <w:b/>
          <w:szCs w:val="21"/>
        </w:rPr>
      </w:pPr>
      <w:r>
        <w:rPr>
          <w:rFonts w:hint="eastAsia" w:ascii="宋体" w:hAnsi="宋体" w:cs="宋体"/>
          <w:b/>
          <w:szCs w:val="21"/>
        </w:rPr>
        <w:t>注：必须提供法定代表人（负责人）有效期内身份证（正反面）扫描件（非中国境内居民，可提供公安部门认可的身份证明材料），否则将导致投标无效。</w:t>
      </w:r>
    </w:p>
    <w:p>
      <w:pPr>
        <w:ind w:firstLine="422" w:firstLineChars="200"/>
        <w:rPr>
          <w:rFonts w:hint="eastAsia" w:ascii="宋体" w:hAnsi="宋体" w:cs="宋体"/>
          <w:b/>
          <w:szCs w:val="21"/>
        </w:rPr>
      </w:pPr>
    </w:p>
    <w:p>
      <w:pPr>
        <w:ind w:firstLine="422" w:firstLineChars="200"/>
        <w:rPr>
          <w:rFonts w:hint="eastAsia" w:ascii="宋体" w:hAnsi="宋体" w:cs="宋体"/>
          <w:b/>
          <w:szCs w:val="21"/>
        </w:rPr>
      </w:pPr>
    </w:p>
    <w:p>
      <w:pPr>
        <w:ind w:firstLine="422" w:firstLineChars="200"/>
        <w:rPr>
          <w:rFonts w:hint="eastAsia" w:ascii="宋体" w:hAnsi="宋体" w:cs="宋体"/>
          <w:b/>
          <w:szCs w:val="21"/>
        </w:rPr>
      </w:pPr>
    </w:p>
    <w:p>
      <w:pPr>
        <w:pStyle w:val="5"/>
        <w:jc w:val="center"/>
        <w:rPr>
          <w:rFonts w:hint="eastAsia" w:cs="宋体"/>
          <w:sz w:val="24"/>
        </w:rPr>
      </w:pPr>
      <w:r>
        <w:rPr>
          <w:rFonts w:hint="eastAsia" w:cs="宋体"/>
          <w:sz w:val="24"/>
        </w:rPr>
        <w:t>二、授权委托书</w:t>
      </w:r>
    </w:p>
    <w:p>
      <w:pPr>
        <w:spacing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（投标人名称）的</w:t>
      </w:r>
      <w:r>
        <w:rPr>
          <w:rFonts w:hint="eastAsia" w:ascii="宋体" w:hAnsi="宋体" w:cs="宋体"/>
          <w:szCs w:val="21"/>
        </w:rPr>
        <w:t>法定代表人，现授权我单位的</w:t>
      </w:r>
      <w:r>
        <w:rPr>
          <w:rFonts w:hint="eastAsia" w:ascii="宋体" w:hAnsi="宋体" w:cs="宋体"/>
          <w:szCs w:val="21"/>
          <w:u w:val="single"/>
        </w:rPr>
        <w:t>（姓名）（身份证号码：）</w:t>
      </w:r>
      <w:r>
        <w:rPr>
          <w:rFonts w:hint="eastAsia" w:ascii="宋体" w:hAnsi="宋体" w:cs="宋体"/>
          <w:szCs w:val="21"/>
        </w:rPr>
        <w:t>代表我单位签署</w:t>
      </w:r>
      <w:r>
        <w:rPr>
          <w:rFonts w:hint="eastAsia" w:ascii="宋体" w:hAnsi="宋体" w:cs="宋体"/>
          <w:szCs w:val="21"/>
          <w:u w:val="single"/>
        </w:rPr>
        <w:t>（项目名称）</w:t>
      </w:r>
      <w:r>
        <w:rPr>
          <w:rFonts w:hint="eastAsia" w:ascii="宋体" w:hAnsi="宋体" w:cs="宋体"/>
          <w:szCs w:val="21"/>
        </w:rPr>
        <w:t>的投标文件、参与项目投标、澄清投标文件、签署合同和处理与该项目有关的一切事务。在此过程中所签署的一切文件及处理与该项目有关的一切事务，我均予以承认；</w:t>
      </w:r>
    </w:p>
    <w:p>
      <w:pPr>
        <w:spacing w:line="360" w:lineRule="auto"/>
        <w:ind w:firstLine="420" w:firstLineChars="200"/>
        <w:rPr>
          <w:rFonts w:hint="eastAsia" w:ascii="宋体" w:hAnsi="宋体" w:cs="宋体"/>
          <w:szCs w:val="21"/>
        </w:rPr>
      </w:pPr>
      <w:r>
        <w:rPr>
          <w:rFonts w:hint="eastAsia" w:ascii="宋体" w:hAnsi="宋体" w:cs="宋体"/>
          <w:szCs w:val="21"/>
        </w:rPr>
        <w:t>被授权人签署的所有文件不因授权的撤消而消失；被授权人无转委权。</w:t>
      </w:r>
    </w:p>
    <w:p>
      <w:pPr>
        <w:spacing w:line="360" w:lineRule="auto"/>
        <w:ind w:left="540" w:leftChars="257"/>
        <w:rPr>
          <w:rFonts w:hint="eastAsia" w:ascii="宋体" w:hAnsi="宋体" w:cs="宋体"/>
          <w:szCs w:val="21"/>
          <w:u w:val="single"/>
        </w:rPr>
      </w:pPr>
      <w:r>
        <w:rPr>
          <w:rFonts w:hint="eastAsia" w:ascii="宋体" w:hAnsi="宋体" w:cs="宋体"/>
          <w:szCs w:val="21"/>
        </w:rPr>
        <w:t>被授权人：性别：年龄：</w:t>
      </w:r>
    </w:p>
    <w:p>
      <w:pPr>
        <w:spacing w:line="360" w:lineRule="auto"/>
        <w:ind w:left="540" w:leftChars="257"/>
        <w:rPr>
          <w:rFonts w:hint="eastAsia" w:ascii="宋体" w:hAnsi="宋体" w:cs="宋体"/>
          <w:szCs w:val="21"/>
        </w:rPr>
      </w:pPr>
      <w:r>
        <w:rPr>
          <w:rFonts w:hint="eastAsia" w:ascii="宋体" w:hAnsi="宋体" w:cs="宋体"/>
          <w:szCs w:val="21"/>
        </w:rPr>
        <w:t>联系电话：手机：</w:t>
      </w:r>
    </w:p>
    <w:p>
      <w:pPr>
        <w:spacing w:line="360" w:lineRule="auto"/>
        <w:ind w:left="540" w:leftChars="257"/>
        <w:jc w:val="right"/>
        <w:rPr>
          <w:rFonts w:hint="eastAsia" w:ascii="宋体" w:hAnsi="宋体" w:cs="宋体"/>
          <w:szCs w:val="21"/>
        </w:rPr>
      </w:pPr>
      <w:r>
        <w:rPr>
          <w:rFonts w:hint="eastAsia" w:ascii="宋体" w:hAnsi="宋体" w:cs="宋体"/>
          <w:szCs w:val="21"/>
        </w:rPr>
        <w:t xml:space="preserve">投标单位（盖章）：      </w:t>
      </w:r>
    </w:p>
    <w:p>
      <w:pPr>
        <w:spacing w:line="360" w:lineRule="auto"/>
        <w:ind w:left="540" w:leftChars="257"/>
        <w:jc w:val="right"/>
        <w:rPr>
          <w:rFonts w:hint="eastAsia" w:ascii="宋体" w:hAnsi="宋体" w:cs="宋体"/>
          <w:szCs w:val="21"/>
        </w:rPr>
      </w:pPr>
      <w:r>
        <w:rPr>
          <w:rFonts w:hint="eastAsia" w:ascii="宋体" w:hAnsi="宋体" w:cs="宋体"/>
          <w:szCs w:val="21"/>
        </w:rPr>
        <w:t xml:space="preserve">法定代表人（签名或盖章）：       </w:t>
      </w:r>
    </w:p>
    <w:p>
      <w:pPr>
        <w:spacing w:line="360" w:lineRule="auto"/>
        <w:ind w:left="540" w:leftChars="257"/>
        <w:jc w:val="right"/>
        <w:rPr>
          <w:rFonts w:hint="eastAsia" w:ascii="宋体" w:hAnsi="宋体" w:cs="宋体"/>
          <w:szCs w:val="21"/>
        </w:rPr>
      </w:pPr>
      <w:r>
        <w:rPr>
          <w:rFonts w:hint="eastAsia" w:ascii="宋体" w:hAnsi="宋体" w:cs="宋体"/>
          <w:szCs w:val="21"/>
        </w:rPr>
        <w:t>日期：  年  月   日</w:t>
      </w:r>
    </w:p>
    <w:p>
      <w:pPr>
        <w:spacing w:line="360" w:lineRule="auto"/>
        <w:ind w:left="540" w:leftChars="257"/>
        <w:rPr>
          <w:rFonts w:hint="eastAsia" w:ascii="宋体" w:hAnsi="宋体" w:cs="宋体"/>
          <w:szCs w:val="21"/>
        </w:rPr>
      </w:pPr>
      <w:r>
        <w:rPr>
          <w:rFonts w:hint="eastAsia" w:ascii="宋体" w:hAnsi="宋体" w:cs="宋体"/>
          <w:szCs w:val="21"/>
        </w:rPr>
        <w:t>附：被授权人身份证复印件。</w:t>
      </w:r>
    </w:p>
    <w:p>
      <w:pPr>
        <w:ind w:firstLine="422" w:firstLineChars="200"/>
        <w:rPr>
          <w:rFonts w:hint="eastAsia" w:ascii="宋体" w:hAnsi="宋体" w:cs="宋体"/>
          <w:b/>
          <w:szCs w:val="21"/>
        </w:rPr>
      </w:pPr>
    </w:p>
    <w:p>
      <w:pPr>
        <w:ind w:firstLine="422" w:firstLineChars="200"/>
        <w:rPr>
          <w:rFonts w:hint="eastAsia" w:ascii="宋体" w:hAnsi="宋体" w:cs="宋体"/>
          <w:b/>
          <w:szCs w:val="21"/>
        </w:rPr>
      </w:pPr>
      <w:r>
        <w:rPr>
          <w:rFonts w:hint="eastAsia" w:ascii="宋体" w:hAnsi="宋体" w:cs="宋体"/>
          <w:b/>
          <w:szCs w:val="21"/>
        </w:rPr>
        <w:t>注：须提供被授权人有效期内身份证（正反面）扫描件。</w:t>
      </w:r>
    </w:p>
    <w:p>
      <w:pPr>
        <w:ind w:firstLine="422" w:firstLineChars="200"/>
        <w:rPr>
          <w:rFonts w:hint="eastAsia" w:ascii="宋体" w:hAnsi="宋体" w:cs="宋体"/>
          <w:b/>
        </w:rPr>
      </w:pPr>
      <w:r>
        <w:rPr>
          <w:rFonts w:hint="eastAsia" w:ascii="宋体" w:hAnsi="宋体" w:cs="宋体"/>
          <w:b/>
        </w:rPr>
        <w:t>投标人确保被授权人的联系方式正确，并保证在项目开评标过程中及项目履约期间保持电话、手机畅通。如因投标人自身原因导致无法联系的情况，投标人应自行承担不利后果。</w:t>
      </w:r>
    </w:p>
    <w:p>
      <w:pPr>
        <w:pStyle w:val="5"/>
        <w:jc w:val="center"/>
        <w:rPr>
          <w:rFonts w:hint="eastAsia" w:cs="宋体"/>
          <w:sz w:val="24"/>
        </w:rPr>
      </w:pPr>
      <w:r>
        <w:rPr>
          <w:rFonts w:hint="eastAsia" w:cs="宋体"/>
          <w:b w:val="0"/>
          <w:sz w:val="24"/>
        </w:rPr>
        <w:br w:type="page"/>
      </w:r>
      <w:r>
        <w:rPr>
          <w:rFonts w:hint="eastAsia" w:cs="宋体"/>
          <w:sz w:val="24"/>
        </w:rPr>
        <w:t>三、投标函</w:t>
      </w:r>
    </w:p>
    <w:p>
      <w:pPr>
        <w:rPr>
          <w:rFonts w:hint="eastAsia" w:ascii="宋体" w:hAnsi="宋体" w:cs="宋体"/>
          <w:szCs w:val="21"/>
          <w:u w:val="single"/>
        </w:rPr>
      </w:pPr>
      <w:r>
        <w:rPr>
          <w:rFonts w:hint="eastAsia" w:ascii="宋体" w:hAnsi="宋体" w:cs="宋体"/>
          <w:szCs w:val="21"/>
        </w:rPr>
        <w:t>致：深圳市广得信工程造价咨询有限公司</w:t>
      </w:r>
    </w:p>
    <w:p>
      <w:pPr>
        <w:rPr>
          <w:rFonts w:hint="eastAsia" w:ascii="宋体" w:hAnsi="宋体" w:cs="宋体"/>
          <w:szCs w:val="21"/>
        </w:rPr>
      </w:pPr>
    </w:p>
    <w:p>
      <w:pPr>
        <w:ind w:firstLine="420" w:firstLineChars="200"/>
        <w:rPr>
          <w:rFonts w:hint="eastAsia" w:ascii="宋体" w:hAnsi="宋体" w:cs="宋体"/>
          <w:szCs w:val="21"/>
        </w:rPr>
      </w:pPr>
      <w:r>
        <w:rPr>
          <w:rFonts w:hint="eastAsia" w:ascii="宋体" w:hAnsi="宋体" w:cs="宋体"/>
          <w:szCs w:val="21"/>
        </w:rPr>
        <w:t>1、根据已收到贵方的招标编号为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遵照《中华人民共和国政府采购法》、《深圳经济特区政府采购条例》、《深圳市网上政府采购管理暂行办法》等法律法规的规定，我方经研究上述招标文件的投标须知、合同条款、技术规范及其他有关文件后，我方愿按“招标文件”的规定履行责任和义务；</w:t>
      </w:r>
    </w:p>
    <w:p>
      <w:pPr>
        <w:ind w:firstLine="420" w:firstLineChars="200"/>
        <w:rPr>
          <w:rFonts w:hint="eastAsia" w:ascii="宋体" w:hAnsi="宋体" w:cs="宋体"/>
          <w:szCs w:val="21"/>
        </w:rPr>
      </w:pPr>
      <w:r>
        <w:rPr>
          <w:rFonts w:hint="eastAsia" w:ascii="宋体" w:hAnsi="宋体" w:cs="宋体"/>
          <w:szCs w:val="21"/>
        </w:rPr>
        <w:t>2、我方已详细审查全部招标文件，包括招标文件、澄清（答疑）、补充公告（说明）等。我方对此完全理解并同意放弃因对招标文件不明及误解而提出质疑抗辩的权利；</w:t>
      </w:r>
    </w:p>
    <w:p>
      <w:pPr>
        <w:ind w:firstLine="420" w:firstLineChars="200"/>
        <w:rPr>
          <w:rFonts w:hint="eastAsia" w:ascii="宋体" w:hAnsi="宋体" w:cs="宋体"/>
          <w:szCs w:val="21"/>
        </w:rPr>
      </w:pPr>
      <w:r>
        <w:rPr>
          <w:rFonts w:hint="eastAsia" w:ascii="宋体" w:hAnsi="宋体" w:cs="宋体"/>
          <w:szCs w:val="21"/>
        </w:rPr>
        <w:t>3、我方同意提供贵方可能要求的与投标有关的一切数据或资料，完全理解并接受贵方不承担我方的任何投标费用；</w:t>
      </w:r>
    </w:p>
    <w:p>
      <w:pPr>
        <w:ind w:firstLine="420" w:firstLineChars="200"/>
        <w:rPr>
          <w:rFonts w:hint="eastAsia" w:ascii="宋体" w:hAnsi="宋体" w:cs="宋体"/>
          <w:szCs w:val="21"/>
        </w:rPr>
      </w:pPr>
      <w:r>
        <w:rPr>
          <w:rFonts w:hint="eastAsia" w:ascii="宋体" w:hAnsi="宋体" w:cs="宋体"/>
          <w:szCs w:val="21"/>
        </w:rPr>
        <w:t>4、我方清楚知道且完全同意投标及履约保证金的作用、退还期限及退还条件；</w:t>
      </w:r>
    </w:p>
    <w:p>
      <w:pPr>
        <w:ind w:firstLine="420" w:firstLineChars="200"/>
        <w:rPr>
          <w:rFonts w:hint="eastAsia" w:ascii="宋体" w:hAnsi="宋体" w:cs="宋体"/>
          <w:szCs w:val="21"/>
        </w:rPr>
      </w:pPr>
      <w:r>
        <w:rPr>
          <w:rFonts w:hint="eastAsia" w:ascii="宋体" w:hAnsi="宋体" w:cs="宋体"/>
          <w:szCs w:val="21"/>
        </w:rPr>
        <w:t>5、本投标有效期为开标日起九十个日历日；</w:t>
      </w:r>
    </w:p>
    <w:p>
      <w:pPr>
        <w:ind w:firstLine="420" w:firstLineChars="200"/>
        <w:rPr>
          <w:rFonts w:hint="eastAsia" w:ascii="宋体" w:hAnsi="宋体" w:cs="宋体"/>
          <w:szCs w:val="21"/>
        </w:rPr>
      </w:pPr>
      <w:r>
        <w:rPr>
          <w:rFonts w:hint="eastAsia" w:ascii="宋体" w:hAnsi="宋体" w:cs="宋体"/>
          <w:szCs w:val="21"/>
        </w:rPr>
        <w:t>6、如果我方在投标有效期内撤回或放弃投标的，贵方将有权不予退还投标保证金；</w:t>
      </w:r>
    </w:p>
    <w:p>
      <w:pPr>
        <w:ind w:firstLine="420" w:firstLineChars="200"/>
        <w:rPr>
          <w:rFonts w:hint="eastAsia" w:ascii="宋体" w:hAnsi="宋体" w:cs="宋体"/>
          <w:szCs w:val="21"/>
        </w:rPr>
      </w:pPr>
      <w:r>
        <w:rPr>
          <w:rFonts w:hint="eastAsia" w:ascii="宋体" w:hAnsi="宋体" w:cs="宋体"/>
          <w:szCs w:val="21"/>
        </w:rPr>
        <w:t>7、我方申明在本次投标中提供的所有资料，无论原件、复印件还是扫描件均是真实的；</w:t>
      </w:r>
    </w:p>
    <w:p>
      <w:pPr>
        <w:ind w:firstLine="420" w:firstLineChars="200"/>
        <w:rPr>
          <w:rFonts w:hint="eastAsia" w:ascii="宋体" w:hAnsi="宋体" w:cs="宋体"/>
          <w:szCs w:val="21"/>
        </w:rPr>
      </w:pPr>
      <w:r>
        <w:rPr>
          <w:rFonts w:hint="eastAsia" w:ascii="宋体" w:hAnsi="宋体" w:cs="宋体"/>
          <w:szCs w:val="21"/>
        </w:rPr>
        <w:t>8、我方同意提供按照贵方可能要求的与投标有关的一切数据或资料；</w:t>
      </w:r>
    </w:p>
    <w:p>
      <w:pPr>
        <w:ind w:firstLine="420" w:firstLineChars="200"/>
        <w:rPr>
          <w:rFonts w:hint="eastAsia" w:ascii="宋体" w:hAnsi="宋体" w:cs="宋体"/>
          <w:szCs w:val="21"/>
        </w:rPr>
      </w:pPr>
      <w:r>
        <w:rPr>
          <w:rFonts w:hint="eastAsia" w:ascii="宋体" w:hAnsi="宋体" w:cs="宋体"/>
          <w:szCs w:val="21"/>
        </w:rPr>
        <w:t>9、我方同意招标程序、评标办法以及评标委员会评标人员产生办法和组成，承认评标人员据此评标办法产生的中标供应商。</w:t>
      </w:r>
    </w:p>
    <w:p>
      <w:pPr>
        <w:ind w:firstLine="420" w:firstLineChars="200"/>
        <w:rPr>
          <w:rFonts w:hint="eastAsia" w:ascii="宋体" w:hAnsi="宋体" w:cs="宋体"/>
          <w:szCs w:val="21"/>
        </w:rPr>
      </w:pPr>
      <w:r>
        <w:rPr>
          <w:rFonts w:hint="eastAsia" w:ascii="宋体" w:hAnsi="宋体" w:cs="宋体"/>
          <w:szCs w:val="21"/>
        </w:rPr>
        <w:t>10、与本投标有关的一切正式往来信函请寄：</w:t>
      </w:r>
    </w:p>
    <w:p>
      <w:pPr>
        <w:ind w:firstLine="420" w:firstLineChars="200"/>
        <w:rPr>
          <w:rFonts w:hint="eastAsia" w:ascii="宋体" w:hAnsi="宋体" w:cs="宋体"/>
          <w:szCs w:val="21"/>
        </w:rPr>
      </w:pPr>
    </w:p>
    <w:p>
      <w:pPr>
        <w:ind w:firstLine="420" w:firstLineChars="200"/>
        <w:rPr>
          <w:rFonts w:hint="eastAsia" w:ascii="宋体" w:hAnsi="宋体" w:cs="宋体"/>
          <w:szCs w:val="21"/>
        </w:rPr>
      </w:pPr>
      <w:r>
        <w:rPr>
          <w:rFonts w:hint="eastAsia" w:ascii="宋体" w:hAnsi="宋体" w:cs="宋体"/>
          <w:szCs w:val="21"/>
        </w:rPr>
        <w:t xml:space="preserve">地址：                        </w:t>
      </w:r>
    </w:p>
    <w:p>
      <w:pPr>
        <w:ind w:firstLine="420" w:firstLineChars="200"/>
        <w:rPr>
          <w:rFonts w:hint="eastAsia" w:ascii="宋体" w:hAnsi="宋体" w:cs="宋体"/>
          <w:szCs w:val="21"/>
        </w:rPr>
      </w:pPr>
      <w:r>
        <w:rPr>
          <w:rFonts w:hint="eastAsia" w:ascii="宋体" w:hAnsi="宋体" w:cs="宋体"/>
          <w:szCs w:val="21"/>
        </w:rPr>
        <w:t xml:space="preserve">电话：                        </w:t>
      </w:r>
    </w:p>
    <w:p>
      <w:pPr>
        <w:ind w:firstLine="420" w:firstLineChars="200"/>
        <w:rPr>
          <w:rFonts w:hint="eastAsia" w:ascii="宋体" w:hAnsi="宋体" w:cs="宋体"/>
          <w:szCs w:val="21"/>
        </w:rPr>
      </w:pPr>
      <w:r>
        <w:rPr>
          <w:rFonts w:hint="eastAsia" w:ascii="宋体" w:hAnsi="宋体" w:cs="宋体"/>
          <w:szCs w:val="21"/>
        </w:rPr>
        <w:t xml:space="preserve">传真：                        </w:t>
      </w:r>
    </w:p>
    <w:p>
      <w:pPr>
        <w:ind w:firstLine="420" w:firstLineChars="200"/>
        <w:rPr>
          <w:rFonts w:hint="eastAsia" w:ascii="宋体" w:hAnsi="宋体" w:cs="宋体"/>
          <w:szCs w:val="21"/>
        </w:rPr>
      </w:pPr>
      <w:r>
        <w:rPr>
          <w:rFonts w:hint="eastAsia" w:ascii="宋体" w:hAnsi="宋体" w:cs="宋体"/>
          <w:szCs w:val="21"/>
        </w:rPr>
        <w:t xml:space="preserve">电子函件：                     </w:t>
      </w:r>
    </w:p>
    <w:p>
      <w:pPr>
        <w:ind w:firstLine="420" w:firstLineChars="200"/>
        <w:rPr>
          <w:rFonts w:hint="eastAsia" w:ascii="宋体" w:hAnsi="宋体" w:cs="宋体"/>
          <w:szCs w:val="21"/>
        </w:rPr>
      </w:pPr>
      <w:r>
        <w:rPr>
          <w:rFonts w:hint="eastAsia" w:ascii="宋体" w:hAnsi="宋体" w:cs="宋体"/>
          <w:szCs w:val="21"/>
        </w:rPr>
        <w:t xml:space="preserve">法定代表人或其委托代理人：                            </w:t>
      </w:r>
    </w:p>
    <w:p>
      <w:pPr>
        <w:ind w:firstLine="420" w:firstLineChars="200"/>
        <w:rPr>
          <w:rFonts w:hint="eastAsia" w:ascii="宋体" w:hAnsi="宋体" w:cs="宋体"/>
          <w:szCs w:val="21"/>
        </w:rPr>
      </w:pPr>
      <w:r>
        <w:rPr>
          <w:rFonts w:hint="eastAsia" w:ascii="宋体" w:hAnsi="宋体" w:cs="宋体"/>
          <w:szCs w:val="21"/>
        </w:rPr>
        <w:t xml:space="preserve">投标人名称：                            </w:t>
      </w:r>
    </w:p>
    <w:p>
      <w:pPr>
        <w:ind w:firstLine="420" w:firstLineChars="200"/>
        <w:rPr>
          <w:rFonts w:hint="eastAsia" w:ascii="宋体" w:hAnsi="宋体" w:cs="宋体"/>
          <w:szCs w:val="21"/>
        </w:rPr>
      </w:pPr>
      <w:r>
        <w:rPr>
          <w:rFonts w:hint="eastAsia" w:ascii="宋体" w:hAnsi="宋体" w:cs="宋体"/>
          <w:szCs w:val="21"/>
        </w:rPr>
        <w:t xml:space="preserve">日期：  </w:t>
      </w:r>
    </w:p>
    <w:p>
      <w:pPr>
        <w:rPr>
          <w:rFonts w:hint="eastAsia" w:ascii="宋体" w:hAnsi="宋体" w:cs="宋体"/>
          <w:b/>
          <w:szCs w:val="21"/>
        </w:rPr>
      </w:pPr>
      <w:r>
        <w:rPr>
          <w:rFonts w:hint="eastAsia" w:ascii="宋体" w:hAnsi="宋体" w:cs="宋体"/>
          <w:b/>
          <w:szCs w:val="21"/>
        </w:rPr>
        <w:t>注：该联系方式和联系信息适用于双方往来联系、书面文件文书送达。因联系方式和联系信息错误而无法直接送达的自交邮后第7日视为送达。</w:t>
      </w:r>
    </w:p>
    <w:p>
      <w:pPr>
        <w:rPr>
          <w:rFonts w:hint="eastAsia" w:ascii="宋体" w:hAnsi="宋体" w:cs="宋体"/>
          <w:szCs w:val="21"/>
        </w:rPr>
      </w:pPr>
    </w:p>
    <w:p>
      <w:pPr>
        <w:rPr>
          <w:rFonts w:hint="eastAsia" w:ascii="宋体" w:hAnsi="宋体" w:cs="宋体"/>
          <w:szCs w:val="21"/>
        </w:rPr>
      </w:pPr>
    </w:p>
    <w:p>
      <w:pPr>
        <w:pStyle w:val="5"/>
        <w:jc w:val="center"/>
        <w:rPr>
          <w:rFonts w:hint="eastAsia" w:cs="宋体"/>
          <w:bCs w:val="0"/>
          <w:kern w:val="0"/>
          <w:sz w:val="24"/>
        </w:rPr>
      </w:pPr>
      <w:r>
        <w:rPr>
          <w:rStyle w:val="132"/>
          <w:rFonts w:hint="eastAsia" w:ascii="宋体" w:eastAsia="宋体" w:cs="宋体"/>
          <w:bCs w:val="0"/>
        </w:rPr>
        <w:br w:type="page"/>
      </w:r>
      <w:bookmarkStart w:id="14" w:name="_Toc73521688"/>
      <w:bookmarkStart w:id="15" w:name="_Toc73518172"/>
      <w:bookmarkStart w:id="16" w:name="_Toc73521600"/>
      <w:bookmarkStart w:id="17" w:name="_Toc73517694"/>
      <w:r>
        <w:rPr>
          <w:rFonts w:hint="eastAsia" w:cs="宋体"/>
          <w:bCs w:val="0"/>
          <w:kern w:val="0"/>
          <w:sz w:val="24"/>
        </w:rPr>
        <w:t>四、政府采购违法行为风险知悉确认书</w:t>
      </w:r>
    </w:p>
    <w:p>
      <w:pPr>
        <w:widowControl w:val="0"/>
        <w:numPr>
          <w:ilvl w:val="0"/>
          <w:numId w:val="0"/>
        </w:num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7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766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pPr>
        <w:widowControl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一、我单位已充分知悉“隐瞒真实情况，提供虚假资料”的法定情形，包括但不限于：</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（一）通过转让或者租借等方式从其他单位获取资格或者资质证书投标的。</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（二）由其他单位或者其他单位负责人在投标供应商编制的投标文件上加盖印章或者签字的。</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（三）项目负责人或者主要技术人员不是本单位人员的。</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（四）投标保证金不是从投标供应商基本账户转出的。</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（五）其他隐瞒真实情况、提供虚假资料的行为。</w:t>
      </w:r>
    </w:p>
    <w:p>
      <w:pPr>
        <w:widowControl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二、我单位已充分知悉“与其他采购参加人串通投标”的法定情形，包括但不限于：</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（一）投标供应商之间相互约定给予未中标的供应商利益补偿。</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（二）不同投标供应商的法定代表人、主要经营负责人、项目投标授权代表人、项目负责人、主要技术人员为同一人、属同一单位或者在同一单位缴纳社会保险。</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（三）不同投标供应商的投标文件由同一单位或者同一人编制，或者由同一人分阶段参与编制的。</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（四）不同投标供应商的投标文件或部分投标文件相互混装。</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（五）不同投标供应商的投标文件内容存在非正常一致。</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（六）由同一单位工作人员为两家以上（含两家）供应商进行同一项投标活动的。</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（七）不同投标人的投标报价呈规律性差异。</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（八）不同投标人的投标保证金从同一单位或者个人的账户转出。</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（九）主管部门依照法律法规认定的其他情形。</w:t>
      </w:r>
    </w:p>
    <w:p>
      <w:pPr>
        <w:widowControl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三、我单位已充分知悉下列情形存在法律风险，在投标前已对相关风险事项进行排查。</w:t>
      </w:r>
    </w:p>
    <w:p>
      <w:pPr>
        <w:widowControl w:val="0"/>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（一）对于从其他主体获取的投标资料，我单位应审慎核查，确保其真实性。</w:t>
      </w:r>
      <w:r>
        <w:rPr>
          <w:rFonts w:hint="eastAsia" w:ascii="宋体" w:hAnsi="宋体" w:eastAsia="宋体" w:cs="宋体"/>
          <w:b/>
          <w:sz w:val="24"/>
          <w:szCs w:val="24"/>
        </w:rPr>
        <w:t>如主管部门查实投标文件中存在虚假资料的，无论相关资料是否由第三方或本公司员工提供，均不影响主管部门对供应商存在“隐瞒真实情况，提供虚假资料”违法行为的认定。</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（二）对于涉及国家机关出具的公文、证件、证明材料等文件，一旦涉嫌虚假，经查实，主管部门将依法从严处理，并移送有关部门追究法律责任；涉嫌犯罪的，移送司法机关处理。</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sz w:val="24"/>
          <w:szCs w:val="24"/>
        </w:rPr>
        <w:t>擅自将投标密钥或电子营业执照出借他人使用所造成的法律后果，由我单位自行承担</w:t>
      </w:r>
      <w:r>
        <w:rPr>
          <w:rFonts w:hint="eastAsia" w:ascii="宋体" w:hAnsi="宋体" w:eastAsia="宋体" w:cs="宋体"/>
          <w:sz w:val="24"/>
          <w:szCs w:val="24"/>
        </w:rPr>
        <w:t>。</w:t>
      </w:r>
    </w:p>
    <w:p>
      <w:pPr>
        <w:widowControl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四、我单位已充分知悉政府采购违法、违规行为的法律后果。</w:t>
      </w:r>
    </w:p>
    <w:p>
      <w:pPr>
        <w:widowControl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line="560" w:lineRule="exact"/>
        <w:ind w:firstLine="482" w:firstLineChars="200"/>
        <w:rPr>
          <w:rFonts w:hint="eastAsia" w:ascii="宋体" w:hAnsi="宋体" w:eastAsia="宋体" w:cs="宋体"/>
          <w:sz w:val="24"/>
          <w:szCs w:val="24"/>
          <w:u w:val="single"/>
        </w:rPr>
      </w:pPr>
      <w:r>
        <w:rPr>
          <w:rFonts w:hint="eastAsia" w:ascii="宋体" w:hAnsi="宋体" w:eastAsia="宋体" w:cs="宋体"/>
          <w:b/>
          <w:bCs/>
          <w:sz w:val="24"/>
          <w:szCs w:val="24"/>
          <w:highlight w:val="yellow"/>
          <w:u w:val="single"/>
        </w:rPr>
        <w:t>以下文字请投标供应商抄写并确认</w:t>
      </w:r>
      <w:r>
        <w:rPr>
          <w:rFonts w:hint="eastAsia" w:ascii="宋体" w:hAnsi="宋体" w:eastAsia="宋体" w:cs="宋体"/>
          <w:sz w:val="24"/>
          <w:szCs w:val="24"/>
          <w:u w:val="single"/>
        </w:rPr>
        <w:t>：“我单位已仔细阅读《政府采购违法行为风险知悉确认书》，充分知悉违法行为的法律后果，并承诺将严谨、诚信、依法依规参与政府采购活动”。</w:t>
      </w:r>
    </w:p>
    <w:tbl>
      <w:tblPr>
        <w:tblStyle w:val="16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widowControl w:val="0"/>
              <w:autoSpaceDE w:val="0"/>
              <w:autoSpaceDN w:val="0"/>
              <w:spacing w:line="560" w:lineRule="exact"/>
              <w:ind w:firstLine="1866"/>
              <w:jc w:val="both"/>
              <w:rPr>
                <w:rFonts w:hint="eastAsia" w:ascii="宋体" w:hAnsi="宋体" w:eastAsia="宋体" w:cs="宋体"/>
                <w:spacing w:val="-4"/>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tcPr>
          <w:p>
            <w:pPr>
              <w:widowControl w:val="0"/>
              <w:autoSpaceDE w:val="0"/>
              <w:autoSpaceDN w:val="0"/>
              <w:spacing w:line="560" w:lineRule="exact"/>
              <w:ind w:firstLine="1866"/>
              <w:jc w:val="both"/>
              <w:rPr>
                <w:rFonts w:hint="eastAsia" w:ascii="宋体" w:hAnsi="宋体" w:eastAsia="宋体" w:cs="宋体"/>
                <w:spacing w:val="-4"/>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560" w:lineRule="exact"/>
              <w:ind w:firstLine="1866"/>
              <w:jc w:val="both"/>
              <w:rPr>
                <w:rFonts w:hint="eastAsia" w:ascii="宋体" w:hAnsi="宋体" w:eastAsia="宋体" w:cs="宋体"/>
                <w:spacing w:val="-4"/>
                <w:sz w:val="24"/>
                <w:szCs w:val="24"/>
              </w:rPr>
            </w:pPr>
          </w:p>
        </w:tc>
      </w:tr>
    </w:tbl>
    <w:p>
      <w:pPr>
        <w:widowControl w:val="0"/>
        <w:wordWrap w:val="0"/>
        <w:autoSpaceDE w:val="0"/>
        <w:autoSpaceDN w:val="0"/>
        <w:spacing w:line="560" w:lineRule="exact"/>
        <w:ind w:right="808" w:firstLine="464" w:firstLineChars="200"/>
        <w:jc w:val="right"/>
        <w:rPr>
          <w:rFonts w:hint="eastAsia" w:ascii="宋体" w:hAnsi="宋体" w:eastAsia="宋体" w:cs="宋体"/>
          <w:spacing w:val="-4"/>
          <w:sz w:val="24"/>
          <w:szCs w:val="24"/>
        </w:rPr>
      </w:pPr>
    </w:p>
    <w:p>
      <w:pPr>
        <w:autoSpaceDE w:val="0"/>
        <w:autoSpaceDN w:val="0"/>
        <w:ind w:firstLine="404" w:firstLineChars="200"/>
        <w:rPr>
          <w:rFonts w:hint="eastAsia" w:ascii="宋体" w:hAnsi="宋体" w:cs="宋体"/>
          <w:color w:val="FF0000"/>
          <w:spacing w:val="-4"/>
        </w:rPr>
      </w:pPr>
    </w:p>
    <w:p>
      <w:pPr>
        <w:autoSpaceDE w:val="0"/>
        <w:autoSpaceDN w:val="0"/>
        <w:ind w:right="1180" w:firstLine="404" w:firstLineChars="200"/>
        <w:jc w:val="center"/>
        <w:rPr>
          <w:rFonts w:hint="eastAsia" w:ascii="宋体" w:hAnsi="宋体" w:cs="宋体"/>
          <w:spacing w:val="-4"/>
        </w:rPr>
      </w:pPr>
      <w:r>
        <w:rPr>
          <w:rFonts w:hint="eastAsia" w:ascii="宋体" w:hAnsi="宋体" w:cs="宋体"/>
          <w:spacing w:val="-4"/>
        </w:rPr>
        <w:t xml:space="preserve">                    负责人/投标授权代表签名：                </w:t>
      </w:r>
    </w:p>
    <w:p>
      <w:pPr>
        <w:wordWrap w:val="0"/>
        <w:autoSpaceDE w:val="0"/>
        <w:autoSpaceDN w:val="0"/>
        <w:ind w:right="1652" w:firstLine="3030" w:firstLineChars="1500"/>
        <w:rPr>
          <w:rFonts w:hint="eastAsia" w:ascii="宋体" w:hAnsi="宋体" w:cs="宋体"/>
          <w:spacing w:val="-4"/>
        </w:rPr>
      </w:pPr>
      <w:r>
        <w:rPr>
          <w:rFonts w:hint="eastAsia" w:ascii="宋体" w:hAnsi="宋体" w:cs="宋体"/>
          <w:spacing w:val="-4"/>
        </w:rPr>
        <w:t xml:space="preserve">知悉人（公章）：     </w:t>
      </w:r>
    </w:p>
    <w:p>
      <w:pPr>
        <w:wordWrap w:val="0"/>
        <w:autoSpaceDE w:val="0"/>
        <w:autoSpaceDN w:val="0"/>
        <w:ind w:right="1888" w:firstLine="404" w:firstLineChars="200"/>
        <w:jc w:val="center"/>
        <w:rPr>
          <w:rFonts w:hint="eastAsia" w:ascii="宋体" w:hAnsi="宋体" w:cs="宋体"/>
          <w:spacing w:val="-4"/>
        </w:rPr>
      </w:pPr>
      <w:r>
        <w:rPr>
          <w:rFonts w:hint="eastAsia" w:ascii="宋体" w:hAnsi="宋体" w:cs="宋体"/>
          <w:spacing w:val="-4"/>
        </w:rPr>
        <w:t xml:space="preserve">                     日期：   年  月  日</w:t>
      </w:r>
    </w:p>
    <w:p>
      <w:pPr>
        <w:autoSpaceDE w:val="0"/>
        <w:autoSpaceDN w:val="0"/>
        <w:ind w:right="1888" w:firstLine="404" w:firstLineChars="200"/>
        <w:rPr>
          <w:rFonts w:hint="eastAsia" w:ascii="宋体" w:hAnsi="宋体" w:cs="宋体"/>
          <w:spacing w:val="-4"/>
        </w:rPr>
      </w:pPr>
    </w:p>
    <w:p>
      <w:pPr>
        <w:autoSpaceDE w:val="0"/>
        <w:autoSpaceDN w:val="0"/>
        <w:ind w:firstLine="406" w:firstLineChars="200"/>
        <w:rPr>
          <w:rFonts w:hint="eastAsia" w:ascii="宋体" w:hAnsi="宋体" w:cs="宋体"/>
          <w:b/>
          <w:bCs/>
          <w:color w:val="FF0000"/>
          <w:spacing w:val="-4"/>
        </w:rPr>
      </w:pPr>
      <w:r>
        <w:rPr>
          <w:rFonts w:hint="eastAsia" w:ascii="宋体" w:hAnsi="宋体" w:cs="宋体"/>
          <w:b/>
          <w:bCs/>
          <w:color w:val="FF0000"/>
          <w:spacing w:val="-4"/>
        </w:rPr>
        <w:t>注：</w:t>
      </w:r>
    </w:p>
    <w:p>
      <w:pPr>
        <w:autoSpaceDE w:val="0"/>
        <w:autoSpaceDN w:val="0"/>
        <w:ind w:firstLine="406" w:firstLineChars="200"/>
        <w:rPr>
          <w:rFonts w:hint="eastAsia" w:ascii="宋体" w:hAnsi="宋体" w:cs="宋体"/>
          <w:b/>
          <w:bCs/>
          <w:color w:val="FF0000"/>
          <w:spacing w:val="-4"/>
        </w:rPr>
      </w:pPr>
      <w:r>
        <w:rPr>
          <w:rFonts w:hint="eastAsia" w:ascii="宋体" w:hAnsi="宋体" w:cs="宋体"/>
          <w:b/>
          <w:bCs/>
          <w:color w:val="FF0000"/>
          <w:spacing w:val="-4"/>
        </w:rPr>
        <w:t>1.政府采购违法行为风险知悉确认书不作为资格性审查及符合性审查条件。</w:t>
      </w:r>
    </w:p>
    <w:p>
      <w:pPr>
        <w:autoSpaceDE w:val="0"/>
        <w:autoSpaceDN w:val="0"/>
        <w:ind w:firstLine="406" w:firstLineChars="200"/>
        <w:rPr>
          <w:rFonts w:hint="eastAsia" w:ascii="宋体" w:hAnsi="宋体" w:cs="宋体"/>
          <w:b/>
          <w:bCs/>
          <w:color w:val="FF0000"/>
          <w:spacing w:val="-4"/>
        </w:rPr>
      </w:pPr>
      <w:r>
        <w:rPr>
          <w:rFonts w:hint="eastAsia" w:ascii="宋体" w:hAnsi="宋体" w:cs="宋体"/>
          <w:b/>
          <w:bCs/>
          <w:color w:val="FF0000"/>
          <w:spacing w:val="-4"/>
        </w:rPr>
        <w:t>2.投标供应商负责人或投标授权代表签字并加盖单位公章后，扫描上传至投标文件一并提交。</w:t>
      </w:r>
    </w:p>
    <w:p>
      <w:pPr>
        <w:widowControl/>
        <w:wordWrap w:val="0"/>
        <w:spacing w:line="360" w:lineRule="auto"/>
        <w:jc w:val="left"/>
        <w:rPr>
          <w:rFonts w:hint="eastAsia" w:ascii="宋体" w:hAnsi="宋体" w:cs="宋体"/>
          <w:sz w:val="24"/>
        </w:rPr>
      </w:pPr>
    </w:p>
    <w:p>
      <w:pPr>
        <w:widowControl/>
        <w:numPr>
          <w:ilvl w:val="0"/>
          <w:numId w:val="4"/>
        </w:numPr>
        <w:wordWrap w:val="0"/>
        <w:spacing w:line="360" w:lineRule="auto"/>
        <w:ind w:firstLine="2168" w:firstLineChars="900"/>
        <w:jc w:val="left"/>
        <w:rPr>
          <w:rFonts w:hint="eastAsia" w:ascii="宋体" w:hAnsi="宋体" w:cs="宋体"/>
          <w:b/>
          <w:bCs/>
          <w:kern w:val="0"/>
          <w:sz w:val="24"/>
        </w:rPr>
      </w:pPr>
      <w:r>
        <w:rPr>
          <w:rFonts w:hint="eastAsia" w:ascii="宋体" w:hAnsi="宋体" w:cs="宋体"/>
          <w:b/>
          <w:bCs/>
          <w:kern w:val="0"/>
          <w:sz w:val="24"/>
        </w:rPr>
        <w:t>政府采购投标及履约承诺函</w:t>
      </w:r>
    </w:p>
    <w:p>
      <w:pPr>
        <w:widowControl/>
        <w:wordWrap w:val="0"/>
        <w:spacing w:line="360" w:lineRule="auto"/>
        <w:jc w:val="left"/>
        <w:rPr>
          <w:rFonts w:hint="eastAsia" w:ascii="宋体" w:hAnsi="宋体" w:cs="宋体"/>
          <w:b/>
          <w:bCs/>
          <w:kern w:val="0"/>
          <w:sz w:val="24"/>
        </w:rPr>
      </w:pPr>
    </w:p>
    <w:p>
      <w:pPr>
        <w:spacing w:line="240" w:lineRule="auto"/>
        <w:rPr>
          <w:rFonts w:ascii="宋体" w:hAnsi="宋体"/>
          <w:color w:val="auto"/>
          <w:sz w:val="24"/>
        </w:rPr>
      </w:pPr>
      <w:r>
        <w:rPr>
          <w:rFonts w:hint="eastAsia" w:ascii="宋体" w:hAnsi="宋体"/>
          <w:color w:val="auto"/>
          <w:sz w:val="24"/>
        </w:rPr>
        <w:t>致：深圳市广得信工程造价咨询有限公司</w:t>
      </w:r>
    </w:p>
    <w:p>
      <w:pPr>
        <w:spacing w:line="240" w:lineRule="auto"/>
        <w:ind w:right="-815"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我单位承诺：</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1、我单位本招标项目所提供的货物或服务未侵犯知识产权。</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2、我单位参与本项目投标前三年内，在经营活动中没有重大违法记录。</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3、我单位参与本项目</w:t>
      </w:r>
      <w:r>
        <w:rPr>
          <w:rFonts w:hint="eastAsia" w:asciiTheme="minorEastAsia" w:hAnsiTheme="minorEastAsia" w:eastAsiaTheme="minorEastAsia" w:cstheme="minorEastAsia"/>
          <w:sz w:val="24"/>
          <w:szCs w:val="32"/>
        </w:rPr>
        <w:t>政府采购活动时不存在被有关部门禁止参与政府采购活动且在有效期内的情况。</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4、我单位具备《中华人民共和国政府采购法》第二十二条第一款规定的六项条件。</w:t>
      </w:r>
    </w:p>
    <w:p>
      <w:pPr>
        <w:spacing w:line="24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rPr>
        <w:t>5、我单位</w:t>
      </w:r>
      <w:r>
        <w:rPr>
          <w:rFonts w:hint="eastAsia" w:asciiTheme="minorEastAsia" w:hAnsiTheme="minorEastAsia" w:eastAsiaTheme="minorEastAsia" w:cstheme="minorEastAsia"/>
          <w:sz w:val="24"/>
          <w:szCs w:val="32"/>
        </w:rPr>
        <w:t>未被列入失信被执行人、重大税收违法案件当事人名单、政府采购严重违法失信行为记录名单</w:t>
      </w:r>
      <w:r>
        <w:rPr>
          <w:rFonts w:hint="eastAsia" w:asciiTheme="minorEastAsia" w:hAnsiTheme="minorEastAsia" w:eastAsiaTheme="minorEastAsia" w:cstheme="minorEastAsia"/>
          <w:sz w:val="24"/>
          <w:szCs w:val="32"/>
          <w:lang w:eastAsia="zh-CN"/>
        </w:rPr>
        <w:t>。</w:t>
      </w:r>
    </w:p>
    <w:p>
      <w:pPr>
        <w:pStyle w:val="2"/>
        <w:ind w:firstLine="480" w:firstLineChars="200"/>
        <w:rPr>
          <w:rFonts w:hint="default" w:asciiTheme="minorEastAsia" w:hAnsiTheme="minorEastAsia" w:eastAsiaTheme="minorEastAsia" w:cstheme="minorEastAsia"/>
          <w:b w:val="0"/>
          <w:bCs w:val="0"/>
          <w:kern w:val="2"/>
          <w:sz w:val="24"/>
          <w:szCs w:val="22"/>
          <w:lang w:val="en-US" w:eastAsia="zh-CN" w:bidi="ar-SA"/>
        </w:rPr>
      </w:pPr>
      <w:r>
        <w:rPr>
          <w:rFonts w:hint="eastAsia" w:asciiTheme="minorEastAsia" w:hAnsiTheme="minorEastAsia" w:eastAsiaTheme="minorEastAsia" w:cstheme="minorEastAsia"/>
          <w:b w:val="0"/>
          <w:bCs w:val="0"/>
          <w:kern w:val="2"/>
          <w:sz w:val="24"/>
          <w:szCs w:val="22"/>
          <w:lang w:val="en-US" w:eastAsia="zh-CN" w:bidi="ar-SA"/>
        </w:rPr>
        <w:t>6、我单位不存在《深圳市财政局政府采购供应商信用信息管理办法》（深财规〔2023〕3号）列明的严重违法失信行为。</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、我单位承诺中标后项目不转包，未经采购人同意不进行分包。</w:t>
      </w:r>
    </w:p>
    <w:p>
      <w:pPr>
        <w:spacing w:line="24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32"/>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24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12</w:t>
      </w:r>
      <w:r>
        <w:rPr>
          <w:rFonts w:hint="eastAsia" w:asciiTheme="minorEastAsia" w:hAnsiTheme="minorEastAsia" w:eastAsiaTheme="minorEastAsia" w:cstheme="minorEastAsia"/>
          <w:sz w:val="24"/>
          <w:szCs w:val="32"/>
        </w:rPr>
        <w:t>、我单位保证，若所投货物涉及《财政部生态环境部关于印发节能产品政府采购品目清单的通知》（财库〔2019〕19号）列明的政府采购强制产品，则所投该产品符合节能产品的认证要求。</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szCs w:val="32"/>
          <w:lang w:val="en-US" w:eastAsia="zh-CN"/>
        </w:rPr>
        <w:t>13</w:t>
      </w:r>
      <w:r>
        <w:rPr>
          <w:rFonts w:hint="eastAsia" w:asciiTheme="minorEastAsia" w:hAnsiTheme="minorEastAsia" w:eastAsiaTheme="minorEastAsia" w:cstheme="minorEastAsia"/>
          <w:color w:val="auto"/>
          <w:sz w:val="24"/>
          <w:szCs w:val="32"/>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r>
        <w:rPr>
          <w:rFonts w:hint="eastAsia" w:asciiTheme="minorEastAsia" w:hAnsiTheme="minorEastAsia" w:eastAsiaTheme="minorEastAsia" w:cstheme="minorEastAsia"/>
          <w:sz w:val="24"/>
        </w:rPr>
        <w:t>以上承诺，如有违反，愿依照国家相关法律法规处理，并承担由此给采购人带来的损失。</w:t>
      </w:r>
    </w:p>
    <w:p>
      <w:pPr>
        <w:spacing w:line="24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14、</w:t>
      </w:r>
      <w:r>
        <w:rPr>
          <w:rFonts w:hint="eastAsia" w:asciiTheme="minorEastAsia" w:hAnsiTheme="minorEastAsia" w:eastAsiaTheme="minorEastAsia" w:cstheme="minorEastAsia"/>
          <w:b/>
          <w:bCs/>
          <w:sz w:val="24"/>
        </w:rPr>
        <w:t>我单位清楚，如存在违反投标承诺行为情节严重的，将根据《深圳市财政局关于印发&lt;深圳市财政局政府采购供应商信用信息管理办法&gt;的通知》，依法被列入失信信息。</w:t>
      </w:r>
    </w:p>
    <w:p>
      <w:pPr>
        <w:pStyle w:val="2"/>
        <w:rPr>
          <w:rFonts w:hint="default" w:eastAsiaTheme="minorEastAsia"/>
          <w:lang w:val="en-US" w:eastAsia="zh-CN"/>
        </w:rPr>
      </w:pPr>
    </w:p>
    <w:p>
      <w:pPr>
        <w:pStyle w:val="2"/>
        <w:rPr>
          <w:rFonts w:hint="eastAsia" w:ascii="宋体" w:hAnsi="宋体" w:cs="宋体"/>
        </w:rPr>
      </w:pPr>
    </w:p>
    <w:p>
      <w:pPr>
        <w:spacing w:before="78" w:beforeLines="25" w:after="78" w:afterLines="25"/>
        <w:rPr>
          <w:rFonts w:hint="eastAsia" w:ascii="宋体" w:hAnsi="宋体" w:cs="宋体"/>
          <w:sz w:val="24"/>
        </w:rPr>
      </w:pPr>
    </w:p>
    <w:p>
      <w:pPr>
        <w:spacing w:before="78" w:beforeLines="25" w:after="78" w:afterLines="25"/>
        <w:ind w:firstLine="5520" w:firstLineChars="2300"/>
        <w:jc w:val="left"/>
        <w:rPr>
          <w:rFonts w:hint="eastAsia" w:ascii="宋体" w:hAnsi="宋体" w:cs="宋体"/>
          <w:sz w:val="24"/>
          <w:szCs w:val="32"/>
        </w:rPr>
      </w:pPr>
      <w:r>
        <w:rPr>
          <w:rFonts w:hint="eastAsia" w:ascii="宋体" w:hAnsi="宋体" w:cs="宋体"/>
          <w:sz w:val="24"/>
        </w:rPr>
        <w:t>投标人：</w:t>
      </w:r>
      <w:r>
        <w:rPr>
          <w:rFonts w:hint="eastAsia" w:ascii="宋体" w:hAnsi="宋体" w:cs="宋体"/>
          <w:sz w:val="24"/>
          <w:u w:val="single"/>
        </w:rPr>
        <w:t xml:space="preserve">          </w:t>
      </w:r>
    </w:p>
    <w:p>
      <w:pPr>
        <w:ind w:firstLine="5520" w:firstLineChars="2300"/>
        <w:jc w:val="lef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20" w:firstLineChars="200"/>
        <w:jc w:val="left"/>
        <w:rPr>
          <w:rFonts w:hint="eastAsia" w:ascii="宋体" w:hAnsi="宋体" w:cs="宋体"/>
          <w:b w:val="0"/>
          <w:bCs w:val="0"/>
          <w:sz w:val="21"/>
          <w:szCs w:val="21"/>
        </w:rPr>
      </w:pPr>
    </w:p>
    <w:p>
      <w:pPr>
        <w:rPr>
          <w:rFonts w:hint="eastAsia" w:ascii="宋体" w:hAnsi="宋体" w:cs="宋体"/>
        </w:rPr>
      </w:pPr>
    </w:p>
    <w:p>
      <w:pPr>
        <w:rPr>
          <w:rFonts w:hint="eastAsia" w:ascii="宋体" w:hAnsi="宋体" w:cs="宋体"/>
        </w:rPr>
      </w:pPr>
    </w:p>
    <w:p>
      <w:pPr>
        <w:rPr>
          <w:rFonts w:hint="eastAsia" w:ascii="宋体" w:hAnsi="宋体" w:cs="宋体"/>
        </w:rPr>
      </w:pPr>
    </w:p>
    <w:p>
      <w:pPr>
        <w:jc w:val="center"/>
        <w:rPr>
          <w:rFonts w:hint="eastAsia" w:ascii="宋体" w:hAnsi="宋体" w:cs="宋体"/>
        </w:rPr>
      </w:pPr>
      <w:r>
        <w:rPr>
          <w:rFonts w:hint="eastAsia" w:ascii="宋体" w:hAnsi="宋体" w:cs="宋体"/>
        </w:rPr>
        <w:br w:type="page"/>
      </w:r>
    </w:p>
    <w:p>
      <w:pPr>
        <w:jc w:val="center"/>
        <w:outlineLvl w:val="2"/>
        <w:rPr>
          <w:rFonts w:hint="eastAsia" w:ascii="宋体" w:hAnsi="宋体" w:cs="宋体"/>
          <w:b/>
          <w:bCs/>
          <w:sz w:val="24"/>
          <w:szCs w:val="32"/>
        </w:rPr>
      </w:pPr>
      <w:r>
        <w:rPr>
          <w:rFonts w:hint="eastAsia" w:ascii="宋体" w:hAnsi="宋体" w:cs="宋体"/>
          <w:b/>
          <w:bCs/>
          <w:sz w:val="24"/>
          <w:szCs w:val="32"/>
        </w:rPr>
        <w:t>六、供应商情况介绍及资格证明文件</w:t>
      </w:r>
    </w:p>
    <w:p>
      <w:pPr>
        <w:pStyle w:val="2"/>
        <w:rPr>
          <w:rFonts w:hint="eastAsia" w:ascii="宋体" w:hAnsi="宋体" w:cs="宋体"/>
        </w:rPr>
      </w:pPr>
    </w:p>
    <w:p>
      <w:pPr>
        <w:ind w:left="632" w:hanging="632" w:hangingChars="300"/>
        <w:rPr>
          <w:rFonts w:hint="eastAsia" w:ascii="宋体" w:hAnsi="宋体" w:cs="宋体"/>
          <w:bCs/>
          <w:szCs w:val="21"/>
        </w:rPr>
      </w:pPr>
      <w:r>
        <w:rPr>
          <w:rFonts w:hint="eastAsia" w:ascii="宋体" w:hAnsi="宋体" w:cs="宋体"/>
          <w:b/>
          <w:bCs/>
        </w:rPr>
        <w:t xml:space="preserve">1. 投标人情况介绍： </w:t>
      </w:r>
    </w:p>
    <w:p>
      <w:pPr>
        <w:pStyle w:val="46"/>
        <w:snapToGrid w:val="0"/>
        <w:spacing w:before="0" w:after="0" w:line="240" w:lineRule="auto"/>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供应商基本情况表</w:t>
      </w:r>
    </w:p>
    <w:p>
      <w:pPr>
        <w:rPr>
          <w:rFonts w:hint="eastAsia" w:ascii="宋体" w:hAnsi="宋体" w:eastAsia="宋体" w:cs="宋体"/>
          <w:b w:val="0"/>
          <w:bCs w:val="0"/>
          <w:color w:val="auto"/>
          <w:sz w:val="44"/>
          <w:szCs w:val="44"/>
          <w:highlight w:val="none"/>
          <w:lang w:val="en-US" w:eastAsia="zh-CN"/>
        </w:rPr>
      </w:pPr>
      <w:r>
        <w:rPr>
          <w:rFonts w:hint="eastAsia" w:ascii="仿宋_GB2312" w:eastAsia="仿宋_GB2312"/>
          <w:sz w:val="28"/>
          <w:szCs w:val="28"/>
        </w:rPr>
        <w:t xml:space="preserve">填表单位：（加盖单位公章）  </w:t>
      </w:r>
      <w:r>
        <w:rPr>
          <w:rFonts w:ascii="仿宋_GB2312" w:eastAsia="仿宋_GB2312"/>
          <w:sz w:val="28"/>
          <w:szCs w:val="28"/>
        </w:rPr>
        <w:t xml:space="preserve">      </w:t>
      </w:r>
      <w:r>
        <w:rPr>
          <w:rFonts w:hint="eastAsia" w:ascii="仿宋_GB2312" w:eastAsia="仿宋_GB2312"/>
          <w:sz w:val="28"/>
          <w:szCs w:val="28"/>
        </w:rPr>
        <w:t>填表日期：   年   月   日</w:t>
      </w:r>
    </w:p>
    <w:tbl>
      <w:tblPr>
        <w:tblStyle w:val="5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2553" w:type="dxa"/>
            <w:gridSpan w:val="2"/>
            <w:noWrap w:val="0"/>
            <w:vAlign w:val="center"/>
          </w:tcPr>
          <w:p>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2985" w:type="dxa"/>
            <w:gridSpan w:val="2"/>
            <w:noWrap w:val="0"/>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3</w:t>
            </w:r>
          </w:p>
        </w:tc>
        <w:tc>
          <w:tcPr>
            <w:tcW w:w="2282" w:type="dxa"/>
            <w:gridSpan w:val="2"/>
            <w:tcBorders>
              <w:top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4</w:t>
            </w:r>
          </w:p>
        </w:tc>
        <w:tc>
          <w:tcPr>
            <w:tcW w:w="2282" w:type="dxa"/>
            <w:gridSpan w:val="2"/>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947" w:type="dxa"/>
            <w:noWrap w:val="0"/>
            <w:vAlign w:val="center"/>
          </w:tcPr>
          <w:p>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pPr>
              <w:jc w:val="center"/>
              <w:rPr>
                <w:rFonts w:hint="eastAsia" w:ascii="宋体" w:hAnsi="宋体" w:eastAsia="宋体" w:cs="宋体"/>
                <w:color w:val="auto"/>
                <w:sz w:val="24"/>
                <w:szCs w:val="24"/>
                <w:vertAlign w:val="baseline"/>
                <w:lang w:val="en-US" w:eastAsia="zh-CN"/>
              </w:rPr>
            </w:pPr>
          </w:p>
        </w:tc>
        <w:tc>
          <w:tcPr>
            <w:tcW w:w="1485" w:type="dxa"/>
            <w:noWrap w:val="0"/>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5</w:t>
            </w:r>
          </w:p>
        </w:tc>
        <w:tc>
          <w:tcPr>
            <w:tcW w:w="2282" w:type="dxa"/>
            <w:gridSpan w:val="2"/>
            <w:noWrap w:val="0"/>
            <w:vAlign w:val="center"/>
          </w:tcPr>
          <w:p>
            <w:pPr>
              <w:pStyle w:val="8"/>
              <w:snapToGrid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947" w:type="dxa"/>
            <w:noWrap w:val="0"/>
            <w:vAlign w:val="center"/>
          </w:tcPr>
          <w:p>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pPr>
              <w:jc w:val="center"/>
              <w:rPr>
                <w:rFonts w:hint="eastAsia" w:ascii="宋体" w:hAnsi="宋体" w:eastAsia="宋体" w:cs="宋体"/>
                <w:color w:val="auto"/>
                <w:sz w:val="24"/>
                <w:szCs w:val="24"/>
                <w:vertAlign w:val="baseline"/>
                <w:lang w:val="en-US" w:eastAsia="zh-CN"/>
              </w:rPr>
            </w:pPr>
          </w:p>
        </w:tc>
        <w:tc>
          <w:tcPr>
            <w:tcW w:w="1485" w:type="dxa"/>
            <w:noWrap w:val="0"/>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pPr>
        <w:ind w:firstLine="426" w:firstLineChars="202"/>
        <w:rPr>
          <w:rFonts w:hint="eastAsia" w:ascii="宋体" w:hAnsi="宋体" w:eastAsia="宋体" w:cs="宋体"/>
          <w:b/>
          <w:szCs w:val="21"/>
        </w:rPr>
      </w:pPr>
    </w:p>
    <w:p>
      <w:pPr>
        <w:pStyle w:val="2"/>
        <w:rPr>
          <w:rFonts w:hint="eastAsia" w:ascii="宋体" w:hAnsi="宋体" w:cs="宋体"/>
        </w:rPr>
      </w:pPr>
    </w:p>
    <w:p>
      <w:pPr>
        <w:rPr>
          <w:rFonts w:hint="eastAsia" w:ascii="宋体" w:hAnsi="宋体" w:cs="宋体"/>
          <w:b/>
          <w:bCs/>
        </w:rPr>
      </w:pPr>
      <w:r>
        <w:rPr>
          <w:rFonts w:hint="eastAsia" w:ascii="宋体" w:hAnsi="宋体" w:cs="宋体"/>
          <w:b/>
          <w:bCs/>
        </w:rPr>
        <w:t>2.</w:t>
      </w:r>
      <w:r>
        <w:rPr>
          <w:rFonts w:hint="eastAsia" w:ascii="宋体" w:hAnsi="宋体" w:cs="宋体"/>
        </w:rPr>
        <w:t xml:space="preserve"> </w:t>
      </w:r>
      <w:r>
        <w:rPr>
          <w:rFonts w:hint="eastAsia" w:ascii="宋体" w:hAnsi="宋体" w:cs="宋体"/>
          <w:b/>
          <w:bCs/>
        </w:rPr>
        <w:t>资格证明材料：</w:t>
      </w:r>
    </w:p>
    <w:p>
      <w:pPr>
        <w:ind w:firstLine="422" w:firstLineChars="200"/>
        <w:rPr>
          <w:rFonts w:hint="eastAsia" w:ascii="宋体" w:hAnsi="宋体" w:cs="宋体"/>
          <w:b/>
          <w:bCs/>
        </w:rPr>
      </w:pPr>
      <w:r>
        <w:rPr>
          <w:rFonts w:hint="eastAsia" w:ascii="宋体" w:hAnsi="宋体" w:cs="宋体"/>
          <w:b/>
          <w:bCs/>
        </w:rPr>
        <w:t>投标人须按招标公告中</w:t>
      </w:r>
      <w:r>
        <w:rPr>
          <w:rFonts w:hint="eastAsia" w:ascii="宋体" w:hAnsi="宋体" w:cs="宋体"/>
          <w:b/>
          <w:bCs/>
          <w:color w:val="FF0000"/>
        </w:rPr>
        <w:t>“供应商的资格要求”</w:t>
      </w:r>
      <w:r>
        <w:rPr>
          <w:rFonts w:hint="eastAsia" w:ascii="宋体" w:hAnsi="宋体" w:cs="宋体"/>
          <w:b/>
          <w:bCs/>
        </w:rPr>
        <w:t>提供相关的资质证明，投标文件中未提供或提供不完整、不符合要求的，将按投标无效处理。</w:t>
      </w:r>
    </w:p>
    <w:p>
      <w:pPr>
        <w:pStyle w:val="171"/>
        <w:rPr>
          <w:rFonts w:hint="eastAsia" w:ascii="宋体" w:hAnsi="宋体" w:cs="宋体"/>
        </w:rPr>
      </w:pPr>
      <w:r>
        <w:rPr>
          <w:rFonts w:hint="eastAsia" w:ascii="宋体" w:hAnsi="宋体" w:cs="宋体"/>
          <w:b/>
          <w:bCs/>
          <w:color w:val="FF0000"/>
        </w:rPr>
        <w:t xml:space="preserve">    </w:t>
      </w:r>
    </w:p>
    <w:p>
      <w:pPr>
        <w:ind w:firstLine="422" w:firstLineChars="200"/>
        <w:rPr>
          <w:rFonts w:hint="eastAsia" w:ascii="宋体" w:hAnsi="宋体" w:cs="宋体"/>
          <w:b/>
          <w:bCs/>
        </w:rPr>
      </w:pPr>
    </w:p>
    <w:p>
      <w:pPr>
        <w:rPr>
          <w:rFonts w:hint="eastAsia" w:ascii="宋体" w:hAnsi="宋体" w:cs="宋体"/>
          <w:b/>
          <w:bCs/>
        </w:rPr>
      </w:pPr>
      <w:r>
        <w:rPr>
          <w:rFonts w:hint="eastAsia" w:ascii="宋体" w:hAnsi="宋体" w:cs="宋体"/>
          <w:b/>
          <w:bCs/>
        </w:rPr>
        <w:t>3.中小企业声明函、残疾人福利性单位声明函及监狱企业声明函</w:t>
      </w:r>
    </w:p>
    <w:p>
      <w:pPr>
        <w:ind w:firstLine="420" w:firstLineChars="200"/>
        <w:outlineLvl w:val="3"/>
        <w:rPr>
          <w:rFonts w:hint="eastAsia" w:ascii="黑体" w:hAnsi="黑体" w:eastAsia="黑体"/>
          <w:color w:val="FF0000"/>
        </w:rPr>
      </w:pPr>
      <w:r>
        <w:rPr>
          <w:rFonts w:hint="eastAsia" w:ascii="黑体" w:hAnsi="宋体" w:eastAsia="黑体"/>
          <w:bCs/>
          <w:color w:val="FF0000"/>
        </w:rPr>
        <w:t>（该部分内容由投标人根据自身实际情况填写，</w:t>
      </w:r>
      <w:r>
        <w:rPr>
          <w:rFonts w:hint="eastAsia" w:ascii="黑体" w:hAnsi="宋体" w:eastAsia="黑体"/>
          <w:bCs/>
          <w:color w:val="FF0000"/>
          <w:highlight w:val="green"/>
        </w:rPr>
        <w:t>不符合要求的投标人可以不填写或直接删除相应的声明函</w:t>
      </w:r>
      <w:r>
        <w:rPr>
          <w:rFonts w:hint="eastAsia" w:ascii="黑体" w:hAnsi="宋体" w:eastAsia="黑体"/>
          <w:bCs/>
          <w:color w:val="FF0000"/>
        </w:rPr>
        <w:t>。</w:t>
      </w:r>
      <w:r>
        <w:rPr>
          <w:rFonts w:hint="eastAsia" w:ascii="黑体" w:hAnsi="黑体" w:eastAsia="黑体"/>
          <w:color w:val="FF0000"/>
        </w:rPr>
        <w:t>投标人提供的声明函不属实的，属于提供虚假资料谋取中标，依照《中华人民共和国政府采购法》等国家有关规定追究相应责任。</w:t>
      </w:r>
      <w:r>
        <w:rPr>
          <w:rFonts w:hint="eastAsia" w:ascii="黑体" w:hAnsi="宋体" w:eastAsia="黑体"/>
          <w:bCs/>
          <w:color w:val="FF0000"/>
        </w:rPr>
        <w:t>）</w:t>
      </w:r>
    </w:p>
    <w:p>
      <w:pPr>
        <w:pStyle w:val="2"/>
        <w:tabs>
          <w:tab w:val="left" w:pos="426"/>
        </w:tabs>
        <w:spacing w:line="240" w:lineRule="auto"/>
        <w:rPr>
          <w:rFonts w:hint="eastAsia" w:ascii="宋体" w:hAnsi="宋体" w:cs="宋体"/>
        </w:rPr>
      </w:pPr>
    </w:p>
    <w:p>
      <w:pPr>
        <w:ind w:firstLine="480" w:firstLineChars="200"/>
        <w:outlineLvl w:val="3"/>
        <w:rPr>
          <w:rFonts w:hint="eastAsia" w:ascii="宋体" w:hAnsi="宋体" w:cs="宋体"/>
          <w:bCs/>
          <w:kern w:val="0"/>
          <w:sz w:val="24"/>
        </w:rPr>
      </w:pPr>
      <w:r>
        <w:rPr>
          <w:rFonts w:hint="eastAsia" w:ascii="宋体" w:hAnsi="宋体" w:cs="宋体"/>
          <w:bCs/>
          <w:kern w:val="0"/>
          <w:sz w:val="24"/>
        </w:rPr>
        <w:t>填写指引：</w:t>
      </w:r>
    </w:p>
    <w:p>
      <w:pPr>
        <w:ind w:firstLine="480" w:firstLineChars="200"/>
        <w:outlineLvl w:val="3"/>
        <w:rPr>
          <w:rFonts w:hint="eastAsia" w:ascii="宋体" w:hAnsi="宋体" w:cs="宋体"/>
          <w:sz w:val="24"/>
        </w:rPr>
      </w:pPr>
      <w:r>
        <w:rPr>
          <w:rFonts w:hint="eastAsia" w:ascii="宋体" w:hAnsi="宋体" w:cs="宋体"/>
          <w:bCs/>
          <w:kern w:val="0"/>
          <w:sz w:val="24"/>
        </w:rPr>
        <w:t>1、</w:t>
      </w:r>
      <w:r>
        <w:rPr>
          <w:rFonts w:hint="eastAsia" w:ascii="宋体" w:hAnsi="宋体" w:cs="宋体"/>
          <w:sz w:val="24"/>
        </w:rPr>
        <w:t>投标人提供的声明函不属实的，属于提供虚假资料谋取中标，依照《中华人民共和国政府采购法》等国家有关规定追究相应责任。</w:t>
      </w:r>
    </w:p>
    <w:p>
      <w:pPr>
        <w:ind w:firstLine="480" w:firstLineChars="200"/>
        <w:outlineLvl w:val="3"/>
        <w:rPr>
          <w:rFonts w:hint="eastAsia" w:ascii="宋体" w:hAnsi="宋体" w:cs="宋体"/>
          <w:sz w:val="24"/>
        </w:rPr>
      </w:pPr>
      <w:r>
        <w:rPr>
          <w:rFonts w:hint="eastAsia" w:ascii="宋体" w:hAnsi="宋体" w:cs="宋体"/>
          <w:sz w:val="24"/>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号，以下简称300号文）。</w:t>
      </w:r>
    </w:p>
    <w:p>
      <w:pPr>
        <w:ind w:firstLine="480" w:firstLineChars="200"/>
        <w:outlineLvl w:val="3"/>
        <w:rPr>
          <w:rFonts w:hint="eastAsia" w:ascii="宋体" w:hAnsi="宋体" w:cs="宋体"/>
          <w:sz w:val="24"/>
        </w:rPr>
      </w:pPr>
      <w:r>
        <w:rPr>
          <w:rFonts w:hint="eastAsia" w:ascii="宋体" w:hAnsi="宋体" w:cs="宋体"/>
          <w:sz w:val="24"/>
        </w:rPr>
        <w:t>(1)《政府采购促进中小企业发展管理办法》（财库〔2020〕46号），链接：</w:t>
      </w:r>
      <w:r>
        <w:fldChar w:fldCharType="begin"/>
      </w:r>
      <w:r>
        <w:instrText xml:space="preserve"> HYPERLINK "http://www.ccgp.gov.cn/news/202012/t20201229_15715888.htm" </w:instrText>
      </w:r>
      <w:r>
        <w:fldChar w:fldCharType="separate"/>
      </w:r>
      <w:r>
        <w:rPr>
          <w:rStyle w:val="61"/>
          <w:rFonts w:hint="eastAsia" w:ascii="宋体" w:hAnsi="宋体" w:cs="宋体"/>
          <w:color w:val="auto"/>
          <w:sz w:val="24"/>
        </w:rPr>
        <w:t>www.ccgp.gov.cn/news/202012/t20201229_15715888.htm</w:t>
      </w:r>
      <w:r>
        <w:rPr>
          <w:rStyle w:val="61"/>
          <w:rFonts w:hint="eastAsia" w:ascii="宋体" w:hAnsi="宋体" w:cs="宋体"/>
          <w:color w:val="auto"/>
          <w:sz w:val="24"/>
        </w:rPr>
        <w:fldChar w:fldCharType="end"/>
      </w:r>
    </w:p>
    <w:p>
      <w:pPr>
        <w:ind w:firstLine="480" w:firstLineChars="200"/>
        <w:outlineLvl w:val="3"/>
        <w:rPr>
          <w:rFonts w:hint="eastAsia" w:ascii="宋体" w:hAnsi="宋体" w:cs="宋体"/>
          <w:sz w:val="24"/>
        </w:rPr>
      </w:pPr>
      <w:r>
        <w:rPr>
          <w:rFonts w:hint="eastAsia" w:ascii="宋体" w:hAnsi="宋体" w:cs="宋体"/>
          <w:sz w:val="24"/>
        </w:rPr>
        <w:t>(2)《关于印发中小企业划型标准规定的通知》（工信部联企业〔2011〕300 号），链接：</w:t>
      </w:r>
      <w:r>
        <w:fldChar w:fldCharType="begin"/>
      </w:r>
      <w:r>
        <w:instrText xml:space="preserve"> HYPERLINK "http://www.gov.cn/zwgk/2011-07/04/content_1898747.htm" </w:instrText>
      </w:r>
      <w:r>
        <w:fldChar w:fldCharType="separate"/>
      </w:r>
      <w:r>
        <w:rPr>
          <w:rStyle w:val="61"/>
          <w:rFonts w:hint="eastAsia" w:ascii="宋体" w:hAnsi="宋体" w:cs="宋体"/>
          <w:color w:val="auto"/>
          <w:sz w:val="24"/>
        </w:rPr>
        <w:t>www.gov.cn/zwgk/2011-07/04/content_1898747.htm</w:t>
      </w:r>
      <w:r>
        <w:rPr>
          <w:rStyle w:val="61"/>
          <w:rFonts w:hint="eastAsia" w:ascii="宋体" w:hAnsi="宋体" w:cs="宋体"/>
          <w:color w:val="auto"/>
          <w:sz w:val="24"/>
        </w:rPr>
        <w:fldChar w:fldCharType="end"/>
      </w:r>
    </w:p>
    <w:p>
      <w:pPr>
        <w:ind w:firstLine="480" w:firstLineChars="200"/>
        <w:outlineLvl w:val="3"/>
        <w:rPr>
          <w:rFonts w:hint="eastAsia" w:ascii="宋体" w:hAnsi="宋体" w:cs="宋体"/>
          <w:sz w:val="24"/>
        </w:rPr>
      </w:pPr>
      <w:r>
        <w:rPr>
          <w:rFonts w:hint="eastAsia" w:ascii="宋体" w:hAnsi="宋体" w:cs="宋体"/>
          <w:sz w:val="24"/>
        </w:rPr>
        <w:t>(3)《统计上大中小微型企业划分办法(2017)》（国统字〔2017〕213 号），链接：</w:t>
      </w:r>
      <w:r>
        <w:fldChar w:fldCharType="begin"/>
      </w:r>
      <w:r>
        <w:instrText xml:space="preserve"> HYPERLINK "http://www.stats.gov.cn/tjsj/tjbz/201801/t20180103_1569357.html" </w:instrText>
      </w:r>
      <w:r>
        <w:fldChar w:fldCharType="separate"/>
      </w:r>
      <w:r>
        <w:rPr>
          <w:rStyle w:val="61"/>
          <w:rFonts w:hint="eastAsia" w:ascii="宋体" w:hAnsi="宋体" w:cs="宋体"/>
          <w:color w:val="auto"/>
          <w:sz w:val="24"/>
        </w:rPr>
        <w:t>www.stats.gov.cn/tjsj/tjbz/201801/t20180103_1569357.html</w:t>
      </w:r>
      <w:r>
        <w:rPr>
          <w:rStyle w:val="61"/>
          <w:rFonts w:hint="eastAsia" w:ascii="宋体" w:hAnsi="宋体" w:cs="宋体"/>
          <w:color w:val="auto"/>
          <w:sz w:val="24"/>
        </w:rPr>
        <w:fldChar w:fldCharType="end"/>
      </w:r>
    </w:p>
    <w:p>
      <w:pPr>
        <w:ind w:firstLine="480" w:firstLineChars="200"/>
        <w:outlineLvl w:val="3"/>
        <w:rPr>
          <w:rFonts w:hint="eastAsia" w:ascii="宋体" w:hAnsi="宋体" w:cs="宋体"/>
          <w:sz w:val="24"/>
        </w:rPr>
      </w:pPr>
      <w:r>
        <w:rPr>
          <w:rFonts w:hint="eastAsia" w:ascii="宋体" w:hAnsi="宋体" w:cs="宋体"/>
          <w:sz w:val="24"/>
        </w:rPr>
        <w:t>(4)《关于促进残疾人就业政府采购政策的通知》（财库〔2017〕141号），链接：</w:t>
      </w:r>
      <w:r>
        <w:fldChar w:fldCharType="begin"/>
      </w:r>
      <w:r>
        <w:instrText xml:space="preserve"> HYPERLINK "http://www.ccgp.gov.cn/zcfg/mof/201709/t20170904_8787205.shtml" </w:instrText>
      </w:r>
      <w:r>
        <w:fldChar w:fldCharType="separate"/>
      </w:r>
      <w:r>
        <w:rPr>
          <w:rStyle w:val="61"/>
          <w:rFonts w:hint="eastAsia" w:ascii="宋体" w:hAnsi="宋体" w:cs="宋体"/>
          <w:color w:val="auto"/>
          <w:sz w:val="24"/>
        </w:rPr>
        <w:t>www.ccgp.gov.cn/zcfg/mof/201709/t20170904_8787205.shtml</w:t>
      </w:r>
      <w:r>
        <w:rPr>
          <w:rStyle w:val="61"/>
          <w:rFonts w:hint="eastAsia" w:ascii="宋体" w:hAnsi="宋体" w:cs="宋体"/>
          <w:color w:val="auto"/>
          <w:sz w:val="24"/>
        </w:rPr>
        <w:fldChar w:fldCharType="end"/>
      </w:r>
    </w:p>
    <w:p>
      <w:pPr>
        <w:ind w:firstLine="480" w:firstLineChars="200"/>
        <w:outlineLvl w:val="3"/>
        <w:rPr>
          <w:rFonts w:hint="eastAsia" w:ascii="宋体" w:hAnsi="宋体" w:cs="宋体"/>
          <w:sz w:val="24"/>
        </w:rPr>
      </w:pPr>
      <w:r>
        <w:rPr>
          <w:rFonts w:hint="eastAsia" w:ascii="宋体" w:hAnsi="宋体" w:cs="宋体"/>
          <w:sz w:val="24"/>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Style w:val="61"/>
          <w:rFonts w:hint="eastAsia" w:ascii="宋体" w:hAnsi="宋体" w:cs="宋体"/>
          <w:color w:val="auto"/>
          <w:sz w:val="24"/>
        </w:rPr>
        <w:t>www.ccgp.gov.cn/zcfg/mof/201406/t20140616_4619272.htm</w:t>
      </w:r>
      <w:r>
        <w:rPr>
          <w:rStyle w:val="61"/>
          <w:rFonts w:hint="eastAsia" w:ascii="宋体" w:hAnsi="宋体" w:cs="宋体"/>
          <w:color w:val="auto"/>
          <w:sz w:val="24"/>
        </w:rPr>
        <w:fldChar w:fldCharType="end"/>
      </w:r>
    </w:p>
    <w:p>
      <w:pPr>
        <w:ind w:firstLine="480" w:firstLineChars="200"/>
        <w:outlineLvl w:val="3"/>
        <w:rPr>
          <w:rFonts w:hint="eastAsia" w:ascii="宋体" w:hAnsi="宋体" w:cs="宋体"/>
          <w:bCs/>
          <w:kern w:val="0"/>
          <w:sz w:val="24"/>
        </w:rPr>
      </w:pPr>
      <w:r>
        <w:rPr>
          <w:rFonts w:hint="eastAsia" w:ascii="宋体" w:hAnsi="宋体" w:cs="宋体"/>
          <w:bCs/>
          <w:kern w:val="0"/>
          <w:sz w:val="24"/>
        </w:rPr>
        <w:t>3、请依照提供的格式和内容填写声明函，不要随意变更格式；声明函不需要盖章或签字；</w:t>
      </w:r>
      <w:r>
        <w:rPr>
          <w:rFonts w:hint="eastAsia" w:ascii="宋体" w:hAnsi="宋体" w:cs="宋体"/>
          <w:sz w:val="24"/>
        </w:rPr>
        <w:t>满足多项优惠政策的投标人，不重复享受多项价格扣除政策。</w:t>
      </w:r>
    </w:p>
    <w:p>
      <w:pPr>
        <w:ind w:firstLine="480" w:firstLineChars="200"/>
        <w:outlineLvl w:val="3"/>
        <w:rPr>
          <w:rFonts w:hint="eastAsia" w:ascii="宋体" w:hAnsi="宋体" w:cs="宋体"/>
          <w:bCs/>
          <w:kern w:val="0"/>
          <w:sz w:val="24"/>
        </w:rPr>
      </w:pPr>
      <w:r>
        <w:rPr>
          <w:rFonts w:hint="eastAsia" w:ascii="宋体" w:hAnsi="宋体" w:cs="宋体"/>
          <w:bCs/>
          <w:kern w:val="0"/>
          <w:sz w:val="24"/>
        </w:rPr>
        <w:t>4、声明函具体填写要求：</w:t>
      </w:r>
    </w:p>
    <w:p>
      <w:pPr>
        <w:ind w:firstLine="480" w:firstLineChars="200"/>
        <w:outlineLvl w:val="3"/>
        <w:rPr>
          <w:rFonts w:hint="eastAsia" w:ascii="宋体" w:hAnsi="宋体" w:cs="宋体"/>
          <w:bCs/>
          <w:kern w:val="0"/>
          <w:sz w:val="24"/>
        </w:rPr>
      </w:pPr>
      <w:r>
        <w:rPr>
          <w:rFonts w:hint="eastAsia" w:ascii="宋体" w:hAnsi="宋体" w:cs="宋体"/>
          <w:bCs/>
          <w:kern w:val="0"/>
          <w:sz w:val="24"/>
        </w:rPr>
        <w:t>（1）声明是中小企业须填写《中小企业声明函》的以下内容：</w:t>
      </w:r>
    </w:p>
    <w:p>
      <w:pPr>
        <w:ind w:firstLine="480" w:firstLineChars="200"/>
        <w:outlineLvl w:val="3"/>
        <w:rPr>
          <w:rFonts w:hint="eastAsia" w:ascii="宋体" w:hAnsi="宋体" w:cs="宋体"/>
          <w:bCs/>
          <w:kern w:val="0"/>
          <w:sz w:val="24"/>
        </w:rPr>
      </w:pPr>
      <w:r>
        <w:rPr>
          <w:rFonts w:hint="eastAsia" w:ascii="宋体" w:hAnsi="宋体" w:cs="宋体"/>
          <w:bCs/>
          <w:kern w:val="0"/>
          <w:sz w:val="24"/>
        </w:rPr>
        <w:t>第一处，在“采购人名称”下划线处如实填写采购人名称（深圳市广得信工程造价咨询有限公司不是本项目的采购人，而是组织实施机构）；</w:t>
      </w:r>
    </w:p>
    <w:p>
      <w:pPr>
        <w:ind w:firstLine="480" w:firstLineChars="200"/>
        <w:outlineLvl w:val="3"/>
        <w:rPr>
          <w:rFonts w:hint="eastAsia" w:ascii="宋体" w:hAnsi="宋体" w:cs="宋体"/>
          <w:bCs/>
          <w:kern w:val="0"/>
          <w:sz w:val="24"/>
        </w:rPr>
      </w:pPr>
      <w:r>
        <w:rPr>
          <w:rFonts w:hint="eastAsia" w:ascii="宋体" w:hAnsi="宋体" w:cs="宋体"/>
          <w:bCs/>
          <w:kern w:val="0"/>
          <w:sz w:val="24"/>
        </w:rPr>
        <w:t>第二处，在“项目名称”下划线处如实填写采购项目名称；</w:t>
      </w:r>
    </w:p>
    <w:p>
      <w:pPr>
        <w:ind w:firstLine="480" w:firstLineChars="200"/>
        <w:outlineLvl w:val="3"/>
        <w:rPr>
          <w:rFonts w:hint="eastAsia" w:ascii="宋体" w:hAnsi="宋体" w:cs="宋体"/>
          <w:bCs/>
          <w:kern w:val="0"/>
          <w:sz w:val="24"/>
        </w:rPr>
      </w:pPr>
      <w:r>
        <w:rPr>
          <w:rFonts w:hint="eastAsia" w:ascii="宋体" w:hAnsi="宋体" w:cs="宋体"/>
          <w:bCs/>
          <w:kern w:val="0"/>
          <w:sz w:val="24"/>
        </w:rPr>
        <w:t>第三处，在“标的名称”下划线处填写所采购服务（标的）的具体名称（以</w:t>
      </w:r>
      <w:bookmarkStart w:id="18" w:name="_Hlk72259001"/>
      <w:r>
        <w:rPr>
          <w:rFonts w:hint="eastAsia" w:ascii="宋体" w:hAnsi="宋体" w:cs="宋体"/>
          <w:bCs/>
          <w:kern w:val="0"/>
          <w:sz w:val="24"/>
        </w:rPr>
        <w:t>招标文件第一册第三章</w:t>
      </w:r>
      <w:bookmarkEnd w:id="18"/>
      <w:r>
        <w:rPr>
          <w:rFonts w:hint="eastAsia" w:ascii="宋体" w:hAnsi="宋体" w:cs="宋体"/>
          <w:bCs/>
          <w:kern w:val="0"/>
          <w:sz w:val="24"/>
        </w:rPr>
        <w:t>用户需求书“服务需求明细”的“服务需求名称”一栏为准）；如果涉及多个服务需求（标的）由同一企业承接，“标的名称”下划线处可以如实填写多个服务需求（标的）；</w:t>
      </w:r>
    </w:p>
    <w:p>
      <w:pPr>
        <w:ind w:firstLine="480" w:firstLineChars="200"/>
        <w:outlineLvl w:val="3"/>
        <w:rPr>
          <w:rFonts w:hint="eastAsia" w:ascii="宋体" w:hAnsi="宋体" w:cs="宋体"/>
          <w:bCs/>
          <w:kern w:val="0"/>
          <w:sz w:val="24"/>
        </w:rPr>
      </w:pPr>
      <w:r>
        <w:rPr>
          <w:rFonts w:hint="eastAsia" w:ascii="宋体" w:hAnsi="宋体" w:cs="宋体"/>
          <w:bCs/>
          <w:kern w:val="0"/>
          <w:sz w:val="24"/>
        </w:rPr>
        <w:t>第四处，在“招标文件中明确的所属行业”下划线处填写采购标的对应的中小企业划分标准所属行业（所属行业可在招标文件第一册第二章“对通用条款的补充内容及其他关键信息”章节查看）；</w:t>
      </w:r>
    </w:p>
    <w:p>
      <w:pPr>
        <w:ind w:firstLine="480" w:firstLineChars="200"/>
        <w:outlineLvl w:val="3"/>
        <w:rPr>
          <w:rFonts w:hint="eastAsia" w:ascii="宋体" w:hAnsi="宋体" w:cs="宋体"/>
          <w:bCs/>
          <w:kern w:val="0"/>
          <w:sz w:val="24"/>
        </w:rPr>
      </w:pPr>
      <w:r>
        <w:rPr>
          <w:rFonts w:hint="eastAsia" w:ascii="宋体" w:hAnsi="宋体" w:cs="宋体"/>
          <w:bCs/>
          <w:kern w:val="0"/>
          <w:sz w:val="24"/>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80" w:firstLineChars="200"/>
        <w:outlineLvl w:val="3"/>
        <w:rPr>
          <w:rFonts w:hint="eastAsia" w:ascii="宋体" w:hAnsi="宋体" w:cs="宋体"/>
          <w:bCs/>
          <w:kern w:val="0"/>
          <w:sz w:val="24"/>
        </w:rPr>
      </w:pPr>
      <w:r>
        <w:rPr>
          <w:rFonts w:hint="eastAsia" w:ascii="宋体" w:hAnsi="宋体" w:cs="宋体"/>
          <w:bCs/>
          <w:kern w:val="0"/>
          <w:sz w:val="24"/>
        </w:rPr>
        <w:t>（2）声明是残疾人福利性单位须填写《残疾人福利性单位声明函》的相关内容（填写位置的字体已加粗），具体参照以上《中小企业声明函》填写要求执行。</w:t>
      </w:r>
    </w:p>
    <w:p>
      <w:pPr>
        <w:ind w:firstLine="480" w:firstLineChars="200"/>
        <w:outlineLvl w:val="3"/>
        <w:rPr>
          <w:rFonts w:hint="eastAsia" w:ascii="宋体" w:hAnsi="宋体" w:cs="宋体"/>
          <w:bCs/>
          <w:kern w:val="0"/>
          <w:sz w:val="24"/>
        </w:rPr>
      </w:pPr>
      <w:r>
        <w:rPr>
          <w:rFonts w:hint="eastAsia" w:ascii="宋体" w:hAnsi="宋体" w:cs="宋体"/>
          <w:bCs/>
          <w:kern w:val="0"/>
          <w:sz w:val="24"/>
        </w:rPr>
        <w:t>（3）声明是监狱企业须填写《监狱企业声明函》的相关内容（填写位置的字体已加粗），具体参照以上《中小企业声明函》填写要求执行。</w:t>
      </w:r>
    </w:p>
    <w:p>
      <w:pPr>
        <w:ind w:firstLine="420" w:firstLineChars="200"/>
        <w:rPr>
          <w:rFonts w:hint="eastAsia" w:ascii="宋体" w:hAnsi="宋体" w:cs="宋体"/>
        </w:rPr>
      </w:pPr>
    </w:p>
    <w:p>
      <w:pPr>
        <w:ind w:firstLine="420" w:firstLineChars="200"/>
        <w:rPr>
          <w:rFonts w:hint="eastAsia" w:ascii="宋体" w:hAnsi="宋体" w:cs="宋体"/>
        </w:rPr>
      </w:pPr>
    </w:p>
    <w:p>
      <w:pPr>
        <w:jc w:val="center"/>
        <w:outlineLvl w:val="3"/>
        <w:rPr>
          <w:rFonts w:hint="eastAsia" w:ascii="宋体" w:hAnsi="宋体" w:cs="宋体"/>
          <w:b/>
          <w:sz w:val="24"/>
        </w:rPr>
      </w:pPr>
      <w:r>
        <w:rPr>
          <w:rFonts w:hint="eastAsia" w:ascii="宋体" w:hAnsi="宋体" w:cs="宋体"/>
          <w:b/>
          <w:sz w:val="24"/>
        </w:rPr>
        <w:t>1、中小企业声明函（服务）</w:t>
      </w:r>
    </w:p>
    <w:p>
      <w:pPr>
        <w:ind w:firstLine="480" w:firstLineChars="200"/>
        <w:rPr>
          <w:rFonts w:hint="eastAsia" w:ascii="宋体" w:hAnsi="宋体" w:cs="宋体"/>
          <w:sz w:val="24"/>
        </w:rPr>
      </w:pPr>
      <w:r>
        <w:rPr>
          <w:rFonts w:hint="eastAsia" w:ascii="宋体" w:hAnsi="宋体" w:cs="宋体"/>
          <w:sz w:val="24"/>
        </w:rPr>
        <w:t>本投标人郑重声明，根据《政府采购促进中小企业发展管理办法》（财库﹝2020﹞46号）的规定，本投标人参加</w:t>
      </w:r>
      <w:r>
        <w:rPr>
          <w:rFonts w:hint="eastAsia" w:ascii="宋体" w:hAnsi="宋体" w:cs="宋体"/>
          <w:b/>
          <w:bCs/>
          <w:sz w:val="24"/>
          <w:u w:val="single"/>
        </w:rPr>
        <w:t>（采购人名称：深圳市盐田区土地整备事务中心）</w:t>
      </w:r>
      <w:r>
        <w:rPr>
          <w:rFonts w:hint="eastAsia" w:ascii="宋体" w:hAnsi="宋体" w:cs="宋体"/>
          <w:sz w:val="24"/>
        </w:rPr>
        <w:t>的</w:t>
      </w:r>
      <w:r>
        <w:rPr>
          <w:rFonts w:hint="eastAsia" w:ascii="宋体" w:hAnsi="宋体" w:cs="宋体"/>
          <w:b/>
          <w:bCs/>
          <w:sz w:val="24"/>
          <w:u w:val="single"/>
        </w:rPr>
        <w:t>（项目名称：</w:t>
      </w:r>
      <w:r>
        <w:rPr>
          <w:rFonts w:hint="eastAsia" w:ascii="宋体" w:hAnsi="宋体" w:cs="宋体"/>
          <w:b/>
          <w:bCs/>
          <w:sz w:val="24"/>
          <w:u w:val="single"/>
          <w:lang w:eastAsia="zh-CN"/>
        </w:rPr>
        <w:t>2026年度盐田区国有储备地除“四害”消杀服务</w:t>
      </w:r>
      <w:r>
        <w:rPr>
          <w:rFonts w:hint="eastAsia" w:ascii="宋体" w:hAnsi="宋体" w:cs="宋体"/>
          <w:b/>
          <w:bCs/>
          <w:sz w:val="24"/>
          <w:u w:val="single"/>
        </w:rPr>
        <w:t>）</w:t>
      </w:r>
      <w:r>
        <w:rPr>
          <w:rFonts w:hint="eastAsia" w:ascii="宋体" w:hAnsi="宋体" w:cs="宋体"/>
          <w:sz w:val="24"/>
        </w:rPr>
        <w:t>采购活动，服务全部由符合政策要求的中小企业承接。相关企业的具体情况如下：</w:t>
      </w:r>
    </w:p>
    <w:p>
      <w:pPr>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
          <w:bCs/>
          <w:sz w:val="24"/>
          <w:u w:val="single"/>
        </w:rPr>
        <w:t>（标的名称：</w:t>
      </w:r>
      <w:r>
        <w:rPr>
          <w:rFonts w:hint="eastAsia" w:ascii="宋体" w:hAnsi="宋体" w:cs="宋体"/>
          <w:b/>
          <w:bCs/>
          <w:sz w:val="24"/>
          <w:u w:val="single"/>
          <w:lang w:eastAsia="zh-CN"/>
        </w:rPr>
        <w:t>2026年度盐田区国有储备地除“四害”消杀服务</w:t>
      </w:r>
      <w:r>
        <w:rPr>
          <w:rFonts w:hint="eastAsia" w:ascii="宋体" w:hAnsi="宋体" w:cs="宋体"/>
          <w:b/>
          <w:bCs/>
          <w:sz w:val="24"/>
          <w:u w:val="single"/>
        </w:rPr>
        <w:t>）</w:t>
      </w:r>
      <w:r>
        <w:rPr>
          <w:rFonts w:hint="eastAsia" w:ascii="宋体" w:hAnsi="宋体" w:cs="宋体"/>
          <w:sz w:val="24"/>
        </w:rPr>
        <w:t>，属于</w:t>
      </w:r>
      <w:r>
        <w:rPr>
          <w:rFonts w:hint="eastAsia" w:ascii="宋体" w:hAnsi="宋体" w:cs="宋体"/>
          <w:b/>
          <w:bCs/>
          <w:sz w:val="24"/>
          <w:u w:val="single"/>
        </w:rPr>
        <w:t>（招标文件中明确的所属行业：其他未列明行业）</w:t>
      </w:r>
      <w:r>
        <w:rPr>
          <w:rFonts w:hint="eastAsia" w:ascii="宋体" w:hAnsi="宋体" w:cs="宋体"/>
          <w:sz w:val="24"/>
        </w:rPr>
        <w:t>行业；</w:t>
      </w:r>
      <w:r>
        <w:rPr>
          <w:rFonts w:hint="eastAsia" w:ascii="宋体" w:hAnsi="宋体" w:cs="宋体"/>
          <w:color w:val="FF0000"/>
          <w:sz w:val="24"/>
        </w:rPr>
        <w:t xml:space="preserve">承接企业为 </w:t>
      </w:r>
      <w:r>
        <w:rPr>
          <w:rFonts w:hint="eastAsia" w:ascii="宋体" w:hAnsi="宋体" w:cs="宋体"/>
          <w:color w:val="FF0000"/>
          <w:sz w:val="24"/>
          <w:u w:val="single"/>
        </w:rPr>
        <w:t xml:space="preserve">  </w:t>
      </w:r>
      <w:r>
        <w:rPr>
          <w:rFonts w:hint="eastAsia" w:ascii="宋体" w:hAnsi="宋体" w:cs="宋体"/>
          <w:b/>
          <w:bCs/>
          <w:color w:val="FF0000"/>
          <w:sz w:val="24"/>
          <w:u w:val="single"/>
        </w:rPr>
        <w:t>（企业名称）</w:t>
      </w:r>
      <w:r>
        <w:rPr>
          <w:rFonts w:hint="eastAsia" w:ascii="宋体" w:hAnsi="宋体" w:cs="宋体"/>
          <w:color w:val="FF0000"/>
          <w:sz w:val="24"/>
        </w:rPr>
        <w:t>，从业人员</w:t>
      </w:r>
      <w:r>
        <w:rPr>
          <w:rFonts w:hint="eastAsia" w:ascii="宋体" w:hAnsi="宋体" w:cs="宋体"/>
          <w:b/>
          <w:bCs/>
          <w:color w:val="FF0000"/>
          <w:sz w:val="24"/>
          <w:u w:val="single"/>
        </w:rPr>
        <w:t xml:space="preserve">    </w:t>
      </w:r>
      <w:r>
        <w:rPr>
          <w:rFonts w:hint="eastAsia" w:ascii="宋体" w:hAnsi="宋体" w:cs="宋体"/>
          <w:color w:val="FF0000"/>
          <w:sz w:val="24"/>
        </w:rPr>
        <w:t>人，营业收入为</w:t>
      </w:r>
      <w:r>
        <w:rPr>
          <w:rFonts w:hint="eastAsia" w:ascii="宋体" w:hAnsi="宋体" w:cs="宋体"/>
          <w:color w:val="FF0000"/>
          <w:sz w:val="24"/>
          <w:u w:val="single"/>
        </w:rPr>
        <w:t xml:space="preserve"> </w:t>
      </w:r>
      <w:r>
        <w:rPr>
          <w:rFonts w:hint="eastAsia" w:ascii="宋体" w:hAnsi="宋体" w:cs="宋体"/>
          <w:b/>
          <w:bCs/>
          <w:color w:val="FF0000"/>
          <w:sz w:val="24"/>
          <w:u w:val="single"/>
        </w:rPr>
        <w:t xml:space="preserve">  </w:t>
      </w:r>
      <w:r>
        <w:rPr>
          <w:rFonts w:hint="eastAsia" w:ascii="宋体" w:hAnsi="宋体" w:cs="宋体"/>
          <w:color w:val="FF0000"/>
          <w:sz w:val="24"/>
        </w:rPr>
        <w:t>万元，资产总额为</w:t>
      </w:r>
      <w:r>
        <w:rPr>
          <w:rFonts w:hint="eastAsia" w:ascii="宋体" w:hAnsi="宋体" w:cs="宋体"/>
          <w:b/>
          <w:bCs/>
          <w:color w:val="FF0000"/>
          <w:sz w:val="24"/>
          <w:u w:val="single"/>
        </w:rPr>
        <w:t xml:space="preserve">  </w:t>
      </w:r>
      <w:r>
        <w:rPr>
          <w:rFonts w:hint="eastAsia" w:ascii="宋体" w:hAnsi="宋体" w:cs="宋体"/>
          <w:color w:val="FF0000"/>
          <w:sz w:val="24"/>
        </w:rPr>
        <w:t>万元，属于</w:t>
      </w:r>
      <w:r>
        <w:rPr>
          <w:rFonts w:hint="eastAsia" w:ascii="宋体" w:hAnsi="宋体" w:cs="宋体"/>
          <w:color w:val="FF0000"/>
          <w:sz w:val="24"/>
          <w:u w:val="single"/>
        </w:rPr>
        <w:t xml:space="preserve">    </w:t>
      </w:r>
      <w:r>
        <w:rPr>
          <w:rFonts w:hint="eastAsia" w:ascii="宋体" w:hAnsi="宋体" w:cs="宋体"/>
          <w:b/>
          <w:bCs/>
          <w:color w:val="FF0000"/>
          <w:sz w:val="24"/>
          <w:u w:val="single"/>
        </w:rPr>
        <w:t>（中型企业、小型企业、微型企业）</w:t>
      </w:r>
      <w:r>
        <w:rPr>
          <w:rFonts w:hint="eastAsia" w:ascii="宋体" w:hAnsi="宋体" w:cs="宋体"/>
          <w:color w:val="FF0000"/>
          <w:sz w:val="24"/>
        </w:rPr>
        <w:t>；</w:t>
      </w:r>
    </w:p>
    <w:p>
      <w:pPr>
        <w:ind w:firstLine="480" w:firstLineChars="200"/>
        <w:rPr>
          <w:rFonts w:hint="eastAsia" w:ascii="宋体" w:hAnsi="宋体" w:cs="宋体"/>
          <w:sz w:val="24"/>
        </w:rPr>
      </w:pPr>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ind w:firstLine="480" w:firstLineChars="200"/>
        <w:rPr>
          <w:rFonts w:hint="eastAsia" w:ascii="宋体" w:hAnsi="宋体" w:cs="宋体"/>
          <w:bCs/>
          <w:color w:val="FF0000"/>
          <w:kern w:val="0"/>
          <w:sz w:val="24"/>
        </w:rPr>
      </w:pPr>
      <w:bookmarkStart w:id="19" w:name="_Hlk73562275"/>
      <w:r>
        <w:rPr>
          <w:rFonts w:hint="eastAsia" w:ascii="宋体" w:hAnsi="宋体" w:cs="宋体"/>
          <w:sz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19"/>
    </w:p>
    <w:p>
      <w:pPr>
        <w:ind w:firstLine="480" w:firstLineChars="200"/>
        <w:rPr>
          <w:rFonts w:hint="eastAsia" w:ascii="宋体" w:hAnsi="宋体" w:cs="宋体"/>
          <w:sz w:val="24"/>
        </w:rPr>
      </w:pPr>
    </w:p>
    <w:p>
      <w:pPr>
        <w:spacing w:after="78" w:afterLines="25"/>
        <w:ind w:firstLine="482" w:firstLineChars="200"/>
        <w:rPr>
          <w:rFonts w:hint="eastAsia" w:ascii="宋体" w:hAnsi="宋体" w:cs="宋体"/>
          <w:color w:val="FF0000"/>
          <w:sz w:val="24"/>
        </w:rPr>
      </w:pPr>
      <w:r>
        <w:rPr>
          <w:rFonts w:hint="eastAsia" w:ascii="宋体" w:hAnsi="宋体" w:cs="宋体"/>
          <w:b/>
          <w:color w:val="FF0000"/>
          <w:sz w:val="24"/>
        </w:rPr>
        <w:t>说明：</w:t>
      </w:r>
      <w:r>
        <w:rPr>
          <w:rFonts w:hint="eastAsia" w:ascii="宋体" w:hAnsi="宋体" w:cs="宋体"/>
          <w:color w:val="FF0000"/>
          <w:sz w:val="24"/>
        </w:rPr>
        <w:t>对中小企业的认定，由货物制造商或者工程、服务供应商注册登记所在地的县级以上人民政府中小企业主管部门负责。</w:t>
      </w:r>
      <w:r>
        <w:rPr>
          <w:rFonts w:hint="eastAsia" w:ascii="宋体" w:hAnsi="宋体" w:cs="宋体"/>
          <w:color w:val="0000FF"/>
          <w:sz w:val="24"/>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ind w:firstLine="480" w:firstLineChars="200"/>
        <w:rPr>
          <w:rFonts w:hint="eastAsia" w:ascii="宋体" w:hAnsi="宋体" w:cs="宋体"/>
          <w:sz w:val="24"/>
        </w:rPr>
      </w:pPr>
    </w:p>
    <w:p>
      <w:pPr>
        <w:pStyle w:val="2"/>
        <w:tabs>
          <w:tab w:val="left" w:pos="426"/>
        </w:tabs>
        <w:spacing w:line="240" w:lineRule="auto"/>
        <w:rPr>
          <w:rFonts w:hint="eastAsia" w:ascii="宋体" w:hAnsi="宋体" w:cs="宋体"/>
        </w:rPr>
      </w:pPr>
    </w:p>
    <w:p>
      <w:pPr>
        <w:ind w:firstLine="480" w:firstLineChars="200"/>
        <w:rPr>
          <w:rFonts w:hint="eastAsia" w:ascii="宋体" w:hAnsi="宋体" w:cs="宋体"/>
          <w:sz w:val="24"/>
        </w:rPr>
      </w:pPr>
    </w:p>
    <w:p>
      <w:pPr>
        <w:jc w:val="center"/>
        <w:outlineLvl w:val="3"/>
        <w:rPr>
          <w:rFonts w:hint="eastAsia" w:ascii="宋体" w:hAnsi="宋体" w:cs="宋体"/>
          <w:b/>
          <w:sz w:val="24"/>
        </w:rPr>
      </w:pPr>
      <w:r>
        <w:rPr>
          <w:rFonts w:hint="eastAsia" w:ascii="宋体" w:hAnsi="宋体" w:cs="宋体"/>
          <w:b/>
          <w:sz w:val="24"/>
        </w:rPr>
        <w:t>2、残疾人福利性单位声明函（服务类）</w:t>
      </w:r>
    </w:p>
    <w:p>
      <w:pPr>
        <w:ind w:firstLine="480" w:firstLineChars="200"/>
        <w:rPr>
          <w:rFonts w:hint="eastAsia" w:ascii="宋体" w:hAnsi="宋体" w:cs="宋体"/>
          <w:sz w:val="24"/>
        </w:rPr>
      </w:pPr>
      <w:r>
        <w:rPr>
          <w:rFonts w:hint="eastAsia" w:ascii="宋体" w:hAnsi="宋体" w:cs="宋体"/>
          <w:sz w:val="24"/>
        </w:rPr>
        <w:t>本投标人郑重声明，根据《财政部民政部中国残疾人联合会关于促进残疾人就业政府采购政策的通知》（财库〔2017〕141号）的规定，本投标人参加</w:t>
      </w:r>
      <w:r>
        <w:rPr>
          <w:rFonts w:hint="eastAsia" w:ascii="宋体" w:hAnsi="宋体" w:cs="宋体"/>
          <w:b/>
          <w:bCs/>
          <w:sz w:val="24"/>
          <w:u w:val="single"/>
        </w:rPr>
        <w:t>（采购人名称）</w:t>
      </w:r>
      <w:r>
        <w:rPr>
          <w:rFonts w:hint="eastAsia" w:ascii="宋体" w:hAnsi="宋体" w:cs="宋体"/>
          <w:sz w:val="24"/>
        </w:rPr>
        <w:t xml:space="preserve">的 </w:t>
      </w:r>
      <w:r>
        <w:rPr>
          <w:rFonts w:hint="eastAsia" w:ascii="宋体" w:hAnsi="宋体" w:cs="宋体"/>
          <w:b/>
          <w:bCs/>
          <w:sz w:val="24"/>
          <w:u w:val="single"/>
        </w:rPr>
        <w:t>（项目名称</w:t>
      </w:r>
      <w:r>
        <w:rPr>
          <w:rFonts w:hint="eastAsia" w:ascii="宋体" w:hAnsi="宋体" w:cs="宋体"/>
          <w:b/>
          <w:bCs/>
          <w:sz w:val="24"/>
          <w:szCs w:val="28"/>
          <w:u w:val="single"/>
        </w:rPr>
        <w:t>）</w:t>
      </w:r>
      <w:r>
        <w:rPr>
          <w:rFonts w:hint="eastAsia" w:ascii="宋体" w:hAnsi="宋体" w:cs="宋体"/>
          <w:sz w:val="24"/>
        </w:rPr>
        <w:t>采购活动，服务全部由符合政策要求的残疾人福利性单位承接。相关残疾人福利性单位的具体情况如下：</w:t>
      </w:r>
    </w:p>
    <w:p>
      <w:pPr>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
          <w:bCs/>
          <w:sz w:val="24"/>
          <w:u w:val="single"/>
        </w:rPr>
        <w:t>（标的名称）</w:t>
      </w:r>
      <w:r>
        <w:rPr>
          <w:rFonts w:hint="eastAsia" w:ascii="宋体" w:hAnsi="宋体" w:cs="宋体"/>
          <w:sz w:val="24"/>
        </w:rPr>
        <w:t>，承接企业为</w:t>
      </w:r>
      <w:r>
        <w:rPr>
          <w:rFonts w:hint="eastAsia" w:ascii="宋体" w:hAnsi="宋体" w:cs="宋体"/>
          <w:b/>
          <w:bCs/>
          <w:sz w:val="24"/>
          <w:u w:val="single"/>
        </w:rPr>
        <w:t>（单位名称）</w:t>
      </w:r>
      <w:r>
        <w:rPr>
          <w:rFonts w:hint="eastAsia" w:ascii="宋体" w:hAnsi="宋体" w:cs="宋体"/>
          <w:sz w:val="24"/>
        </w:rPr>
        <w:t>，属于</w:t>
      </w:r>
      <w:r>
        <w:rPr>
          <w:rFonts w:hint="eastAsia" w:ascii="宋体" w:hAnsi="宋体" w:cs="宋体"/>
          <w:b/>
          <w:bCs/>
          <w:sz w:val="24"/>
          <w:u w:val="single"/>
        </w:rPr>
        <w:t>残疾人福利性单位</w:t>
      </w:r>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
          <w:bCs/>
          <w:sz w:val="24"/>
          <w:u w:val="single"/>
        </w:rPr>
        <w:t>（标的名称）</w:t>
      </w:r>
      <w:r>
        <w:rPr>
          <w:rFonts w:hint="eastAsia" w:ascii="宋体" w:hAnsi="宋体" w:cs="宋体"/>
          <w:sz w:val="24"/>
        </w:rPr>
        <w:t>，承接企业为</w:t>
      </w:r>
      <w:r>
        <w:rPr>
          <w:rFonts w:hint="eastAsia" w:ascii="宋体" w:hAnsi="宋体" w:cs="宋体"/>
          <w:b/>
          <w:bCs/>
          <w:sz w:val="24"/>
          <w:u w:val="single"/>
        </w:rPr>
        <w:t>（单位名称）</w:t>
      </w:r>
      <w:r>
        <w:rPr>
          <w:rFonts w:hint="eastAsia" w:ascii="宋体" w:hAnsi="宋体" w:cs="宋体"/>
          <w:sz w:val="24"/>
        </w:rPr>
        <w:t>，属于</w:t>
      </w:r>
      <w:r>
        <w:rPr>
          <w:rFonts w:hint="eastAsia" w:ascii="宋体" w:hAnsi="宋体" w:cs="宋体"/>
          <w:b/>
          <w:bCs/>
          <w:sz w:val="24"/>
          <w:u w:val="single"/>
        </w:rPr>
        <w:t>残疾人福利性单位</w:t>
      </w:r>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hint="eastAsia" w:ascii="宋体" w:hAnsi="宋体" w:cs="宋体"/>
          <w:sz w:val="24"/>
        </w:rPr>
      </w:pPr>
    </w:p>
    <w:p>
      <w:pPr>
        <w:spacing w:after="78" w:afterLines="25"/>
        <w:ind w:firstLine="482" w:firstLineChars="200"/>
        <w:rPr>
          <w:rFonts w:hint="eastAsia" w:ascii="宋体" w:hAnsi="宋体" w:cs="宋体"/>
          <w:color w:val="FF0000"/>
          <w:sz w:val="24"/>
        </w:rPr>
      </w:pPr>
      <w:r>
        <w:rPr>
          <w:rFonts w:hint="eastAsia" w:ascii="宋体" w:hAnsi="宋体" w:cs="宋体"/>
          <w:b/>
          <w:color w:val="FF0000"/>
          <w:sz w:val="24"/>
        </w:rPr>
        <w:t>说明：</w:t>
      </w:r>
      <w:r>
        <w:rPr>
          <w:rFonts w:hint="eastAsia" w:ascii="宋体" w:hAnsi="宋体" w:cs="宋体"/>
          <w:color w:val="FF0000"/>
          <w:sz w:val="24"/>
        </w:rPr>
        <w:t>根据财库〔2017〕141号文件的规定，享受政府采购支持政策的残疾人福利性单位应当同时满足以下条件：</w:t>
      </w:r>
    </w:p>
    <w:p>
      <w:pPr>
        <w:spacing w:after="78" w:afterLines="25"/>
        <w:ind w:firstLine="480" w:firstLineChars="200"/>
        <w:rPr>
          <w:rFonts w:hint="eastAsia" w:ascii="宋体" w:hAnsi="宋体" w:cs="宋体"/>
          <w:color w:val="FF0000"/>
          <w:sz w:val="24"/>
        </w:rPr>
      </w:pPr>
      <w:r>
        <w:rPr>
          <w:rFonts w:hint="eastAsia" w:ascii="宋体" w:hAnsi="宋体" w:cs="宋体"/>
          <w:color w:val="FF0000"/>
          <w:sz w:val="24"/>
        </w:rPr>
        <w:t>（一）</w:t>
      </w:r>
      <w:r>
        <w:rPr>
          <w:rFonts w:hint="eastAsia" w:ascii="宋体" w:hAnsi="宋体" w:cs="宋体"/>
          <w:b/>
          <w:color w:val="FF0000"/>
          <w:sz w:val="24"/>
        </w:rPr>
        <w:t>安置的残疾人占本单位在职职工人数的比例不低于25%（含25%），并且安置的残疾人人数不少于10人（含10人）</w:t>
      </w:r>
      <w:r>
        <w:rPr>
          <w:rFonts w:hint="eastAsia" w:ascii="宋体" w:hAnsi="宋体" w:cs="宋体"/>
          <w:color w:val="FF0000"/>
          <w:sz w:val="24"/>
        </w:rPr>
        <w:t>；</w:t>
      </w:r>
    </w:p>
    <w:p>
      <w:pPr>
        <w:spacing w:after="78" w:afterLines="25"/>
        <w:ind w:firstLine="480" w:firstLineChars="200"/>
        <w:rPr>
          <w:rFonts w:hint="eastAsia" w:ascii="宋体" w:hAnsi="宋体" w:cs="宋体"/>
          <w:color w:val="FF0000"/>
          <w:sz w:val="24"/>
        </w:rPr>
      </w:pPr>
      <w:r>
        <w:rPr>
          <w:rFonts w:hint="eastAsia" w:ascii="宋体" w:hAnsi="宋体" w:cs="宋体"/>
          <w:color w:val="FF0000"/>
          <w:sz w:val="24"/>
        </w:rPr>
        <w:t>（二）依法与安置的每位残疾人签订了一年以上（含一年）的劳动合同或服务协议；</w:t>
      </w:r>
    </w:p>
    <w:p>
      <w:pPr>
        <w:spacing w:after="78" w:afterLines="25"/>
        <w:ind w:firstLine="480" w:firstLineChars="200"/>
        <w:rPr>
          <w:rFonts w:hint="eastAsia" w:ascii="宋体" w:hAnsi="宋体" w:cs="宋体"/>
          <w:color w:val="FF0000"/>
          <w:sz w:val="24"/>
        </w:rPr>
      </w:pPr>
      <w:r>
        <w:rPr>
          <w:rFonts w:hint="eastAsia" w:ascii="宋体" w:hAnsi="宋体" w:cs="宋体"/>
          <w:color w:val="FF0000"/>
          <w:sz w:val="24"/>
        </w:rPr>
        <w:t>（三）为安置的每位残疾人按月足额缴纳了基本养老保险、基本医疗保险、失业保险、工伤保险和生育保险等社会保险费；</w:t>
      </w:r>
    </w:p>
    <w:p>
      <w:pPr>
        <w:spacing w:after="78" w:afterLines="25"/>
        <w:ind w:firstLine="480" w:firstLineChars="200"/>
        <w:rPr>
          <w:rFonts w:hint="eastAsia" w:ascii="宋体" w:hAnsi="宋体" w:cs="宋体"/>
          <w:color w:val="FF0000"/>
          <w:sz w:val="24"/>
        </w:rPr>
      </w:pPr>
      <w:r>
        <w:rPr>
          <w:rFonts w:hint="eastAsia" w:ascii="宋体" w:hAnsi="宋体" w:cs="宋体"/>
          <w:color w:val="FF0000"/>
          <w:sz w:val="24"/>
        </w:rPr>
        <w:t>（四）通过银行等金融机构向安置的每位残疾人，按月支付了不低于单位所在区县适用的经省级人民政府批准的月最低工资标准的工资；</w:t>
      </w:r>
    </w:p>
    <w:p>
      <w:pPr>
        <w:ind w:firstLine="480" w:firstLineChars="200"/>
        <w:rPr>
          <w:rFonts w:hint="eastAsia" w:ascii="宋体" w:hAnsi="宋体" w:cs="宋体"/>
          <w:color w:val="FF0000"/>
          <w:sz w:val="24"/>
        </w:rPr>
      </w:pPr>
      <w:r>
        <w:rPr>
          <w:rFonts w:hint="eastAsia" w:ascii="宋体" w:hAnsi="宋体" w:cs="宋体"/>
          <w:color w:val="FF0000"/>
          <w:sz w:val="24"/>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1"/>
        <w:rPr>
          <w:rFonts w:hint="eastAsia" w:ascii="宋体" w:hAnsi="宋体" w:cs="宋体"/>
        </w:rPr>
      </w:pPr>
    </w:p>
    <w:p>
      <w:pPr>
        <w:ind w:firstLine="480" w:firstLineChars="200"/>
        <w:rPr>
          <w:rFonts w:hint="eastAsia" w:ascii="宋体" w:hAnsi="宋体" w:cs="宋体"/>
          <w:sz w:val="24"/>
        </w:rPr>
      </w:pPr>
    </w:p>
    <w:p>
      <w:pPr>
        <w:ind w:firstLine="480" w:firstLineChars="200"/>
        <w:rPr>
          <w:rFonts w:hint="eastAsia" w:ascii="宋体" w:hAnsi="宋体" w:cs="宋体"/>
          <w:sz w:val="24"/>
        </w:rPr>
      </w:pPr>
    </w:p>
    <w:p>
      <w:pPr>
        <w:jc w:val="center"/>
        <w:outlineLvl w:val="3"/>
        <w:rPr>
          <w:rFonts w:hint="eastAsia" w:ascii="宋体" w:hAnsi="宋体" w:cs="宋体"/>
          <w:b/>
          <w:sz w:val="24"/>
        </w:rPr>
      </w:pPr>
      <w:r>
        <w:rPr>
          <w:rFonts w:hint="eastAsia" w:ascii="宋体" w:hAnsi="宋体" w:cs="宋体"/>
          <w:b/>
          <w:sz w:val="24"/>
        </w:rPr>
        <w:t>3、监狱企业声明函【服务类，监狱企业如需享受优惠政策，还须另行提供省级以上监狱管理局、戒毒管理局（含新疆生产建设兵团）出具的监狱企业证明文件】</w:t>
      </w:r>
    </w:p>
    <w:p>
      <w:pPr>
        <w:ind w:firstLine="480" w:firstLineChars="200"/>
        <w:rPr>
          <w:rFonts w:hint="eastAsia" w:ascii="宋体" w:hAnsi="宋体" w:cs="宋体"/>
          <w:sz w:val="24"/>
        </w:rPr>
      </w:pPr>
      <w:r>
        <w:rPr>
          <w:rFonts w:hint="eastAsia" w:ascii="宋体" w:hAnsi="宋体" w:cs="宋体"/>
          <w:sz w:val="24"/>
        </w:rPr>
        <w:t>本投标人郑重声明，根据《财政部司法部关于政府采购支持监狱企业发展有关问题的通知》（财库〔2014〕68号）的规定，本投标人参加</w:t>
      </w:r>
      <w:r>
        <w:rPr>
          <w:rFonts w:hint="eastAsia" w:ascii="宋体" w:hAnsi="宋体" w:cs="宋体"/>
          <w:b/>
          <w:bCs/>
          <w:sz w:val="24"/>
          <w:u w:val="single"/>
        </w:rPr>
        <w:t>（采购人名称）</w:t>
      </w:r>
      <w:r>
        <w:rPr>
          <w:rFonts w:hint="eastAsia" w:ascii="宋体" w:hAnsi="宋体" w:cs="宋体"/>
          <w:sz w:val="24"/>
        </w:rPr>
        <w:t>的</w:t>
      </w:r>
      <w:r>
        <w:rPr>
          <w:rFonts w:hint="eastAsia" w:ascii="宋体" w:hAnsi="宋体" w:cs="宋体"/>
          <w:b/>
          <w:bCs/>
          <w:sz w:val="24"/>
          <w:u w:val="single"/>
        </w:rPr>
        <w:t>（项目名称</w:t>
      </w:r>
      <w:r>
        <w:rPr>
          <w:rFonts w:hint="eastAsia" w:ascii="宋体" w:hAnsi="宋体" w:cs="宋体"/>
          <w:b/>
          <w:bCs/>
          <w:sz w:val="24"/>
          <w:szCs w:val="28"/>
          <w:u w:val="single"/>
        </w:rPr>
        <w:t>）</w:t>
      </w:r>
      <w:r>
        <w:rPr>
          <w:rFonts w:hint="eastAsia" w:ascii="宋体" w:hAnsi="宋体" w:cs="宋体"/>
          <w:sz w:val="24"/>
        </w:rPr>
        <w:t>采购活动，服务全部由符合政策要求的监狱企业承接。相关监狱企业的具体情况如下：</w:t>
      </w:r>
    </w:p>
    <w:p>
      <w:pPr>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
          <w:bCs/>
          <w:sz w:val="24"/>
          <w:u w:val="single"/>
        </w:rPr>
        <w:t>（标的名称）</w:t>
      </w:r>
      <w:r>
        <w:rPr>
          <w:rFonts w:hint="eastAsia" w:ascii="宋体" w:hAnsi="宋体" w:cs="宋体"/>
          <w:sz w:val="24"/>
        </w:rPr>
        <w:t>，承接单位为</w:t>
      </w:r>
      <w:r>
        <w:rPr>
          <w:rFonts w:hint="eastAsia" w:ascii="宋体" w:hAnsi="宋体" w:cs="宋体"/>
          <w:b/>
          <w:bCs/>
          <w:sz w:val="24"/>
          <w:u w:val="single"/>
        </w:rPr>
        <w:t>（企业名称）</w:t>
      </w:r>
      <w:r>
        <w:rPr>
          <w:rFonts w:hint="eastAsia" w:ascii="宋体" w:hAnsi="宋体" w:cs="宋体"/>
          <w:sz w:val="24"/>
        </w:rPr>
        <w:t>，属于</w:t>
      </w:r>
      <w:r>
        <w:rPr>
          <w:rFonts w:hint="eastAsia" w:ascii="宋体" w:hAnsi="宋体" w:cs="宋体"/>
          <w:b/>
          <w:bCs/>
          <w:sz w:val="24"/>
          <w:u w:val="single"/>
        </w:rPr>
        <w:t>监狱企业</w:t>
      </w:r>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
          <w:bCs/>
          <w:sz w:val="24"/>
          <w:u w:val="single"/>
        </w:rPr>
        <w:t>（标的名称）</w:t>
      </w:r>
      <w:r>
        <w:rPr>
          <w:rFonts w:hint="eastAsia" w:ascii="宋体" w:hAnsi="宋体" w:cs="宋体"/>
          <w:sz w:val="24"/>
        </w:rPr>
        <w:t>，承接单位为</w:t>
      </w:r>
      <w:r>
        <w:rPr>
          <w:rFonts w:hint="eastAsia" w:ascii="宋体" w:hAnsi="宋体" w:cs="宋体"/>
          <w:b/>
          <w:bCs/>
          <w:sz w:val="24"/>
          <w:u w:val="single"/>
        </w:rPr>
        <w:t>（企业名称）</w:t>
      </w:r>
      <w:r>
        <w:rPr>
          <w:rFonts w:hint="eastAsia" w:ascii="宋体" w:hAnsi="宋体" w:cs="宋体"/>
          <w:sz w:val="24"/>
        </w:rPr>
        <w:t>，属于</w:t>
      </w:r>
      <w:r>
        <w:rPr>
          <w:rFonts w:hint="eastAsia" w:ascii="宋体" w:hAnsi="宋体" w:cs="宋体"/>
          <w:b/>
          <w:bCs/>
          <w:sz w:val="24"/>
          <w:u w:val="single"/>
        </w:rPr>
        <w:t>监狱企业</w:t>
      </w:r>
      <w:r>
        <w:rPr>
          <w:rFonts w:hint="eastAsia" w:ascii="宋体" w:hAnsi="宋体" w:cs="宋体"/>
          <w:sz w:val="24"/>
        </w:rPr>
        <w:t>。</w:t>
      </w:r>
    </w:p>
    <w:p>
      <w:pPr>
        <w:ind w:firstLine="480" w:firstLineChars="200"/>
        <w:outlineLvl w:val="3"/>
        <w:rPr>
          <w:rFonts w:hint="eastAsia" w:ascii="宋体" w:hAnsi="宋体" w:cs="宋体"/>
          <w:sz w:val="24"/>
        </w:rPr>
      </w:pPr>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本投标人对上述声明内容的真实性负责。如有虚假，将依法承担相应责任。</w:t>
      </w:r>
    </w:p>
    <w:p>
      <w:pPr>
        <w:ind w:firstLine="480" w:firstLineChars="200"/>
        <w:rPr>
          <w:rFonts w:hint="eastAsia" w:ascii="宋体" w:hAnsi="宋体" w:cs="宋体"/>
          <w:sz w:val="24"/>
        </w:rPr>
      </w:pPr>
      <w:r>
        <w:rPr>
          <w:rFonts w:hint="eastAsia" w:ascii="宋体" w:hAnsi="宋体" w:cs="宋体"/>
          <w:sz w:val="24"/>
        </w:rPr>
        <w:t>附：省级以上监狱管理局、戒毒管理局（含新疆生产建设兵团）出具的监狱企业证明文件。</w:t>
      </w:r>
    </w:p>
    <w:p>
      <w:pPr>
        <w:ind w:left="723" w:hanging="723" w:hangingChars="300"/>
        <w:rPr>
          <w:rFonts w:hint="eastAsia" w:ascii="宋体" w:hAnsi="宋体" w:cs="宋体"/>
          <w:b/>
          <w:sz w:val="24"/>
        </w:rPr>
      </w:pPr>
    </w:p>
    <w:p>
      <w:pPr>
        <w:rPr>
          <w:rFonts w:hint="eastAsia" w:ascii="宋体" w:hAnsi="宋体" w:cs="宋体"/>
          <w:b/>
          <w:sz w:val="24"/>
        </w:rPr>
      </w:pPr>
    </w:p>
    <w:p>
      <w:pPr>
        <w:jc w:val="center"/>
        <w:rPr>
          <w:rFonts w:hint="eastAsia" w:ascii="宋体" w:hAnsi="宋体" w:cs="宋体"/>
          <w:b/>
          <w:bCs/>
          <w:sz w:val="24"/>
          <w:szCs w:val="32"/>
        </w:rPr>
      </w:pPr>
    </w:p>
    <w:p>
      <w:pPr>
        <w:jc w:val="center"/>
        <w:rPr>
          <w:rFonts w:hint="eastAsia" w:ascii="宋体" w:hAnsi="宋体" w:cs="宋体"/>
          <w:b/>
          <w:bCs/>
          <w:sz w:val="24"/>
          <w:szCs w:val="32"/>
        </w:rPr>
      </w:pPr>
    </w:p>
    <w:p>
      <w:pPr>
        <w:jc w:val="center"/>
        <w:rPr>
          <w:rFonts w:hint="eastAsia" w:ascii="宋体" w:hAnsi="宋体" w:cs="宋体"/>
          <w:b/>
          <w:bCs/>
          <w:sz w:val="24"/>
          <w:szCs w:val="32"/>
        </w:rPr>
      </w:pPr>
    </w:p>
    <w:p>
      <w:pPr>
        <w:jc w:val="center"/>
        <w:rPr>
          <w:rFonts w:hint="eastAsia" w:ascii="宋体" w:hAnsi="宋体" w:cs="宋体"/>
          <w:b/>
          <w:bCs/>
          <w:sz w:val="24"/>
          <w:szCs w:val="32"/>
        </w:rPr>
      </w:pPr>
    </w:p>
    <w:p>
      <w:pPr>
        <w:jc w:val="center"/>
        <w:rPr>
          <w:rFonts w:hint="eastAsia" w:ascii="宋体" w:hAnsi="宋体" w:cs="宋体"/>
          <w:b/>
          <w:bCs/>
          <w:sz w:val="24"/>
          <w:szCs w:val="32"/>
        </w:rPr>
      </w:pPr>
    </w:p>
    <w:p>
      <w:pPr>
        <w:jc w:val="center"/>
        <w:rPr>
          <w:rFonts w:hint="eastAsia" w:ascii="宋体" w:hAnsi="宋体" w:cs="宋体"/>
          <w:b/>
          <w:bCs/>
          <w:sz w:val="24"/>
          <w:szCs w:val="32"/>
        </w:rPr>
      </w:pPr>
    </w:p>
    <w:p>
      <w:pPr>
        <w:rPr>
          <w:rFonts w:hint="eastAsia" w:ascii="宋体" w:hAnsi="宋体" w:cs="宋体"/>
          <w:b/>
          <w:bCs/>
          <w:sz w:val="24"/>
          <w:szCs w:val="32"/>
        </w:rPr>
      </w:pPr>
      <w:r>
        <w:rPr>
          <w:rFonts w:hint="eastAsia" w:ascii="宋体" w:hAnsi="宋体" w:cs="宋体"/>
          <w:b/>
          <w:bCs/>
          <w:sz w:val="24"/>
          <w:szCs w:val="32"/>
        </w:rPr>
        <w:br w:type="page"/>
      </w:r>
    </w:p>
    <w:p>
      <w:pPr>
        <w:jc w:val="center"/>
        <w:rPr>
          <w:rFonts w:hint="eastAsia" w:ascii="宋体" w:hAnsi="宋体" w:cs="宋体"/>
          <w:b/>
          <w:bCs/>
          <w:sz w:val="24"/>
          <w:szCs w:val="32"/>
        </w:rPr>
      </w:pPr>
      <w:r>
        <w:rPr>
          <w:rFonts w:hint="eastAsia" w:ascii="宋体" w:hAnsi="宋体" w:cs="宋体"/>
          <w:b/>
          <w:bCs/>
          <w:sz w:val="24"/>
          <w:szCs w:val="32"/>
        </w:rPr>
        <w:t>七、开标一览表</w:t>
      </w:r>
    </w:p>
    <w:bookmarkEnd w:id="14"/>
    <w:bookmarkEnd w:id="15"/>
    <w:bookmarkEnd w:id="16"/>
    <w:bookmarkEnd w:id="17"/>
    <w:p>
      <w:pPr>
        <w:adjustRightInd w:val="0"/>
        <w:snapToGrid w:val="0"/>
        <w:spacing w:line="600" w:lineRule="exact"/>
        <w:ind w:left="-88" w:leftChars="-42" w:firstLine="360" w:firstLineChars="150"/>
        <w:outlineLvl w:val="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pPr>
        <w:adjustRightInd w:val="0"/>
        <w:snapToGrid w:val="0"/>
        <w:spacing w:line="600" w:lineRule="exact"/>
        <w:ind w:left="-88" w:leftChars="-42" w:firstLine="360" w:firstLineChars="150"/>
        <w:outlineLvl w:val="0"/>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tbl>
      <w:tblPr>
        <w:tblStyle w:val="50"/>
        <w:tblW w:w="808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5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448" w:type="dxa"/>
            <w:vMerge w:val="restart"/>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left="88" w:leftChars="42" w:firstLine="570"/>
              <w:outlineLvl w:val="0"/>
              <w:rPr>
                <w:rFonts w:hint="eastAsia" w:ascii="宋体" w:hAnsi="宋体" w:cs="宋体"/>
                <w:b/>
                <w:bCs/>
                <w:sz w:val="24"/>
              </w:rPr>
            </w:pPr>
          </w:p>
          <w:p>
            <w:pPr>
              <w:adjustRightInd w:val="0"/>
              <w:snapToGrid w:val="0"/>
              <w:spacing w:line="600" w:lineRule="exact"/>
              <w:ind w:left="88" w:leftChars="42" w:firstLine="570"/>
              <w:outlineLvl w:val="0"/>
              <w:rPr>
                <w:rFonts w:hint="eastAsia" w:ascii="宋体" w:hAnsi="宋体" w:cs="宋体"/>
                <w:b/>
                <w:bCs/>
                <w:sz w:val="24"/>
              </w:rPr>
            </w:pPr>
            <w:r>
              <w:rPr>
                <w:rFonts w:hint="eastAsia" w:ascii="宋体" w:hAnsi="宋体" w:cs="宋体"/>
                <w:b/>
                <w:bCs/>
                <w:sz w:val="24"/>
              </w:rPr>
              <w:t xml:space="preserve">      </w:t>
            </w:r>
          </w:p>
          <w:p>
            <w:pPr>
              <w:adjustRightInd w:val="0"/>
              <w:snapToGrid w:val="0"/>
              <w:spacing w:line="600" w:lineRule="exact"/>
              <w:ind w:left="88" w:leftChars="42"/>
              <w:outlineLvl w:val="0"/>
              <w:rPr>
                <w:rFonts w:hint="eastAsia" w:ascii="宋体" w:hAnsi="宋体" w:cs="宋体"/>
                <w:b/>
                <w:bCs/>
                <w:sz w:val="24"/>
              </w:rPr>
            </w:pPr>
            <w:r>
              <w:rPr>
                <w:rFonts w:hint="eastAsia" w:ascii="宋体" w:hAnsi="宋体" w:cs="宋体"/>
                <w:b/>
                <w:bCs/>
                <w:sz w:val="24"/>
              </w:rPr>
              <w:t>消杀单价（元/平方米/次）</w:t>
            </w:r>
          </w:p>
          <w:p>
            <w:pPr>
              <w:adjustRightInd w:val="0"/>
              <w:snapToGrid w:val="0"/>
              <w:spacing w:line="600" w:lineRule="exact"/>
              <w:outlineLvl w:val="0"/>
              <w:rPr>
                <w:rFonts w:hint="eastAsia" w:ascii="宋体" w:hAnsi="宋体" w:cs="宋体"/>
                <w:b/>
                <w:bCs/>
                <w:sz w:val="24"/>
              </w:rPr>
            </w:pPr>
          </w:p>
        </w:tc>
        <w:tc>
          <w:tcPr>
            <w:tcW w:w="5632" w:type="dxa"/>
            <w:tcBorders>
              <w:top w:val="single" w:color="auto" w:sz="4" w:space="0"/>
              <w:left w:val="nil"/>
              <w:bottom w:val="single" w:color="auto" w:sz="4" w:space="0"/>
              <w:right w:val="single" w:color="auto" w:sz="4" w:space="0"/>
            </w:tcBorders>
          </w:tcPr>
          <w:p>
            <w:pPr>
              <w:widowControl/>
              <w:spacing w:line="600" w:lineRule="exact"/>
              <w:jc w:val="left"/>
              <w:rPr>
                <w:rFonts w:hint="eastAsia" w:ascii="宋体" w:hAnsi="宋体" w:cs="宋体"/>
                <w:b/>
                <w:bCs/>
                <w:sz w:val="24"/>
              </w:rPr>
            </w:pPr>
          </w:p>
          <w:p>
            <w:pPr>
              <w:adjustRightInd w:val="0"/>
              <w:snapToGrid w:val="0"/>
              <w:spacing w:line="600" w:lineRule="exact"/>
              <w:outlineLvl w:val="0"/>
              <w:rPr>
                <w:rFonts w:hint="eastAsia" w:ascii="宋体" w:hAnsi="宋体" w:cs="宋体"/>
                <w:b/>
                <w:bCs/>
                <w:sz w:val="24"/>
              </w:rPr>
            </w:pPr>
            <w:r>
              <w:rPr>
                <w:rFonts w:hint="eastAsia" w:ascii="宋体" w:hAnsi="宋体" w:cs="宋体"/>
                <w:b/>
                <w:bCs/>
                <w:sz w:val="24"/>
              </w:rPr>
              <w:t xml:space="preserve">人民币（小写）：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sz w:val="24"/>
              </w:rPr>
            </w:pPr>
          </w:p>
        </w:tc>
        <w:tc>
          <w:tcPr>
            <w:tcW w:w="5632" w:type="dxa"/>
            <w:tcBorders>
              <w:top w:val="single" w:color="auto" w:sz="4" w:space="0"/>
              <w:left w:val="nil"/>
              <w:bottom w:val="single" w:color="auto" w:sz="4" w:space="0"/>
              <w:right w:val="single" w:color="auto" w:sz="4" w:space="0"/>
            </w:tcBorders>
          </w:tcPr>
          <w:p>
            <w:pPr>
              <w:adjustRightInd w:val="0"/>
              <w:snapToGrid w:val="0"/>
              <w:spacing w:line="600" w:lineRule="exact"/>
              <w:outlineLvl w:val="0"/>
              <w:rPr>
                <w:rFonts w:hint="eastAsia" w:ascii="宋体" w:hAnsi="宋体" w:cs="宋体"/>
                <w:b/>
                <w:bCs/>
                <w:sz w:val="24"/>
                <w:u w:val="single"/>
              </w:rPr>
            </w:pPr>
          </w:p>
          <w:p>
            <w:pPr>
              <w:adjustRightInd w:val="0"/>
              <w:snapToGrid w:val="0"/>
              <w:spacing w:line="600" w:lineRule="exact"/>
              <w:outlineLvl w:val="0"/>
              <w:rPr>
                <w:rFonts w:hint="eastAsia" w:ascii="宋体" w:hAnsi="宋体" w:cs="宋体"/>
                <w:b/>
                <w:bCs/>
                <w:sz w:val="24"/>
              </w:rPr>
            </w:pPr>
            <w:r>
              <w:rPr>
                <w:rFonts w:hint="eastAsia" w:ascii="宋体" w:hAnsi="宋体" w:cs="宋体"/>
                <w:b/>
                <w:bCs/>
                <w:sz w:val="24"/>
              </w:rPr>
              <w:t>人民币（大写）：</w:t>
            </w:r>
          </w:p>
        </w:tc>
      </w:tr>
    </w:tbl>
    <w:p>
      <w:pPr>
        <w:adjustRightInd w:val="0"/>
        <w:snapToGrid w:val="0"/>
        <w:spacing w:line="600" w:lineRule="exact"/>
        <w:ind w:firstLine="241" w:firstLineChars="100"/>
        <w:rPr>
          <w:rFonts w:hint="eastAsia" w:ascii="宋体" w:hAnsi="宋体" w:cs="宋体"/>
          <w:sz w:val="24"/>
        </w:rPr>
      </w:pPr>
      <w:r>
        <w:rPr>
          <w:rFonts w:hint="eastAsia" w:ascii="宋体" w:hAnsi="宋体" w:cs="宋体"/>
          <w:b/>
          <w:bCs/>
          <w:sz w:val="24"/>
        </w:rPr>
        <w:t>注：</w:t>
      </w:r>
      <w:r>
        <w:rPr>
          <w:rFonts w:hint="eastAsia" w:ascii="宋体" w:hAnsi="宋体" w:cs="宋体"/>
          <w:sz w:val="24"/>
        </w:rPr>
        <w:t>1．所有价格均以人民币计算。</w:t>
      </w:r>
    </w:p>
    <w:p>
      <w:pPr>
        <w:adjustRightInd w:val="0"/>
        <w:snapToGrid w:val="0"/>
        <w:spacing w:line="600" w:lineRule="exact"/>
        <w:ind w:firstLine="720" w:firstLineChars="300"/>
        <w:rPr>
          <w:rFonts w:hint="eastAsia" w:ascii="宋体" w:hAnsi="宋体" w:cs="宋体"/>
          <w:sz w:val="24"/>
        </w:rPr>
      </w:pPr>
      <w:r>
        <w:rPr>
          <w:rFonts w:hint="eastAsia" w:ascii="宋体" w:hAnsi="宋体" w:cs="宋体"/>
          <w:sz w:val="24"/>
        </w:rPr>
        <w:t>2．此表除装订在投标文件中外，还应另附一份单独封装在一个小信封中，作为唱标之用。</w:t>
      </w:r>
    </w:p>
    <w:p>
      <w:pPr>
        <w:adjustRightInd w:val="0"/>
        <w:snapToGrid w:val="0"/>
        <w:spacing w:line="600" w:lineRule="exact"/>
        <w:rPr>
          <w:rFonts w:hint="eastAsia" w:ascii="宋体" w:hAnsi="宋体" w:cs="宋体"/>
          <w:sz w:val="24"/>
        </w:rPr>
      </w:pPr>
      <w:r>
        <w:rPr>
          <w:rFonts w:hint="eastAsia" w:ascii="宋体" w:hAnsi="宋体" w:cs="宋体"/>
          <w:sz w:val="24"/>
        </w:rPr>
        <w:t xml:space="preserve">                           </w:t>
      </w:r>
    </w:p>
    <w:p>
      <w:pPr>
        <w:adjustRightInd w:val="0"/>
        <w:snapToGrid w:val="0"/>
        <w:spacing w:line="600" w:lineRule="exact"/>
        <w:jc w:val="center"/>
        <w:rPr>
          <w:rFonts w:hint="eastAsia" w:ascii="宋体" w:hAnsi="宋体" w:cs="宋体"/>
          <w:sz w:val="24"/>
          <w:u w:val="single"/>
        </w:rPr>
      </w:pPr>
      <w:r>
        <w:rPr>
          <w:rFonts w:hint="eastAsia" w:ascii="宋体" w:hAnsi="宋体" w:cs="宋体"/>
          <w:sz w:val="24"/>
        </w:rPr>
        <w:t xml:space="preserve">             投标人名称（签章）：</w:t>
      </w:r>
      <w:r>
        <w:rPr>
          <w:rFonts w:hint="eastAsia" w:ascii="宋体" w:hAnsi="宋体" w:cs="宋体"/>
          <w:sz w:val="24"/>
          <w:u w:val="single"/>
        </w:rPr>
        <w:t xml:space="preserve">                   </w:t>
      </w:r>
    </w:p>
    <w:p>
      <w:pPr>
        <w:adjustRightInd w:val="0"/>
        <w:snapToGrid w:val="0"/>
        <w:spacing w:line="600" w:lineRule="exact"/>
        <w:ind w:firstLine="3240" w:firstLineChars="1350"/>
        <w:rPr>
          <w:rFonts w:hint="eastAsia" w:ascii="宋体" w:hAnsi="宋体" w:cs="宋体"/>
          <w:sz w:val="24"/>
        </w:rPr>
      </w:pPr>
      <w:r>
        <w:rPr>
          <w:rFonts w:hint="eastAsia" w:ascii="宋体" w:hAnsi="宋体" w:cs="宋体"/>
          <w:sz w:val="24"/>
        </w:rPr>
        <w:t>法定代表人或其授权代表签字：</w:t>
      </w:r>
      <w:r>
        <w:rPr>
          <w:rFonts w:hint="eastAsia" w:ascii="宋体" w:hAnsi="宋体" w:cs="宋体"/>
          <w:sz w:val="24"/>
          <w:u w:val="single"/>
        </w:rPr>
        <w:t xml:space="preserve">                   </w:t>
      </w:r>
    </w:p>
    <w:p>
      <w:pPr>
        <w:adjustRightInd w:val="0"/>
        <w:snapToGrid w:val="0"/>
        <w:spacing w:line="600" w:lineRule="exact"/>
        <w:rPr>
          <w:rFonts w:hint="eastAsia" w:ascii="宋体" w:hAnsi="宋体" w:cs="宋体"/>
          <w:sz w:val="24"/>
        </w:rPr>
      </w:pPr>
    </w:p>
    <w:p>
      <w:pPr>
        <w:adjustRightInd w:val="0"/>
        <w:snapToGrid w:val="0"/>
        <w:spacing w:line="60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exact"/>
        <w:jc w:val="center"/>
        <w:rPr>
          <w:rFonts w:hint="eastAsia" w:ascii="宋体" w:hAnsi="宋体" w:cs="宋体"/>
          <w:b/>
          <w:bCs/>
          <w:sz w:val="32"/>
          <w:szCs w:val="32"/>
        </w:rPr>
      </w:pPr>
    </w:p>
    <w:p>
      <w:pPr>
        <w:pStyle w:val="109"/>
        <w:ind w:left="703" w:leftChars="0" w:hanging="703" w:hangingChars="250"/>
        <w:rPr>
          <w:rFonts w:hint="eastAsia" w:ascii="宋体" w:hAnsi="宋体" w:eastAsia="宋体" w:cs="宋体"/>
          <w:b/>
          <w:bCs/>
          <w:kern w:val="0"/>
          <w:sz w:val="28"/>
          <w:szCs w:val="32"/>
        </w:rPr>
      </w:pPr>
      <w:r>
        <w:rPr>
          <w:rFonts w:hint="eastAsia" w:ascii="宋体" w:hAnsi="宋体" w:eastAsia="宋体" w:cs="宋体"/>
          <w:b/>
          <w:bCs/>
          <w:kern w:val="0"/>
          <w:sz w:val="28"/>
          <w:szCs w:val="32"/>
        </w:rPr>
        <w:t xml:space="preserve">    </w:t>
      </w:r>
    </w:p>
    <w:p>
      <w:pPr>
        <w:jc w:val="center"/>
        <w:outlineLvl w:val="2"/>
        <w:rPr>
          <w:rFonts w:hint="eastAsia" w:ascii="宋体" w:hAnsi="宋体" w:cs="宋体"/>
          <w:b/>
          <w:bCs/>
          <w:kern w:val="0"/>
          <w:sz w:val="28"/>
          <w:szCs w:val="32"/>
        </w:rPr>
        <w:sectPr>
          <w:footerReference r:id="rId3" w:type="default"/>
          <w:pgSz w:w="11906" w:h="16838"/>
          <w:pgMar w:top="1440" w:right="1800" w:bottom="1440" w:left="1800" w:header="851" w:footer="992" w:gutter="0"/>
          <w:cols w:space="720" w:num="1"/>
          <w:docGrid w:type="lines" w:linePitch="312" w:charSpace="0"/>
        </w:sectPr>
      </w:pPr>
    </w:p>
    <w:p>
      <w:pPr>
        <w:pStyle w:val="49"/>
        <w:numPr>
          <w:ilvl w:val="0"/>
          <w:numId w:val="5"/>
        </w:numPr>
        <w:ind w:left="0" w:leftChars="0" w:firstLine="0" w:firstLineChars="0"/>
        <w:jc w:val="center"/>
        <w:rPr>
          <w:rFonts w:hint="eastAsia" w:ascii="宋体" w:hAnsi="宋体" w:cs="宋体"/>
          <w:b/>
          <w:bCs/>
          <w:kern w:val="0"/>
          <w:sz w:val="28"/>
          <w:szCs w:val="32"/>
        </w:rPr>
      </w:pPr>
      <w:r>
        <w:rPr>
          <w:rFonts w:hint="eastAsia" w:ascii="宋体" w:hAnsi="宋体" w:cs="宋体"/>
          <w:b/>
          <w:bCs/>
          <w:kern w:val="0"/>
          <w:sz w:val="28"/>
          <w:szCs w:val="32"/>
        </w:rPr>
        <w:t>分项报价表</w:t>
      </w:r>
    </w:p>
    <w:tbl>
      <w:tblPr>
        <w:tblStyle w:val="51"/>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458"/>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pPr>
            <w:r>
              <w:rPr>
                <w:rFonts w:hint="eastAsia"/>
              </w:rPr>
              <w:t>序号</w:t>
            </w:r>
          </w:p>
        </w:tc>
        <w:tc>
          <w:tcPr>
            <w:tcW w:w="3458" w:type="dxa"/>
          </w:tcPr>
          <w:p>
            <w:pPr>
              <w:jc w:val="center"/>
            </w:pPr>
            <w:r>
              <w:rPr>
                <w:rFonts w:hint="eastAsia"/>
              </w:rPr>
              <w:t>内容</w:t>
            </w:r>
          </w:p>
        </w:tc>
        <w:tc>
          <w:tcPr>
            <w:tcW w:w="3516" w:type="dxa"/>
          </w:tcPr>
          <w:p>
            <w:pPr>
              <w:jc w:val="center"/>
            </w:pPr>
            <w:r>
              <w:rPr>
                <w:rFonts w:hint="eastAsia"/>
              </w:rPr>
              <w:t>单价</w:t>
            </w:r>
            <w:r>
              <w:rPr>
                <w:rFonts w:hint="eastAsia" w:cs="宋体"/>
                <w:sz w:val="22"/>
                <w:szCs w:val="22"/>
              </w:rPr>
              <w:t>（元/平方米/次）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pPr>
            <w:r>
              <w:rPr>
                <w:rFonts w:hint="eastAsia"/>
              </w:rPr>
              <w:t>1</w:t>
            </w:r>
          </w:p>
        </w:tc>
        <w:tc>
          <w:tcPr>
            <w:tcW w:w="3458" w:type="dxa"/>
          </w:tcPr>
          <w:p>
            <w:pPr>
              <w:jc w:val="center"/>
              <w:rPr>
                <w:rFonts w:hint="eastAsia" w:eastAsia="宋体"/>
                <w:lang w:eastAsia="zh-CN"/>
              </w:rPr>
            </w:pPr>
            <w:r>
              <w:rPr>
                <w:rFonts w:hint="eastAsia"/>
                <w:lang w:eastAsia="zh-CN"/>
              </w:rPr>
              <w:t>2026年度盐田区国有储备地除“四害”消杀服务</w:t>
            </w:r>
          </w:p>
        </w:tc>
        <w:tc>
          <w:tcPr>
            <w:tcW w:w="3516" w:type="dxa"/>
          </w:tcPr>
          <w:p>
            <w:pPr>
              <w:jc w:val="center"/>
            </w:pPr>
          </w:p>
        </w:tc>
      </w:tr>
    </w:tbl>
    <w:p/>
    <w:p>
      <w:pPr>
        <w:rPr>
          <w:rFonts w:hint="eastAsia" w:ascii="宋体" w:hAnsi="宋体" w:cs="宋体"/>
        </w:rPr>
      </w:pPr>
    </w:p>
    <w:p>
      <w:pPr>
        <w:ind w:firstLine="420" w:firstLineChars="200"/>
        <w:rPr>
          <w:rFonts w:hint="eastAsia" w:ascii="宋体" w:hAnsi="宋体" w:cs="宋体"/>
        </w:rPr>
      </w:pPr>
      <w:r>
        <w:rPr>
          <w:rFonts w:hint="eastAsia" w:ascii="宋体" w:hAnsi="宋体" w:cs="宋体"/>
        </w:rPr>
        <w:t>备注：1.分项报价表仅需填报消杀单价，消杀单价不超过0.25元/平方米/次，单价或总价超过控制价的作无效标处理。</w:t>
      </w:r>
    </w:p>
    <w:p>
      <w:pPr>
        <w:ind w:firstLine="420" w:firstLineChars="200"/>
        <w:rPr>
          <w:rFonts w:hint="eastAsia" w:ascii="宋体" w:hAnsi="宋体" w:cs="宋体"/>
        </w:rPr>
      </w:pPr>
      <w:r>
        <w:rPr>
          <w:rFonts w:hint="eastAsia" w:ascii="宋体" w:hAnsi="宋体" w:cs="宋体"/>
        </w:rPr>
        <w:t>2.结算总价=消杀单价*实际消杀数量。</w:t>
      </w:r>
    </w:p>
    <w:p>
      <w:pPr>
        <w:ind w:firstLine="422" w:firstLineChars="200"/>
        <w:rPr>
          <w:rFonts w:hint="eastAsia" w:ascii="宋体" w:hAnsi="宋体" w:cs="宋体"/>
          <w:b/>
          <w:bCs/>
        </w:rPr>
      </w:pPr>
    </w:p>
    <w:p>
      <w:pPr>
        <w:ind w:firstLine="422" w:firstLineChars="200"/>
        <w:rPr>
          <w:rFonts w:hint="eastAsia" w:ascii="宋体" w:hAnsi="宋体" w:cs="宋体"/>
          <w:b/>
          <w:bCs/>
        </w:rPr>
      </w:pPr>
    </w:p>
    <w:p>
      <w:pPr>
        <w:jc w:val="center"/>
        <w:rPr>
          <w:rFonts w:hint="eastAsia" w:ascii="宋体" w:hAnsi="宋体" w:cs="宋体"/>
        </w:rPr>
      </w:pPr>
      <w:r>
        <w:rPr>
          <w:rFonts w:hint="eastAsia" w:ascii="宋体" w:hAnsi="宋体" w:cs="宋体"/>
          <w:b/>
        </w:rPr>
        <w:t>（二）</w:t>
      </w:r>
      <w:bookmarkStart w:id="20" w:name="_Hlk72073235"/>
      <w:r>
        <w:rPr>
          <w:rFonts w:hint="eastAsia" w:ascii="宋体" w:hAnsi="宋体" w:cs="宋体"/>
          <w:b/>
        </w:rPr>
        <w:t>投标人认为需要涉及的其他内容报价清单</w:t>
      </w:r>
      <w:bookmarkEnd w:id="20"/>
      <w:r>
        <w:rPr>
          <w:rFonts w:hint="eastAsia" w:ascii="宋体" w:hAnsi="宋体" w:cs="宋体"/>
          <w:b/>
        </w:rPr>
        <w:t>（格式自拟）</w:t>
      </w:r>
    </w:p>
    <w:p>
      <w:pPr>
        <w:pStyle w:val="49"/>
        <w:ind w:left="0" w:leftChars="0" w:firstLine="0" w:firstLineChars="0"/>
        <w:jc w:val="center"/>
        <w:rPr>
          <w:rFonts w:hint="eastAsia" w:ascii="宋体" w:hAnsi="宋体" w:cs="宋体"/>
          <w:b/>
          <w:bCs/>
          <w:kern w:val="0"/>
          <w:sz w:val="28"/>
          <w:szCs w:val="32"/>
        </w:rPr>
      </w:pPr>
    </w:p>
    <w:p>
      <w:pPr>
        <w:pStyle w:val="49"/>
        <w:ind w:left="0" w:leftChars="0" w:firstLine="0" w:firstLineChars="0"/>
        <w:jc w:val="center"/>
        <w:rPr>
          <w:rFonts w:hint="eastAsia" w:ascii="宋体" w:hAnsi="宋体" w:cs="宋体"/>
          <w:b/>
          <w:bCs/>
          <w:kern w:val="0"/>
          <w:sz w:val="28"/>
          <w:szCs w:val="32"/>
        </w:rPr>
      </w:pPr>
    </w:p>
    <w:p>
      <w:pPr>
        <w:rPr>
          <w:rFonts w:hint="eastAsia" w:ascii="宋体" w:hAnsi="宋体" w:cs="宋体"/>
        </w:rPr>
      </w:pPr>
      <w:r>
        <w:rPr>
          <w:rFonts w:hint="eastAsia" w:ascii="宋体" w:hAnsi="宋体" w:cs="宋体"/>
        </w:rPr>
        <w:t xml:space="preserve">            </w:t>
      </w:r>
    </w:p>
    <w:p>
      <w:pPr>
        <w:pStyle w:val="5"/>
        <w:jc w:val="center"/>
        <w:rPr>
          <w:rFonts w:hint="eastAsia" w:cs="宋体"/>
          <w:sz w:val="24"/>
        </w:rPr>
      </w:pPr>
      <w:r>
        <w:rPr>
          <w:rFonts w:hint="eastAsia" w:cs="宋体"/>
          <w:sz w:val="24"/>
        </w:rPr>
        <w:t>九、实质性条款响应情况表</w:t>
      </w:r>
    </w:p>
    <w:tbl>
      <w:tblPr>
        <w:tblStyle w:val="5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rPr>
            </w:pPr>
            <w:bookmarkStart w:id="21" w:name="_Hlk72092651"/>
            <w:r>
              <w:rPr>
                <w:rFonts w:hint="eastAsia" w:ascii="宋体" w:hAnsi="宋体" w:cs="宋体"/>
              </w:rPr>
              <w:t>序号</w:t>
            </w:r>
            <w:bookmarkEnd w:id="21"/>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rPr>
            </w:pPr>
            <w:r>
              <w:rPr>
                <w:rFonts w:hint="eastAsia" w:ascii="宋体" w:hAnsi="宋体" w:cs="宋体"/>
              </w:rPr>
              <w:t>实质性条款具体内容</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rPr>
            </w:pPr>
            <w:r>
              <w:rPr>
                <w:rFonts w:hint="eastAsia" w:ascii="宋体" w:hAnsi="宋体" w:cs="宋体"/>
              </w:rPr>
              <w:t>投标响应</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rPr>
            </w:pPr>
            <w:r>
              <w:rPr>
                <w:rFonts w:hint="eastAsia" w:ascii="宋体" w:hAnsi="宋体" w:cs="宋体"/>
              </w:rPr>
              <w:t>偏离情况</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rPr>
            </w:pPr>
            <w:r>
              <w:rPr>
                <w:rFonts w:hint="eastAsia" w:ascii="宋体" w:hAnsi="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r>
              <w:rPr>
                <w:rFonts w:hint="eastAsia" w:ascii="宋体" w:hAnsi="宋体" w:cs="宋体"/>
              </w:rPr>
              <w:t>1</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rPr>
            </w:pPr>
            <w:r>
              <w:rPr>
                <w:rFonts w:hint="eastAsia" w:ascii="宋体" w:hAnsi="宋体" w:cs="宋体"/>
              </w:rPr>
              <w:t>（填写相关内容）</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r>
              <w:rPr>
                <w:rFonts w:hint="eastAsia" w:ascii="宋体" w:hAnsi="宋体" w:cs="宋体"/>
              </w:rPr>
              <w:t>2</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rPr>
            </w:pPr>
            <w:r>
              <w:rPr>
                <w:rFonts w:hint="eastAsia" w:ascii="宋体" w:hAnsi="宋体" w:cs="宋体"/>
              </w:rPr>
              <w:t>（填写相关内容）</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r>
              <w:rPr>
                <w:rFonts w:hint="eastAsia" w:ascii="宋体" w:hAnsi="宋体" w:cs="宋体"/>
              </w:rPr>
              <w:t>3</w:t>
            </w:r>
          </w:p>
        </w:tc>
        <w:tc>
          <w:tcPr>
            <w:tcW w:w="26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rPr>
            </w:pPr>
            <w:r>
              <w:rPr>
                <w:rFonts w:hint="eastAsia" w:ascii="宋体" w:hAnsi="宋体" w:cs="宋体"/>
              </w:rPr>
              <w:t>…………</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rPr>
            </w:pPr>
          </w:p>
        </w:tc>
      </w:tr>
    </w:tbl>
    <w:p>
      <w:pPr>
        <w:ind w:firstLine="422" w:firstLineChars="200"/>
        <w:rPr>
          <w:rFonts w:hint="eastAsia" w:ascii="宋体" w:hAnsi="宋体" w:cs="宋体"/>
          <w:b/>
          <w:sz w:val="24"/>
        </w:rPr>
      </w:pPr>
      <w:r>
        <w:rPr>
          <w:rFonts w:hint="eastAsia" w:ascii="宋体" w:hAnsi="宋体" w:cs="宋体"/>
          <w:b/>
        </w:rPr>
        <w:t xml:space="preserve"> </w:t>
      </w:r>
    </w:p>
    <w:p>
      <w:pPr>
        <w:ind w:firstLine="422" w:firstLineChars="200"/>
        <w:rPr>
          <w:rFonts w:hint="eastAsia" w:ascii="宋体" w:hAnsi="宋体" w:cs="宋体"/>
          <w:b/>
        </w:rPr>
      </w:pPr>
      <w:r>
        <w:rPr>
          <w:rFonts w:hint="eastAsia" w:ascii="宋体" w:hAnsi="宋体" w:cs="宋体"/>
          <w:b/>
        </w:rPr>
        <w:t>注：</w:t>
      </w:r>
    </w:p>
    <w:p>
      <w:pPr>
        <w:ind w:firstLine="422" w:firstLineChars="200"/>
        <w:rPr>
          <w:rFonts w:hint="eastAsia" w:ascii="宋体" w:hAnsi="宋体" w:cs="宋体"/>
          <w:b/>
        </w:rPr>
      </w:pPr>
      <w:r>
        <w:rPr>
          <w:rFonts w:hint="eastAsia" w:ascii="宋体" w:hAnsi="宋体" w:cs="宋体"/>
          <w:b/>
        </w:rPr>
        <w:t>1、上表所列各项均为不可负偏离条款。</w:t>
      </w:r>
    </w:p>
    <w:p>
      <w:pPr>
        <w:ind w:firstLine="422" w:firstLineChars="200"/>
        <w:rPr>
          <w:rFonts w:hint="eastAsia" w:ascii="宋体" w:hAnsi="宋体" w:cs="宋体"/>
          <w:b/>
        </w:rPr>
      </w:pPr>
      <w:r>
        <w:rPr>
          <w:rFonts w:hint="eastAsia" w:ascii="宋体" w:hAnsi="宋体" w:cs="宋体"/>
          <w:b/>
        </w:rPr>
        <w:t>2、“投标响应”一栏应当详细填写投标人自身响应情况，而不能不合理照搬照抄招标文件实质性条款具体内容。</w:t>
      </w:r>
    </w:p>
    <w:p>
      <w:pPr>
        <w:ind w:firstLine="422" w:firstLineChars="200"/>
        <w:rPr>
          <w:rFonts w:hint="eastAsia" w:ascii="宋体" w:hAnsi="宋体" w:cs="宋体"/>
          <w:b/>
        </w:rPr>
      </w:pPr>
      <w:r>
        <w:rPr>
          <w:rFonts w:hint="eastAsia" w:ascii="宋体" w:hAnsi="宋体" w:cs="宋体"/>
          <w:b/>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2" w:firstLineChars="200"/>
        <w:rPr>
          <w:rFonts w:hint="eastAsia" w:ascii="宋体" w:hAnsi="宋体" w:cs="宋体"/>
          <w:b/>
        </w:rPr>
      </w:pPr>
      <w:r>
        <w:rPr>
          <w:rFonts w:hint="eastAsia" w:ascii="宋体" w:hAnsi="宋体" w:cs="宋体"/>
          <w:b/>
        </w:rPr>
        <w:t>4、评审委员会有权对投标响应情况作出判断（作出评审结论）。</w:t>
      </w:r>
    </w:p>
    <w:p>
      <w:pPr>
        <w:ind w:firstLine="422" w:firstLineChars="200"/>
        <w:rPr>
          <w:rFonts w:hint="eastAsia" w:ascii="宋体" w:hAnsi="宋体" w:cs="宋体"/>
        </w:rPr>
      </w:pPr>
      <w:r>
        <w:rPr>
          <w:rFonts w:hint="eastAsia" w:ascii="宋体" w:hAnsi="宋体" w:cs="宋体"/>
          <w:b/>
        </w:rPr>
        <w:t>5、实质性响应条款“投标响应情况”与投标文件其它内容冲突的，以实质性响应条款“投标响应情况”为准。</w:t>
      </w:r>
    </w:p>
    <w:p>
      <w:pPr>
        <w:rPr>
          <w:rFonts w:hint="eastAsia" w:ascii="宋体" w:hAnsi="宋体" w:cs="宋体"/>
        </w:rPr>
      </w:pPr>
      <w:r>
        <w:rPr>
          <w:rFonts w:hint="eastAsia" w:ascii="宋体" w:hAnsi="宋体" w:cs="宋体"/>
        </w:rPr>
        <w:t xml:space="preserve"> </w:t>
      </w:r>
      <w:r>
        <w:rPr>
          <w:rFonts w:hint="eastAsia" w:ascii="宋体" w:hAnsi="宋体" w:cs="宋体"/>
        </w:rPr>
        <w:br w:type="page"/>
      </w:r>
    </w:p>
    <w:p>
      <w:pPr>
        <w:ind w:firstLine="482" w:firstLineChars="200"/>
        <w:jc w:val="center"/>
        <w:rPr>
          <w:rFonts w:hint="eastAsia" w:ascii="宋体" w:hAnsi="宋体" w:cs="宋体"/>
          <w:b/>
          <w:bCs/>
          <w:sz w:val="24"/>
          <w:szCs w:val="32"/>
        </w:rPr>
      </w:pPr>
      <w:r>
        <w:rPr>
          <w:rFonts w:hint="eastAsia" w:ascii="宋体" w:hAnsi="宋体" w:cs="宋体"/>
          <w:b/>
          <w:bCs/>
          <w:sz w:val="24"/>
          <w:szCs w:val="32"/>
        </w:rPr>
        <w:t>十、技术部分（格式自定）</w:t>
      </w:r>
    </w:p>
    <w:p>
      <w:pPr>
        <w:pStyle w:val="2"/>
        <w:rPr>
          <w:rFonts w:hint="eastAsia" w:ascii="宋体" w:hAnsi="宋体" w:cs="宋体"/>
        </w:rPr>
      </w:pPr>
    </w:p>
    <w:p>
      <w:pPr>
        <w:rPr>
          <w:rFonts w:hint="eastAsia" w:ascii="宋体" w:hAnsi="宋体" w:cs="宋体"/>
          <w:b/>
          <w:bCs/>
          <w:sz w:val="28"/>
          <w:szCs w:val="28"/>
        </w:rPr>
      </w:pPr>
      <w:r>
        <w:rPr>
          <w:rFonts w:hint="eastAsia" w:ascii="宋体" w:hAnsi="宋体" w:cs="宋体"/>
          <w:b/>
          <w:bCs/>
          <w:kern w:val="0"/>
          <w:sz w:val="22"/>
        </w:rPr>
        <w:t>评标信息-技术部分要求提供的其他内容：</w:t>
      </w:r>
    </w:p>
    <w:p>
      <w:pPr>
        <w:rPr>
          <w:rFonts w:hint="eastAsia" w:ascii="宋体" w:hAnsi="宋体" w:cs="宋体"/>
        </w:rPr>
      </w:pPr>
    </w:p>
    <w:p>
      <w:pPr>
        <w:pStyle w:val="2"/>
        <w:numPr>
          <w:ilvl w:val="0"/>
          <w:numId w:val="6"/>
        </w:numPr>
        <w:rPr>
          <w:rFonts w:hint="eastAsia" w:ascii="宋体" w:hAnsi="宋体" w:cs="宋体"/>
          <w:b w:val="0"/>
          <w:bCs w:val="0"/>
          <w:color w:val="000000"/>
          <w:kern w:val="0"/>
          <w:lang w:bidi="ar"/>
        </w:rPr>
      </w:pPr>
      <w:r>
        <w:rPr>
          <w:rFonts w:hint="eastAsia" w:ascii="宋体" w:hAnsi="宋体" w:cs="宋体"/>
          <w:b w:val="0"/>
          <w:bCs w:val="0"/>
          <w:color w:val="000000"/>
          <w:kern w:val="0"/>
          <w:lang w:bidi="ar"/>
        </w:rPr>
        <w:t>实施方案</w:t>
      </w:r>
    </w:p>
    <w:p>
      <w:pPr>
        <w:pStyle w:val="2"/>
        <w:numPr>
          <w:ilvl w:val="0"/>
          <w:numId w:val="6"/>
        </w:numPr>
        <w:rPr>
          <w:rFonts w:hint="eastAsia" w:ascii="宋体" w:hAnsi="宋体" w:cs="宋体"/>
          <w:b w:val="0"/>
          <w:bCs w:val="0"/>
          <w:color w:val="000000"/>
          <w:kern w:val="0"/>
          <w:lang w:bidi="ar"/>
        </w:rPr>
      </w:pPr>
      <w:r>
        <w:rPr>
          <w:rFonts w:hint="eastAsia" w:ascii="宋体" w:hAnsi="宋体" w:cs="宋体"/>
          <w:b w:val="0"/>
          <w:bCs w:val="0"/>
          <w:color w:val="000000"/>
          <w:kern w:val="0"/>
          <w:lang w:bidi="ar"/>
        </w:rPr>
        <w:t>项目重点难点分析、应对措施及相关的合理化建议</w:t>
      </w:r>
    </w:p>
    <w:p>
      <w:pPr>
        <w:pStyle w:val="2"/>
        <w:numPr>
          <w:ilvl w:val="0"/>
          <w:numId w:val="6"/>
        </w:numPr>
        <w:rPr>
          <w:rFonts w:hint="eastAsia" w:ascii="宋体" w:hAnsi="宋体" w:cs="宋体"/>
          <w:b w:val="0"/>
          <w:bCs w:val="0"/>
          <w:color w:val="000000"/>
          <w:kern w:val="0"/>
          <w:lang w:bidi="ar"/>
        </w:rPr>
      </w:pPr>
      <w:r>
        <w:rPr>
          <w:rFonts w:hint="eastAsia" w:ascii="宋体" w:hAnsi="宋体" w:cs="宋体"/>
          <w:b w:val="0"/>
          <w:bCs w:val="0"/>
          <w:color w:val="000000"/>
          <w:kern w:val="0"/>
          <w:lang w:bidi="ar"/>
        </w:rPr>
        <w:t>应急方案</w:t>
      </w:r>
    </w:p>
    <w:p>
      <w:pPr>
        <w:pStyle w:val="2"/>
        <w:rPr>
          <w:rFonts w:hint="eastAsia" w:ascii="宋体" w:hAnsi="宋体" w:cs="宋体"/>
          <w:b w:val="0"/>
          <w:bCs w:val="0"/>
          <w:color w:val="000000"/>
          <w:kern w:val="0"/>
          <w:lang w:bidi="ar"/>
        </w:rPr>
      </w:pPr>
      <w:r>
        <w:rPr>
          <w:rFonts w:hint="eastAsia" w:ascii="宋体" w:hAnsi="宋体" w:cs="宋体"/>
          <w:b w:val="0"/>
          <w:bCs w:val="0"/>
          <w:color w:val="000000"/>
          <w:kern w:val="0"/>
          <w:lang w:bidi="ar"/>
        </w:rPr>
        <w:t>4、拟安排的项目人员情况</w:t>
      </w:r>
    </w:p>
    <w:p>
      <w:pPr>
        <w:pStyle w:val="2"/>
        <w:rPr>
          <w:rFonts w:hint="eastAsia" w:ascii="宋体" w:hAnsi="宋体" w:cs="宋体"/>
        </w:rPr>
      </w:pPr>
    </w:p>
    <w:p>
      <w:pPr>
        <w:pStyle w:val="5"/>
        <w:jc w:val="center"/>
        <w:rPr>
          <w:rFonts w:hint="eastAsia" w:cs="宋体"/>
          <w:sz w:val="24"/>
        </w:rPr>
      </w:pPr>
    </w:p>
    <w:p>
      <w:pPr>
        <w:pStyle w:val="5"/>
        <w:jc w:val="center"/>
        <w:rPr>
          <w:rFonts w:hint="eastAsia" w:cs="宋体"/>
          <w:sz w:val="24"/>
        </w:rPr>
      </w:pPr>
    </w:p>
    <w:p>
      <w:pPr>
        <w:pStyle w:val="5"/>
        <w:jc w:val="center"/>
        <w:rPr>
          <w:rFonts w:hint="eastAsia" w:cs="宋体"/>
          <w:spacing w:val="4"/>
        </w:rPr>
      </w:pPr>
      <w:r>
        <w:rPr>
          <w:rFonts w:hint="eastAsia" w:cs="宋体"/>
          <w:sz w:val="24"/>
        </w:rPr>
        <w:t>十一、综合实力部分（格式自定）</w:t>
      </w:r>
    </w:p>
    <w:p>
      <w:pPr>
        <w:rPr>
          <w:rFonts w:hint="eastAsia" w:ascii="宋体" w:hAnsi="宋体" w:cs="宋体"/>
          <w:spacing w:val="4"/>
          <w:u w:val="single"/>
        </w:rPr>
      </w:pPr>
    </w:p>
    <w:p>
      <w:pPr>
        <w:rPr>
          <w:rFonts w:hint="eastAsia" w:ascii="宋体" w:hAnsi="宋体" w:cs="宋体"/>
          <w:b/>
          <w:bCs/>
          <w:kern w:val="0"/>
          <w:sz w:val="22"/>
        </w:rPr>
      </w:pPr>
      <w:r>
        <w:rPr>
          <w:rFonts w:hint="eastAsia" w:ascii="宋体" w:hAnsi="宋体" w:cs="宋体"/>
          <w:b/>
          <w:bCs/>
          <w:kern w:val="0"/>
          <w:sz w:val="22"/>
        </w:rPr>
        <w:t>评标信息-综合实力部分要求提供的其他内容：</w:t>
      </w:r>
    </w:p>
    <w:p>
      <w:pPr>
        <w:rPr>
          <w:rFonts w:hint="eastAsia" w:ascii="宋体" w:hAnsi="宋体" w:cs="宋体"/>
        </w:rPr>
      </w:pPr>
    </w:p>
    <w:p>
      <w:pPr>
        <w:numPr>
          <w:ilvl w:val="0"/>
          <w:numId w:val="7"/>
        </w:numPr>
        <w:spacing w:line="360" w:lineRule="auto"/>
        <w:rPr>
          <w:rFonts w:hint="eastAsia" w:ascii="宋体" w:hAnsi="宋体" w:cs="宋体"/>
          <w:color w:val="000000"/>
          <w:kern w:val="0"/>
          <w:sz w:val="24"/>
          <w:lang w:bidi="ar"/>
        </w:rPr>
      </w:pPr>
      <w:r>
        <w:rPr>
          <w:rFonts w:hint="eastAsia" w:ascii="宋体" w:hAnsi="宋体" w:cs="宋体"/>
          <w:color w:val="000000"/>
          <w:kern w:val="0"/>
          <w:sz w:val="24"/>
          <w:lang w:bidi="ar"/>
        </w:rPr>
        <w:t>同类项目业绩</w:t>
      </w:r>
    </w:p>
    <w:p>
      <w:pPr>
        <w:numPr>
          <w:ilvl w:val="0"/>
          <w:numId w:val="7"/>
        </w:numPr>
        <w:spacing w:line="360" w:lineRule="auto"/>
        <w:rPr>
          <w:rFonts w:hint="eastAsia" w:ascii="宋体" w:hAnsi="宋体" w:cs="宋体"/>
          <w:color w:val="000000"/>
          <w:kern w:val="0"/>
          <w:sz w:val="24"/>
          <w:lang w:bidi="ar"/>
        </w:rPr>
      </w:pPr>
      <w:r>
        <w:rPr>
          <w:rFonts w:hint="eastAsia" w:ascii="宋体" w:hAnsi="宋体" w:cs="宋体"/>
          <w:color w:val="000000"/>
          <w:kern w:val="0"/>
          <w:sz w:val="24"/>
          <w:lang w:bidi="ar"/>
        </w:rPr>
        <w:t>投标人服务能力情况</w:t>
      </w:r>
    </w:p>
    <w:p>
      <w:pPr>
        <w:numPr>
          <w:ilvl w:val="0"/>
          <w:numId w:val="7"/>
        </w:numPr>
        <w:spacing w:line="360" w:lineRule="auto"/>
        <w:rPr>
          <w:rFonts w:hint="eastAsia" w:ascii="宋体" w:hAnsi="宋体" w:cs="宋体"/>
          <w:color w:val="000000"/>
          <w:kern w:val="0"/>
          <w:sz w:val="24"/>
          <w:lang w:bidi="ar"/>
        </w:rPr>
      </w:pPr>
      <w:r>
        <w:rPr>
          <w:rFonts w:hint="eastAsia" w:ascii="宋体" w:hAnsi="宋体" w:cs="宋体"/>
          <w:color w:val="000000"/>
          <w:kern w:val="0"/>
          <w:sz w:val="24"/>
          <w:lang w:bidi="ar"/>
        </w:rPr>
        <w:t>认证情况</w:t>
      </w:r>
    </w:p>
    <w:p>
      <w:pPr>
        <w:pStyle w:val="2"/>
        <w:numPr>
          <w:ilvl w:val="0"/>
          <w:numId w:val="7"/>
        </w:numPr>
        <w:rPr>
          <w:rFonts w:hint="eastAsia" w:ascii="宋体" w:hAnsi="宋体" w:cs="宋体"/>
          <w:b w:val="0"/>
          <w:bCs w:val="0"/>
          <w:color w:val="000000"/>
          <w:kern w:val="0"/>
          <w:lang w:bidi="ar"/>
        </w:rPr>
      </w:pPr>
      <w:r>
        <w:rPr>
          <w:rFonts w:hint="eastAsia" w:ascii="宋体" w:hAnsi="宋体" w:cs="宋体"/>
          <w:b w:val="0"/>
          <w:bCs w:val="0"/>
          <w:color w:val="000000"/>
          <w:kern w:val="0"/>
          <w:lang w:bidi="ar"/>
        </w:rPr>
        <w:t>项目拟投入的车辆及设备情况</w:t>
      </w:r>
    </w:p>
    <w:p>
      <w:pPr>
        <w:spacing w:line="360" w:lineRule="auto"/>
        <w:jc w:val="center"/>
        <w:rPr>
          <w:rFonts w:hint="eastAsia" w:ascii="宋体" w:hAnsi="宋体" w:cs="宋体"/>
          <w:b/>
          <w:bCs/>
          <w:kern w:val="0"/>
          <w:sz w:val="28"/>
          <w:szCs w:val="28"/>
        </w:rPr>
      </w:pPr>
      <w:bookmarkStart w:id="22" w:name="_Toc43264525"/>
    </w:p>
    <w:p>
      <w:pPr>
        <w:spacing w:line="360" w:lineRule="auto"/>
        <w:jc w:val="center"/>
        <w:rPr>
          <w:rFonts w:hint="eastAsia" w:ascii="宋体" w:hAnsi="宋体" w:cs="宋体"/>
          <w:b/>
          <w:bCs/>
          <w:kern w:val="0"/>
          <w:sz w:val="28"/>
          <w:szCs w:val="28"/>
        </w:rPr>
      </w:pPr>
    </w:p>
    <w:p>
      <w:pPr>
        <w:spacing w:line="360" w:lineRule="auto"/>
        <w:jc w:val="center"/>
        <w:rPr>
          <w:rFonts w:hint="eastAsia" w:ascii="宋体" w:hAnsi="宋体" w:cs="宋体"/>
          <w:b/>
          <w:bCs/>
          <w:kern w:val="0"/>
          <w:sz w:val="28"/>
          <w:szCs w:val="28"/>
        </w:rPr>
      </w:pPr>
    </w:p>
    <w:p>
      <w:pPr>
        <w:spacing w:line="360" w:lineRule="auto"/>
        <w:jc w:val="center"/>
        <w:rPr>
          <w:rFonts w:hint="eastAsia" w:ascii="宋体" w:hAnsi="宋体" w:cs="宋体"/>
          <w:b/>
          <w:bCs/>
          <w:kern w:val="0"/>
          <w:sz w:val="28"/>
          <w:szCs w:val="28"/>
        </w:rPr>
      </w:pPr>
    </w:p>
    <w:p>
      <w:pPr>
        <w:spacing w:line="360" w:lineRule="auto"/>
        <w:jc w:val="center"/>
        <w:rPr>
          <w:rFonts w:hint="eastAsia" w:ascii="宋体" w:hAnsi="宋体" w:cs="宋体"/>
          <w:b/>
          <w:bCs/>
          <w:kern w:val="0"/>
          <w:sz w:val="28"/>
          <w:szCs w:val="28"/>
        </w:rPr>
      </w:pPr>
    </w:p>
    <w:p>
      <w:pPr>
        <w:spacing w:line="360" w:lineRule="auto"/>
        <w:jc w:val="center"/>
        <w:rPr>
          <w:rFonts w:hint="eastAsia" w:ascii="宋体" w:hAnsi="宋体" w:cs="宋体"/>
          <w:b/>
          <w:bCs/>
          <w:kern w:val="0"/>
          <w:sz w:val="28"/>
          <w:szCs w:val="28"/>
        </w:rPr>
      </w:pPr>
    </w:p>
    <w:p>
      <w:pPr>
        <w:spacing w:line="360" w:lineRule="auto"/>
        <w:jc w:val="center"/>
        <w:rPr>
          <w:rFonts w:hint="eastAsia" w:ascii="宋体" w:hAnsi="宋体" w:cs="宋体"/>
          <w:b/>
          <w:bCs/>
          <w:kern w:val="0"/>
          <w:sz w:val="28"/>
          <w:szCs w:val="28"/>
        </w:rPr>
      </w:pPr>
    </w:p>
    <w:p>
      <w:pPr>
        <w:spacing w:line="360" w:lineRule="auto"/>
        <w:jc w:val="center"/>
        <w:rPr>
          <w:rFonts w:hint="eastAsia" w:ascii="宋体" w:hAnsi="宋体" w:cs="宋体"/>
          <w:b/>
          <w:bCs/>
          <w:kern w:val="0"/>
          <w:sz w:val="28"/>
          <w:szCs w:val="28"/>
        </w:rPr>
      </w:pPr>
    </w:p>
    <w:bookmarkEnd w:id="22"/>
    <w:p>
      <w:pPr>
        <w:jc w:val="center"/>
        <w:rPr>
          <w:rFonts w:hint="eastAsia" w:ascii="宋体" w:hAnsi="宋体" w:cs="宋体"/>
          <w:b/>
          <w:sz w:val="24"/>
        </w:rPr>
      </w:pPr>
      <w:bookmarkStart w:id="23" w:name="_Toc480754217"/>
      <w:bookmarkStart w:id="24" w:name="_Toc480789488"/>
      <w:bookmarkStart w:id="25" w:name="_Toc275865624"/>
      <w:bookmarkStart w:id="26" w:name="_Toc480756084"/>
      <w:bookmarkStart w:id="27" w:name="_Toc480755938"/>
    </w:p>
    <w:p>
      <w:pPr>
        <w:jc w:val="center"/>
        <w:rPr>
          <w:rFonts w:hint="eastAsia" w:ascii="宋体" w:hAnsi="宋体" w:cs="宋体"/>
          <w:bCs/>
          <w:sz w:val="32"/>
          <w:szCs w:val="32"/>
        </w:rPr>
      </w:pPr>
      <w:r>
        <w:rPr>
          <w:rFonts w:hint="eastAsia" w:ascii="宋体" w:hAnsi="宋体" w:cs="宋体"/>
          <w:b/>
          <w:sz w:val="24"/>
        </w:rPr>
        <w:t>十二、招标代理服务费承诺书</w:t>
      </w:r>
      <w:bookmarkEnd w:id="23"/>
      <w:bookmarkEnd w:id="24"/>
      <w:bookmarkEnd w:id="25"/>
      <w:bookmarkEnd w:id="26"/>
      <w:bookmarkEnd w:id="27"/>
    </w:p>
    <w:p>
      <w:pPr>
        <w:rPr>
          <w:rFonts w:hint="eastAsia" w:ascii="宋体" w:hAnsi="宋体" w:cs="宋体"/>
          <w:b/>
        </w:rPr>
      </w:pPr>
    </w:p>
    <w:p>
      <w:pPr>
        <w:rPr>
          <w:rFonts w:hint="eastAsia" w:ascii="宋体" w:hAnsi="宋体" w:cs="宋体"/>
          <w:b/>
        </w:rPr>
      </w:pPr>
      <w:r>
        <w:rPr>
          <w:rFonts w:hint="eastAsia" w:ascii="宋体" w:hAnsi="宋体" w:cs="宋体"/>
          <w:b/>
          <w:u w:val="single"/>
        </w:rPr>
        <w:t>深圳市广得信工程造价咨询有限公司</w:t>
      </w:r>
      <w:r>
        <w:rPr>
          <w:rFonts w:hint="eastAsia" w:ascii="宋体" w:hAnsi="宋体" w:cs="宋体"/>
          <w:b/>
        </w:rPr>
        <w:t>：</w:t>
      </w:r>
    </w:p>
    <w:p>
      <w:pPr>
        <w:rPr>
          <w:rFonts w:hint="eastAsia" w:ascii="宋体" w:hAnsi="宋体" w:cs="宋体"/>
          <w:b/>
        </w:rPr>
      </w:pPr>
    </w:p>
    <w:p>
      <w:pPr>
        <w:ind w:firstLine="420" w:firstLineChars="200"/>
        <w:rPr>
          <w:rFonts w:hint="eastAsia" w:ascii="宋体" w:hAnsi="宋体" w:cs="宋体"/>
          <w:szCs w:val="21"/>
        </w:rPr>
      </w:pPr>
      <w:r>
        <w:rPr>
          <w:rFonts w:hint="eastAsia" w:ascii="宋体" w:hAnsi="宋体" w:cs="宋体"/>
        </w:rPr>
        <w:t>本公司</w:t>
      </w:r>
      <w:r>
        <w:rPr>
          <w:rFonts w:hint="eastAsia" w:ascii="宋体" w:hAnsi="宋体" w:cs="宋体"/>
          <w:u w:val="single"/>
        </w:rPr>
        <w:t xml:space="preserve">       (投标人名称)      </w:t>
      </w:r>
      <w:r>
        <w:rPr>
          <w:rFonts w:hint="eastAsia" w:ascii="宋体" w:hAnsi="宋体" w:cs="宋体"/>
        </w:rPr>
        <w:t>在参加</w:t>
      </w:r>
      <w:r>
        <w:rPr>
          <w:rFonts w:hint="eastAsia" w:ascii="宋体" w:hAnsi="宋体" w:cs="宋体"/>
          <w:u w:val="single"/>
        </w:rPr>
        <w:t xml:space="preserve"> </w:t>
      </w:r>
      <w:r>
        <w:rPr>
          <w:rFonts w:hint="eastAsia" w:ascii="宋体" w:hAnsi="宋体" w:cs="宋体"/>
          <w:b/>
          <w:u w:val="single"/>
        </w:rPr>
        <w:t xml:space="preserve"> </w:t>
      </w:r>
      <w:r>
        <w:rPr>
          <w:rFonts w:hint="eastAsia" w:ascii="宋体" w:hAnsi="宋体" w:cs="宋体"/>
          <w:u w:val="single"/>
        </w:rPr>
        <w:t xml:space="preserve">（项目名称） </w:t>
      </w:r>
      <w:r>
        <w:rPr>
          <w:rFonts w:hint="eastAsia" w:ascii="宋体" w:hAnsi="宋体" w:cs="宋体"/>
          <w:b/>
          <w:u w:val="single"/>
        </w:rPr>
        <w:t xml:space="preserve"> </w:t>
      </w:r>
      <w:r>
        <w:rPr>
          <w:rFonts w:hint="eastAsia" w:ascii="宋体" w:hAnsi="宋体" w:cs="宋体"/>
        </w:rPr>
        <w:t>(项目编号：</w:t>
      </w:r>
      <w:r>
        <w:rPr>
          <w:rFonts w:hint="eastAsia" w:ascii="宋体" w:hAnsi="宋体" w:cs="宋体"/>
          <w:u w:val="single"/>
        </w:rPr>
        <w:t xml:space="preserve">  （项目编号）  </w:t>
      </w:r>
      <w:r>
        <w:rPr>
          <w:rFonts w:hint="eastAsia" w:ascii="宋体" w:hAnsi="宋体" w:cs="宋体"/>
        </w:rPr>
        <w:t>)的招标中如获中标</w:t>
      </w:r>
      <w:r>
        <w:rPr>
          <w:rFonts w:hint="eastAsia" w:ascii="宋体" w:hAnsi="宋体" w:cs="宋体"/>
          <w:szCs w:val="21"/>
        </w:rPr>
        <w:t>，我公司保证按照招标文件</w:t>
      </w:r>
      <w:r>
        <w:rPr>
          <w:rFonts w:hint="eastAsia" w:ascii="宋体" w:hAnsi="宋体" w:cs="宋体"/>
        </w:rPr>
        <w:t>的</w:t>
      </w:r>
      <w:r>
        <w:rPr>
          <w:rFonts w:hint="eastAsia" w:ascii="宋体" w:hAnsi="宋体" w:cs="宋体"/>
          <w:szCs w:val="21"/>
        </w:rPr>
        <w:t>规定缴纳“招标代理服务费”后，凭领取人身份证复印件并加盖公章领取《中标通知书》。如采用电汇或银行转账，我</w:t>
      </w:r>
      <w:r>
        <w:rPr>
          <w:rFonts w:hint="eastAsia" w:ascii="宋体" w:hAnsi="宋体" w:cs="宋体"/>
        </w:rPr>
        <w:t>公</w:t>
      </w:r>
      <w:r>
        <w:rPr>
          <w:rFonts w:hint="eastAsia" w:ascii="宋体" w:hAnsi="宋体" w:cs="宋体"/>
          <w:szCs w:val="21"/>
        </w:rPr>
        <w:t>司将同时递交招标代理服务费缴费凭证复印件并加盖公章。</w:t>
      </w:r>
    </w:p>
    <w:p>
      <w:pPr>
        <w:ind w:firstLine="420" w:firstLineChars="200"/>
        <w:rPr>
          <w:rFonts w:hint="eastAsia" w:ascii="宋体" w:hAnsi="宋体" w:cs="宋体"/>
        </w:rPr>
      </w:pPr>
      <w:r>
        <w:rPr>
          <w:rFonts w:hint="eastAsia" w:ascii="宋体" w:hAnsi="宋体" w:cs="宋体"/>
        </w:rPr>
        <w:t>如我公司违反上款承诺，愿凭贵公司开出的相关通知，同意（采购代理机构名称）办理支付手续，扣除我公司提交的全部投标保证金，并愿承担由此引起的一切法律责任。</w:t>
      </w:r>
    </w:p>
    <w:p>
      <w:pPr>
        <w:ind w:firstLine="420" w:firstLineChars="200"/>
        <w:rPr>
          <w:rFonts w:hint="eastAsia" w:ascii="宋体" w:hAnsi="宋体" w:cs="宋体"/>
        </w:rPr>
      </w:pPr>
      <w:r>
        <w:rPr>
          <w:rFonts w:hint="eastAsia" w:ascii="宋体" w:hAnsi="宋体" w:cs="宋体"/>
        </w:rPr>
        <w:t>特此承诺!</w:t>
      </w:r>
    </w:p>
    <w:p>
      <w:pPr>
        <w:spacing w:line="520" w:lineRule="exact"/>
        <w:ind w:left="424" w:leftChars="202"/>
        <w:rPr>
          <w:rFonts w:hint="eastAsia" w:ascii="宋体" w:hAnsi="宋体" w:cs="宋体"/>
          <w:u w:val="single"/>
        </w:rPr>
      </w:pPr>
      <w:r>
        <w:rPr>
          <w:rFonts w:hint="eastAsia" w:ascii="宋体" w:hAnsi="宋体" w:cs="宋体"/>
        </w:rPr>
        <w:t>投标人名称(盖公章):</w:t>
      </w:r>
      <w:r>
        <w:rPr>
          <w:rFonts w:hint="eastAsia" w:ascii="宋体" w:hAnsi="宋体" w:cs="宋体"/>
          <w:u w:val="single"/>
        </w:rPr>
        <w:t xml:space="preserve">                                                      </w:t>
      </w:r>
    </w:p>
    <w:p>
      <w:pPr>
        <w:spacing w:line="520" w:lineRule="exact"/>
        <w:ind w:left="424" w:leftChars="202"/>
        <w:rPr>
          <w:rFonts w:hint="eastAsia" w:ascii="宋体" w:hAnsi="宋体" w:cs="宋体"/>
          <w:u w:val="single"/>
        </w:rPr>
      </w:pPr>
      <w:r>
        <w:rPr>
          <w:rFonts w:hint="eastAsia" w:ascii="宋体" w:hAnsi="宋体" w:cs="宋体"/>
        </w:rPr>
        <w:t>投标人地址:</w:t>
      </w:r>
      <w:r>
        <w:rPr>
          <w:rFonts w:hint="eastAsia" w:ascii="宋体" w:hAnsi="宋体" w:cs="宋体"/>
          <w:u w:val="single"/>
        </w:rPr>
        <w:t xml:space="preserve">                                                              </w:t>
      </w:r>
    </w:p>
    <w:p>
      <w:pPr>
        <w:spacing w:line="520" w:lineRule="exact"/>
        <w:ind w:left="424" w:leftChars="202"/>
        <w:rPr>
          <w:rFonts w:hint="eastAsia" w:ascii="宋体" w:hAnsi="宋体" w:cs="宋体"/>
        </w:rPr>
      </w:pPr>
      <w:r>
        <w:rPr>
          <w:rFonts w:hint="eastAsia" w:ascii="宋体" w:hAnsi="宋体" w:cs="宋体"/>
        </w:rPr>
        <w:t>电话:</w:t>
      </w:r>
      <w:r>
        <w:rPr>
          <w:rFonts w:hint="eastAsia" w:ascii="宋体" w:hAnsi="宋体" w:cs="宋体"/>
          <w:u w:val="single"/>
        </w:rPr>
        <w:t xml:space="preserve">                                                                    </w:t>
      </w:r>
    </w:p>
    <w:p>
      <w:pPr>
        <w:spacing w:line="520" w:lineRule="exact"/>
        <w:ind w:left="424" w:leftChars="202"/>
        <w:rPr>
          <w:rFonts w:hint="eastAsia" w:ascii="宋体" w:hAnsi="宋体" w:cs="宋体"/>
        </w:rPr>
      </w:pPr>
      <w:r>
        <w:rPr>
          <w:rFonts w:hint="eastAsia" w:ascii="宋体" w:hAnsi="宋体" w:cs="宋体"/>
        </w:rPr>
        <w:t>传真:</w:t>
      </w:r>
      <w:r>
        <w:rPr>
          <w:rFonts w:hint="eastAsia" w:ascii="宋体" w:hAnsi="宋体" w:cs="宋体"/>
          <w:u w:val="single"/>
        </w:rPr>
        <w:t xml:space="preserve">                                                                    </w:t>
      </w:r>
    </w:p>
    <w:p>
      <w:pPr>
        <w:spacing w:line="520" w:lineRule="exact"/>
        <w:ind w:left="424" w:leftChars="202"/>
        <w:rPr>
          <w:rFonts w:hint="eastAsia" w:ascii="宋体" w:hAnsi="宋体" w:cs="宋体"/>
        </w:rPr>
      </w:pPr>
      <w:r>
        <w:rPr>
          <w:rFonts w:hint="eastAsia" w:ascii="宋体" w:hAnsi="宋体" w:cs="宋体"/>
        </w:rPr>
        <w:t>法定代表人或投标人授权代表（签名或盖章）</w:t>
      </w:r>
      <w:r>
        <w:rPr>
          <w:rFonts w:hint="eastAsia" w:ascii="宋体" w:hAnsi="宋体" w:cs="宋体"/>
          <w:u w:val="single"/>
        </w:rPr>
        <w:t xml:space="preserve">                                 </w:t>
      </w:r>
    </w:p>
    <w:p>
      <w:pPr>
        <w:rPr>
          <w:rFonts w:hint="eastAsia" w:ascii="宋体" w:hAnsi="宋体" w:cs="宋体"/>
          <w:b/>
          <w:szCs w:val="21"/>
        </w:rPr>
      </w:pPr>
    </w:p>
    <w:p>
      <w:pPr>
        <w:jc w:val="center"/>
        <w:rPr>
          <w:rFonts w:hint="eastAsia" w:ascii="宋体" w:hAnsi="宋体" w:cs="宋体"/>
          <w:b/>
          <w:szCs w:val="21"/>
        </w:rPr>
      </w:pPr>
      <w:r>
        <w:rPr>
          <w:rFonts w:hint="eastAsia" w:ascii="宋体" w:hAnsi="宋体" w:cs="宋体"/>
          <w:b/>
          <w:szCs w:val="21"/>
        </w:rPr>
        <w:t>附：缴纳招标代理服务费账号：</w:t>
      </w:r>
    </w:p>
    <w:tbl>
      <w:tblPr>
        <w:tblStyle w:val="5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jc w:val="center"/>
              <w:rPr>
                <w:rFonts w:hint="eastAsia" w:ascii="宋体" w:hAnsi="宋体" w:cs="宋体"/>
                <w:b/>
                <w:szCs w:val="21"/>
              </w:rPr>
            </w:pPr>
            <w:r>
              <w:rPr>
                <w:rFonts w:hint="eastAsia" w:ascii="宋体" w:hAnsi="宋体" w:cs="宋体"/>
                <w:b/>
                <w:szCs w:val="21"/>
              </w:rPr>
              <w:t>收款人名称</w:t>
            </w:r>
          </w:p>
        </w:tc>
        <w:tc>
          <w:tcPr>
            <w:tcW w:w="5579" w:type="dxa"/>
            <w:vAlign w:val="center"/>
          </w:tcPr>
          <w:p>
            <w:pPr>
              <w:jc w:val="center"/>
              <w:rPr>
                <w:rFonts w:hint="eastAsia" w:ascii="宋体" w:hAnsi="宋体" w:cs="宋体"/>
                <w:szCs w:val="21"/>
              </w:rPr>
            </w:pPr>
            <w:r>
              <w:rPr>
                <w:rFonts w:hint="eastAsia" w:ascii="宋体" w:hAnsi="宋体" w:cs="宋体"/>
                <w:b/>
                <w:spacing w:val="-12"/>
                <w:kern w:val="0"/>
                <w:szCs w:val="21"/>
              </w:rPr>
              <w:t>深圳市广得信工程造价咨询有限公司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jc w:val="center"/>
              <w:rPr>
                <w:rFonts w:hint="eastAsia" w:ascii="宋体" w:hAnsi="宋体" w:cs="宋体"/>
                <w:b/>
                <w:szCs w:val="21"/>
              </w:rPr>
            </w:pPr>
            <w:r>
              <w:rPr>
                <w:rFonts w:hint="eastAsia" w:ascii="宋体" w:hAnsi="宋体" w:cs="宋体"/>
                <w:b/>
                <w:szCs w:val="21"/>
              </w:rPr>
              <w:t>开户银行</w:t>
            </w:r>
          </w:p>
        </w:tc>
        <w:tc>
          <w:tcPr>
            <w:tcW w:w="5579" w:type="dxa"/>
            <w:vAlign w:val="center"/>
          </w:tcPr>
          <w:p>
            <w:pPr>
              <w:jc w:val="center"/>
              <w:rPr>
                <w:rFonts w:hint="eastAsia" w:ascii="宋体" w:hAnsi="宋体" w:cs="宋体"/>
                <w:b/>
                <w:szCs w:val="21"/>
              </w:rPr>
            </w:pPr>
            <w:r>
              <w:rPr>
                <w:rFonts w:hint="eastAsia" w:ascii="宋体" w:hAnsi="宋体" w:cs="宋体"/>
                <w:b/>
                <w:kern w:val="0"/>
                <w:szCs w:val="21"/>
              </w:rPr>
              <w:t>工商银行深圳荣德支行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jc w:val="center"/>
              <w:rPr>
                <w:rFonts w:hint="eastAsia" w:ascii="宋体" w:hAnsi="宋体" w:cs="宋体"/>
                <w:b/>
                <w:szCs w:val="21"/>
              </w:rPr>
            </w:pPr>
            <w:r>
              <w:rPr>
                <w:rFonts w:hint="eastAsia" w:ascii="宋体" w:hAnsi="宋体" w:cs="宋体"/>
                <w:b/>
                <w:szCs w:val="21"/>
              </w:rPr>
              <w:t>账    号</w:t>
            </w:r>
          </w:p>
        </w:tc>
        <w:tc>
          <w:tcPr>
            <w:tcW w:w="5579" w:type="dxa"/>
            <w:vAlign w:val="center"/>
          </w:tcPr>
          <w:p>
            <w:pPr>
              <w:jc w:val="center"/>
              <w:rPr>
                <w:rFonts w:hint="eastAsia" w:ascii="宋体" w:hAnsi="宋体" w:cs="宋体"/>
                <w:b/>
                <w:szCs w:val="21"/>
              </w:rPr>
            </w:pPr>
            <w:r>
              <w:rPr>
                <w:rFonts w:hint="eastAsia" w:ascii="宋体" w:hAnsi="宋体" w:cs="宋体"/>
                <w:b/>
                <w:kern w:val="0"/>
                <w:szCs w:val="21"/>
              </w:rPr>
              <w:t>4000025109201798117</w:t>
            </w:r>
          </w:p>
        </w:tc>
      </w:tr>
    </w:tbl>
    <w:p>
      <w:pPr>
        <w:rPr>
          <w:rFonts w:hint="eastAsia" w:ascii="宋体" w:hAnsi="宋体" w:cs="宋体"/>
          <w:bCs/>
          <w:sz w:val="24"/>
        </w:rPr>
      </w:pPr>
    </w:p>
    <w:p>
      <w:pPr>
        <w:pStyle w:val="5"/>
        <w:jc w:val="center"/>
        <w:rPr>
          <w:rFonts w:hint="eastAsia" w:cs="宋体"/>
          <w:b w:val="0"/>
          <w:sz w:val="24"/>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5"/>
        <w:jc w:val="center"/>
        <w:rPr>
          <w:rFonts w:hint="eastAsia" w:cs="宋体"/>
          <w:bCs w:val="0"/>
          <w:sz w:val="24"/>
        </w:rPr>
      </w:pPr>
      <w:r>
        <w:rPr>
          <w:rFonts w:hint="eastAsia" w:cs="宋体"/>
          <w:bCs w:val="0"/>
          <w:sz w:val="24"/>
        </w:rPr>
        <w:t>十三、投标人认为需要加以说明的其他内容（格式自定）</w:t>
      </w:r>
    </w:p>
    <w:p>
      <w:pPr>
        <w:rPr>
          <w:rFonts w:hint="eastAsia" w:ascii="宋体" w:hAnsi="宋体" w:cs="宋体"/>
          <w:kern w:val="0"/>
          <w:sz w:val="24"/>
          <w:szCs w:val="20"/>
        </w:rPr>
      </w:pPr>
    </w:p>
    <w:p>
      <w:pPr>
        <w:pStyle w:val="5"/>
        <w:spacing w:before="120" w:after="120"/>
        <w:jc w:val="center"/>
        <w:rPr>
          <w:rFonts w:hint="eastAsia" w:cs="宋体"/>
          <w:sz w:val="24"/>
          <w:szCs w:val="24"/>
        </w:rPr>
      </w:pPr>
    </w:p>
    <w:p>
      <w:pPr>
        <w:spacing w:line="240" w:lineRule="atLeast"/>
        <w:rPr>
          <w:rFonts w:hint="eastAsia" w:ascii="宋体" w:hAnsi="宋体" w:cs="宋体"/>
          <w:szCs w:val="21"/>
        </w:rPr>
      </w:pPr>
      <w:r>
        <w:rPr>
          <w:rFonts w:hint="eastAsia" w:ascii="宋体" w:hAnsi="宋体" w:cs="宋体"/>
        </w:rPr>
        <w:br w:type="page"/>
      </w:r>
    </w:p>
    <w:p>
      <w:pPr>
        <w:jc w:val="center"/>
        <w:rPr>
          <w:rFonts w:hint="eastAsia" w:ascii="宋体" w:hAnsi="宋体" w:cs="宋体"/>
          <w:b/>
          <w:sz w:val="28"/>
          <w:szCs w:val="28"/>
        </w:rPr>
      </w:pPr>
      <w:bookmarkStart w:id="28" w:name="bt其他资料2"/>
      <w:bookmarkEnd w:id="28"/>
      <w:bookmarkStart w:id="29" w:name="bt投标报价汇总表"/>
      <w:bookmarkEnd w:id="29"/>
      <w:bookmarkStart w:id="30" w:name="bt本工程承诺书"/>
      <w:bookmarkEnd w:id="30"/>
      <w:bookmarkStart w:id="31" w:name="bt合同条款及格式"/>
      <w:bookmarkEnd w:id="31"/>
      <w:bookmarkStart w:id="32" w:name="bt商务标投标文件格式"/>
      <w:bookmarkEnd w:id="32"/>
      <w:bookmarkStart w:id="33" w:name="bt投标文件签署授权委托书"/>
      <w:bookmarkEnd w:id="33"/>
      <w:bookmarkStart w:id="34" w:name="bt技术标投标文件格式"/>
      <w:bookmarkEnd w:id="34"/>
      <w:bookmarkStart w:id="35" w:name="bt投标函"/>
      <w:bookmarkEnd w:id="35"/>
      <w:bookmarkStart w:id="36" w:name="合同格式"/>
      <w:bookmarkEnd w:id="36"/>
      <w:bookmarkStart w:id="37" w:name="page57"/>
      <w:bookmarkEnd w:id="37"/>
      <w:bookmarkStart w:id="38" w:name="bt合同条款"/>
      <w:bookmarkEnd w:id="38"/>
      <w:bookmarkStart w:id="39" w:name="bt投标人情况介绍"/>
      <w:bookmarkEnd w:id="39"/>
      <w:bookmarkStart w:id="40" w:name="bt其他资料由投标人自定"/>
      <w:bookmarkEnd w:id="40"/>
      <w:bookmarkStart w:id="41" w:name="bt开标一览表"/>
      <w:bookmarkEnd w:id="41"/>
      <w:bookmarkStart w:id="42" w:name="bt项目管理班子配备情况"/>
      <w:bookmarkEnd w:id="42"/>
      <w:r>
        <w:rPr>
          <w:rFonts w:hint="eastAsia" w:ascii="宋体" w:hAnsi="宋体" w:cs="宋体"/>
          <w:b/>
          <w:sz w:val="28"/>
          <w:szCs w:val="28"/>
        </w:rPr>
        <w:t>第二册  通用条款</w:t>
      </w:r>
    </w:p>
    <w:p>
      <w:pPr>
        <w:snapToGrid w:val="0"/>
        <w:spacing w:line="360" w:lineRule="auto"/>
        <w:ind w:left="441" w:leftChars="210"/>
        <w:jc w:val="center"/>
        <w:rPr>
          <w:rFonts w:hint="eastAsia" w:ascii="宋体" w:hAnsi="宋体" w:cs="宋体"/>
          <w:b/>
          <w:sz w:val="28"/>
          <w:szCs w:val="28"/>
          <w:lang w:eastAsia="zh-TW"/>
        </w:rPr>
      </w:pPr>
      <w:r>
        <w:rPr>
          <w:rFonts w:hint="eastAsia" w:ascii="宋体" w:hAnsi="宋体" w:cs="宋体"/>
          <w:b/>
          <w:sz w:val="28"/>
          <w:szCs w:val="28"/>
        </w:rPr>
        <w:t>第一章</w:t>
      </w:r>
      <w:r>
        <w:rPr>
          <w:rFonts w:hint="eastAsia" w:ascii="宋体" w:hAnsi="宋体" w:cs="宋体"/>
          <w:b/>
          <w:sz w:val="28"/>
          <w:szCs w:val="28"/>
          <w:lang w:eastAsia="zh-TW"/>
        </w:rPr>
        <w:t>、投标文件的编制</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投标的语言</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rPr>
        <w:t>投标人提交的投标文件以及投标人与招标人及招标代理机构就有关投标的所有来往函电均应使用中文书写。投</w:t>
      </w:r>
      <w:r>
        <w:rPr>
          <w:rFonts w:hint="eastAsia" w:ascii="宋体" w:hAnsi="宋体" w:cs="宋体"/>
          <w:szCs w:val="21"/>
          <w:lang w:eastAsia="zh-TW"/>
        </w:rPr>
        <w:t>标人提交的支持资料</w:t>
      </w:r>
      <w:r>
        <w:rPr>
          <w:rFonts w:hint="eastAsia" w:ascii="宋体" w:hAnsi="宋体" w:cs="宋体"/>
          <w:szCs w:val="21"/>
        </w:rPr>
        <w:t>或印刷的资料</w:t>
      </w:r>
      <w:r>
        <w:rPr>
          <w:rFonts w:hint="eastAsia" w:ascii="宋体" w:hAnsi="宋体" w:cs="宋体"/>
          <w:szCs w:val="21"/>
          <w:lang w:eastAsia="zh-TW"/>
        </w:rPr>
        <w:t>可以用另一种语言</w:t>
      </w:r>
      <w:r>
        <w:rPr>
          <w:rFonts w:hint="eastAsia" w:ascii="宋体" w:hAnsi="宋体" w:cs="宋体"/>
          <w:szCs w:val="21"/>
        </w:rPr>
        <w:t>，</w:t>
      </w:r>
      <w:r>
        <w:rPr>
          <w:rFonts w:hint="eastAsia" w:ascii="宋体" w:hAnsi="宋体" w:cs="宋体"/>
          <w:szCs w:val="21"/>
          <w:lang w:eastAsia="zh-TW"/>
        </w:rPr>
        <w:t>但相应内容应附有中文翻译本</w:t>
      </w:r>
      <w:r>
        <w:rPr>
          <w:rFonts w:hint="eastAsia" w:ascii="宋体" w:hAnsi="宋体" w:cs="宋体"/>
          <w:szCs w:val="21"/>
        </w:rPr>
        <w:t>，由翻译机构盖章或者翻译人员签名，两种语言不一致时以中文翻译本为准</w:t>
      </w:r>
      <w:r>
        <w:rPr>
          <w:rFonts w:hint="eastAsia" w:ascii="宋体" w:hAnsi="宋体" w:cs="宋体"/>
          <w:szCs w:val="21"/>
          <w:lang w:eastAsia="zh-TW"/>
        </w:rPr>
        <w:t>。</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投标文件的编写</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rPr>
        <w:t>投标人应完整</w:t>
      </w:r>
      <w:r>
        <w:rPr>
          <w:rFonts w:hint="eastAsia" w:ascii="宋体" w:hAnsi="宋体" w:cs="宋体"/>
          <w:szCs w:val="21"/>
          <w:lang w:eastAsia="zh-TW"/>
        </w:rPr>
        <w:t>、真实、准确地填写招标文件中提供的投标函、开标一览表(报价表)、投标分项报价表（如适用）以及招标文件中规定的其它所有内容。</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rPr>
        <w:t>投标人对招标文件中多个标段进行投标的</w:t>
      </w:r>
      <w:r>
        <w:rPr>
          <w:rFonts w:hint="eastAsia" w:ascii="宋体" w:hAnsi="宋体" w:cs="宋体"/>
          <w:szCs w:val="21"/>
          <w:lang w:eastAsia="zh-TW"/>
        </w:rPr>
        <w:t>，其投标文件的编制可按每个标段分别装订和封装。</w:t>
      </w:r>
      <w:r>
        <w:rPr>
          <w:rFonts w:hint="eastAsia" w:ascii="宋体" w:hAnsi="宋体" w:cs="宋体"/>
          <w:bCs/>
          <w:szCs w:val="21"/>
        </w:rPr>
        <w:t>投标人对所有投标文件</w:t>
      </w:r>
      <w:r>
        <w:rPr>
          <w:rFonts w:hint="eastAsia" w:ascii="宋体" w:hAnsi="宋体" w:cs="宋体"/>
          <w:szCs w:val="21"/>
        </w:rPr>
        <w:t>采用左侧书本式方式</w:t>
      </w:r>
      <w:r>
        <w:rPr>
          <w:rFonts w:hint="eastAsia" w:ascii="宋体" w:hAnsi="宋体" w:cs="宋体"/>
          <w:bCs/>
          <w:szCs w:val="21"/>
        </w:rPr>
        <w:t>装订，装订应牢固、不易拆散和换页，原则上不得采用活页方式装订。</w:t>
      </w:r>
      <w:r>
        <w:rPr>
          <w:rFonts w:hint="eastAsia" w:ascii="宋体" w:hAnsi="宋体" w:cs="宋体"/>
          <w:szCs w:val="21"/>
          <w:lang w:eastAsia="zh-TW"/>
        </w:rPr>
        <w:t>对未经装订的投标文件可能发生的文件散落或缺损，由此造成的后果</w:t>
      </w:r>
      <w:r>
        <w:rPr>
          <w:rFonts w:hint="eastAsia" w:ascii="宋体" w:hAnsi="宋体" w:cs="宋体"/>
          <w:szCs w:val="21"/>
        </w:rPr>
        <w:t>和</w:t>
      </w:r>
      <w:r>
        <w:rPr>
          <w:rFonts w:hint="eastAsia" w:ascii="宋体" w:hAnsi="宋体" w:cs="宋体"/>
          <w:szCs w:val="21"/>
          <w:lang w:eastAsia="zh-TW"/>
        </w:rPr>
        <w:t>责任由投标人承担</w:t>
      </w:r>
      <w:r>
        <w:rPr>
          <w:rFonts w:hint="eastAsia" w:ascii="宋体" w:hAnsi="宋体" w:cs="宋体"/>
          <w:szCs w:val="21"/>
        </w:rPr>
        <w:t>。</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rPr>
        <w:t>投标人必须对投标文件所提供的全部资料的真实性承担法律责任</w:t>
      </w:r>
      <w:r>
        <w:rPr>
          <w:rFonts w:hint="eastAsia" w:ascii="宋体" w:hAnsi="宋体" w:cs="宋体"/>
          <w:szCs w:val="21"/>
          <w:lang w:eastAsia="zh-TW"/>
        </w:rPr>
        <w:t>，</w:t>
      </w:r>
      <w:r>
        <w:rPr>
          <w:rFonts w:hint="eastAsia" w:ascii="宋体" w:hAnsi="宋体" w:cs="宋体"/>
          <w:szCs w:val="21"/>
        </w:rPr>
        <w:t>并无条件接受招标人及招标代理机构等对其中任何资料进行核实的要求</w:t>
      </w:r>
      <w:r>
        <w:rPr>
          <w:rFonts w:hint="eastAsia" w:ascii="宋体" w:hAnsi="宋体" w:cs="宋体"/>
          <w:szCs w:val="21"/>
          <w:lang w:eastAsia="zh-TW"/>
        </w:rPr>
        <w:t>。</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rPr>
        <w:t>如果因为投标人的投标文件只填写和提供了本招标文件要求的部分内容和附件</w:t>
      </w:r>
      <w:r>
        <w:rPr>
          <w:rFonts w:hint="eastAsia" w:ascii="宋体" w:hAnsi="宋体" w:cs="宋体"/>
          <w:szCs w:val="21"/>
          <w:lang w:eastAsia="zh-TW"/>
        </w:rPr>
        <w:t>，或没有提供招标文件中所要求的全部资料及数据，由此造成的后果和责任由投标人承担。</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投标报价</w:t>
      </w:r>
    </w:p>
    <w:p>
      <w:pPr>
        <w:numPr>
          <w:ilvl w:val="1"/>
          <w:numId w:val="8"/>
        </w:numPr>
        <w:autoSpaceDE w:val="0"/>
        <w:autoSpaceDN w:val="0"/>
        <w:adjustRightInd w:val="0"/>
        <w:snapToGrid w:val="0"/>
        <w:spacing w:line="360" w:lineRule="auto"/>
        <w:rPr>
          <w:rFonts w:hint="eastAsia" w:ascii="宋体" w:hAnsi="宋体" w:cs="宋体"/>
          <w:b/>
          <w:bCs/>
          <w:color w:val="000000"/>
          <w:szCs w:val="21"/>
        </w:rPr>
      </w:pPr>
      <w:r>
        <w:rPr>
          <w:rFonts w:hint="eastAsia" w:ascii="宋体" w:hAnsi="宋体" w:cs="宋体"/>
          <w:color w:val="000000"/>
          <w:szCs w:val="21"/>
          <w:lang w:eastAsia="zh-TW"/>
        </w:rPr>
        <w:t>投标人应按照</w:t>
      </w:r>
      <w:r>
        <w:rPr>
          <w:rFonts w:hint="eastAsia" w:ascii="宋体" w:hAnsi="宋体" w:cs="宋体"/>
          <w:color w:val="000000"/>
          <w:szCs w:val="21"/>
        </w:rPr>
        <w:t>招标文件中</w:t>
      </w:r>
      <w:r>
        <w:rPr>
          <w:rFonts w:hint="eastAsia" w:ascii="宋体" w:hAnsi="宋体" w:cs="宋体"/>
          <w:color w:val="000000"/>
          <w:szCs w:val="21"/>
          <w:lang w:eastAsia="zh-TW"/>
        </w:rPr>
        <w:t>采购项目技术规格、参数及要求规定的内容</w:t>
      </w:r>
      <w:r>
        <w:rPr>
          <w:rFonts w:hint="eastAsia" w:ascii="宋体" w:hAnsi="宋体" w:cs="宋体"/>
          <w:color w:val="000000"/>
          <w:szCs w:val="21"/>
        </w:rPr>
        <w:t>或</w:t>
      </w:r>
      <w:r>
        <w:rPr>
          <w:rFonts w:hint="eastAsia" w:ascii="宋体" w:hAnsi="宋体" w:cs="宋体"/>
          <w:color w:val="000000"/>
          <w:szCs w:val="21"/>
          <w:lang w:eastAsia="zh-TW"/>
        </w:rPr>
        <w:t>采购项目</w:t>
      </w:r>
      <w:r>
        <w:rPr>
          <w:rFonts w:hint="eastAsia" w:ascii="宋体" w:hAnsi="宋体" w:cs="宋体"/>
          <w:color w:val="000000"/>
          <w:szCs w:val="21"/>
        </w:rPr>
        <w:t>服务</w:t>
      </w:r>
      <w:r>
        <w:rPr>
          <w:rFonts w:hint="eastAsia" w:ascii="宋体" w:hAnsi="宋体" w:cs="宋体"/>
          <w:color w:val="000000"/>
          <w:szCs w:val="21"/>
          <w:lang w:eastAsia="zh-TW"/>
        </w:rPr>
        <w:t>要求规定的内容、责任范围进行报价。并按《</w:t>
      </w:r>
      <w:r>
        <w:rPr>
          <w:rFonts w:hint="eastAsia" w:ascii="宋体" w:hAnsi="宋体" w:cs="宋体"/>
          <w:color w:val="000000"/>
          <w:szCs w:val="21"/>
        </w:rPr>
        <w:t>开标一览表（报价表）</w:t>
      </w:r>
      <w:r>
        <w:rPr>
          <w:rFonts w:hint="eastAsia" w:ascii="宋体" w:hAnsi="宋体" w:cs="宋体"/>
          <w:color w:val="000000"/>
          <w:szCs w:val="21"/>
          <w:lang w:eastAsia="zh-TW"/>
        </w:rPr>
        <w:t>》</w:t>
      </w:r>
      <w:r>
        <w:rPr>
          <w:rFonts w:hint="eastAsia" w:ascii="宋体" w:hAnsi="宋体" w:cs="宋体"/>
          <w:color w:val="000000"/>
          <w:szCs w:val="21"/>
        </w:rPr>
        <w:t>及</w:t>
      </w:r>
      <w:r>
        <w:rPr>
          <w:rFonts w:hint="eastAsia" w:ascii="宋体" w:hAnsi="宋体" w:cs="宋体"/>
          <w:color w:val="000000"/>
          <w:szCs w:val="21"/>
          <w:lang w:eastAsia="zh-TW"/>
        </w:rPr>
        <w:t>《投标分项报价表》（如适用）的</w:t>
      </w:r>
      <w:r>
        <w:rPr>
          <w:rFonts w:hint="eastAsia" w:ascii="宋体" w:hAnsi="宋体" w:cs="宋体"/>
          <w:color w:val="000000"/>
          <w:szCs w:val="21"/>
        </w:rPr>
        <w:t>要求</w:t>
      </w:r>
      <w:r>
        <w:rPr>
          <w:rFonts w:hint="eastAsia" w:ascii="宋体" w:hAnsi="宋体" w:cs="宋体"/>
          <w:color w:val="000000"/>
          <w:szCs w:val="21"/>
          <w:lang w:eastAsia="zh-TW"/>
        </w:rPr>
        <w:t>报出总价和分项价格。</w:t>
      </w:r>
      <w:r>
        <w:rPr>
          <w:rFonts w:hint="eastAsia" w:ascii="宋体" w:hAnsi="宋体" w:cs="宋体"/>
          <w:color w:val="000000"/>
          <w:szCs w:val="21"/>
        </w:rPr>
        <w:t>投标人</w:t>
      </w:r>
      <w:r>
        <w:rPr>
          <w:rFonts w:hint="eastAsia" w:ascii="宋体" w:hAnsi="宋体" w:cs="宋体"/>
          <w:color w:val="000000"/>
          <w:szCs w:val="21"/>
          <w:lang w:eastAsia="zh-TW"/>
        </w:rPr>
        <w:t>按</w:t>
      </w:r>
      <w:r>
        <w:rPr>
          <w:rFonts w:hint="eastAsia" w:ascii="宋体" w:hAnsi="宋体" w:cs="宋体"/>
          <w:color w:val="000000"/>
          <w:szCs w:val="21"/>
        </w:rPr>
        <w:t>招标</w:t>
      </w:r>
      <w:r>
        <w:rPr>
          <w:rFonts w:hint="eastAsia" w:ascii="宋体" w:hAnsi="宋体" w:cs="宋体"/>
          <w:color w:val="000000"/>
          <w:szCs w:val="21"/>
          <w:lang w:eastAsia="zh-TW"/>
        </w:rPr>
        <w:t>文件的要求报出全部货物及服务内容所需的所有费用，包括但不限于</w:t>
      </w:r>
      <w:r>
        <w:rPr>
          <w:rFonts w:hint="eastAsia" w:ascii="宋体" w:hAnsi="宋体" w:cs="宋体"/>
          <w:b/>
          <w:color w:val="000000"/>
          <w:szCs w:val="21"/>
        </w:rPr>
        <w:t xml:space="preserve"> 对通用条款的补充内容</w:t>
      </w:r>
      <w:r>
        <w:rPr>
          <w:rFonts w:hint="eastAsia" w:ascii="宋体" w:hAnsi="宋体" w:cs="宋体"/>
          <w:color w:val="000000"/>
          <w:szCs w:val="21"/>
          <w:lang w:eastAsia="zh-TW"/>
        </w:rPr>
        <w:t>中规定的。</w:t>
      </w:r>
    </w:p>
    <w:p>
      <w:pPr>
        <w:numPr>
          <w:ilvl w:val="1"/>
          <w:numId w:val="8"/>
        </w:numPr>
        <w:autoSpaceDE w:val="0"/>
        <w:autoSpaceDN w:val="0"/>
        <w:adjustRightInd w:val="0"/>
        <w:snapToGrid w:val="0"/>
        <w:spacing w:line="360" w:lineRule="auto"/>
        <w:rPr>
          <w:rFonts w:hint="eastAsia" w:ascii="宋体" w:hAnsi="宋体" w:cs="宋体"/>
          <w:color w:val="000000"/>
          <w:szCs w:val="21"/>
        </w:rPr>
      </w:pPr>
      <w:r>
        <w:rPr>
          <w:rFonts w:hint="eastAsia" w:ascii="宋体" w:hAnsi="宋体" w:cs="宋体"/>
          <w:b/>
          <w:color w:val="000000"/>
          <w:szCs w:val="21"/>
        </w:rPr>
        <w:t>（适用货物类项目）</w:t>
      </w:r>
      <w:r>
        <w:rPr>
          <w:rFonts w:hint="eastAsia" w:ascii="宋体" w:hAnsi="宋体" w:cs="宋体"/>
          <w:color w:val="000000"/>
          <w:szCs w:val="21"/>
        </w:rPr>
        <w:t>投标分项报价表内容应包含：</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rPr>
        <w:t>按招标文件的要求全部货物及服务内容所需的所有费用，包括但不限于项目的全部产品价格、服务价格、应向中华人民共和国政府缴纳的增值税和其它税等全部税费、运输、保险、安装、伴随服务、标准附件价、备品备件及专用工具价(如有)、以及履行合同所需的费用、所有风险、责任等其他一切隐含及不可预见的费用。如是提供境外的货物，还应包括货物从境外进口己缴纳或应缴纳的全部关税、增值税和其它税、报货物境外离岸价格、国外运输费、国外运输保险费等费用。投标资料表中对进口环节关税和增值税另有规定的，从其规定。</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rPr>
        <w:t>投标人在中标并签署合同后，服务期限或供货期内出现货物（或服务）的任何遗漏，均由中标人负责，招标人将不再支付任何费用。</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除</w:t>
      </w:r>
      <w:r>
        <w:rPr>
          <w:rFonts w:hint="eastAsia" w:ascii="宋体" w:hAnsi="宋体" w:cs="宋体"/>
          <w:b/>
          <w:szCs w:val="21"/>
        </w:rPr>
        <w:t xml:space="preserve">“第二章 </w:t>
      </w:r>
      <w:r>
        <w:rPr>
          <w:rFonts w:hint="eastAsia" w:ascii="宋体" w:hAnsi="宋体" w:cs="宋体"/>
          <w:b/>
          <w:bCs/>
          <w:kern w:val="0"/>
          <w:szCs w:val="21"/>
        </w:rPr>
        <w:t>对通用条款的补充内容</w:t>
      </w:r>
      <w:r>
        <w:rPr>
          <w:rFonts w:hint="eastAsia" w:ascii="宋体" w:hAnsi="宋体" w:cs="宋体"/>
          <w:b/>
          <w:szCs w:val="21"/>
        </w:rPr>
        <w:t>”</w:t>
      </w:r>
      <w:r>
        <w:rPr>
          <w:rFonts w:hint="eastAsia" w:ascii="宋体" w:hAnsi="宋体" w:cs="宋体"/>
          <w:szCs w:val="21"/>
        </w:rPr>
        <w:t>中另有规定，</w:t>
      </w:r>
      <w:r>
        <w:rPr>
          <w:rFonts w:hint="eastAsia" w:ascii="宋体" w:hAnsi="宋体" w:cs="宋体"/>
          <w:szCs w:val="21"/>
          <w:lang w:eastAsia="zh-TW"/>
        </w:rPr>
        <w:t>投标人所报的投标价在合同执行过程中是固定不变的</w:t>
      </w:r>
      <w:r>
        <w:rPr>
          <w:rFonts w:hint="eastAsia" w:ascii="宋体" w:hAnsi="宋体" w:cs="宋体"/>
          <w:szCs w:val="21"/>
        </w:rPr>
        <w:t>，</w:t>
      </w:r>
      <w:r>
        <w:rPr>
          <w:rFonts w:hint="eastAsia" w:ascii="宋体" w:hAnsi="宋体" w:cs="宋体"/>
          <w:szCs w:val="21"/>
          <w:lang w:eastAsia="zh-TW"/>
        </w:rPr>
        <w:t>不得以任何理由予以变更。任何包含价格调整要求的投标被认为是非实质性响应投标而予以拒绝。</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除</w:t>
      </w:r>
      <w:r>
        <w:rPr>
          <w:rFonts w:hint="eastAsia" w:ascii="宋体" w:hAnsi="宋体" w:cs="宋体"/>
          <w:b/>
          <w:szCs w:val="21"/>
        </w:rPr>
        <w:t>“第二章  对通用条款的补充内容”</w:t>
      </w:r>
      <w:r>
        <w:rPr>
          <w:rFonts w:hint="eastAsia" w:ascii="宋体" w:hAnsi="宋体" w:cs="宋体"/>
          <w:szCs w:val="21"/>
        </w:rPr>
        <w:t>中允许有备选方案外，本次招标不接受选择性报价，否则将被视为无效投标。</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除</w:t>
      </w:r>
      <w:r>
        <w:rPr>
          <w:rFonts w:hint="eastAsia" w:ascii="宋体" w:hAnsi="宋体" w:cs="宋体"/>
          <w:b/>
          <w:szCs w:val="21"/>
        </w:rPr>
        <w:t>“第二章  对通用条款的补充内容”</w:t>
      </w:r>
      <w:r>
        <w:rPr>
          <w:rFonts w:hint="eastAsia" w:ascii="宋体" w:hAnsi="宋体" w:cs="宋体"/>
          <w:szCs w:val="21"/>
        </w:rPr>
        <w:t>另有规定外，本次招标不接受具有附加条件的报价，否则将被视为无效投标。</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投标货币</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如招标文件无特殊规定，投标人所提供的货物和服务均应以人民币报价。</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联合体投标</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rPr>
        <w:t>除非“第一册招标项目需求”中另有规定，不接受联合体投标。如果投标邀请中规定允许联合体投标的，则必须满足：</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以联合</w:t>
      </w:r>
      <w:r>
        <w:rPr>
          <w:rFonts w:hint="eastAsia" w:ascii="宋体" w:hAnsi="宋体" w:cs="宋体"/>
          <w:szCs w:val="21"/>
          <w:lang w:eastAsia="zh-TW"/>
        </w:rPr>
        <w:t>体形</w:t>
      </w:r>
      <w:r>
        <w:rPr>
          <w:rFonts w:hint="eastAsia" w:ascii="宋体" w:hAnsi="宋体" w:cs="宋体"/>
          <w:szCs w:val="21"/>
        </w:rPr>
        <w:t xml:space="preserve">式参加投标的，联合体各方均应当具备承担招标项目的相应能力；国家有关规定或者招标文件对投标人资格条件有规定的，联合体各方均应当具备规定的相应资格条件； </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以联合体形式参加投标的，由同一专业的单位组成的联合体，按照资质等级较低的单位确定资质等级。</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联合体</w:t>
      </w:r>
      <w:r>
        <w:rPr>
          <w:rFonts w:hint="eastAsia" w:ascii="宋体" w:hAnsi="宋体" w:cs="宋体"/>
          <w:szCs w:val="21"/>
          <w:lang w:eastAsia="zh-TW"/>
        </w:rPr>
        <w:t>投标</w:t>
      </w:r>
      <w:r>
        <w:rPr>
          <w:rFonts w:hint="eastAsia" w:ascii="宋体" w:hAnsi="宋体" w:cs="宋体"/>
          <w:szCs w:val="21"/>
        </w:rPr>
        <w:t>的，必须提供各方签订的共同投标协议（联合投标协议书），明确约定各方承担的工作和相应的责任。联合体各方签订共同投标协议（联合投标协议书）后，不得再以自己名义单独在同一项目（或标段）中投标，也不得组成新的联合体参加同一项目（或标段）投标；</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联合体中标的，联合体各方应当共同与招标人签订合同。</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证明投标人合格和资格的文件</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rPr>
        <w:t>投标人应提交证明其有资格参加投标和中标后有能力履行合同的文件，</w:t>
      </w:r>
      <w:r>
        <w:rPr>
          <w:rFonts w:hint="eastAsia" w:ascii="宋体" w:hAnsi="宋体" w:cs="宋体"/>
          <w:szCs w:val="21"/>
          <w:lang w:eastAsia="zh-TW"/>
        </w:rPr>
        <w:t>并作为其投标文件的一部分。如果投标人为联合体</w:t>
      </w:r>
      <w:r>
        <w:rPr>
          <w:rFonts w:hint="eastAsia" w:ascii="宋体" w:hAnsi="宋体" w:cs="宋体"/>
          <w:szCs w:val="21"/>
        </w:rPr>
        <w:t>，</w:t>
      </w:r>
      <w:r>
        <w:rPr>
          <w:rFonts w:hint="eastAsia" w:ascii="宋体" w:hAnsi="宋体" w:cs="宋体"/>
          <w:szCs w:val="21"/>
          <w:lang w:eastAsia="zh-TW"/>
        </w:rPr>
        <w:t>应提交联合体各方的资格证明文件、</w:t>
      </w:r>
      <w:r>
        <w:rPr>
          <w:rFonts w:hint="eastAsia" w:ascii="宋体" w:hAnsi="宋体" w:cs="宋体"/>
          <w:szCs w:val="21"/>
        </w:rPr>
        <w:t>共同投标协议</w:t>
      </w:r>
      <w:r>
        <w:rPr>
          <w:rFonts w:hint="eastAsia" w:ascii="宋体" w:hAnsi="宋体" w:cs="宋体"/>
          <w:szCs w:val="21"/>
          <w:lang w:eastAsia="zh-TW"/>
        </w:rPr>
        <w:t>并注明主体方</w:t>
      </w:r>
      <w:r>
        <w:rPr>
          <w:rFonts w:hint="eastAsia" w:ascii="宋体" w:hAnsi="宋体" w:cs="宋体"/>
          <w:szCs w:val="21"/>
        </w:rPr>
        <w:t>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投标人提交的资格证明文件应证明其</w:t>
      </w:r>
      <w:r>
        <w:rPr>
          <w:rFonts w:hint="eastAsia" w:ascii="宋体" w:hAnsi="宋体" w:cs="宋体"/>
          <w:szCs w:val="21"/>
        </w:rPr>
        <w:t>满足本项目招标文件要求。</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证明货物的合格性和符合招标文件规定的文件</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rPr>
        <w:t>投标人应提交证明文件，</w:t>
      </w:r>
      <w:r>
        <w:rPr>
          <w:rFonts w:hint="eastAsia" w:ascii="宋体" w:hAnsi="宋体" w:cs="宋体"/>
          <w:szCs w:val="21"/>
          <w:lang w:eastAsia="zh-TW"/>
        </w:rPr>
        <w:t>证明其拟供的合同项下的货物和服务的合格性符合招标文件规定。该证明文件作为投标文件的一部分。</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证明货物和服务与招标文件的要求相一致的文件，可以是文字资料、图纸和数据，它包括：</w:t>
      </w:r>
    </w:p>
    <w:p>
      <w:pPr>
        <w:snapToGrid w:val="0"/>
        <w:spacing w:line="360" w:lineRule="auto"/>
        <w:rPr>
          <w:rFonts w:hint="eastAsia" w:ascii="宋体" w:hAnsi="宋体" w:cs="宋体"/>
          <w:szCs w:val="21"/>
        </w:rPr>
      </w:pPr>
      <w:r>
        <w:rPr>
          <w:rFonts w:hint="eastAsia" w:ascii="宋体" w:hAnsi="宋体" w:cs="宋体"/>
          <w:szCs w:val="21"/>
        </w:rPr>
        <w:t>7.2.1.</w:t>
      </w:r>
      <w:r>
        <w:rPr>
          <w:rFonts w:hint="eastAsia" w:ascii="宋体" w:hAnsi="宋体" w:cs="宋体"/>
          <w:szCs w:val="21"/>
          <w:lang w:eastAsia="zh-TW"/>
        </w:rPr>
        <w:t>货物主要技术指标和性能的详细说明</w:t>
      </w:r>
      <w:r>
        <w:rPr>
          <w:rFonts w:hint="eastAsia" w:ascii="宋体" w:hAnsi="宋体" w:cs="宋体"/>
          <w:szCs w:val="21"/>
        </w:rPr>
        <w:t>；</w:t>
      </w:r>
    </w:p>
    <w:p>
      <w:pPr>
        <w:snapToGrid w:val="0"/>
        <w:spacing w:line="360" w:lineRule="auto"/>
        <w:rPr>
          <w:rFonts w:hint="eastAsia" w:ascii="宋体" w:hAnsi="宋体" w:cs="宋体"/>
          <w:szCs w:val="21"/>
        </w:rPr>
      </w:pPr>
      <w:r>
        <w:rPr>
          <w:rFonts w:hint="eastAsia" w:ascii="宋体" w:hAnsi="宋体" w:cs="宋体"/>
          <w:szCs w:val="21"/>
        </w:rPr>
        <w:t>7.2.2.</w:t>
      </w:r>
      <w:r>
        <w:rPr>
          <w:rFonts w:hint="eastAsia" w:ascii="宋体" w:hAnsi="宋体" w:cs="宋体"/>
          <w:szCs w:val="21"/>
          <w:lang w:eastAsia="zh-TW"/>
        </w:rPr>
        <w:t>货物正常使用所必须的备件和专用工具清单</w:t>
      </w:r>
      <w:r>
        <w:rPr>
          <w:rFonts w:hint="eastAsia" w:ascii="宋体" w:hAnsi="宋体" w:cs="宋体"/>
          <w:szCs w:val="21"/>
        </w:rPr>
        <w:t>，</w:t>
      </w:r>
      <w:r>
        <w:rPr>
          <w:rFonts w:hint="eastAsia" w:ascii="宋体" w:hAnsi="宋体" w:cs="宋体"/>
          <w:szCs w:val="21"/>
          <w:lang w:eastAsia="zh-TW"/>
        </w:rPr>
        <w:t>包括备件和专用工具的货源及现行价格</w:t>
      </w:r>
      <w:r>
        <w:rPr>
          <w:rFonts w:hint="eastAsia" w:ascii="宋体" w:hAnsi="宋体" w:cs="宋体"/>
          <w:szCs w:val="21"/>
        </w:rPr>
        <w:t>；</w:t>
      </w:r>
    </w:p>
    <w:p>
      <w:pPr>
        <w:snapToGrid w:val="0"/>
        <w:spacing w:line="360" w:lineRule="auto"/>
        <w:rPr>
          <w:rFonts w:hint="eastAsia" w:ascii="宋体" w:hAnsi="宋体" w:cs="宋体"/>
          <w:szCs w:val="21"/>
        </w:rPr>
      </w:pPr>
      <w:r>
        <w:rPr>
          <w:rFonts w:hint="eastAsia" w:ascii="宋体" w:hAnsi="宋体" w:cs="宋体"/>
          <w:szCs w:val="21"/>
        </w:rPr>
        <w:t>7.2.3.</w:t>
      </w:r>
      <w:r>
        <w:rPr>
          <w:rFonts w:hint="eastAsia" w:ascii="宋体" w:hAnsi="宋体" w:cs="宋体"/>
          <w:szCs w:val="21"/>
          <w:lang w:eastAsia="zh-TW"/>
        </w:rPr>
        <w:t>对照招标文件技术规格，逐条说明所提供货物和服务已对招标文件的技术规格作出了实质性的响应</w:t>
      </w:r>
      <w:r>
        <w:rPr>
          <w:rFonts w:hint="eastAsia" w:ascii="宋体" w:hAnsi="宋体" w:cs="宋体"/>
          <w:szCs w:val="21"/>
        </w:rPr>
        <w:t>，</w:t>
      </w:r>
      <w:r>
        <w:rPr>
          <w:rFonts w:hint="eastAsia" w:ascii="宋体" w:hAnsi="宋体" w:cs="宋体"/>
          <w:szCs w:val="21"/>
          <w:lang w:eastAsia="zh-TW"/>
        </w:rPr>
        <w:t>并申明与技术规格条文的偏差和例外。特别对有具体参数要求的指标</w:t>
      </w:r>
      <w:r>
        <w:rPr>
          <w:rFonts w:hint="eastAsia" w:ascii="宋体" w:hAnsi="宋体" w:cs="宋体"/>
          <w:szCs w:val="21"/>
        </w:rPr>
        <w:t>，</w:t>
      </w:r>
      <w:r>
        <w:rPr>
          <w:rFonts w:hint="eastAsia" w:ascii="宋体" w:hAnsi="宋体" w:cs="宋体"/>
          <w:szCs w:val="21"/>
          <w:lang w:eastAsia="zh-TW"/>
        </w:rPr>
        <w:t>投标人须提供所投设备的具体参数值。投标人在阐述时应注意招标文件的技术规格中指出的工艺、材料和设备的标准，投标人在投标中要实质上满足或超过招标文件的要求。</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投标保证金</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rPr>
        <w:t>投标人应按</w:t>
      </w:r>
      <w:r>
        <w:rPr>
          <w:rFonts w:hint="eastAsia" w:ascii="宋体" w:hAnsi="宋体" w:cs="宋体"/>
          <w:b/>
          <w:szCs w:val="21"/>
        </w:rPr>
        <w:t xml:space="preserve">“第二章 </w:t>
      </w:r>
      <w:r>
        <w:rPr>
          <w:rFonts w:hint="eastAsia" w:ascii="宋体" w:hAnsi="宋体" w:cs="宋体"/>
          <w:b/>
          <w:bCs/>
          <w:kern w:val="0"/>
          <w:szCs w:val="21"/>
        </w:rPr>
        <w:t>对通用条款的补充内容</w:t>
      </w:r>
      <w:r>
        <w:rPr>
          <w:rFonts w:hint="eastAsia" w:ascii="宋体" w:hAnsi="宋体" w:cs="宋体"/>
          <w:b/>
          <w:szCs w:val="21"/>
        </w:rPr>
        <w:t>”</w:t>
      </w:r>
      <w:r>
        <w:rPr>
          <w:rFonts w:hint="eastAsia" w:ascii="宋体" w:hAnsi="宋体" w:cs="宋体"/>
          <w:szCs w:val="21"/>
        </w:rPr>
        <w:t>中规定的金额、期限缴纳</w:t>
      </w:r>
      <w:r>
        <w:rPr>
          <w:rFonts w:hint="eastAsia" w:ascii="宋体" w:hAnsi="宋体" w:cs="宋体"/>
          <w:szCs w:val="21"/>
          <w:lang w:eastAsia="zh-TW"/>
        </w:rPr>
        <w:t>投标保证金</w:t>
      </w:r>
      <w:r>
        <w:rPr>
          <w:rFonts w:hint="eastAsia" w:ascii="宋体" w:hAnsi="宋体" w:cs="宋体"/>
          <w:szCs w:val="21"/>
        </w:rPr>
        <w:t>，</w:t>
      </w:r>
      <w:r>
        <w:rPr>
          <w:rFonts w:hint="eastAsia" w:ascii="宋体" w:hAnsi="宋体" w:cs="宋体"/>
          <w:szCs w:val="21"/>
          <w:lang w:eastAsia="zh-TW"/>
        </w:rPr>
        <w:t>并作为其投标</w:t>
      </w:r>
      <w:r>
        <w:rPr>
          <w:rFonts w:hint="eastAsia" w:ascii="宋体" w:hAnsi="宋体" w:cs="宋体"/>
          <w:szCs w:val="21"/>
        </w:rPr>
        <w:t>文件的组成</w:t>
      </w:r>
      <w:r>
        <w:rPr>
          <w:rFonts w:hint="eastAsia" w:ascii="宋体" w:hAnsi="宋体" w:cs="宋体"/>
          <w:szCs w:val="21"/>
          <w:lang w:eastAsia="zh-TW"/>
        </w:rPr>
        <w:t>部分。</w:t>
      </w:r>
      <w:r>
        <w:rPr>
          <w:rFonts w:hint="eastAsia" w:ascii="宋体" w:hAnsi="宋体" w:cs="宋体"/>
          <w:szCs w:val="21"/>
        </w:rPr>
        <w:t>如联合体投标的，可以由联合体中的一方或者共同提交投标保证金，以一方名义提交投标保证金的，对联合体各方均具有约束力。</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投标人撤回已提交的投标文件，应当在投标截止时间前书面通知招标人或招标代理机构。招标人或招标代理机构已收取投标保证金的，应当自收到投标人书面撤回通知之日起5日内退还。</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在招标人与中标人签订书面合同后 5 日内，</w:t>
      </w:r>
      <w:r>
        <w:rPr>
          <w:rFonts w:hint="eastAsia" w:ascii="宋体" w:hAnsi="宋体" w:cs="宋体"/>
          <w:szCs w:val="21"/>
        </w:rPr>
        <w:t>招标代理机构</w:t>
      </w:r>
      <w:r>
        <w:rPr>
          <w:rFonts w:hint="eastAsia" w:ascii="宋体" w:hAnsi="宋体" w:cs="宋体"/>
          <w:szCs w:val="21"/>
          <w:lang w:eastAsia="zh-TW"/>
        </w:rPr>
        <w:t>将向</w:t>
      </w:r>
      <w:r>
        <w:rPr>
          <w:rFonts w:hint="eastAsia" w:ascii="宋体" w:hAnsi="宋体" w:cs="宋体"/>
          <w:szCs w:val="21"/>
        </w:rPr>
        <w:t>中标人和</w:t>
      </w:r>
      <w:r>
        <w:rPr>
          <w:rFonts w:hint="eastAsia" w:ascii="宋体" w:hAnsi="宋体" w:cs="宋体"/>
          <w:szCs w:val="21"/>
          <w:lang w:eastAsia="zh-TW"/>
        </w:rPr>
        <w:t>未中标的投标人退还投标保证金。</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lang w:eastAsia="zh-TW"/>
        </w:rPr>
        <w:t>下列任一情况发生时</w:t>
      </w:r>
      <w:r>
        <w:rPr>
          <w:rFonts w:hint="eastAsia" w:ascii="宋体" w:hAnsi="宋体" w:cs="宋体"/>
          <w:szCs w:val="21"/>
        </w:rPr>
        <w:t>，</w:t>
      </w:r>
      <w:r>
        <w:rPr>
          <w:rFonts w:hint="eastAsia" w:ascii="宋体" w:hAnsi="宋体" w:cs="宋体"/>
          <w:szCs w:val="21"/>
          <w:lang w:eastAsia="zh-TW"/>
        </w:rPr>
        <w:t>投标保证金将</w:t>
      </w:r>
      <w:r>
        <w:rPr>
          <w:rFonts w:hint="eastAsia" w:ascii="宋体" w:hAnsi="宋体" w:cs="宋体"/>
          <w:szCs w:val="21"/>
        </w:rPr>
        <w:t>不予退还：</w:t>
      </w:r>
    </w:p>
    <w:p>
      <w:pPr>
        <w:snapToGrid w:val="0"/>
        <w:spacing w:line="360" w:lineRule="auto"/>
        <w:rPr>
          <w:rFonts w:hint="eastAsia" w:ascii="宋体" w:hAnsi="宋体" w:cs="宋体"/>
          <w:szCs w:val="21"/>
          <w:lang w:eastAsia="zh-TW"/>
        </w:rPr>
      </w:pPr>
      <w:r>
        <w:rPr>
          <w:rFonts w:hint="eastAsia" w:ascii="宋体" w:hAnsi="宋体" w:cs="宋体"/>
          <w:szCs w:val="21"/>
        </w:rPr>
        <w:t>8.4.1.</w:t>
      </w:r>
      <w:r>
        <w:rPr>
          <w:rFonts w:hint="eastAsia" w:ascii="宋体" w:hAnsi="宋体" w:cs="宋体"/>
          <w:szCs w:val="21"/>
          <w:lang w:eastAsia="zh-TW"/>
        </w:rPr>
        <w:t>投标人在投标截止后撤销投标文件的；</w:t>
      </w:r>
    </w:p>
    <w:p>
      <w:pPr>
        <w:snapToGrid w:val="0"/>
        <w:spacing w:line="360" w:lineRule="auto"/>
        <w:rPr>
          <w:rFonts w:hint="eastAsia" w:ascii="宋体" w:hAnsi="宋体" w:cs="宋体"/>
          <w:szCs w:val="21"/>
          <w:lang w:eastAsia="zh-TW"/>
        </w:rPr>
      </w:pPr>
      <w:r>
        <w:rPr>
          <w:rFonts w:hint="eastAsia" w:ascii="宋体" w:hAnsi="宋体" w:cs="宋体"/>
          <w:szCs w:val="21"/>
        </w:rPr>
        <w:t>8.4.2.中标后中标人放弃中标资格的；</w:t>
      </w:r>
    </w:p>
    <w:p>
      <w:pPr>
        <w:snapToGrid w:val="0"/>
        <w:spacing w:line="360" w:lineRule="auto"/>
        <w:rPr>
          <w:rFonts w:hint="eastAsia" w:ascii="宋体" w:hAnsi="宋体" w:cs="宋体"/>
          <w:szCs w:val="21"/>
          <w:lang w:eastAsia="zh-TW"/>
        </w:rPr>
      </w:pPr>
      <w:r>
        <w:rPr>
          <w:rFonts w:hint="eastAsia" w:ascii="宋体" w:hAnsi="宋体" w:cs="宋体"/>
          <w:szCs w:val="21"/>
        </w:rPr>
        <w:t>8.4.3.中标</w:t>
      </w:r>
      <w:r>
        <w:rPr>
          <w:rFonts w:hint="eastAsia" w:ascii="宋体" w:hAnsi="宋体" w:cs="宋体"/>
          <w:szCs w:val="21"/>
          <w:lang w:eastAsia="zh-TW"/>
        </w:rPr>
        <w:t>人未按招标文件要求递交履约保证金的；</w:t>
      </w:r>
    </w:p>
    <w:p>
      <w:pPr>
        <w:snapToGrid w:val="0"/>
        <w:spacing w:line="360" w:lineRule="auto"/>
        <w:rPr>
          <w:rFonts w:hint="eastAsia" w:ascii="宋体" w:hAnsi="宋体" w:cs="宋体"/>
          <w:szCs w:val="21"/>
          <w:lang w:eastAsia="zh-TW"/>
        </w:rPr>
      </w:pPr>
      <w:r>
        <w:rPr>
          <w:rFonts w:hint="eastAsia" w:ascii="宋体" w:hAnsi="宋体" w:cs="宋体"/>
          <w:szCs w:val="21"/>
        </w:rPr>
        <w:t>8.4.4.投</w:t>
      </w:r>
      <w:r>
        <w:rPr>
          <w:rFonts w:hint="eastAsia" w:ascii="宋体" w:hAnsi="宋体" w:cs="宋体"/>
          <w:szCs w:val="21"/>
          <w:lang w:eastAsia="zh-TW"/>
        </w:rPr>
        <w:t>标人在招标文件中提供虚假材料的；</w:t>
      </w:r>
    </w:p>
    <w:p>
      <w:pPr>
        <w:snapToGrid w:val="0"/>
        <w:spacing w:line="360" w:lineRule="auto"/>
        <w:rPr>
          <w:rFonts w:hint="eastAsia" w:ascii="宋体" w:hAnsi="宋体" w:cs="宋体"/>
          <w:szCs w:val="21"/>
          <w:lang w:eastAsia="zh-TW"/>
        </w:rPr>
      </w:pPr>
      <w:r>
        <w:rPr>
          <w:rFonts w:hint="eastAsia" w:ascii="宋体" w:hAnsi="宋体" w:cs="宋体"/>
          <w:szCs w:val="21"/>
        </w:rPr>
        <w:t>8.4.5.</w:t>
      </w:r>
      <w:r>
        <w:rPr>
          <w:rFonts w:hint="eastAsia" w:ascii="宋体" w:hAnsi="宋体" w:cs="宋体"/>
          <w:szCs w:val="21"/>
          <w:lang w:eastAsia="zh-TW"/>
        </w:rPr>
        <w:t>除因不可抗力或招标文件认可的情形以外，中标人不与招标人签订合同的</w:t>
      </w:r>
      <w:r>
        <w:rPr>
          <w:rFonts w:hint="eastAsia" w:ascii="宋体" w:hAnsi="宋体" w:cs="宋体"/>
          <w:szCs w:val="21"/>
        </w:rPr>
        <w:t>或在签订合同时向招标人提出附加条件的</w:t>
      </w:r>
      <w:r>
        <w:rPr>
          <w:rFonts w:hint="eastAsia" w:ascii="宋体" w:hAnsi="宋体" w:cs="宋体"/>
          <w:szCs w:val="21"/>
          <w:lang w:eastAsia="zh-TW"/>
        </w:rPr>
        <w:t>；</w:t>
      </w:r>
    </w:p>
    <w:p>
      <w:pPr>
        <w:snapToGrid w:val="0"/>
        <w:spacing w:line="360" w:lineRule="auto"/>
        <w:rPr>
          <w:rFonts w:hint="eastAsia" w:ascii="宋体" w:hAnsi="宋体" w:cs="宋体"/>
          <w:szCs w:val="21"/>
          <w:lang w:eastAsia="zh-TW"/>
        </w:rPr>
      </w:pPr>
      <w:r>
        <w:rPr>
          <w:rFonts w:hint="eastAsia" w:ascii="宋体" w:hAnsi="宋体" w:cs="宋体"/>
          <w:szCs w:val="21"/>
        </w:rPr>
        <w:t>8.4.6.属于投标人相互串通投标的情形</w:t>
      </w:r>
      <w:r>
        <w:rPr>
          <w:rFonts w:hint="eastAsia" w:ascii="宋体" w:hAnsi="宋体" w:cs="宋体"/>
          <w:szCs w:val="21"/>
          <w:lang w:eastAsia="zh-TW"/>
        </w:rPr>
        <w:t>；</w:t>
      </w:r>
    </w:p>
    <w:p>
      <w:pPr>
        <w:snapToGrid w:val="0"/>
        <w:spacing w:line="360" w:lineRule="auto"/>
        <w:rPr>
          <w:rFonts w:hint="eastAsia" w:ascii="宋体" w:hAnsi="宋体" w:cs="宋体"/>
          <w:szCs w:val="21"/>
        </w:rPr>
      </w:pPr>
      <w:r>
        <w:rPr>
          <w:rFonts w:hint="eastAsia" w:ascii="宋体" w:hAnsi="宋体" w:cs="宋体"/>
          <w:szCs w:val="21"/>
        </w:rPr>
        <w:t>8.4.7.</w:t>
      </w:r>
      <w:r>
        <w:rPr>
          <w:rFonts w:hint="eastAsia" w:ascii="宋体" w:hAnsi="宋体" w:cs="宋体"/>
          <w:szCs w:val="21"/>
          <w:lang w:eastAsia="zh-TW"/>
        </w:rPr>
        <w:t>中标人未按本须知规定</w:t>
      </w:r>
      <w:r>
        <w:rPr>
          <w:rFonts w:hint="eastAsia" w:ascii="宋体" w:hAnsi="宋体" w:cs="宋体"/>
          <w:szCs w:val="21"/>
        </w:rPr>
        <w:t>缴</w:t>
      </w:r>
      <w:r>
        <w:rPr>
          <w:rFonts w:hint="eastAsia" w:ascii="宋体" w:hAnsi="宋体" w:cs="宋体"/>
          <w:szCs w:val="21"/>
          <w:lang w:eastAsia="zh-TW"/>
        </w:rPr>
        <w:t>纳招标代理服务费。</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投标有效期</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投标应自</w:t>
      </w:r>
      <w:r>
        <w:rPr>
          <w:rFonts w:hint="eastAsia" w:ascii="宋体" w:hAnsi="宋体" w:cs="宋体"/>
          <w:b/>
          <w:szCs w:val="21"/>
        </w:rPr>
        <w:t>“第二章  对通用条款的补充内容”</w:t>
      </w:r>
      <w:r>
        <w:rPr>
          <w:rFonts w:hint="eastAsia" w:ascii="宋体" w:hAnsi="宋体" w:cs="宋体"/>
          <w:szCs w:val="21"/>
          <w:lang w:eastAsia="zh-TW"/>
        </w:rPr>
        <w:t>中规定的</w:t>
      </w:r>
      <w:r>
        <w:rPr>
          <w:rFonts w:hint="eastAsia" w:ascii="宋体" w:hAnsi="宋体" w:cs="宋体"/>
          <w:szCs w:val="21"/>
        </w:rPr>
        <w:t>投标文件递交截止时间</w:t>
      </w:r>
      <w:r>
        <w:rPr>
          <w:rFonts w:hint="eastAsia" w:ascii="宋体" w:hAnsi="宋体" w:cs="宋体"/>
          <w:szCs w:val="21"/>
          <w:lang w:eastAsia="zh-TW"/>
        </w:rPr>
        <w:t>起</w:t>
      </w:r>
      <w:r>
        <w:rPr>
          <w:rFonts w:hint="eastAsia" w:ascii="宋体" w:hAnsi="宋体" w:cs="宋体"/>
          <w:szCs w:val="21"/>
        </w:rPr>
        <w:t>，</w:t>
      </w:r>
      <w:r>
        <w:rPr>
          <w:rFonts w:hint="eastAsia" w:ascii="宋体" w:hAnsi="宋体" w:cs="宋体"/>
          <w:szCs w:val="21"/>
          <w:lang w:eastAsia="zh-TW"/>
        </w:rPr>
        <w:t>并在</w:t>
      </w:r>
      <w:r>
        <w:rPr>
          <w:rFonts w:hint="eastAsia" w:ascii="宋体" w:hAnsi="宋体" w:cs="宋体"/>
          <w:b/>
          <w:szCs w:val="21"/>
        </w:rPr>
        <w:t>“ 对通用条款的补充内容”</w:t>
      </w:r>
      <w:r>
        <w:rPr>
          <w:rFonts w:hint="eastAsia" w:ascii="宋体" w:hAnsi="宋体" w:cs="宋体"/>
          <w:szCs w:val="21"/>
          <w:lang w:eastAsia="zh-TW"/>
        </w:rPr>
        <w:t>中所述期限内保持有效。投标有效期不足的投标将被视为非实质性响应</w:t>
      </w:r>
      <w:r>
        <w:rPr>
          <w:rFonts w:hint="eastAsia" w:ascii="宋体" w:hAnsi="宋体" w:cs="宋体"/>
          <w:szCs w:val="21"/>
        </w:rPr>
        <w:t>，视为投标无效</w:t>
      </w:r>
      <w:r>
        <w:rPr>
          <w:rFonts w:hint="eastAsia" w:ascii="宋体" w:hAnsi="宋体" w:cs="宋体"/>
          <w:szCs w:val="21"/>
          <w:lang w:eastAsia="zh-TW"/>
        </w:rPr>
        <w:t>。</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lang w:eastAsia="zh-TW"/>
        </w:rPr>
        <w:t>特殊情况下</w:t>
      </w:r>
      <w:r>
        <w:rPr>
          <w:rFonts w:hint="eastAsia" w:ascii="宋体" w:hAnsi="宋体" w:cs="宋体"/>
          <w:szCs w:val="21"/>
        </w:rPr>
        <w:t>，</w:t>
      </w:r>
      <w:r>
        <w:rPr>
          <w:rFonts w:hint="eastAsia" w:ascii="宋体" w:hAnsi="宋体" w:cs="宋体"/>
          <w:szCs w:val="21"/>
          <w:lang w:eastAsia="zh-TW"/>
        </w:rPr>
        <w:t>在原投标有效期截止之前</w:t>
      </w:r>
      <w:r>
        <w:rPr>
          <w:rFonts w:hint="eastAsia" w:ascii="宋体" w:hAnsi="宋体" w:cs="宋体"/>
          <w:szCs w:val="21"/>
        </w:rPr>
        <w:t>，</w:t>
      </w:r>
      <w:r>
        <w:rPr>
          <w:rFonts w:hint="eastAsia" w:ascii="宋体" w:hAnsi="宋体" w:cs="宋体"/>
          <w:szCs w:val="21"/>
          <w:lang w:eastAsia="zh-TW"/>
        </w:rPr>
        <w:t>招标代理机构可要求投标人延长投标有效期。这种要求与答复均应以书面形式提交。投标人可拒绝招标代理机构的这种要求</w:t>
      </w:r>
      <w:r>
        <w:rPr>
          <w:rFonts w:hint="eastAsia" w:ascii="宋体" w:hAnsi="宋体" w:cs="宋体"/>
          <w:szCs w:val="21"/>
        </w:rPr>
        <w:t>，</w:t>
      </w:r>
      <w:r>
        <w:rPr>
          <w:rFonts w:hint="eastAsia" w:ascii="宋体" w:hAnsi="宋体" w:cs="宋体"/>
          <w:szCs w:val="21"/>
          <w:lang w:eastAsia="zh-TW"/>
        </w:rPr>
        <w:t>其投标保证金将</w:t>
      </w:r>
      <w:r>
        <w:rPr>
          <w:rFonts w:hint="eastAsia" w:ascii="宋体" w:hAnsi="宋体" w:cs="宋体"/>
          <w:szCs w:val="21"/>
        </w:rPr>
        <w:t>予以退还，</w:t>
      </w:r>
      <w:r>
        <w:rPr>
          <w:rFonts w:hint="eastAsia" w:ascii="宋体" w:hAnsi="宋体" w:cs="宋体"/>
          <w:szCs w:val="21"/>
          <w:lang w:eastAsia="zh-TW"/>
        </w:rPr>
        <w:t>但其投标在原投标有效期期满后将不再有效。同意延长投标有效期的投标人将不会被要求和允许修正其投标</w:t>
      </w:r>
      <w:r>
        <w:rPr>
          <w:rFonts w:hint="eastAsia" w:ascii="宋体" w:hAnsi="宋体" w:cs="宋体"/>
          <w:szCs w:val="21"/>
        </w:rPr>
        <w:t>，</w:t>
      </w:r>
      <w:r>
        <w:rPr>
          <w:rFonts w:hint="eastAsia" w:ascii="宋体" w:hAnsi="宋体" w:cs="宋体"/>
          <w:szCs w:val="21"/>
          <w:lang w:eastAsia="zh-TW"/>
        </w:rPr>
        <w:t>而只会被要求相应地延长其投标保证金的有效期。在这种情况下</w:t>
      </w:r>
      <w:r>
        <w:rPr>
          <w:rFonts w:hint="eastAsia" w:ascii="宋体" w:hAnsi="宋体" w:cs="宋体"/>
          <w:szCs w:val="21"/>
        </w:rPr>
        <w:t>，</w:t>
      </w:r>
      <w:r>
        <w:rPr>
          <w:rFonts w:hint="eastAsia" w:ascii="宋体" w:hAnsi="宋体" w:cs="宋体"/>
          <w:szCs w:val="21"/>
          <w:lang w:eastAsia="zh-TW"/>
        </w:rPr>
        <w:t>本须知有关投标保证金的退还和没收的规定将在延长了的有效期内继续有效。</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投标文件的式样和签署</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投标文件的式样：投标人应准备一份投标文件正本</w:t>
      </w:r>
      <w:r>
        <w:rPr>
          <w:rFonts w:hint="eastAsia" w:ascii="宋体" w:hAnsi="宋体" w:cs="宋体"/>
          <w:szCs w:val="21"/>
        </w:rPr>
        <w:t>、电子文件</w:t>
      </w:r>
      <w:r>
        <w:rPr>
          <w:rFonts w:hint="eastAsia" w:ascii="宋体" w:hAnsi="宋体" w:cs="宋体"/>
          <w:szCs w:val="21"/>
          <w:lang w:eastAsia="zh-TW"/>
        </w:rPr>
        <w:t>和</w:t>
      </w:r>
      <w:r>
        <w:rPr>
          <w:rFonts w:hint="eastAsia" w:ascii="宋体" w:hAnsi="宋体" w:cs="宋体"/>
          <w:b/>
          <w:szCs w:val="21"/>
        </w:rPr>
        <w:t>“第二章  对通用条款的补充内容”</w:t>
      </w:r>
      <w:r>
        <w:rPr>
          <w:rFonts w:hint="eastAsia" w:ascii="宋体" w:hAnsi="宋体" w:cs="宋体"/>
          <w:szCs w:val="21"/>
          <w:lang w:eastAsia="zh-TW"/>
        </w:rPr>
        <w:t>中规定数目的副本</w:t>
      </w:r>
      <w:r>
        <w:rPr>
          <w:rFonts w:hint="eastAsia" w:ascii="宋体" w:hAnsi="宋体" w:cs="宋体"/>
          <w:szCs w:val="21"/>
        </w:rPr>
        <w:t>，</w:t>
      </w:r>
      <w:r>
        <w:rPr>
          <w:rFonts w:hint="eastAsia" w:ascii="宋体" w:hAnsi="宋体" w:cs="宋体"/>
          <w:szCs w:val="21"/>
          <w:lang w:eastAsia="zh-TW"/>
        </w:rPr>
        <w:t>投标文件的副本可采用正本复印，与正本具有同等法律效力。每套投标文件须清楚地标明“正本”或</w:t>
      </w:r>
      <w:r>
        <w:rPr>
          <w:rFonts w:hint="eastAsia" w:ascii="宋体" w:hAnsi="宋体" w:cs="宋体"/>
          <w:szCs w:val="21"/>
        </w:rPr>
        <w:t>“副</w:t>
      </w:r>
      <w:r>
        <w:rPr>
          <w:rFonts w:hint="eastAsia" w:ascii="宋体" w:hAnsi="宋体" w:cs="宋体"/>
          <w:szCs w:val="21"/>
          <w:lang w:eastAsia="zh-TW"/>
        </w:rPr>
        <w:t>本</w:t>
      </w:r>
      <w:r>
        <w:rPr>
          <w:rFonts w:hint="eastAsia" w:ascii="宋体" w:hAnsi="宋体" w:cs="宋体"/>
          <w:szCs w:val="21"/>
        </w:rPr>
        <w:t>”</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电子文件：是指将按招标文件要求签署、盖章后的投标文件扫描成PDF格式后拷贝至无病毒无密码的U盘或光盘。电子文件与正本投标文件一同密封</w:t>
      </w:r>
      <w:r>
        <w:rPr>
          <w:rFonts w:hint="eastAsia" w:ascii="宋体" w:hAnsi="宋体" w:cs="宋体"/>
          <w:szCs w:val="21"/>
        </w:rPr>
        <w:t>。若电子文件与正本不符，以正本为准。</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投标文件的签署：</w:t>
      </w:r>
    </w:p>
    <w:p>
      <w:pPr>
        <w:snapToGrid w:val="0"/>
        <w:spacing w:line="360" w:lineRule="auto"/>
        <w:rPr>
          <w:rFonts w:hint="eastAsia" w:ascii="宋体" w:hAnsi="宋体" w:cs="宋体"/>
          <w:szCs w:val="21"/>
          <w:lang w:eastAsia="zh-TW"/>
        </w:rPr>
      </w:pPr>
      <w:r>
        <w:rPr>
          <w:rFonts w:hint="eastAsia" w:ascii="宋体" w:hAnsi="宋体" w:cs="宋体"/>
          <w:szCs w:val="21"/>
        </w:rPr>
        <w:t>10.3.1.</w:t>
      </w:r>
      <w:r>
        <w:rPr>
          <w:rFonts w:hint="eastAsia" w:ascii="宋体" w:hAnsi="宋体" w:cs="宋体"/>
          <w:szCs w:val="21"/>
          <w:lang w:eastAsia="zh-TW"/>
        </w:rPr>
        <w:t>投标文件的正本需打印或用不褪色墨水书写，招标文件要求签名的由法定代表人或经其正式授权的代表签字</w:t>
      </w:r>
      <w:r>
        <w:rPr>
          <w:rFonts w:hint="eastAsia" w:ascii="宋体" w:hAnsi="宋体" w:cs="宋体"/>
          <w:szCs w:val="21"/>
        </w:rPr>
        <w:t>或盖章</w:t>
      </w:r>
      <w:r>
        <w:rPr>
          <w:rFonts w:hint="eastAsia" w:ascii="宋体" w:hAnsi="宋体" w:cs="宋体"/>
          <w:szCs w:val="21"/>
          <w:lang w:eastAsia="zh-TW"/>
        </w:rPr>
        <w:t>，以及招标文件中明示盖公章</w:t>
      </w:r>
      <w:r>
        <w:rPr>
          <w:rFonts w:hint="eastAsia" w:ascii="宋体" w:hAnsi="宋体" w:cs="宋体"/>
          <w:szCs w:val="21"/>
        </w:rPr>
        <w:t>处</w:t>
      </w:r>
      <w:r>
        <w:rPr>
          <w:rFonts w:hint="eastAsia" w:ascii="宋体" w:hAnsi="宋体" w:cs="宋体"/>
          <w:szCs w:val="21"/>
          <w:lang w:eastAsia="zh-TW"/>
        </w:rPr>
        <w:t>及</w:t>
      </w:r>
      <w:r>
        <w:rPr>
          <w:rFonts w:hint="eastAsia" w:ascii="宋体" w:hAnsi="宋体" w:cs="宋体"/>
          <w:szCs w:val="21"/>
        </w:rPr>
        <w:t>要求</w:t>
      </w:r>
      <w:r>
        <w:rPr>
          <w:rFonts w:hint="eastAsia" w:ascii="宋体" w:hAnsi="宋体" w:cs="宋体"/>
          <w:szCs w:val="21"/>
          <w:lang w:eastAsia="zh-TW"/>
        </w:rPr>
        <w:t>提供的证明材料应盖投标人公章。授权代表须将以书面形式出具的《法定代表人授权委托书》附在投标文件中。</w:t>
      </w:r>
    </w:p>
    <w:p>
      <w:pPr>
        <w:snapToGrid w:val="0"/>
        <w:spacing w:line="360" w:lineRule="auto"/>
        <w:rPr>
          <w:rFonts w:hint="eastAsia" w:ascii="宋体" w:hAnsi="宋体" w:cs="宋体"/>
          <w:szCs w:val="21"/>
          <w:lang w:eastAsia="zh-TW"/>
        </w:rPr>
      </w:pPr>
      <w:r>
        <w:rPr>
          <w:rFonts w:hint="eastAsia" w:ascii="宋体" w:hAnsi="宋体" w:cs="宋体"/>
          <w:szCs w:val="21"/>
        </w:rPr>
        <w:t>10.3.2.</w:t>
      </w:r>
      <w:r>
        <w:rPr>
          <w:rFonts w:hint="eastAsia" w:ascii="宋体" w:hAnsi="宋体" w:cs="宋体"/>
          <w:szCs w:val="21"/>
          <w:lang w:eastAsia="zh-TW"/>
        </w:rPr>
        <w:t>投标文件中的任何重要的插字、涂改和增删，必须由法定代表人或经其正式授权的代表在旁边签章或签字</w:t>
      </w:r>
      <w:r>
        <w:rPr>
          <w:rFonts w:hint="eastAsia" w:ascii="宋体" w:hAnsi="宋体" w:cs="宋体"/>
          <w:szCs w:val="21"/>
        </w:rPr>
        <w:t>或盖投标人公章</w:t>
      </w:r>
      <w:r>
        <w:rPr>
          <w:rFonts w:hint="eastAsia" w:ascii="宋体" w:hAnsi="宋体" w:cs="宋体"/>
          <w:szCs w:val="21"/>
          <w:lang w:eastAsia="zh-TW"/>
        </w:rPr>
        <w:t>才有效。</w:t>
      </w:r>
    </w:p>
    <w:p>
      <w:pPr>
        <w:snapToGrid w:val="0"/>
        <w:spacing w:line="360" w:lineRule="auto"/>
        <w:rPr>
          <w:rFonts w:hint="eastAsia" w:ascii="宋体" w:hAnsi="宋体" w:cs="宋体"/>
          <w:szCs w:val="21"/>
        </w:rPr>
      </w:pPr>
    </w:p>
    <w:p>
      <w:pPr>
        <w:autoSpaceDE w:val="0"/>
        <w:autoSpaceDN w:val="0"/>
        <w:adjustRightInd w:val="0"/>
        <w:snapToGrid w:val="0"/>
        <w:spacing w:line="360" w:lineRule="auto"/>
        <w:ind w:left="-2" w:leftChars="-607" w:hanging="1273" w:hangingChars="453"/>
        <w:jc w:val="center"/>
        <w:rPr>
          <w:rFonts w:hint="eastAsia" w:ascii="宋体" w:hAnsi="宋体" w:cs="宋体"/>
          <w:b/>
          <w:sz w:val="28"/>
          <w:szCs w:val="28"/>
          <w:lang w:eastAsia="zh-TW"/>
        </w:rPr>
      </w:pPr>
      <w:r>
        <w:rPr>
          <w:rFonts w:hint="eastAsia" w:ascii="宋体" w:hAnsi="宋体" w:cs="宋体"/>
          <w:b/>
          <w:sz w:val="28"/>
          <w:szCs w:val="28"/>
        </w:rPr>
        <w:t xml:space="preserve"> 第二章、</w:t>
      </w:r>
      <w:r>
        <w:rPr>
          <w:rFonts w:hint="eastAsia" w:ascii="宋体" w:hAnsi="宋体" w:cs="宋体"/>
          <w:b/>
          <w:sz w:val="28"/>
          <w:szCs w:val="28"/>
          <w:lang w:eastAsia="zh-TW"/>
        </w:rPr>
        <w:t>投标文件的递交</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投标文件的密封和标识</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投标文件的密封</w:t>
      </w:r>
    </w:p>
    <w:p>
      <w:p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11.1. 1投标文件正本与副本可以单独密封包装，也可以所有投标文件密封包装在一个密封袋内。</w:t>
      </w:r>
    </w:p>
    <w:p>
      <w:p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11.1.2不足以造成投标文件可从外包装内散出而导致投标文件泄密的，不认定为投标文件未密封。</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投标文件的标识</w:t>
      </w:r>
    </w:p>
    <w:p>
      <w:pPr>
        <w:snapToGrid w:val="0"/>
        <w:spacing w:line="360" w:lineRule="auto"/>
        <w:rPr>
          <w:rFonts w:hint="eastAsia" w:ascii="宋体" w:hAnsi="宋体" w:cs="宋体"/>
          <w:szCs w:val="21"/>
        </w:rPr>
      </w:pPr>
      <w:r>
        <w:rPr>
          <w:rFonts w:hint="eastAsia" w:ascii="宋体" w:hAnsi="宋体" w:cs="宋体"/>
          <w:szCs w:val="21"/>
        </w:rPr>
        <w:t>11.2.1.外包装上清楚写明投标人名称、项目名称、标段号（如有）的</w:t>
      </w:r>
      <w:r>
        <w:rPr>
          <w:rFonts w:hint="eastAsia" w:ascii="宋体" w:hAnsi="宋体" w:cs="宋体"/>
          <w:szCs w:val="21"/>
          <w:lang w:eastAsia="zh-TW"/>
        </w:rPr>
        <w:t>字样</w:t>
      </w:r>
      <w:r>
        <w:rPr>
          <w:rFonts w:hint="eastAsia" w:ascii="宋体" w:hAnsi="宋体" w:cs="宋体"/>
          <w:szCs w:val="21"/>
        </w:rPr>
        <w:t>。</w:t>
      </w:r>
    </w:p>
    <w:p>
      <w:pPr>
        <w:snapToGrid w:val="0"/>
        <w:spacing w:line="360" w:lineRule="auto"/>
        <w:rPr>
          <w:rFonts w:hint="eastAsia" w:ascii="宋体" w:hAnsi="宋体" w:cs="宋体"/>
          <w:szCs w:val="21"/>
        </w:rPr>
      </w:pPr>
      <w:r>
        <w:rPr>
          <w:rFonts w:hint="eastAsia" w:ascii="宋体" w:hAnsi="宋体" w:cs="宋体"/>
          <w:szCs w:val="21"/>
        </w:rPr>
        <w:t>11.2.2.</w:t>
      </w:r>
      <w:r>
        <w:rPr>
          <w:rFonts w:hint="eastAsia" w:ascii="宋体" w:hAnsi="宋体" w:cs="宋体"/>
          <w:szCs w:val="21"/>
          <w:lang w:eastAsia="zh-TW"/>
        </w:rPr>
        <w:t>如果未按本须知</w:t>
      </w:r>
      <w:r>
        <w:rPr>
          <w:rFonts w:hint="eastAsia" w:ascii="宋体" w:hAnsi="宋体" w:cs="宋体"/>
          <w:szCs w:val="21"/>
        </w:rPr>
        <w:t>上款</w:t>
      </w:r>
      <w:r>
        <w:rPr>
          <w:rFonts w:hint="eastAsia" w:ascii="宋体" w:hAnsi="宋体" w:cs="宋体"/>
          <w:szCs w:val="21"/>
          <w:lang w:eastAsia="zh-TW"/>
        </w:rPr>
        <w:t>要求加写</w:t>
      </w:r>
      <w:r>
        <w:rPr>
          <w:rFonts w:hint="eastAsia" w:ascii="宋体" w:hAnsi="宋体" w:cs="宋体"/>
          <w:szCs w:val="21"/>
        </w:rPr>
        <w:t>标识，</w:t>
      </w:r>
      <w:r>
        <w:rPr>
          <w:rFonts w:hint="eastAsia" w:ascii="宋体" w:hAnsi="宋体" w:cs="宋体"/>
          <w:szCs w:val="21"/>
          <w:lang w:eastAsia="zh-TW"/>
        </w:rPr>
        <w:t>招标代理机构对误投或提前启封概不负责</w:t>
      </w:r>
      <w:r>
        <w:rPr>
          <w:rFonts w:hint="eastAsia" w:ascii="宋体" w:hAnsi="宋体" w:cs="宋体"/>
          <w:szCs w:val="21"/>
        </w:rPr>
        <w:t>。</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投标文件的递交</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投标人</w:t>
      </w:r>
      <w:r>
        <w:rPr>
          <w:rFonts w:hint="eastAsia" w:ascii="宋体" w:hAnsi="宋体" w:cs="宋体"/>
          <w:szCs w:val="21"/>
        </w:rPr>
        <w:t>的投标文件</w:t>
      </w:r>
      <w:r>
        <w:rPr>
          <w:rFonts w:hint="eastAsia" w:ascii="宋体" w:hAnsi="宋体" w:cs="宋体"/>
          <w:szCs w:val="21"/>
          <w:lang w:eastAsia="zh-TW"/>
        </w:rPr>
        <w:t>应</w:t>
      </w:r>
      <w:r>
        <w:rPr>
          <w:rFonts w:hint="eastAsia" w:ascii="宋体" w:hAnsi="宋体" w:cs="宋体"/>
          <w:szCs w:val="21"/>
        </w:rPr>
        <w:t>在本项目投标截止时间前送达开标地点。</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逾期送达或者</w:t>
      </w:r>
      <w:r>
        <w:rPr>
          <w:rFonts w:hint="eastAsia" w:ascii="宋体" w:hAnsi="宋体" w:cs="宋体"/>
          <w:szCs w:val="21"/>
        </w:rPr>
        <w:t>发现</w:t>
      </w:r>
      <w:r>
        <w:rPr>
          <w:rFonts w:hint="eastAsia" w:ascii="宋体" w:hAnsi="宋体" w:cs="宋体"/>
          <w:szCs w:val="21"/>
          <w:lang w:eastAsia="zh-TW"/>
        </w:rPr>
        <w:t>未按照招标文件要求密封的投标文件，招标人、招标代理机构应当拒收</w:t>
      </w:r>
      <w:r>
        <w:rPr>
          <w:rFonts w:hint="eastAsia" w:ascii="宋体" w:hAnsi="宋体" w:cs="宋体"/>
          <w:szCs w:val="21"/>
        </w:rPr>
        <w:t>。</w:t>
      </w:r>
    </w:p>
    <w:p>
      <w:pPr>
        <w:numPr>
          <w:ilvl w:val="0"/>
          <w:numId w:val="8"/>
        </w:numPr>
        <w:autoSpaceDE w:val="0"/>
        <w:autoSpaceDN w:val="0"/>
        <w:adjustRightInd w:val="0"/>
        <w:snapToGrid w:val="0"/>
        <w:spacing w:line="360" w:lineRule="auto"/>
        <w:rPr>
          <w:rFonts w:hint="eastAsia" w:ascii="宋体" w:hAnsi="宋体" w:cs="宋体"/>
          <w:b/>
          <w:bCs/>
          <w:szCs w:val="21"/>
          <w:lang w:eastAsia="zh-TW"/>
        </w:rPr>
      </w:pPr>
      <w:r>
        <w:rPr>
          <w:rFonts w:hint="eastAsia" w:ascii="宋体" w:hAnsi="宋体" w:cs="宋体"/>
          <w:b/>
          <w:bCs/>
          <w:szCs w:val="21"/>
        </w:rPr>
        <w:t>投标文件的修改与撤回、撤销</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投标人在投标截止时间前，可以对所递交的投标文件进行补充、修改或者撤回，并书面通知招标代理机构。补充、修改的内容应当按招标文件要求签署、盖章、密封后，并作为投标文件的组成部分。在投标截止时间之后，投标人不得对其投标文件做任何修改和补充</w:t>
      </w:r>
      <w:r>
        <w:rPr>
          <w:rFonts w:hint="eastAsia" w:ascii="宋体" w:hAnsi="宋体" w:cs="宋体"/>
          <w:szCs w:val="21"/>
        </w:rPr>
        <w:t>。</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w:t>
      </w:r>
      <w:r>
        <w:rPr>
          <w:rFonts w:hint="eastAsia" w:ascii="宋体" w:hAnsi="宋体" w:cs="宋体"/>
          <w:szCs w:val="21"/>
          <w:lang w:eastAsia="zh-TW"/>
        </w:rPr>
        <w:t>在</w:t>
      </w:r>
      <w:r>
        <w:rPr>
          <w:rFonts w:hint="eastAsia" w:ascii="宋体" w:hAnsi="宋体" w:cs="宋体"/>
          <w:szCs w:val="21"/>
        </w:rPr>
        <w:t>投标</w:t>
      </w:r>
      <w:r>
        <w:rPr>
          <w:rFonts w:hint="eastAsia" w:ascii="宋体" w:hAnsi="宋体" w:cs="宋体"/>
          <w:szCs w:val="21"/>
          <w:lang w:eastAsia="zh-TW"/>
        </w:rPr>
        <w:t>截止</w:t>
      </w:r>
      <w:r>
        <w:rPr>
          <w:rFonts w:hint="eastAsia" w:ascii="宋体" w:hAnsi="宋体" w:cs="宋体"/>
          <w:szCs w:val="21"/>
        </w:rPr>
        <w:t>时间</w:t>
      </w:r>
      <w:r>
        <w:rPr>
          <w:rFonts w:hint="eastAsia" w:ascii="宋体" w:hAnsi="宋体" w:cs="宋体"/>
          <w:szCs w:val="21"/>
          <w:lang w:eastAsia="zh-TW"/>
        </w:rPr>
        <w:t>后不可撤销其</w:t>
      </w:r>
      <w:r>
        <w:rPr>
          <w:rFonts w:hint="eastAsia" w:ascii="宋体" w:hAnsi="宋体" w:cs="宋体"/>
          <w:szCs w:val="21"/>
        </w:rPr>
        <w:t>投标及其投标文件。</w:t>
      </w:r>
    </w:p>
    <w:p>
      <w:pPr>
        <w:snapToGrid w:val="0"/>
        <w:spacing w:line="360" w:lineRule="auto"/>
        <w:jc w:val="center"/>
        <w:rPr>
          <w:rFonts w:hint="eastAsia" w:ascii="宋体" w:hAnsi="宋体" w:cs="宋体"/>
          <w:b/>
          <w:sz w:val="28"/>
          <w:szCs w:val="28"/>
        </w:rPr>
      </w:pPr>
    </w:p>
    <w:p>
      <w:pPr>
        <w:snapToGrid w:val="0"/>
        <w:spacing w:line="360" w:lineRule="auto"/>
        <w:jc w:val="center"/>
        <w:rPr>
          <w:rFonts w:hint="eastAsia" w:ascii="宋体" w:hAnsi="宋体" w:cs="宋体"/>
          <w:b/>
          <w:sz w:val="28"/>
          <w:szCs w:val="28"/>
          <w:lang w:eastAsia="zh-TW"/>
        </w:rPr>
      </w:pPr>
      <w:r>
        <w:rPr>
          <w:rFonts w:hint="eastAsia" w:ascii="宋体" w:hAnsi="宋体" w:cs="宋体"/>
          <w:b/>
          <w:sz w:val="28"/>
          <w:szCs w:val="28"/>
        </w:rPr>
        <w:t>第三章</w:t>
      </w:r>
      <w:r>
        <w:rPr>
          <w:rFonts w:hint="eastAsia" w:ascii="宋体" w:hAnsi="宋体" w:cs="宋体"/>
          <w:b/>
          <w:sz w:val="28"/>
          <w:szCs w:val="28"/>
          <w:lang w:eastAsia="zh-TW"/>
        </w:rPr>
        <w:t>、</w:t>
      </w:r>
      <w:r>
        <w:rPr>
          <w:rFonts w:hint="eastAsia" w:ascii="宋体" w:hAnsi="宋体" w:cs="宋体"/>
          <w:b/>
          <w:sz w:val="28"/>
          <w:szCs w:val="28"/>
        </w:rPr>
        <w:t>开标前、</w:t>
      </w:r>
      <w:r>
        <w:rPr>
          <w:rFonts w:hint="eastAsia" w:ascii="宋体" w:hAnsi="宋体" w:cs="宋体"/>
          <w:b/>
          <w:sz w:val="28"/>
          <w:szCs w:val="28"/>
          <w:lang w:eastAsia="zh-TW"/>
        </w:rPr>
        <w:t>开标与评标</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开标前</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招标文件发售期截止后，购买招标文件的潜在投标人少于3个的，经招标人确认后，可以重新招标。</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开标</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招标代理机构在“第一章</w:t>
      </w:r>
      <w:r>
        <w:rPr>
          <w:rFonts w:hint="eastAsia" w:ascii="宋体" w:hAnsi="宋体" w:cs="宋体"/>
          <w:szCs w:val="21"/>
        </w:rPr>
        <w:t xml:space="preserve"> 招标公告</w:t>
      </w:r>
      <w:r>
        <w:rPr>
          <w:rFonts w:hint="eastAsia" w:ascii="宋体" w:hAnsi="宋体" w:cs="宋体"/>
          <w:szCs w:val="21"/>
          <w:lang w:eastAsia="zh-TW"/>
        </w:rPr>
        <w:t>”中规定的日期、时</w:t>
      </w:r>
      <w:r>
        <w:rPr>
          <w:rFonts w:hint="eastAsia" w:ascii="宋体" w:hAnsi="宋体" w:cs="宋体"/>
          <w:szCs w:val="21"/>
        </w:rPr>
        <w:t>间</w:t>
      </w:r>
      <w:r>
        <w:rPr>
          <w:rFonts w:hint="eastAsia" w:ascii="宋体" w:hAnsi="宋体" w:cs="宋体"/>
          <w:szCs w:val="21"/>
          <w:lang w:eastAsia="zh-TW"/>
        </w:rPr>
        <w:t>和地点组织公开开标。开标时邀请所有投标人代表参加。参加开标的代表应签名报到以证明其出席。</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投标人少于3个的，不得开标；招标人应当重新招标。重新招标后投标人或经评审合格投标人仍少于3个的，经招标人确认后，可以进入两家或一家开标评标。</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开标时，</w:t>
      </w:r>
      <w:r>
        <w:rPr>
          <w:rFonts w:hint="eastAsia" w:ascii="宋体" w:hAnsi="宋体" w:cs="宋体"/>
          <w:szCs w:val="21"/>
          <w:lang w:eastAsia="zh-TW"/>
        </w:rPr>
        <w:t>由投标人或者其推选的代表检查投标文件的密封情况；经确认无误后，由招标人或者招标代理机构工作人员当众拆封，宣布投标人名称、投标价格和招标文件规定的需要宣布的其他内容。</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在招标文件要求提交投标文件的截止时间前收到的所有投标文件，开标时都应当当众予以拆封、宣读。</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lang w:eastAsia="zh-TW"/>
        </w:rPr>
        <w:t>开标过程应当由招标人或者招标代理机构负责记录，由参加开标的各投标人代表和相关工作人员签字确认。</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投标人未参加开标的，视同认可开标结果。</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评标委员会和评标方法</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rPr>
        <w:t>评标委员会</w:t>
      </w:r>
      <w:r>
        <w:rPr>
          <w:rFonts w:hint="eastAsia" w:ascii="宋体" w:hAnsi="宋体" w:cs="宋体"/>
          <w:szCs w:val="21"/>
          <w:lang w:eastAsia="zh-TW"/>
        </w:rPr>
        <w:t>人数按照</w:t>
      </w:r>
      <w:r>
        <w:rPr>
          <w:rFonts w:hint="eastAsia" w:ascii="宋体" w:hAnsi="宋体" w:cs="宋体"/>
          <w:b/>
          <w:szCs w:val="21"/>
        </w:rPr>
        <w:t>“第二章  对通用条款的补充内容”</w:t>
      </w:r>
      <w:r>
        <w:rPr>
          <w:rFonts w:hint="eastAsia" w:ascii="宋体" w:hAnsi="宋体" w:cs="宋体"/>
          <w:szCs w:val="21"/>
          <w:lang w:eastAsia="zh-TW"/>
        </w:rPr>
        <w:t>中确定</w:t>
      </w:r>
      <w:r>
        <w:rPr>
          <w:rFonts w:hint="eastAsia" w:ascii="宋体" w:hAnsi="宋体" w:cs="宋体"/>
          <w:szCs w:val="21"/>
        </w:rPr>
        <w:t>。</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评标由评标委员会负责</w:t>
      </w:r>
      <w:r>
        <w:rPr>
          <w:rFonts w:hint="eastAsia" w:ascii="宋体" w:hAnsi="宋体" w:cs="宋体"/>
          <w:szCs w:val="21"/>
        </w:rPr>
        <w:t>，</w:t>
      </w:r>
      <w:r>
        <w:rPr>
          <w:rFonts w:hint="eastAsia" w:ascii="宋体" w:hAnsi="宋体" w:cs="宋体"/>
          <w:szCs w:val="21"/>
          <w:lang w:eastAsia="zh-TW"/>
        </w:rPr>
        <w:t>评标委员会将首先按照本须知第2</w:t>
      </w:r>
      <w:r>
        <w:rPr>
          <w:rFonts w:hint="eastAsia" w:ascii="宋体" w:hAnsi="宋体" w:cs="宋体"/>
          <w:szCs w:val="21"/>
        </w:rPr>
        <w:t>4</w:t>
      </w:r>
      <w:r>
        <w:rPr>
          <w:rFonts w:hint="eastAsia" w:ascii="宋体" w:hAnsi="宋体" w:cs="宋体"/>
          <w:szCs w:val="21"/>
          <w:lang w:eastAsia="zh-TW"/>
        </w:rPr>
        <w:t>条款对投标文件进行初审。对初审合格的投标文件将按照招标文件投标资料表中确定的综合评分法或最低评标价法进行评</w:t>
      </w:r>
      <w:r>
        <w:rPr>
          <w:rFonts w:hint="eastAsia" w:ascii="宋体" w:hAnsi="宋体" w:cs="宋体"/>
          <w:szCs w:val="21"/>
        </w:rPr>
        <w:t>审</w:t>
      </w:r>
      <w:r>
        <w:rPr>
          <w:rFonts w:hint="eastAsia" w:ascii="宋体" w:hAnsi="宋体" w:cs="宋体"/>
          <w:szCs w:val="21"/>
          <w:lang w:eastAsia="zh-TW"/>
        </w:rPr>
        <w:t>。</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评标委员会将按照</w:t>
      </w:r>
      <w:r>
        <w:rPr>
          <w:rFonts w:hint="eastAsia" w:ascii="宋体" w:hAnsi="宋体" w:cs="宋体"/>
          <w:b/>
          <w:szCs w:val="21"/>
        </w:rPr>
        <w:t>“第二章  对通用条款的补充内容”</w:t>
      </w:r>
      <w:r>
        <w:rPr>
          <w:rFonts w:hint="eastAsia" w:ascii="宋体" w:hAnsi="宋体" w:cs="宋体"/>
          <w:szCs w:val="21"/>
          <w:lang w:eastAsia="zh-TW"/>
        </w:rPr>
        <w:t>中确定的评标方法</w:t>
      </w:r>
      <w:r>
        <w:rPr>
          <w:rFonts w:hint="eastAsia" w:ascii="宋体" w:hAnsi="宋体" w:cs="宋体"/>
          <w:szCs w:val="21"/>
        </w:rPr>
        <w:t>和</w:t>
      </w:r>
      <w:r>
        <w:rPr>
          <w:rFonts w:hint="eastAsia" w:ascii="宋体" w:hAnsi="宋体" w:cs="宋体"/>
          <w:szCs w:val="21"/>
          <w:lang w:eastAsia="zh-TW"/>
        </w:rPr>
        <w:t>本招标文件</w:t>
      </w:r>
      <w:r>
        <w:rPr>
          <w:rFonts w:hint="eastAsia" w:ascii="宋体" w:hAnsi="宋体" w:cs="宋体"/>
          <w:szCs w:val="21"/>
        </w:rPr>
        <w:t>“</w:t>
      </w:r>
      <w:r>
        <w:rPr>
          <w:rFonts w:hint="eastAsia" w:ascii="宋体" w:hAnsi="宋体" w:cs="宋体"/>
          <w:szCs w:val="21"/>
          <w:lang w:eastAsia="zh-TW"/>
        </w:rPr>
        <w:t>第二册、评标方法、评标因素及权重分值（适用于各包）</w:t>
      </w:r>
      <w:r>
        <w:rPr>
          <w:rFonts w:hint="eastAsia" w:ascii="宋体" w:hAnsi="宋体" w:cs="宋体"/>
          <w:szCs w:val="21"/>
        </w:rPr>
        <w:t>”</w:t>
      </w:r>
      <w:r>
        <w:rPr>
          <w:rFonts w:hint="eastAsia" w:ascii="宋体" w:hAnsi="宋体" w:cs="宋体"/>
          <w:szCs w:val="21"/>
          <w:lang w:eastAsia="zh-TW"/>
        </w:rPr>
        <w:t>中规定</w:t>
      </w:r>
      <w:r>
        <w:rPr>
          <w:rFonts w:hint="eastAsia" w:ascii="宋体" w:hAnsi="宋体" w:cs="宋体"/>
          <w:szCs w:val="21"/>
        </w:rPr>
        <w:t>的评标</w:t>
      </w:r>
      <w:r>
        <w:rPr>
          <w:rFonts w:hint="eastAsia" w:ascii="宋体" w:hAnsi="宋体" w:cs="宋体"/>
          <w:szCs w:val="21"/>
          <w:lang w:eastAsia="zh-TW"/>
        </w:rPr>
        <w:t>标准进行评标。</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对招标文件中描述有歧</w:t>
      </w:r>
      <w:r>
        <w:rPr>
          <w:rFonts w:hint="eastAsia" w:ascii="宋体" w:hAnsi="宋体" w:cs="宋体"/>
          <w:szCs w:val="21"/>
        </w:rPr>
        <w:t>义</w:t>
      </w:r>
      <w:r>
        <w:rPr>
          <w:rFonts w:hint="eastAsia" w:ascii="宋体" w:hAnsi="宋体" w:cs="宋体"/>
          <w:szCs w:val="21"/>
          <w:lang w:eastAsia="zh-TW"/>
        </w:rPr>
        <w:t>或前后不一致的地方，评标委员会有权进行评判</w:t>
      </w:r>
      <w:r>
        <w:rPr>
          <w:rFonts w:hint="eastAsia" w:ascii="宋体" w:hAnsi="宋体" w:cs="宋体"/>
          <w:szCs w:val="21"/>
        </w:rPr>
        <w:t>，</w:t>
      </w:r>
      <w:r>
        <w:rPr>
          <w:rFonts w:hint="eastAsia" w:ascii="宋体" w:hAnsi="宋体" w:cs="宋体"/>
          <w:szCs w:val="21"/>
          <w:lang w:eastAsia="zh-TW"/>
        </w:rPr>
        <w:t>但对同一条款的评判应适用于每个投标人</w:t>
      </w:r>
      <w:r>
        <w:rPr>
          <w:rFonts w:hint="eastAsia" w:ascii="宋体" w:hAnsi="宋体" w:cs="宋体"/>
          <w:szCs w:val="21"/>
        </w:rPr>
        <w:t>。</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投标文件的初审</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评标委员会将审查投标文件是否完整、文件签署是否合格、投标人是否</w:t>
      </w:r>
      <w:r>
        <w:rPr>
          <w:rFonts w:hint="eastAsia" w:ascii="宋体" w:hAnsi="宋体" w:cs="宋体"/>
          <w:szCs w:val="21"/>
        </w:rPr>
        <w:t>缴纳</w:t>
      </w:r>
      <w:r>
        <w:rPr>
          <w:rFonts w:hint="eastAsia" w:ascii="宋体" w:hAnsi="宋体" w:cs="宋体"/>
          <w:szCs w:val="21"/>
          <w:lang w:eastAsia="zh-TW"/>
        </w:rPr>
        <w:t>了投标保证金、有无计算</w:t>
      </w:r>
      <w:r>
        <w:rPr>
          <w:rFonts w:hint="eastAsia" w:ascii="宋体" w:hAnsi="宋体" w:cs="宋体"/>
          <w:szCs w:val="21"/>
        </w:rPr>
        <w:t>上</w:t>
      </w:r>
      <w:r>
        <w:rPr>
          <w:rFonts w:hint="eastAsia" w:ascii="宋体" w:hAnsi="宋体" w:cs="宋体"/>
          <w:szCs w:val="21"/>
          <w:lang w:eastAsia="zh-TW"/>
        </w:rPr>
        <w:t>的错误等。</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投标文件报价出现前后不一致的，</w:t>
      </w:r>
      <w:r>
        <w:rPr>
          <w:rFonts w:hint="eastAsia" w:ascii="宋体" w:hAnsi="宋体" w:cs="宋体"/>
          <w:szCs w:val="21"/>
        </w:rPr>
        <w:t>评标委员会</w:t>
      </w:r>
      <w:r>
        <w:rPr>
          <w:rFonts w:hint="eastAsia" w:ascii="宋体" w:hAnsi="宋体" w:cs="宋体"/>
          <w:szCs w:val="21"/>
          <w:lang w:eastAsia="zh-TW"/>
        </w:rPr>
        <w:t>按照下列规定修正：</w:t>
      </w:r>
    </w:p>
    <w:p>
      <w:pPr>
        <w:snapToGrid w:val="0"/>
        <w:spacing w:line="360" w:lineRule="auto"/>
        <w:rPr>
          <w:rFonts w:hint="eastAsia" w:ascii="宋体" w:hAnsi="宋体" w:cs="宋体"/>
          <w:szCs w:val="21"/>
          <w:lang w:eastAsia="zh-TW"/>
        </w:rPr>
      </w:pPr>
      <w:r>
        <w:rPr>
          <w:rFonts w:hint="eastAsia" w:ascii="宋体" w:hAnsi="宋体" w:cs="宋体"/>
          <w:szCs w:val="21"/>
        </w:rPr>
        <w:t>17.2.1.</w:t>
      </w:r>
      <w:r>
        <w:rPr>
          <w:rFonts w:hint="eastAsia" w:ascii="宋体" w:hAnsi="宋体" w:cs="宋体"/>
          <w:szCs w:val="21"/>
          <w:lang w:eastAsia="zh-TW"/>
        </w:rPr>
        <w:t>投标文件中开标一览表（报价表）内容与投标文件中相应内容不一致的，以开标一览表（报价表）</w:t>
      </w:r>
    </w:p>
    <w:p>
      <w:pPr>
        <w:snapToGrid w:val="0"/>
        <w:spacing w:line="360" w:lineRule="auto"/>
        <w:ind w:left="709" w:firstLine="105" w:firstLineChars="50"/>
        <w:rPr>
          <w:rFonts w:hint="eastAsia" w:ascii="宋体" w:hAnsi="宋体" w:cs="宋体"/>
          <w:szCs w:val="21"/>
          <w:lang w:eastAsia="zh-TW"/>
        </w:rPr>
      </w:pPr>
      <w:r>
        <w:rPr>
          <w:rFonts w:hint="eastAsia" w:ascii="宋体" w:hAnsi="宋体" w:cs="宋体"/>
          <w:szCs w:val="21"/>
          <w:lang w:eastAsia="zh-TW"/>
        </w:rPr>
        <w:t>为准；</w:t>
      </w:r>
    </w:p>
    <w:p>
      <w:pPr>
        <w:snapToGrid w:val="0"/>
        <w:spacing w:line="360" w:lineRule="auto"/>
        <w:rPr>
          <w:rFonts w:hint="eastAsia" w:ascii="宋体" w:hAnsi="宋体" w:cs="宋体"/>
          <w:szCs w:val="21"/>
          <w:lang w:eastAsia="zh-TW"/>
        </w:rPr>
      </w:pPr>
      <w:r>
        <w:rPr>
          <w:rFonts w:hint="eastAsia" w:ascii="宋体" w:hAnsi="宋体" w:cs="宋体"/>
          <w:szCs w:val="21"/>
        </w:rPr>
        <w:t>17.2.2.</w:t>
      </w:r>
      <w:r>
        <w:rPr>
          <w:rFonts w:hint="eastAsia" w:ascii="宋体" w:hAnsi="宋体" w:cs="宋体"/>
          <w:szCs w:val="21"/>
          <w:lang w:eastAsia="zh-TW"/>
        </w:rPr>
        <w:t>大写金额和小写金额不一致的，以大写金额为准；</w:t>
      </w:r>
    </w:p>
    <w:p>
      <w:pPr>
        <w:snapToGrid w:val="0"/>
        <w:spacing w:line="360" w:lineRule="auto"/>
        <w:rPr>
          <w:rFonts w:hint="eastAsia" w:ascii="宋体" w:hAnsi="宋体" w:cs="宋体"/>
          <w:szCs w:val="21"/>
          <w:lang w:eastAsia="zh-TW"/>
        </w:rPr>
      </w:pPr>
      <w:r>
        <w:rPr>
          <w:rFonts w:hint="eastAsia" w:ascii="宋体" w:hAnsi="宋体" w:cs="宋体"/>
          <w:szCs w:val="21"/>
        </w:rPr>
        <w:t>17.2.3.</w:t>
      </w:r>
      <w:r>
        <w:rPr>
          <w:rFonts w:hint="eastAsia" w:ascii="宋体" w:hAnsi="宋体" w:cs="宋体"/>
          <w:szCs w:val="21"/>
          <w:lang w:eastAsia="zh-TW"/>
        </w:rPr>
        <w:t>单价金额小数点或者百分比有明显错位的，以开标一览表的总价为准，并修改单价；</w:t>
      </w:r>
    </w:p>
    <w:p>
      <w:pPr>
        <w:snapToGrid w:val="0"/>
        <w:spacing w:line="360" w:lineRule="auto"/>
        <w:rPr>
          <w:rFonts w:hint="eastAsia" w:ascii="宋体" w:hAnsi="宋体" w:cs="宋体"/>
          <w:szCs w:val="21"/>
          <w:lang w:eastAsia="zh-TW"/>
        </w:rPr>
      </w:pPr>
      <w:r>
        <w:rPr>
          <w:rFonts w:hint="eastAsia" w:ascii="宋体" w:hAnsi="宋体" w:cs="宋体"/>
          <w:szCs w:val="21"/>
        </w:rPr>
        <w:t>17.2.4.</w:t>
      </w:r>
      <w:r>
        <w:rPr>
          <w:rFonts w:hint="eastAsia" w:ascii="宋体" w:hAnsi="宋体" w:cs="宋体"/>
          <w:szCs w:val="21"/>
          <w:lang w:eastAsia="zh-TW"/>
        </w:rPr>
        <w:t>总价金额与按单价汇总金额不一致的，以单价金额计算结果为准。</w:t>
      </w:r>
    </w:p>
    <w:p>
      <w:pPr>
        <w:snapToGrid w:val="0"/>
        <w:spacing w:line="360" w:lineRule="auto"/>
        <w:ind w:left="567"/>
        <w:rPr>
          <w:rFonts w:hint="eastAsia" w:ascii="宋体" w:hAnsi="宋体" w:cs="宋体"/>
          <w:szCs w:val="21"/>
        </w:rPr>
      </w:pPr>
      <w:r>
        <w:rPr>
          <w:rFonts w:hint="eastAsia" w:ascii="宋体" w:hAnsi="宋体" w:cs="宋体"/>
          <w:szCs w:val="21"/>
          <w:lang w:eastAsia="zh-TW"/>
        </w:rPr>
        <w:t>同时出现两种以上不一致的，按照前款规定的顺序修正。</w:t>
      </w:r>
      <w:r>
        <w:rPr>
          <w:rFonts w:hint="eastAsia" w:ascii="宋体" w:hAnsi="宋体" w:cs="宋体"/>
          <w:szCs w:val="21"/>
        </w:rPr>
        <w:t>评标委员会</w:t>
      </w:r>
      <w:r>
        <w:rPr>
          <w:rFonts w:hint="eastAsia" w:ascii="宋体" w:hAnsi="宋体" w:cs="宋体"/>
          <w:szCs w:val="21"/>
          <w:lang w:eastAsia="zh-TW"/>
        </w:rPr>
        <w:t>按上述修正误差的原则调整的价</w:t>
      </w:r>
    </w:p>
    <w:p>
      <w:pPr>
        <w:snapToGrid w:val="0"/>
        <w:spacing w:line="360" w:lineRule="auto"/>
        <w:rPr>
          <w:rFonts w:hint="eastAsia" w:ascii="宋体" w:hAnsi="宋体" w:cs="宋体"/>
          <w:szCs w:val="21"/>
          <w:lang w:eastAsia="zh-TW"/>
        </w:rPr>
      </w:pPr>
      <w:r>
        <w:rPr>
          <w:rFonts w:hint="eastAsia" w:ascii="宋体" w:hAnsi="宋体" w:cs="宋体"/>
          <w:szCs w:val="21"/>
          <w:lang w:eastAsia="zh-TW"/>
        </w:rPr>
        <w:t>格对</w:t>
      </w:r>
      <w:r>
        <w:rPr>
          <w:rFonts w:hint="eastAsia" w:ascii="宋体" w:hAnsi="宋体" w:cs="宋体"/>
          <w:szCs w:val="21"/>
        </w:rPr>
        <w:t>投标人</w:t>
      </w:r>
      <w:r>
        <w:rPr>
          <w:rFonts w:hint="eastAsia" w:ascii="宋体" w:hAnsi="宋体" w:cs="宋体"/>
          <w:szCs w:val="21"/>
          <w:lang w:eastAsia="zh-TW"/>
        </w:rPr>
        <w:t>具有约束力</w:t>
      </w:r>
      <w:r>
        <w:rPr>
          <w:rFonts w:hint="eastAsia" w:ascii="宋体" w:hAnsi="宋体" w:cs="宋体"/>
          <w:szCs w:val="21"/>
        </w:rPr>
        <w:t>，</w:t>
      </w:r>
      <w:r>
        <w:rPr>
          <w:rFonts w:hint="eastAsia" w:ascii="宋体" w:hAnsi="宋体" w:cs="宋体"/>
          <w:szCs w:val="21"/>
          <w:lang w:eastAsia="zh-TW"/>
        </w:rPr>
        <w:t>投标人不确认的，其投标无效。</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lang w:eastAsia="zh-TW"/>
        </w:rPr>
        <w:t>评标委员会认为投标人的报价明显低于其他通过</w:t>
      </w:r>
      <w:r>
        <w:rPr>
          <w:rFonts w:hint="eastAsia" w:ascii="宋体" w:hAnsi="宋体" w:cs="宋体"/>
          <w:szCs w:val="21"/>
        </w:rPr>
        <w:t>资格、</w:t>
      </w:r>
      <w:r>
        <w:rPr>
          <w:rFonts w:hint="eastAsia" w:ascii="宋体" w:hAnsi="宋体" w:cs="宋体"/>
          <w:szCs w:val="21"/>
          <w:lang w:eastAsia="zh-TW"/>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szCs w:val="21"/>
        </w:rPr>
        <w:t>。</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lang w:eastAsia="zh-TW"/>
        </w:rPr>
        <w:t>在详细评标之前</w:t>
      </w:r>
      <w:r>
        <w:rPr>
          <w:rFonts w:hint="eastAsia" w:ascii="宋体" w:hAnsi="宋体" w:cs="宋体"/>
          <w:szCs w:val="21"/>
        </w:rPr>
        <w:t>，</w:t>
      </w:r>
      <w:r>
        <w:rPr>
          <w:rFonts w:hint="eastAsia" w:ascii="宋体" w:hAnsi="宋体" w:cs="宋体"/>
          <w:szCs w:val="21"/>
          <w:lang w:eastAsia="zh-TW"/>
        </w:rPr>
        <w:t>评标委员会要审查每份投标文件是否实质上响应了招标文件的要求。实质上</w:t>
      </w:r>
      <w:r>
        <w:rPr>
          <w:rFonts w:hint="eastAsia" w:ascii="宋体" w:hAnsi="宋体" w:cs="宋体"/>
          <w:szCs w:val="21"/>
        </w:rPr>
        <w:t>响</w:t>
      </w:r>
      <w:r>
        <w:rPr>
          <w:rFonts w:hint="eastAsia" w:ascii="宋体" w:hAnsi="宋体" w:cs="宋体"/>
          <w:szCs w:val="21"/>
          <w:lang w:eastAsia="zh-TW"/>
        </w:rPr>
        <w:t>应的投标</w:t>
      </w:r>
      <w:r>
        <w:rPr>
          <w:rFonts w:hint="eastAsia" w:ascii="宋体" w:hAnsi="宋体" w:cs="宋体"/>
          <w:szCs w:val="21"/>
        </w:rPr>
        <w:t>文件</w:t>
      </w:r>
      <w:r>
        <w:rPr>
          <w:rFonts w:hint="eastAsia" w:ascii="宋体" w:hAnsi="宋体" w:cs="宋体"/>
          <w:szCs w:val="21"/>
          <w:lang w:eastAsia="zh-TW"/>
        </w:rPr>
        <w:t>应该是与招标文件要求的关键条款</w:t>
      </w:r>
      <w:r>
        <w:rPr>
          <w:rFonts w:hint="eastAsia" w:ascii="宋体" w:hAnsi="宋体" w:cs="宋体"/>
          <w:szCs w:val="21"/>
        </w:rPr>
        <w:t>、</w:t>
      </w:r>
      <w:r>
        <w:rPr>
          <w:rFonts w:hint="eastAsia" w:ascii="宋体" w:hAnsi="宋体" w:cs="宋体"/>
          <w:szCs w:val="21"/>
          <w:lang w:eastAsia="zh-TW"/>
        </w:rPr>
        <w:t>条件和规格相符</w:t>
      </w:r>
      <w:r>
        <w:rPr>
          <w:rFonts w:hint="eastAsia" w:ascii="宋体" w:hAnsi="宋体" w:cs="宋体"/>
          <w:szCs w:val="21"/>
        </w:rPr>
        <w:t>或优于，</w:t>
      </w:r>
      <w:r>
        <w:rPr>
          <w:rFonts w:hint="eastAsia" w:ascii="宋体" w:hAnsi="宋体" w:cs="宋体"/>
          <w:szCs w:val="21"/>
          <w:lang w:eastAsia="zh-TW"/>
        </w:rPr>
        <w:t>没有</w:t>
      </w:r>
      <w:r>
        <w:rPr>
          <w:rFonts w:hint="eastAsia" w:ascii="宋体" w:hAnsi="宋体" w:cs="宋体"/>
          <w:szCs w:val="21"/>
        </w:rPr>
        <w:t>实质</w:t>
      </w:r>
      <w:r>
        <w:rPr>
          <w:rFonts w:hint="eastAsia" w:ascii="宋体" w:hAnsi="宋体" w:cs="宋体"/>
          <w:szCs w:val="21"/>
          <w:lang w:eastAsia="zh-TW"/>
        </w:rPr>
        <w:t>偏离的投标</w:t>
      </w:r>
      <w:r>
        <w:rPr>
          <w:rFonts w:hint="eastAsia" w:ascii="宋体" w:hAnsi="宋体" w:cs="宋体"/>
          <w:szCs w:val="21"/>
        </w:rPr>
        <w:t>文件</w:t>
      </w:r>
      <w:r>
        <w:rPr>
          <w:rFonts w:hint="eastAsia" w:ascii="宋体" w:hAnsi="宋体" w:cs="宋体"/>
          <w:szCs w:val="21"/>
          <w:lang w:eastAsia="zh-TW"/>
        </w:rPr>
        <w:t>。评标委员会决定投标的响应性只根据投标</w:t>
      </w:r>
      <w:r>
        <w:rPr>
          <w:rFonts w:hint="eastAsia" w:ascii="宋体" w:hAnsi="宋体" w:cs="宋体"/>
          <w:szCs w:val="21"/>
        </w:rPr>
        <w:t>文件</w:t>
      </w:r>
      <w:r>
        <w:rPr>
          <w:rFonts w:hint="eastAsia" w:ascii="宋体" w:hAnsi="宋体" w:cs="宋体"/>
          <w:szCs w:val="21"/>
          <w:lang w:eastAsia="zh-TW"/>
        </w:rPr>
        <w:t>本身的真实无误的内容</w:t>
      </w:r>
      <w:r>
        <w:rPr>
          <w:rFonts w:hint="eastAsia" w:ascii="宋体" w:hAnsi="宋体" w:cs="宋体"/>
          <w:szCs w:val="21"/>
        </w:rPr>
        <w:t>，</w:t>
      </w:r>
      <w:r>
        <w:rPr>
          <w:rFonts w:hint="eastAsia" w:ascii="宋体" w:hAnsi="宋体" w:cs="宋体"/>
          <w:szCs w:val="21"/>
          <w:lang w:eastAsia="zh-TW"/>
        </w:rPr>
        <w:t>而不依据外部的证据</w:t>
      </w:r>
      <w:r>
        <w:rPr>
          <w:rFonts w:hint="eastAsia" w:ascii="宋体" w:hAnsi="宋体" w:cs="宋体"/>
          <w:szCs w:val="21"/>
        </w:rPr>
        <w:t>，</w:t>
      </w:r>
      <w:r>
        <w:rPr>
          <w:rFonts w:hint="eastAsia" w:ascii="宋体" w:hAnsi="宋体" w:cs="宋体"/>
          <w:szCs w:val="21"/>
          <w:lang w:eastAsia="zh-TW"/>
        </w:rPr>
        <w:t>但投标有不真实的内容时除外。</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lang w:eastAsia="zh-TW"/>
        </w:rPr>
        <w:t>实质上没有响应招标文件要求的投标将</w:t>
      </w:r>
      <w:r>
        <w:rPr>
          <w:rFonts w:hint="eastAsia" w:ascii="宋体" w:hAnsi="宋体" w:cs="宋体"/>
          <w:szCs w:val="21"/>
        </w:rPr>
        <w:t>被否决</w:t>
      </w:r>
      <w:r>
        <w:rPr>
          <w:rFonts w:hint="eastAsia" w:ascii="宋体" w:hAnsi="宋体" w:cs="宋体"/>
          <w:szCs w:val="21"/>
          <w:lang w:eastAsia="zh-TW"/>
        </w:rPr>
        <w:t>。投标人不得通过修正</w:t>
      </w:r>
      <w:r>
        <w:rPr>
          <w:rFonts w:hint="eastAsia" w:ascii="宋体" w:hAnsi="宋体" w:cs="宋体"/>
          <w:szCs w:val="21"/>
        </w:rPr>
        <w:t>、补充</w:t>
      </w:r>
      <w:r>
        <w:rPr>
          <w:rFonts w:hint="eastAsia" w:ascii="宋体" w:hAnsi="宋体" w:cs="宋体"/>
          <w:szCs w:val="21"/>
          <w:lang w:eastAsia="zh-TW"/>
        </w:rPr>
        <w:t>或撤销不合要求的偏离或保留从而使其投标成为实质上响应的投标。</w:t>
      </w:r>
    </w:p>
    <w:p>
      <w:pPr>
        <w:snapToGrid w:val="0"/>
        <w:spacing w:line="360" w:lineRule="auto"/>
        <w:ind w:left="709" w:hanging="709"/>
        <w:rPr>
          <w:rFonts w:hint="eastAsia" w:ascii="宋体" w:hAnsi="宋体" w:cs="宋体"/>
          <w:szCs w:val="21"/>
        </w:rPr>
      </w:pPr>
      <w:r>
        <w:rPr>
          <w:rFonts w:hint="eastAsia" w:ascii="宋体" w:hAnsi="宋体" w:cs="宋体"/>
          <w:szCs w:val="21"/>
        </w:rPr>
        <w:t>17.5.1.</w:t>
      </w:r>
      <w:r>
        <w:rPr>
          <w:rFonts w:hint="eastAsia" w:ascii="宋体" w:hAnsi="宋体" w:cs="宋体"/>
          <w:szCs w:val="21"/>
          <w:lang w:eastAsia="zh-TW"/>
        </w:rPr>
        <w:t>在资格、符合性检查时，未能通过资格、符合性审查</w:t>
      </w:r>
      <w:r>
        <w:rPr>
          <w:rFonts w:hint="eastAsia" w:ascii="宋体" w:hAnsi="宋体" w:cs="宋体"/>
          <w:szCs w:val="21"/>
        </w:rPr>
        <w:t>的其投标</w:t>
      </w:r>
      <w:r>
        <w:rPr>
          <w:rFonts w:hint="eastAsia" w:ascii="宋体" w:hAnsi="宋体" w:cs="宋体"/>
          <w:szCs w:val="21"/>
          <w:lang w:eastAsia="zh-TW"/>
        </w:rPr>
        <w:t>被</w:t>
      </w:r>
      <w:r>
        <w:rPr>
          <w:rFonts w:hint="eastAsia" w:ascii="宋体" w:hAnsi="宋体" w:cs="宋体"/>
          <w:szCs w:val="21"/>
        </w:rPr>
        <w:t>否决。</w:t>
      </w:r>
      <w:r>
        <w:rPr>
          <w:rFonts w:hint="eastAsia" w:ascii="宋体" w:hAnsi="宋体" w:cs="宋体"/>
          <w:szCs w:val="21"/>
          <w:lang w:eastAsia="zh-TW"/>
        </w:rPr>
        <w:t>对初步被认定为资格</w:t>
      </w:r>
      <w:r>
        <w:rPr>
          <w:rFonts w:hint="eastAsia" w:ascii="宋体" w:hAnsi="宋体" w:cs="宋体"/>
          <w:szCs w:val="21"/>
        </w:rPr>
        <w:t>、符合</w:t>
      </w:r>
      <w:r>
        <w:rPr>
          <w:rFonts w:hint="eastAsia" w:ascii="宋体" w:hAnsi="宋体" w:cs="宋体"/>
          <w:szCs w:val="21"/>
          <w:lang w:eastAsia="zh-TW"/>
        </w:rPr>
        <w:t>性审查不</w:t>
      </w:r>
      <w:r>
        <w:rPr>
          <w:rFonts w:hint="eastAsia" w:ascii="宋体" w:hAnsi="宋体" w:cs="宋体"/>
          <w:szCs w:val="21"/>
        </w:rPr>
        <w:t>通过</w:t>
      </w:r>
      <w:r>
        <w:rPr>
          <w:rFonts w:hint="eastAsia" w:ascii="宋体" w:hAnsi="宋体" w:cs="宋体"/>
          <w:szCs w:val="21"/>
          <w:lang w:eastAsia="zh-TW"/>
        </w:rPr>
        <w:t>的，可实行告知投标当事人，以让其核证、澄清事实。未通过资格</w:t>
      </w:r>
      <w:r>
        <w:rPr>
          <w:rFonts w:hint="eastAsia" w:ascii="宋体" w:hAnsi="宋体" w:cs="宋体"/>
          <w:szCs w:val="21"/>
        </w:rPr>
        <w:t>、符合</w:t>
      </w:r>
      <w:r>
        <w:rPr>
          <w:rFonts w:hint="eastAsia" w:ascii="宋体" w:hAnsi="宋体" w:cs="宋体"/>
          <w:szCs w:val="21"/>
          <w:lang w:eastAsia="zh-TW"/>
        </w:rPr>
        <w:t>性审查的投标人，不进入</w:t>
      </w:r>
      <w:r>
        <w:rPr>
          <w:rFonts w:hint="eastAsia" w:ascii="宋体" w:hAnsi="宋体" w:cs="宋体"/>
          <w:szCs w:val="21"/>
        </w:rPr>
        <w:t>技术、商务、价格评审</w:t>
      </w:r>
      <w:r>
        <w:rPr>
          <w:rFonts w:hint="eastAsia" w:ascii="宋体" w:hAnsi="宋体" w:cs="宋体"/>
          <w:szCs w:val="21"/>
          <w:lang w:eastAsia="zh-TW"/>
        </w:rPr>
        <w:t>。对投标有效性认定意见不一致的，评标委员会按</w:t>
      </w:r>
      <w:r>
        <w:rPr>
          <w:rFonts w:hint="eastAsia" w:ascii="宋体" w:hAnsi="宋体" w:cs="宋体"/>
          <w:szCs w:val="21"/>
        </w:rPr>
        <w:t>少数服从多数的</w:t>
      </w:r>
      <w:r>
        <w:rPr>
          <w:rFonts w:hint="eastAsia" w:ascii="宋体" w:hAnsi="宋体" w:cs="宋体"/>
          <w:szCs w:val="21"/>
          <w:lang w:eastAsia="zh-TW"/>
        </w:rPr>
        <w:t>原则</w:t>
      </w:r>
      <w:r>
        <w:rPr>
          <w:rFonts w:hint="eastAsia" w:ascii="宋体" w:hAnsi="宋体" w:cs="宋体"/>
          <w:szCs w:val="21"/>
        </w:rPr>
        <w:t>做出结论</w:t>
      </w:r>
      <w:r>
        <w:rPr>
          <w:rFonts w:hint="eastAsia" w:ascii="宋体" w:hAnsi="宋体" w:cs="宋体"/>
          <w:szCs w:val="21"/>
          <w:lang w:eastAsia="zh-TW"/>
        </w:rPr>
        <w:t>。具体条款</w:t>
      </w:r>
      <w:r>
        <w:rPr>
          <w:rFonts w:hint="eastAsia" w:ascii="宋体" w:hAnsi="宋体" w:cs="宋体"/>
          <w:szCs w:val="21"/>
        </w:rPr>
        <w:t>详</w:t>
      </w:r>
      <w:r>
        <w:rPr>
          <w:rFonts w:hint="eastAsia" w:ascii="宋体" w:hAnsi="宋体" w:cs="宋体"/>
          <w:szCs w:val="21"/>
          <w:lang w:eastAsia="zh-TW"/>
        </w:rPr>
        <w:t>见招标文件《资格、符合性评审条款》。</w:t>
      </w:r>
    </w:p>
    <w:p>
      <w:pPr>
        <w:numPr>
          <w:ilvl w:val="1"/>
          <w:numId w:val="8"/>
        </w:numPr>
        <w:autoSpaceDE w:val="0"/>
        <w:autoSpaceDN w:val="0"/>
        <w:adjustRightInd w:val="0"/>
        <w:snapToGrid w:val="0"/>
        <w:spacing w:line="360" w:lineRule="auto"/>
        <w:rPr>
          <w:rFonts w:hint="eastAsia" w:ascii="宋体" w:hAnsi="宋体" w:cs="宋体"/>
        </w:rPr>
      </w:pPr>
      <w:r>
        <w:rPr>
          <w:rFonts w:hint="eastAsia" w:ascii="宋体" w:hAnsi="宋体" w:cs="宋体"/>
          <w:szCs w:val="21"/>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pPr>
        <w:numPr>
          <w:ilvl w:val="1"/>
          <w:numId w:val="8"/>
        </w:numPr>
        <w:autoSpaceDE w:val="0"/>
        <w:autoSpaceDN w:val="0"/>
        <w:adjustRightInd w:val="0"/>
        <w:snapToGrid w:val="0"/>
        <w:spacing w:line="360" w:lineRule="auto"/>
        <w:rPr>
          <w:rFonts w:hint="eastAsia" w:ascii="宋体" w:hAnsi="宋体" w:cs="宋体"/>
        </w:rPr>
      </w:pPr>
      <w:r>
        <w:rPr>
          <w:rFonts w:hint="eastAsia" w:ascii="宋体" w:hAnsi="宋体" w:cs="宋体"/>
          <w:szCs w:val="21"/>
        </w:rPr>
        <w:t>通过资格、符合性审查的投标人少于3个时，不再继续技术商务评审，本项目招标失败。</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投标文件的澄清</w:t>
      </w:r>
    </w:p>
    <w:p>
      <w:pPr>
        <w:numPr>
          <w:ilvl w:val="1"/>
          <w:numId w:val="8"/>
        </w:numPr>
        <w:autoSpaceDE w:val="0"/>
        <w:autoSpaceDN w:val="0"/>
        <w:adjustRightInd w:val="0"/>
        <w:snapToGrid w:val="0"/>
        <w:spacing w:line="360" w:lineRule="auto"/>
        <w:rPr>
          <w:rFonts w:hint="eastAsia" w:ascii="宋体" w:hAnsi="宋体" w:cs="宋体"/>
          <w:bCs/>
          <w:szCs w:val="21"/>
        </w:rPr>
      </w:pPr>
      <w:r>
        <w:rPr>
          <w:rFonts w:hint="eastAsia" w:ascii="宋体" w:hAnsi="宋体" w:cs="宋体"/>
          <w:bCs/>
          <w:szCs w:val="21"/>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r>
        <w:rPr>
          <w:rFonts w:hint="eastAsia" w:ascii="宋体" w:hAnsi="宋体" w:cs="宋体"/>
          <w:szCs w:val="21"/>
          <w:lang w:eastAsia="zh-TW"/>
        </w:rPr>
        <w:t>投标人的澄清</w:t>
      </w:r>
      <w:r>
        <w:rPr>
          <w:rFonts w:hint="eastAsia" w:ascii="宋体" w:hAnsi="宋体" w:cs="宋体"/>
          <w:szCs w:val="21"/>
        </w:rPr>
        <w:t>或</w:t>
      </w:r>
      <w:r>
        <w:rPr>
          <w:rFonts w:hint="eastAsia" w:ascii="宋体" w:hAnsi="宋体" w:cs="宋体"/>
          <w:szCs w:val="21"/>
          <w:lang w:eastAsia="zh-TW"/>
        </w:rPr>
        <w:t>说明</w:t>
      </w:r>
      <w:r>
        <w:rPr>
          <w:rFonts w:hint="eastAsia" w:ascii="宋体" w:hAnsi="宋体" w:cs="宋体"/>
          <w:szCs w:val="21"/>
        </w:rPr>
        <w:t>答复应加盖公章或</w:t>
      </w:r>
      <w:r>
        <w:rPr>
          <w:rFonts w:hint="eastAsia" w:ascii="宋体" w:hAnsi="宋体" w:cs="宋体"/>
          <w:szCs w:val="21"/>
          <w:lang w:eastAsia="zh-TW"/>
        </w:rPr>
        <w:t>由投标人的法定代表人或其授权的代表签字</w:t>
      </w:r>
      <w:r>
        <w:rPr>
          <w:rFonts w:hint="eastAsia" w:ascii="宋体" w:hAnsi="宋体" w:cs="宋体"/>
          <w:szCs w:val="21"/>
        </w:rPr>
        <w:t>或盖章。</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投标人的澄清</w:t>
      </w:r>
      <w:r>
        <w:rPr>
          <w:rFonts w:hint="eastAsia" w:ascii="宋体" w:hAnsi="宋体" w:cs="宋体"/>
          <w:szCs w:val="21"/>
        </w:rPr>
        <w:t>或说明答复</w:t>
      </w:r>
      <w:r>
        <w:rPr>
          <w:rFonts w:hint="eastAsia" w:ascii="宋体" w:hAnsi="宋体" w:cs="宋体"/>
          <w:szCs w:val="21"/>
          <w:lang w:eastAsia="zh-TW"/>
        </w:rPr>
        <w:t>文件是其投标文件的组成部分。</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投标文件详细评价</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lang w:eastAsia="zh-TW"/>
        </w:rPr>
        <w:t>评标委员会按照招标文件确定的评标方法、步骤、标准对通过资格、符合性审查的投标文件进行详细评价和比较</w:t>
      </w:r>
      <w:r>
        <w:rPr>
          <w:rFonts w:hint="eastAsia" w:ascii="宋体" w:hAnsi="宋体" w:cs="宋体"/>
          <w:szCs w:val="21"/>
        </w:rPr>
        <w:t>，并出具书面评标报告。</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中标候选人的推荐方法</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采用综合评分法的，按评审后综合得分由高到低顺序排列，综合得分相同的，按下列顺序比较确定：（1）投标报价由低到高；（2）技术部分（或技术商务部分）得分由高到低；（3）以少数服从多数为原则，由评标委员会投票确定。</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采用最低评标价法的，按投标报价（经价格核准后的价格）由低到高顺序排列。投标报价相同的，以少数服从多数为原则，由评标委员会投票确定。</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除</w:t>
      </w:r>
      <w:r>
        <w:rPr>
          <w:rFonts w:hint="eastAsia" w:ascii="宋体" w:hAnsi="宋体" w:cs="宋体"/>
          <w:b/>
          <w:szCs w:val="21"/>
        </w:rPr>
        <w:t>“第二章  对通用条款的补充内容”</w:t>
      </w:r>
      <w:r>
        <w:rPr>
          <w:rFonts w:hint="eastAsia" w:ascii="宋体" w:hAnsi="宋体" w:cs="宋体"/>
          <w:szCs w:val="21"/>
        </w:rPr>
        <w:t>另有规定的，采用综合评分法的推荐综合得分排名前三的投标人为候选中标供应商。</w:t>
      </w:r>
    </w:p>
    <w:p>
      <w:pPr>
        <w:numPr>
          <w:ilvl w:val="1"/>
          <w:numId w:val="8"/>
        </w:numPr>
        <w:autoSpaceDE w:val="0"/>
        <w:autoSpaceDN w:val="0"/>
        <w:adjustRightInd w:val="0"/>
        <w:snapToGrid w:val="0"/>
        <w:spacing w:line="360" w:lineRule="auto"/>
        <w:rPr>
          <w:rFonts w:hint="eastAsia" w:ascii="宋体" w:hAnsi="宋体" w:cs="宋体"/>
          <w:szCs w:val="21"/>
          <w:lang w:eastAsia="zh-TW"/>
        </w:rPr>
      </w:pPr>
      <w:r>
        <w:rPr>
          <w:rFonts w:hint="eastAsia" w:ascii="宋体" w:hAnsi="宋体" w:cs="宋体"/>
          <w:szCs w:val="21"/>
        </w:rPr>
        <w:t>排名前三的中标候选人放弃中标、因不可抗力不能履行合同、不按照招标文件要求提交履约保证金，或者被查实存在影响中标结果的违法行为等情形，不符合中标条件的，招标人可以按照评标委员会推荐的中标候选人名单排序依次确定其他中标候选人为中标人，也可以重新招标。</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评标结果公示与中标通知书</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评标结果经招标人确定后，招标代理机构将在发布本项目招标公告媒体上进行评标结果公示，公示期为3日。</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评标结果公示无异议的，招标代理机构向其发出中标通知书，同时将中标结果通知所有未中标的投标人。</w:t>
      </w:r>
    </w:p>
    <w:p>
      <w:pPr>
        <w:snapToGrid w:val="0"/>
        <w:spacing w:line="360" w:lineRule="auto"/>
        <w:jc w:val="center"/>
        <w:rPr>
          <w:rFonts w:hint="eastAsia" w:ascii="宋体" w:hAnsi="宋体" w:cs="宋体"/>
          <w:b/>
          <w:sz w:val="28"/>
          <w:szCs w:val="28"/>
        </w:rPr>
      </w:pPr>
      <w:r>
        <w:rPr>
          <w:rFonts w:hint="eastAsia" w:ascii="宋体" w:hAnsi="宋体" w:cs="宋体"/>
          <w:b/>
          <w:sz w:val="28"/>
          <w:szCs w:val="28"/>
        </w:rPr>
        <w:t>第四章、异议的提出与答复</w:t>
      </w:r>
    </w:p>
    <w:p>
      <w:pPr>
        <w:numPr>
          <w:ilvl w:val="0"/>
          <w:numId w:val="8"/>
        </w:numPr>
        <w:autoSpaceDE w:val="0"/>
        <w:autoSpaceDN w:val="0"/>
        <w:adjustRightInd w:val="0"/>
        <w:snapToGrid w:val="0"/>
        <w:spacing w:line="360" w:lineRule="auto"/>
        <w:rPr>
          <w:rFonts w:hint="eastAsia" w:ascii="宋体" w:hAnsi="宋体" w:cs="宋体"/>
          <w:b/>
          <w:szCs w:val="21"/>
        </w:rPr>
      </w:pPr>
      <w:r>
        <w:rPr>
          <w:rFonts w:hint="eastAsia" w:ascii="宋体" w:hAnsi="宋体" w:cs="宋体"/>
          <w:b/>
          <w:szCs w:val="21"/>
        </w:rPr>
        <w:t>异议的提出与答复</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潜在投标人或其他利害关系人对招标文件有异议的，应当在投标截止时间10日前以书面形式（加盖投标人公章）向招标代理机构提交异议函原件，逾期异议无效。</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投标人对开标异议的，应当在开标现场提出，招标人或招标代理机构应当当场作出答复，并制作记录。</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投标人对评标结果有异议的，应当在公示期间以书面形式（加盖投标人公章）向招标代理机构提交异议函原件，逾期异议无效。</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以联合体形式参加采购活动的，其异议应当由组成联合体的所有供应商共同提出。</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提交异议应以书面形式（加盖投标人公章）向招标人及招标代理机构提出异议，异议内容不得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不接受投标人以电话、传真或电邮形式提交的异议。</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投标人异议应当有明确的请求和必要的证明材料，捏造事实、提供虚假材料或者以非法手段取得证明材料不能作为异议的证明材料。</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投标人异议须提供相关证明材料，包括但不限于权益受损害的情况说明及受损害的原因、证据内容等，并对异议内容的真实性承担责任。</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rPr>
        <w:t>招标人及招标代理机构应当在收到书面异议之日起3日内作出答复，但答复的内容不得涉及其他投标人的商业秘密。</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投标人提出的异议涉及评审过程或者结果的，招标人及招标代理机构可以组织原评审委员会协助处理异议事项，并可依据评审委员会出具的意见进行答复。</w:t>
      </w:r>
    </w:p>
    <w:p>
      <w:pPr>
        <w:snapToGrid w:val="0"/>
        <w:spacing w:line="360" w:lineRule="auto"/>
        <w:rPr>
          <w:rFonts w:hint="eastAsia" w:ascii="宋体" w:hAnsi="宋体" w:cs="宋体"/>
          <w:b/>
          <w:bCs/>
          <w:szCs w:val="21"/>
        </w:rPr>
      </w:pPr>
    </w:p>
    <w:p>
      <w:pPr>
        <w:snapToGrid w:val="0"/>
        <w:spacing w:line="360" w:lineRule="auto"/>
        <w:jc w:val="center"/>
        <w:rPr>
          <w:rFonts w:hint="eastAsia" w:ascii="宋体" w:hAnsi="宋体" w:cs="宋体"/>
          <w:b/>
          <w:sz w:val="28"/>
          <w:szCs w:val="28"/>
          <w:lang w:eastAsia="zh-TW"/>
        </w:rPr>
      </w:pPr>
      <w:r>
        <w:rPr>
          <w:rFonts w:hint="eastAsia" w:ascii="宋体" w:hAnsi="宋体" w:cs="宋体"/>
          <w:b/>
          <w:sz w:val="28"/>
          <w:szCs w:val="28"/>
        </w:rPr>
        <w:t>第五章、</w:t>
      </w:r>
      <w:r>
        <w:rPr>
          <w:rFonts w:hint="eastAsia" w:ascii="宋体" w:hAnsi="宋体" w:cs="宋体"/>
          <w:b/>
          <w:sz w:val="28"/>
          <w:szCs w:val="28"/>
          <w:lang w:eastAsia="zh-TW"/>
        </w:rPr>
        <w:t>授予合同</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合同的订立</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除非</w:t>
      </w:r>
      <w:r>
        <w:rPr>
          <w:rFonts w:hint="eastAsia" w:ascii="宋体" w:hAnsi="宋体" w:cs="宋体"/>
          <w:b/>
          <w:szCs w:val="21"/>
        </w:rPr>
        <w:t>“ 对通用条款的补充内容”</w:t>
      </w:r>
      <w:r>
        <w:rPr>
          <w:rFonts w:hint="eastAsia" w:ascii="宋体" w:hAnsi="宋体" w:cs="宋体"/>
          <w:szCs w:val="21"/>
        </w:rPr>
        <w:t>另有规定，招标人和中标人应当自中标通知书发出之日起十个工作日内，参照《中华人民共和国招标投标法》及其实施条例的规定签订书面合同，合同的标的、价款、质量、履行期限等主要条款应当与招标文件和中标人的投标文件的内容一致。招标人和中标人不得再行订立背离合同实质性内容的其他协议。</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履约保证金(若有)</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lang w:eastAsia="zh-TW"/>
        </w:rPr>
        <w:t>中标人</w:t>
      </w:r>
      <w:r>
        <w:rPr>
          <w:rFonts w:hint="eastAsia" w:ascii="宋体" w:hAnsi="宋体" w:cs="宋体"/>
          <w:szCs w:val="21"/>
        </w:rPr>
        <w:t>应按照</w:t>
      </w:r>
      <w:r>
        <w:rPr>
          <w:rFonts w:hint="eastAsia" w:ascii="宋体" w:hAnsi="宋体" w:cs="宋体"/>
          <w:b/>
          <w:szCs w:val="21"/>
        </w:rPr>
        <w:t>招标文件</w:t>
      </w:r>
      <w:r>
        <w:rPr>
          <w:rFonts w:hint="eastAsia" w:ascii="宋体" w:hAnsi="宋体" w:cs="宋体"/>
          <w:szCs w:val="21"/>
        </w:rPr>
        <w:t>规定的金额，采用招标人可以接受的形式向招标人提交履约保证金。</w:t>
      </w:r>
    </w:p>
    <w:p>
      <w:pPr>
        <w:numPr>
          <w:ilvl w:val="0"/>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b/>
          <w:bCs/>
          <w:szCs w:val="21"/>
        </w:rPr>
        <w:t>招标代理服务费</w:t>
      </w:r>
    </w:p>
    <w:p>
      <w:pPr>
        <w:numPr>
          <w:ilvl w:val="1"/>
          <w:numId w:val="8"/>
        </w:num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rPr>
        <w:t>中标人应按照招标文件的规定缴纳招标代理服务费。</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服务费按差额定率累进法计算。</w:t>
      </w:r>
    </w:p>
    <w:tbl>
      <w:tblPr>
        <w:tblStyle w:val="5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30" w:type="dxa"/>
            <w:vAlign w:val="center"/>
          </w:tcPr>
          <w:p>
            <w:pPr>
              <w:spacing w:line="360" w:lineRule="auto"/>
              <w:jc w:val="right"/>
              <w:rPr>
                <w:rFonts w:hint="eastAsia" w:ascii="宋体" w:hAnsi="宋体" w:cs="宋体"/>
                <w:bCs/>
                <w:szCs w:val="21"/>
              </w:rPr>
            </w:pPr>
            <w:r>
              <w:rPr>
                <w:rFonts w:hint="eastAsia" w:ascii="宋体" w:hAnsi="宋体" w:cs="宋体"/>
                <w:bCs/>
                <w:szCs w:val="21"/>
              </w:rPr>
              <w:t>服务类型</w:t>
            </w:r>
          </w:p>
          <w:p>
            <w:pPr>
              <w:spacing w:line="360" w:lineRule="auto"/>
              <w:rPr>
                <w:rFonts w:hint="eastAsia" w:ascii="宋体" w:hAnsi="宋体" w:cs="宋体"/>
                <w:bCs/>
                <w:szCs w:val="21"/>
              </w:rPr>
            </w:pPr>
            <w:r>
              <w:rPr>
                <w:rFonts w:hint="eastAsia" w:ascii="宋体" w:hAnsi="宋体" w:cs="宋体"/>
                <w:bCs/>
                <w:szCs w:val="21"/>
              </w:rPr>
              <w:t>取费基准（万元）</w:t>
            </w:r>
          </w:p>
        </w:tc>
        <w:tc>
          <w:tcPr>
            <w:tcW w:w="2130" w:type="dxa"/>
            <w:vAlign w:val="center"/>
          </w:tcPr>
          <w:p>
            <w:pPr>
              <w:spacing w:line="360" w:lineRule="auto"/>
              <w:jc w:val="center"/>
              <w:rPr>
                <w:rFonts w:hint="eastAsia" w:ascii="宋体" w:hAnsi="宋体" w:cs="宋体"/>
                <w:bCs/>
                <w:szCs w:val="21"/>
              </w:rPr>
            </w:pPr>
            <w:r>
              <w:rPr>
                <w:rFonts w:hint="eastAsia" w:ascii="宋体" w:hAnsi="宋体" w:cs="宋体"/>
                <w:bCs/>
                <w:szCs w:val="21"/>
              </w:rPr>
              <w:t>货物招标</w:t>
            </w:r>
          </w:p>
        </w:tc>
        <w:tc>
          <w:tcPr>
            <w:tcW w:w="2131" w:type="dxa"/>
            <w:vAlign w:val="center"/>
          </w:tcPr>
          <w:p>
            <w:pPr>
              <w:spacing w:line="360" w:lineRule="auto"/>
              <w:jc w:val="center"/>
              <w:rPr>
                <w:rFonts w:hint="eastAsia" w:ascii="宋体" w:hAnsi="宋体" w:cs="宋体"/>
                <w:bCs/>
                <w:szCs w:val="21"/>
              </w:rPr>
            </w:pPr>
            <w:r>
              <w:rPr>
                <w:rFonts w:hint="eastAsia" w:ascii="宋体" w:hAnsi="宋体" w:cs="宋体"/>
                <w:bCs/>
                <w:szCs w:val="21"/>
              </w:rPr>
              <w:t>服务招标</w:t>
            </w:r>
          </w:p>
        </w:tc>
        <w:tc>
          <w:tcPr>
            <w:tcW w:w="2131" w:type="dxa"/>
            <w:vAlign w:val="center"/>
          </w:tcPr>
          <w:p>
            <w:pPr>
              <w:spacing w:line="360" w:lineRule="auto"/>
              <w:jc w:val="center"/>
              <w:rPr>
                <w:rFonts w:hint="eastAsia" w:ascii="宋体" w:hAnsi="宋体" w:cs="宋体"/>
                <w:bCs/>
                <w:szCs w:val="21"/>
              </w:rPr>
            </w:pPr>
            <w:r>
              <w:rPr>
                <w:rFonts w:hint="eastAsia" w:ascii="宋体" w:hAnsi="宋体" w:cs="宋体"/>
                <w:bCs/>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bCs/>
                <w:szCs w:val="21"/>
              </w:rPr>
            </w:pPr>
            <w:r>
              <w:rPr>
                <w:rFonts w:hint="eastAsia" w:ascii="宋体" w:hAnsi="宋体" w:cs="宋体"/>
                <w:bCs/>
                <w:szCs w:val="21"/>
              </w:rPr>
              <w:t>100以下</w:t>
            </w:r>
          </w:p>
        </w:tc>
        <w:tc>
          <w:tcPr>
            <w:tcW w:w="2130" w:type="dxa"/>
          </w:tcPr>
          <w:p>
            <w:pPr>
              <w:spacing w:line="360" w:lineRule="auto"/>
              <w:rPr>
                <w:rFonts w:hint="eastAsia" w:ascii="宋体" w:hAnsi="宋体" w:cs="宋体"/>
                <w:bCs/>
                <w:szCs w:val="21"/>
              </w:rPr>
            </w:pPr>
            <w:r>
              <w:rPr>
                <w:rFonts w:hint="eastAsia" w:ascii="宋体" w:hAnsi="宋体" w:cs="宋体"/>
                <w:bCs/>
                <w:szCs w:val="21"/>
              </w:rPr>
              <w:t>1.5%</w:t>
            </w:r>
          </w:p>
        </w:tc>
        <w:tc>
          <w:tcPr>
            <w:tcW w:w="2131" w:type="dxa"/>
          </w:tcPr>
          <w:p>
            <w:pPr>
              <w:spacing w:line="360" w:lineRule="auto"/>
              <w:rPr>
                <w:rFonts w:hint="eastAsia" w:ascii="宋体" w:hAnsi="宋体" w:cs="宋体"/>
                <w:bCs/>
                <w:szCs w:val="21"/>
              </w:rPr>
            </w:pPr>
            <w:r>
              <w:rPr>
                <w:rFonts w:hint="eastAsia" w:ascii="宋体" w:hAnsi="宋体" w:cs="宋体"/>
                <w:bCs/>
                <w:szCs w:val="21"/>
              </w:rPr>
              <w:t>1.5%</w:t>
            </w:r>
          </w:p>
        </w:tc>
        <w:tc>
          <w:tcPr>
            <w:tcW w:w="2131" w:type="dxa"/>
          </w:tcPr>
          <w:p>
            <w:pPr>
              <w:spacing w:line="360" w:lineRule="auto"/>
              <w:rPr>
                <w:rFonts w:hint="eastAsia"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bCs/>
                <w:szCs w:val="21"/>
              </w:rPr>
            </w:pPr>
            <w:r>
              <w:rPr>
                <w:rFonts w:hint="eastAsia" w:ascii="宋体" w:hAnsi="宋体" w:cs="宋体"/>
                <w:bCs/>
                <w:szCs w:val="21"/>
              </w:rPr>
              <w:t>100-500</w:t>
            </w:r>
          </w:p>
        </w:tc>
        <w:tc>
          <w:tcPr>
            <w:tcW w:w="2130" w:type="dxa"/>
          </w:tcPr>
          <w:p>
            <w:pPr>
              <w:spacing w:line="360" w:lineRule="auto"/>
              <w:rPr>
                <w:rFonts w:hint="eastAsia" w:ascii="宋体" w:hAnsi="宋体" w:cs="宋体"/>
                <w:bCs/>
                <w:szCs w:val="21"/>
              </w:rPr>
            </w:pPr>
            <w:r>
              <w:rPr>
                <w:rFonts w:hint="eastAsia" w:ascii="宋体" w:hAnsi="宋体" w:cs="宋体"/>
                <w:bCs/>
                <w:szCs w:val="21"/>
              </w:rPr>
              <w:t>1.1%</w:t>
            </w:r>
          </w:p>
        </w:tc>
        <w:tc>
          <w:tcPr>
            <w:tcW w:w="2131" w:type="dxa"/>
          </w:tcPr>
          <w:p>
            <w:pPr>
              <w:spacing w:line="360" w:lineRule="auto"/>
              <w:rPr>
                <w:rFonts w:hint="eastAsia" w:ascii="宋体" w:hAnsi="宋体" w:cs="宋体"/>
                <w:bCs/>
                <w:szCs w:val="21"/>
              </w:rPr>
            </w:pPr>
            <w:r>
              <w:rPr>
                <w:rFonts w:hint="eastAsia" w:ascii="宋体" w:hAnsi="宋体" w:cs="宋体"/>
                <w:bCs/>
                <w:szCs w:val="21"/>
              </w:rPr>
              <w:t>0.8%</w:t>
            </w:r>
          </w:p>
        </w:tc>
        <w:tc>
          <w:tcPr>
            <w:tcW w:w="2131" w:type="dxa"/>
          </w:tcPr>
          <w:p>
            <w:pPr>
              <w:spacing w:line="360" w:lineRule="auto"/>
              <w:rPr>
                <w:rFonts w:hint="eastAsia"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bCs/>
                <w:szCs w:val="21"/>
              </w:rPr>
            </w:pPr>
            <w:r>
              <w:rPr>
                <w:rFonts w:hint="eastAsia" w:ascii="宋体" w:hAnsi="宋体" w:cs="宋体"/>
                <w:bCs/>
                <w:szCs w:val="21"/>
              </w:rPr>
              <w:t>500-1000</w:t>
            </w:r>
          </w:p>
        </w:tc>
        <w:tc>
          <w:tcPr>
            <w:tcW w:w="2130" w:type="dxa"/>
          </w:tcPr>
          <w:p>
            <w:pPr>
              <w:spacing w:line="360" w:lineRule="auto"/>
              <w:rPr>
                <w:rFonts w:hint="eastAsia" w:ascii="宋体" w:hAnsi="宋体" w:cs="宋体"/>
                <w:bCs/>
                <w:szCs w:val="21"/>
              </w:rPr>
            </w:pPr>
            <w:r>
              <w:rPr>
                <w:rFonts w:hint="eastAsia" w:ascii="宋体" w:hAnsi="宋体" w:cs="宋体"/>
                <w:bCs/>
                <w:szCs w:val="21"/>
              </w:rPr>
              <w:t>0.8%</w:t>
            </w:r>
          </w:p>
        </w:tc>
        <w:tc>
          <w:tcPr>
            <w:tcW w:w="2131" w:type="dxa"/>
          </w:tcPr>
          <w:p>
            <w:pPr>
              <w:spacing w:line="360" w:lineRule="auto"/>
              <w:rPr>
                <w:rFonts w:hint="eastAsia" w:ascii="宋体" w:hAnsi="宋体" w:cs="宋体"/>
                <w:bCs/>
                <w:szCs w:val="21"/>
              </w:rPr>
            </w:pPr>
            <w:r>
              <w:rPr>
                <w:rFonts w:hint="eastAsia" w:ascii="宋体" w:hAnsi="宋体" w:cs="宋体"/>
                <w:bCs/>
                <w:szCs w:val="21"/>
              </w:rPr>
              <w:t>0.45%</w:t>
            </w:r>
          </w:p>
        </w:tc>
        <w:tc>
          <w:tcPr>
            <w:tcW w:w="2131" w:type="dxa"/>
          </w:tcPr>
          <w:p>
            <w:pPr>
              <w:spacing w:line="360" w:lineRule="auto"/>
              <w:rPr>
                <w:rFonts w:hint="eastAsia" w:ascii="宋体" w:hAnsi="宋体" w:cs="宋体"/>
                <w:bCs/>
                <w:szCs w:val="21"/>
              </w:rPr>
            </w:pPr>
            <w:r>
              <w:rPr>
                <w:rFonts w:hint="eastAsia" w:ascii="宋体" w:hAnsi="宋体" w:cs="宋体"/>
                <w:bCs/>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bCs/>
                <w:szCs w:val="21"/>
              </w:rPr>
            </w:pPr>
            <w:r>
              <w:rPr>
                <w:rFonts w:hint="eastAsia" w:ascii="宋体" w:hAnsi="宋体" w:cs="宋体"/>
                <w:bCs/>
                <w:szCs w:val="21"/>
              </w:rPr>
              <w:t>1000-5000</w:t>
            </w:r>
          </w:p>
        </w:tc>
        <w:tc>
          <w:tcPr>
            <w:tcW w:w="2130" w:type="dxa"/>
          </w:tcPr>
          <w:p>
            <w:pPr>
              <w:spacing w:line="360" w:lineRule="auto"/>
              <w:rPr>
                <w:rFonts w:hint="eastAsia" w:ascii="宋体" w:hAnsi="宋体" w:cs="宋体"/>
                <w:bCs/>
                <w:szCs w:val="21"/>
              </w:rPr>
            </w:pPr>
            <w:r>
              <w:rPr>
                <w:rFonts w:hint="eastAsia" w:ascii="宋体" w:hAnsi="宋体" w:cs="宋体"/>
                <w:bCs/>
                <w:szCs w:val="21"/>
              </w:rPr>
              <w:t>0.5%</w:t>
            </w:r>
          </w:p>
        </w:tc>
        <w:tc>
          <w:tcPr>
            <w:tcW w:w="2131" w:type="dxa"/>
          </w:tcPr>
          <w:p>
            <w:pPr>
              <w:spacing w:line="360" w:lineRule="auto"/>
              <w:rPr>
                <w:rFonts w:hint="eastAsia" w:ascii="宋体" w:hAnsi="宋体" w:cs="宋体"/>
                <w:bCs/>
                <w:szCs w:val="21"/>
              </w:rPr>
            </w:pPr>
            <w:r>
              <w:rPr>
                <w:rFonts w:hint="eastAsia" w:ascii="宋体" w:hAnsi="宋体" w:cs="宋体"/>
                <w:bCs/>
                <w:szCs w:val="21"/>
              </w:rPr>
              <w:t>0.25%</w:t>
            </w:r>
          </w:p>
        </w:tc>
        <w:tc>
          <w:tcPr>
            <w:tcW w:w="2131" w:type="dxa"/>
          </w:tcPr>
          <w:p>
            <w:pPr>
              <w:spacing w:line="360" w:lineRule="auto"/>
              <w:rPr>
                <w:rFonts w:hint="eastAsia" w:ascii="宋体" w:hAnsi="宋体" w:cs="宋体"/>
                <w:bCs/>
                <w:szCs w:val="21"/>
              </w:rPr>
            </w:pPr>
            <w:r>
              <w:rPr>
                <w:rFonts w:hint="eastAsia" w:ascii="宋体" w:hAnsi="宋体" w:cs="宋体"/>
                <w:bCs/>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bCs/>
                <w:szCs w:val="21"/>
              </w:rPr>
            </w:pPr>
            <w:r>
              <w:rPr>
                <w:rFonts w:hint="eastAsia" w:ascii="宋体" w:hAnsi="宋体" w:cs="宋体"/>
                <w:bCs/>
                <w:szCs w:val="21"/>
              </w:rPr>
              <w:t>5000-10000</w:t>
            </w:r>
          </w:p>
        </w:tc>
        <w:tc>
          <w:tcPr>
            <w:tcW w:w="2130" w:type="dxa"/>
          </w:tcPr>
          <w:p>
            <w:pPr>
              <w:spacing w:line="360" w:lineRule="auto"/>
              <w:rPr>
                <w:rFonts w:hint="eastAsia" w:ascii="宋体" w:hAnsi="宋体" w:cs="宋体"/>
                <w:bCs/>
                <w:szCs w:val="21"/>
              </w:rPr>
            </w:pPr>
            <w:r>
              <w:rPr>
                <w:rFonts w:hint="eastAsia" w:ascii="宋体" w:hAnsi="宋体" w:cs="宋体"/>
                <w:bCs/>
                <w:szCs w:val="21"/>
              </w:rPr>
              <w:t>0.25%</w:t>
            </w:r>
          </w:p>
        </w:tc>
        <w:tc>
          <w:tcPr>
            <w:tcW w:w="2131" w:type="dxa"/>
          </w:tcPr>
          <w:p>
            <w:pPr>
              <w:spacing w:line="360" w:lineRule="auto"/>
              <w:rPr>
                <w:rFonts w:hint="eastAsia" w:ascii="宋体" w:hAnsi="宋体" w:cs="宋体"/>
                <w:bCs/>
                <w:szCs w:val="21"/>
              </w:rPr>
            </w:pPr>
            <w:r>
              <w:rPr>
                <w:rFonts w:hint="eastAsia" w:ascii="宋体" w:hAnsi="宋体" w:cs="宋体"/>
                <w:bCs/>
                <w:szCs w:val="21"/>
              </w:rPr>
              <w:t>0.1%</w:t>
            </w:r>
          </w:p>
        </w:tc>
        <w:tc>
          <w:tcPr>
            <w:tcW w:w="2131" w:type="dxa"/>
          </w:tcPr>
          <w:p>
            <w:pPr>
              <w:spacing w:line="360" w:lineRule="auto"/>
              <w:rPr>
                <w:rFonts w:hint="eastAsia" w:ascii="宋体" w:hAnsi="宋体" w:cs="宋体"/>
                <w:bCs/>
                <w:szCs w:val="21"/>
              </w:rPr>
            </w:pPr>
            <w:r>
              <w:rPr>
                <w:rFonts w:hint="eastAsia" w:ascii="宋体" w:hAnsi="宋体" w:cs="宋体"/>
                <w:bCs/>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bCs/>
                <w:szCs w:val="21"/>
              </w:rPr>
            </w:pPr>
            <w:r>
              <w:rPr>
                <w:rFonts w:hint="eastAsia" w:ascii="宋体" w:hAnsi="宋体" w:cs="宋体"/>
                <w:bCs/>
                <w:szCs w:val="21"/>
              </w:rPr>
              <w:t>10000-100000</w:t>
            </w:r>
          </w:p>
        </w:tc>
        <w:tc>
          <w:tcPr>
            <w:tcW w:w="2130" w:type="dxa"/>
          </w:tcPr>
          <w:p>
            <w:pPr>
              <w:spacing w:line="360" w:lineRule="auto"/>
              <w:rPr>
                <w:rFonts w:hint="eastAsia" w:ascii="宋体" w:hAnsi="宋体" w:cs="宋体"/>
                <w:bCs/>
                <w:szCs w:val="21"/>
              </w:rPr>
            </w:pPr>
            <w:r>
              <w:rPr>
                <w:rFonts w:hint="eastAsia" w:ascii="宋体" w:hAnsi="宋体" w:cs="宋体"/>
                <w:bCs/>
                <w:szCs w:val="21"/>
              </w:rPr>
              <w:t>0.05%</w:t>
            </w:r>
          </w:p>
        </w:tc>
        <w:tc>
          <w:tcPr>
            <w:tcW w:w="2131" w:type="dxa"/>
          </w:tcPr>
          <w:p>
            <w:pPr>
              <w:spacing w:line="360" w:lineRule="auto"/>
              <w:rPr>
                <w:rFonts w:hint="eastAsia" w:ascii="宋体" w:hAnsi="宋体" w:cs="宋体"/>
                <w:bCs/>
                <w:szCs w:val="21"/>
              </w:rPr>
            </w:pPr>
            <w:r>
              <w:rPr>
                <w:rFonts w:hint="eastAsia" w:ascii="宋体" w:hAnsi="宋体" w:cs="宋体"/>
                <w:bCs/>
                <w:szCs w:val="21"/>
              </w:rPr>
              <w:t>0.05%</w:t>
            </w:r>
          </w:p>
        </w:tc>
        <w:tc>
          <w:tcPr>
            <w:tcW w:w="2131" w:type="dxa"/>
          </w:tcPr>
          <w:p>
            <w:pPr>
              <w:spacing w:line="360" w:lineRule="auto"/>
              <w:rPr>
                <w:rFonts w:hint="eastAsia" w:ascii="宋体" w:hAnsi="宋体" w:cs="宋体"/>
                <w:bCs/>
                <w:szCs w:val="21"/>
              </w:rPr>
            </w:pPr>
            <w:r>
              <w:rPr>
                <w:rFonts w:hint="eastAsia" w:ascii="宋体" w:hAnsi="宋体" w:cs="宋体"/>
                <w:bCs/>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bCs/>
                <w:szCs w:val="21"/>
              </w:rPr>
            </w:pPr>
            <w:r>
              <w:rPr>
                <w:rFonts w:hint="eastAsia" w:ascii="宋体" w:hAnsi="宋体" w:cs="宋体"/>
                <w:bCs/>
                <w:szCs w:val="21"/>
              </w:rPr>
              <w:t>100000以上</w:t>
            </w:r>
          </w:p>
        </w:tc>
        <w:tc>
          <w:tcPr>
            <w:tcW w:w="2130" w:type="dxa"/>
          </w:tcPr>
          <w:p>
            <w:pPr>
              <w:spacing w:line="360" w:lineRule="auto"/>
              <w:rPr>
                <w:rFonts w:hint="eastAsia" w:ascii="宋体" w:hAnsi="宋体" w:cs="宋体"/>
                <w:bCs/>
                <w:szCs w:val="21"/>
              </w:rPr>
            </w:pPr>
            <w:r>
              <w:rPr>
                <w:rFonts w:hint="eastAsia" w:ascii="宋体" w:hAnsi="宋体" w:cs="宋体"/>
                <w:bCs/>
                <w:szCs w:val="21"/>
              </w:rPr>
              <w:t>0.01%</w:t>
            </w:r>
          </w:p>
        </w:tc>
        <w:tc>
          <w:tcPr>
            <w:tcW w:w="2131" w:type="dxa"/>
          </w:tcPr>
          <w:p>
            <w:pPr>
              <w:spacing w:line="360" w:lineRule="auto"/>
              <w:rPr>
                <w:rFonts w:hint="eastAsia" w:ascii="宋体" w:hAnsi="宋体" w:cs="宋体"/>
                <w:bCs/>
                <w:szCs w:val="21"/>
              </w:rPr>
            </w:pPr>
            <w:r>
              <w:rPr>
                <w:rFonts w:hint="eastAsia" w:ascii="宋体" w:hAnsi="宋体" w:cs="宋体"/>
                <w:bCs/>
                <w:szCs w:val="21"/>
              </w:rPr>
              <w:t>0.01%</w:t>
            </w:r>
          </w:p>
        </w:tc>
        <w:tc>
          <w:tcPr>
            <w:tcW w:w="2131" w:type="dxa"/>
          </w:tcPr>
          <w:p>
            <w:pPr>
              <w:spacing w:line="360" w:lineRule="auto"/>
              <w:rPr>
                <w:rFonts w:hint="eastAsia" w:ascii="宋体" w:hAnsi="宋体" w:cs="宋体"/>
                <w:bCs/>
                <w:szCs w:val="21"/>
              </w:rPr>
            </w:pPr>
            <w:r>
              <w:rPr>
                <w:rFonts w:hint="eastAsia" w:ascii="宋体" w:hAnsi="宋体" w:cs="宋体"/>
                <w:bCs/>
                <w:szCs w:val="21"/>
              </w:rPr>
              <w:t>0.01%</w:t>
            </w:r>
          </w:p>
        </w:tc>
      </w:tr>
    </w:tbl>
    <w:p>
      <w:pPr>
        <w:snapToGrid w:val="0"/>
        <w:spacing w:line="360" w:lineRule="auto"/>
        <w:ind w:left="644"/>
        <w:rPr>
          <w:rFonts w:hint="eastAsia" w:ascii="宋体" w:hAnsi="宋体" w:cs="宋体"/>
          <w:szCs w:val="21"/>
        </w:rPr>
      </w:pPr>
    </w:p>
    <w:p>
      <w:pPr>
        <w:snapToGrid w:val="0"/>
        <w:spacing w:line="360" w:lineRule="auto"/>
        <w:jc w:val="center"/>
        <w:rPr>
          <w:rFonts w:hint="eastAsia" w:ascii="宋体" w:hAnsi="宋体" w:cs="宋体"/>
          <w:b/>
          <w:sz w:val="28"/>
          <w:szCs w:val="28"/>
        </w:rPr>
      </w:pPr>
      <w:r>
        <w:rPr>
          <w:rFonts w:hint="eastAsia" w:ascii="宋体" w:hAnsi="宋体" w:cs="宋体"/>
          <w:b/>
          <w:sz w:val="28"/>
          <w:szCs w:val="28"/>
        </w:rPr>
        <w:t>第六章、 其他</w:t>
      </w:r>
    </w:p>
    <w:p>
      <w:pPr>
        <w:pStyle w:val="83"/>
        <w:widowControl/>
        <w:numPr>
          <w:ilvl w:val="0"/>
          <w:numId w:val="8"/>
        </w:numPr>
        <w:autoSpaceDE w:val="0"/>
        <w:autoSpaceDN w:val="0"/>
        <w:adjustRightInd w:val="0"/>
        <w:spacing w:line="360" w:lineRule="auto"/>
        <w:ind w:firstLineChars="0"/>
        <w:jc w:val="left"/>
        <w:rPr>
          <w:rFonts w:hint="eastAsia" w:ascii="宋体" w:hAnsi="宋体" w:cs="宋体"/>
          <w:szCs w:val="21"/>
        </w:rPr>
      </w:pPr>
      <w:r>
        <w:rPr>
          <w:rFonts w:hint="eastAsia" w:ascii="宋体" w:hAnsi="宋体" w:cs="宋体"/>
          <w:szCs w:val="21"/>
        </w:rPr>
        <w:t>有下列情形之一的，属于投标人相互串通投标：</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投标人之间协商投标报价等投标文件的实质性内容；</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投标人之间约定中标人；</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投标人之间约定部分投标人放弃投标或者中标；</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属于同一集团、协会、商会等组织成员的投标人按照该组织要求协同投标；</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投标人之间为谋取中标或者排斥特定投标人而采取的其他联合行动</w:t>
      </w:r>
    </w:p>
    <w:p>
      <w:pPr>
        <w:pStyle w:val="83"/>
        <w:widowControl/>
        <w:numPr>
          <w:ilvl w:val="0"/>
          <w:numId w:val="8"/>
        </w:numPr>
        <w:autoSpaceDE w:val="0"/>
        <w:autoSpaceDN w:val="0"/>
        <w:adjustRightInd w:val="0"/>
        <w:spacing w:line="360" w:lineRule="auto"/>
        <w:ind w:firstLineChars="0"/>
        <w:jc w:val="left"/>
        <w:rPr>
          <w:rFonts w:hint="eastAsia" w:ascii="宋体" w:hAnsi="宋体" w:cs="宋体"/>
          <w:szCs w:val="21"/>
        </w:rPr>
      </w:pPr>
      <w:r>
        <w:rPr>
          <w:rFonts w:hint="eastAsia" w:ascii="宋体" w:hAnsi="宋体" w:cs="宋体"/>
          <w:szCs w:val="21"/>
        </w:rPr>
        <w:t>有下列情形之一的，视为投标人串通投标，其投标无效：</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不同投标人的投标文件由同一单位或者个人编制；</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不同投标人委托同一单位或者个人办理投标事宜；</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不同投标人的投标文件载明的项目管理成员或者联系人员为同一人；</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不同投标人的投标文件异常一致或者投标报价呈规律性差异；</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不同投标人的投标文件相互混装；</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不同投标人的投标保证金从同一单位或者个人的账户转出。</w:t>
      </w:r>
    </w:p>
    <w:p>
      <w:pPr>
        <w:pStyle w:val="83"/>
        <w:widowControl/>
        <w:numPr>
          <w:ilvl w:val="0"/>
          <w:numId w:val="8"/>
        </w:numPr>
        <w:autoSpaceDE w:val="0"/>
        <w:autoSpaceDN w:val="0"/>
        <w:adjustRightInd w:val="0"/>
        <w:spacing w:line="360" w:lineRule="auto"/>
        <w:ind w:firstLineChars="0"/>
        <w:jc w:val="left"/>
        <w:rPr>
          <w:rFonts w:hint="eastAsia" w:ascii="宋体" w:hAnsi="宋体" w:cs="宋体"/>
          <w:szCs w:val="21"/>
        </w:rPr>
      </w:pPr>
      <w:r>
        <w:rPr>
          <w:rFonts w:hint="eastAsia" w:ascii="宋体" w:hAnsi="宋体" w:cs="宋体"/>
          <w:szCs w:val="21"/>
        </w:rPr>
        <w:t>有下列情形之一的，评标委员会应当否决其投标：</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投标文件未经投标单位盖章和单位负责人签字；</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投标联合体没有提交共同投标协议；</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投标人不符合国家或者招标文件规定的资格条件；</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同一投标人提交两个以上不同的投标文件或者投标报价，但招标文件要求提交备选投标的除外；</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投标报价低于成本或者高于招标文件设定的最高投标限价；</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投标文件没有对招标文件的实质性要求和条件作出响应；</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投标人有串通投标、弄虚作假、行贿等违法行为；</w:t>
      </w:r>
    </w:p>
    <w:p>
      <w:pPr>
        <w:pStyle w:val="83"/>
        <w:widowControl/>
        <w:numPr>
          <w:ilvl w:val="0"/>
          <w:numId w:val="8"/>
        </w:numPr>
        <w:autoSpaceDE w:val="0"/>
        <w:autoSpaceDN w:val="0"/>
        <w:adjustRightInd w:val="0"/>
        <w:spacing w:line="360" w:lineRule="auto"/>
        <w:ind w:firstLineChars="0"/>
        <w:jc w:val="left"/>
        <w:rPr>
          <w:rFonts w:hint="eastAsia" w:ascii="宋体" w:hAnsi="宋体" w:cs="宋体"/>
          <w:szCs w:val="21"/>
        </w:rPr>
      </w:pPr>
      <w:r>
        <w:rPr>
          <w:rFonts w:hint="eastAsia" w:ascii="宋体" w:hAnsi="宋体" w:cs="宋体"/>
          <w:szCs w:val="21"/>
        </w:rPr>
        <w:t>投标人存在下列情况之一的，投标无效:</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未按照招标文件的规定提交投标保证金的；</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投标文件未按招标文件要求签署、盖章的；</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不具备招标文件中规定的资格要求的；</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报价超过招标文件中规定的预算金额或者最高限价的；</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投标文件含有招标人不能接受的附加条件的;</w:t>
      </w:r>
    </w:p>
    <w:p>
      <w:pPr>
        <w:numPr>
          <w:ilvl w:val="1"/>
          <w:numId w:val="8"/>
        </w:numPr>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法律、法规和招标文件规定的其他无效情形。</w:t>
      </w:r>
    </w:p>
    <w:p>
      <w:pPr>
        <w:pStyle w:val="42"/>
        <w:adjustRightInd w:val="0"/>
        <w:snapToGrid w:val="0"/>
        <w:spacing w:line="360" w:lineRule="auto"/>
        <w:outlineLvl w:val="3"/>
        <w:rPr>
          <w:rFonts w:hint="eastAsia" w:ascii="宋体" w:hAnsi="宋体" w:cs="宋体"/>
          <w:sz w:val="21"/>
          <w:szCs w:val="21"/>
        </w:rPr>
      </w:pPr>
      <w:r>
        <w:rPr>
          <w:rFonts w:hint="eastAsia" w:ascii="宋体" w:hAnsi="宋体" w:cs="宋体"/>
          <w:sz w:val="21"/>
          <w:szCs w:val="21"/>
        </w:rPr>
        <w:br w:type="page"/>
      </w:r>
      <w:r>
        <w:rPr>
          <w:rFonts w:hint="eastAsia" w:ascii="宋体" w:hAnsi="宋体" w:cs="宋体"/>
          <w:sz w:val="21"/>
          <w:szCs w:val="21"/>
        </w:rPr>
        <w:t>2：异议函格式</w:t>
      </w:r>
    </w:p>
    <w:p>
      <w:pPr>
        <w:jc w:val="center"/>
        <w:rPr>
          <w:rFonts w:hint="eastAsia" w:ascii="宋体" w:hAnsi="宋体" w:cs="宋体"/>
          <w:b/>
          <w:bCs/>
          <w:szCs w:val="21"/>
        </w:rPr>
      </w:pPr>
      <w:r>
        <w:rPr>
          <w:rFonts w:hint="eastAsia" w:ascii="宋体" w:hAnsi="宋体" w:cs="宋体"/>
          <w:b/>
          <w:bCs/>
          <w:szCs w:val="21"/>
        </w:rPr>
        <w:t>异议函范本</w:t>
      </w:r>
    </w:p>
    <w:p>
      <w:pPr>
        <w:snapToGrid w:val="0"/>
        <w:spacing w:before="312" w:beforeLines="100" w:line="360" w:lineRule="auto"/>
        <w:rPr>
          <w:rFonts w:hint="eastAsia" w:ascii="宋体" w:hAnsi="宋体" w:cs="宋体"/>
          <w:bCs/>
          <w:szCs w:val="21"/>
        </w:rPr>
      </w:pPr>
      <w:r>
        <w:rPr>
          <w:rFonts w:hint="eastAsia" w:ascii="宋体" w:hAnsi="宋体" w:cs="宋体"/>
          <w:bCs/>
          <w:szCs w:val="21"/>
        </w:rPr>
        <w:t>一、异议供应商基本信息</w:t>
      </w:r>
    </w:p>
    <w:p>
      <w:pPr>
        <w:snapToGrid w:val="0"/>
        <w:spacing w:line="360" w:lineRule="auto"/>
        <w:rPr>
          <w:rFonts w:hint="eastAsia" w:ascii="宋体" w:hAnsi="宋体" w:cs="宋体"/>
          <w:szCs w:val="21"/>
          <w:u w:val="dotted"/>
        </w:rPr>
      </w:pPr>
      <w:r>
        <w:rPr>
          <w:rFonts w:hint="eastAsia" w:ascii="宋体" w:hAnsi="宋体" w:cs="宋体"/>
          <w:szCs w:val="21"/>
        </w:rPr>
        <w:t>异议供应商：</w:t>
      </w:r>
    </w:p>
    <w:p>
      <w:pPr>
        <w:snapToGrid w:val="0"/>
        <w:spacing w:line="360" w:lineRule="auto"/>
        <w:rPr>
          <w:rFonts w:hint="eastAsia" w:ascii="宋体" w:hAnsi="宋体" w:cs="宋体"/>
          <w:szCs w:val="21"/>
        </w:rPr>
      </w:pPr>
      <w:r>
        <w:rPr>
          <w:rFonts w:hint="eastAsia" w:ascii="宋体" w:hAnsi="宋体" w:cs="宋体"/>
          <w:szCs w:val="21"/>
        </w:rPr>
        <w:t>地址：邮编：</w:t>
      </w:r>
    </w:p>
    <w:p>
      <w:pPr>
        <w:snapToGrid w:val="0"/>
        <w:spacing w:line="360" w:lineRule="auto"/>
        <w:rPr>
          <w:rFonts w:hint="eastAsia" w:ascii="宋体" w:hAnsi="宋体" w:cs="宋体"/>
          <w:szCs w:val="21"/>
        </w:rPr>
      </w:pPr>
      <w:r>
        <w:rPr>
          <w:rFonts w:hint="eastAsia" w:ascii="宋体" w:hAnsi="宋体" w:cs="宋体"/>
          <w:szCs w:val="21"/>
        </w:rPr>
        <w:t>联系人：联系电话：</w:t>
      </w:r>
    </w:p>
    <w:p>
      <w:pPr>
        <w:snapToGrid w:val="0"/>
        <w:spacing w:line="360" w:lineRule="auto"/>
        <w:rPr>
          <w:rFonts w:hint="eastAsia" w:ascii="宋体" w:hAnsi="宋体" w:cs="宋体"/>
          <w:szCs w:val="21"/>
          <w:u w:val="dotted"/>
        </w:rPr>
      </w:pPr>
      <w:r>
        <w:rPr>
          <w:rFonts w:hint="eastAsia" w:ascii="宋体" w:hAnsi="宋体" w:cs="宋体"/>
          <w:szCs w:val="21"/>
        </w:rPr>
        <w:t>授权代表：</w:t>
      </w:r>
    </w:p>
    <w:p>
      <w:pPr>
        <w:snapToGrid w:val="0"/>
        <w:spacing w:line="360" w:lineRule="auto"/>
        <w:rPr>
          <w:rFonts w:hint="eastAsia" w:ascii="宋体" w:hAnsi="宋体" w:cs="宋体"/>
          <w:szCs w:val="21"/>
        </w:rPr>
      </w:pPr>
      <w:r>
        <w:rPr>
          <w:rFonts w:hint="eastAsia" w:ascii="宋体" w:hAnsi="宋体" w:cs="宋体"/>
          <w:szCs w:val="21"/>
        </w:rPr>
        <w:t>联系电话：</w:t>
      </w:r>
    </w:p>
    <w:p>
      <w:pPr>
        <w:snapToGrid w:val="0"/>
        <w:spacing w:line="360" w:lineRule="auto"/>
        <w:rPr>
          <w:rFonts w:hint="eastAsia" w:ascii="宋体" w:hAnsi="宋体" w:cs="宋体"/>
          <w:szCs w:val="21"/>
        </w:rPr>
      </w:pPr>
      <w:r>
        <w:rPr>
          <w:rFonts w:hint="eastAsia" w:ascii="宋体" w:hAnsi="宋体" w:cs="宋体"/>
          <w:szCs w:val="21"/>
        </w:rPr>
        <w:t>地址：邮编：</w:t>
      </w:r>
    </w:p>
    <w:p>
      <w:pPr>
        <w:snapToGrid w:val="0"/>
        <w:spacing w:line="360" w:lineRule="auto"/>
        <w:rPr>
          <w:rFonts w:hint="eastAsia" w:ascii="宋体" w:hAnsi="宋体" w:cs="宋体"/>
          <w:bCs/>
          <w:szCs w:val="21"/>
        </w:rPr>
      </w:pPr>
      <w:r>
        <w:rPr>
          <w:rFonts w:hint="eastAsia" w:ascii="宋体" w:hAnsi="宋体" w:cs="宋体"/>
          <w:bCs/>
          <w:szCs w:val="21"/>
        </w:rPr>
        <w:t>二、异议项目基本情况</w:t>
      </w:r>
    </w:p>
    <w:p>
      <w:pPr>
        <w:snapToGrid w:val="0"/>
        <w:spacing w:line="360" w:lineRule="auto"/>
        <w:rPr>
          <w:rFonts w:hint="eastAsia" w:ascii="宋体" w:hAnsi="宋体" w:cs="宋体"/>
          <w:szCs w:val="21"/>
        </w:rPr>
      </w:pPr>
      <w:r>
        <w:rPr>
          <w:rFonts w:hint="eastAsia" w:ascii="宋体" w:hAnsi="宋体" w:cs="宋体"/>
          <w:szCs w:val="21"/>
        </w:rPr>
        <w:t>异议项目的名称：</w:t>
      </w:r>
    </w:p>
    <w:p>
      <w:pPr>
        <w:snapToGrid w:val="0"/>
        <w:spacing w:line="360" w:lineRule="auto"/>
        <w:rPr>
          <w:rFonts w:hint="eastAsia" w:ascii="宋体" w:hAnsi="宋体" w:cs="宋体"/>
          <w:szCs w:val="21"/>
        </w:rPr>
      </w:pPr>
      <w:r>
        <w:rPr>
          <w:rFonts w:hint="eastAsia" w:ascii="宋体" w:hAnsi="宋体" w:cs="宋体"/>
          <w:szCs w:val="21"/>
        </w:rPr>
        <w:t>异议项目的编号：包号：</w:t>
      </w:r>
    </w:p>
    <w:p>
      <w:pPr>
        <w:snapToGrid w:val="0"/>
        <w:spacing w:line="360" w:lineRule="auto"/>
        <w:rPr>
          <w:rFonts w:hint="eastAsia" w:ascii="宋体" w:hAnsi="宋体" w:cs="宋体"/>
          <w:szCs w:val="21"/>
          <w:u w:val="single"/>
        </w:rPr>
      </w:pPr>
      <w:r>
        <w:rPr>
          <w:rFonts w:hint="eastAsia" w:ascii="宋体" w:hAnsi="宋体" w:cs="宋体"/>
          <w:szCs w:val="21"/>
        </w:rPr>
        <w:t xml:space="preserve"> </w:t>
      </w:r>
    </w:p>
    <w:p>
      <w:pPr>
        <w:snapToGrid w:val="0"/>
        <w:spacing w:line="360" w:lineRule="auto"/>
        <w:rPr>
          <w:rFonts w:hint="eastAsia" w:ascii="宋体" w:hAnsi="宋体" w:cs="宋体"/>
          <w:szCs w:val="21"/>
          <w:u w:val="single"/>
        </w:rPr>
      </w:pPr>
      <w:r>
        <w:rPr>
          <w:rFonts w:hint="eastAsia" w:ascii="宋体" w:hAnsi="宋体" w:cs="宋体"/>
          <w:szCs w:val="21"/>
        </w:rPr>
        <w:t>招标文件获取日期：</w:t>
      </w:r>
    </w:p>
    <w:p>
      <w:pPr>
        <w:snapToGrid w:val="0"/>
        <w:spacing w:line="360" w:lineRule="auto"/>
        <w:rPr>
          <w:rFonts w:hint="eastAsia" w:ascii="宋体" w:hAnsi="宋体" w:cs="宋体"/>
          <w:bCs/>
          <w:szCs w:val="21"/>
        </w:rPr>
      </w:pPr>
      <w:r>
        <w:rPr>
          <w:rFonts w:hint="eastAsia" w:ascii="宋体" w:hAnsi="宋体" w:cs="宋体"/>
          <w:bCs/>
          <w:szCs w:val="21"/>
        </w:rPr>
        <w:t>三、异议事项具体内容</w:t>
      </w:r>
    </w:p>
    <w:p>
      <w:pPr>
        <w:snapToGrid w:val="0"/>
        <w:spacing w:line="360" w:lineRule="auto"/>
        <w:rPr>
          <w:rFonts w:hint="eastAsia" w:ascii="宋体" w:hAnsi="宋体" w:cs="宋体"/>
          <w:szCs w:val="21"/>
          <w:u w:val="single"/>
        </w:rPr>
      </w:pPr>
      <w:r>
        <w:rPr>
          <w:rFonts w:hint="eastAsia" w:ascii="宋体" w:hAnsi="宋体" w:cs="宋体"/>
          <w:szCs w:val="21"/>
        </w:rPr>
        <w:t>异议事项1：</w:t>
      </w:r>
    </w:p>
    <w:p>
      <w:pPr>
        <w:snapToGrid w:val="0"/>
        <w:spacing w:line="360" w:lineRule="auto"/>
        <w:rPr>
          <w:rFonts w:hint="eastAsia" w:ascii="宋体" w:hAnsi="宋体" w:cs="宋体"/>
          <w:szCs w:val="21"/>
          <w:u w:val="single"/>
        </w:rPr>
      </w:pPr>
      <w:r>
        <w:rPr>
          <w:rFonts w:hint="eastAsia" w:ascii="宋体" w:hAnsi="宋体" w:cs="宋体"/>
          <w:szCs w:val="21"/>
        </w:rPr>
        <w:t>事实依据：</w:t>
      </w:r>
    </w:p>
    <w:p>
      <w:pPr>
        <w:snapToGrid w:val="0"/>
        <w:spacing w:line="360" w:lineRule="auto"/>
        <w:rPr>
          <w:rFonts w:hint="eastAsia" w:ascii="宋体" w:hAnsi="宋体" w:cs="宋体"/>
          <w:szCs w:val="21"/>
          <w:u w:val="single"/>
        </w:rPr>
      </w:pPr>
    </w:p>
    <w:p>
      <w:pPr>
        <w:snapToGrid w:val="0"/>
        <w:spacing w:line="360" w:lineRule="auto"/>
        <w:rPr>
          <w:rFonts w:hint="eastAsia" w:ascii="宋体" w:hAnsi="宋体" w:cs="宋体"/>
          <w:szCs w:val="21"/>
          <w:u w:val="single"/>
        </w:rPr>
      </w:pPr>
      <w:r>
        <w:rPr>
          <w:rFonts w:hint="eastAsia" w:ascii="宋体" w:hAnsi="宋体" w:cs="宋体"/>
          <w:szCs w:val="21"/>
        </w:rPr>
        <w:t>法律依据：</w:t>
      </w:r>
    </w:p>
    <w:p>
      <w:pPr>
        <w:snapToGrid w:val="0"/>
        <w:spacing w:line="360" w:lineRule="auto"/>
        <w:rPr>
          <w:rFonts w:hint="eastAsia" w:ascii="宋体" w:hAnsi="宋体" w:cs="宋体"/>
          <w:szCs w:val="21"/>
          <w:u w:val="single"/>
        </w:rPr>
      </w:pPr>
    </w:p>
    <w:p>
      <w:pPr>
        <w:snapToGrid w:val="0"/>
        <w:spacing w:line="360" w:lineRule="auto"/>
        <w:rPr>
          <w:rFonts w:hint="eastAsia" w:ascii="宋体" w:hAnsi="宋体" w:cs="宋体"/>
          <w:szCs w:val="21"/>
          <w:u w:val="dotted"/>
        </w:rPr>
      </w:pPr>
      <w:r>
        <w:rPr>
          <w:rFonts w:hint="eastAsia" w:ascii="宋体" w:hAnsi="宋体" w:cs="宋体"/>
          <w:szCs w:val="21"/>
        </w:rPr>
        <w:t>异议事项2</w:t>
      </w:r>
    </w:p>
    <w:p>
      <w:pPr>
        <w:snapToGrid w:val="0"/>
        <w:spacing w:line="360" w:lineRule="auto"/>
        <w:rPr>
          <w:rFonts w:hint="eastAsia" w:ascii="宋体" w:hAnsi="宋体" w:cs="宋体"/>
          <w:szCs w:val="21"/>
        </w:rPr>
      </w:pPr>
      <w:r>
        <w:rPr>
          <w:rFonts w:hint="eastAsia" w:ascii="宋体" w:hAnsi="宋体" w:cs="宋体"/>
          <w:szCs w:val="21"/>
        </w:rPr>
        <w:t>……</w:t>
      </w:r>
    </w:p>
    <w:p>
      <w:pPr>
        <w:snapToGrid w:val="0"/>
        <w:spacing w:line="360" w:lineRule="auto"/>
        <w:rPr>
          <w:rFonts w:hint="eastAsia" w:ascii="宋体" w:hAnsi="宋体" w:cs="宋体"/>
          <w:bCs/>
          <w:szCs w:val="21"/>
        </w:rPr>
      </w:pPr>
      <w:r>
        <w:rPr>
          <w:rFonts w:hint="eastAsia" w:ascii="宋体" w:hAnsi="宋体" w:cs="宋体"/>
          <w:bCs/>
          <w:szCs w:val="21"/>
        </w:rPr>
        <w:t>四、与异议事项相关的异议请求</w:t>
      </w:r>
    </w:p>
    <w:p>
      <w:pPr>
        <w:snapToGrid w:val="0"/>
        <w:spacing w:line="360" w:lineRule="auto"/>
        <w:rPr>
          <w:rFonts w:hint="eastAsia" w:ascii="宋体" w:hAnsi="宋体" w:cs="宋体"/>
          <w:szCs w:val="21"/>
          <w:u w:val="dotted"/>
        </w:rPr>
      </w:pPr>
      <w:r>
        <w:rPr>
          <w:rFonts w:hint="eastAsia" w:ascii="宋体" w:hAnsi="宋体" w:cs="宋体"/>
          <w:szCs w:val="21"/>
        </w:rPr>
        <w:t>请求：</w:t>
      </w:r>
    </w:p>
    <w:p>
      <w:pPr>
        <w:spacing w:line="360" w:lineRule="auto"/>
        <w:rPr>
          <w:rFonts w:hint="eastAsia" w:ascii="宋体" w:hAnsi="宋体" w:cs="宋体"/>
          <w:szCs w:val="21"/>
        </w:rPr>
      </w:pPr>
      <w:r>
        <w:rPr>
          <w:rFonts w:hint="eastAsia" w:ascii="宋体" w:hAnsi="宋体" w:cs="宋体"/>
          <w:szCs w:val="21"/>
        </w:rPr>
        <w:t xml:space="preserve">签字(签章)：                   公章：                      </w:t>
      </w:r>
    </w:p>
    <w:p>
      <w:pPr>
        <w:spacing w:line="360" w:lineRule="auto"/>
        <w:rPr>
          <w:rFonts w:hint="eastAsia" w:ascii="宋体" w:hAnsi="宋体" w:cs="宋体"/>
          <w:szCs w:val="21"/>
        </w:rPr>
      </w:pPr>
      <w:r>
        <w:rPr>
          <w:rFonts w:hint="eastAsia" w:ascii="宋体" w:hAnsi="宋体" w:cs="宋体"/>
          <w:szCs w:val="21"/>
        </w:rPr>
        <w:t xml:space="preserve">日期：   </w:t>
      </w:r>
    </w:p>
    <w:p>
      <w:pPr>
        <w:snapToGrid w:val="0"/>
        <w:spacing w:line="360" w:lineRule="auto"/>
        <w:rPr>
          <w:rFonts w:hint="eastAsia" w:ascii="宋体" w:hAnsi="宋体" w:cs="宋体"/>
          <w:szCs w:val="21"/>
        </w:rPr>
      </w:pPr>
      <w:r>
        <w:rPr>
          <w:rFonts w:hint="eastAsia" w:ascii="宋体" w:hAnsi="宋体" w:cs="宋体"/>
          <w:szCs w:val="21"/>
        </w:rPr>
        <w:t>附件：</w:t>
      </w:r>
    </w:p>
    <w:tbl>
      <w:tblPr>
        <w:tblStyle w:val="50"/>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snapToGrid w:val="0"/>
              <w:spacing w:line="360" w:lineRule="auto"/>
              <w:rPr>
                <w:rFonts w:hint="eastAsia" w:ascii="宋体" w:hAnsi="宋体" w:cs="宋体"/>
                <w:szCs w:val="21"/>
              </w:rPr>
            </w:pPr>
            <w:r>
              <w:rPr>
                <w:rFonts w:hint="eastAsia" w:ascii="宋体" w:hAnsi="宋体" w:cs="宋体"/>
                <w:szCs w:val="21"/>
              </w:rPr>
              <w:t>序号</w:t>
            </w:r>
          </w:p>
        </w:tc>
        <w:tc>
          <w:tcPr>
            <w:tcW w:w="2761" w:type="dxa"/>
            <w:tcMar>
              <w:top w:w="72" w:type="dxa"/>
              <w:left w:w="144" w:type="dxa"/>
              <w:bottom w:w="72" w:type="dxa"/>
              <w:right w:w="144" w:type="dxa"/>
            </w:tcMar>
          </w:tcPr>
          <w:p>
            <w:pPr>
              <w:snapToGrid w:val="0"/>
              <w:spacing w:line="360" w:lineRule="auto"/>
              <w:rPr>
                <w:rFonts w:hint="eastAsia" w:ascii="宋体" w:hAnsi="宋体" w:cs="宋体"/>
                <w:szCs w:val="21"/>
              </w:rPr>
            </w:pPr>
            <w:r>
              <w:rPr>
                <w:rFonts w:hint="eastAsia" w:ascii="宋体" w:hAnsi="宋体" w:cs="宋体"/>
                <w:szCs w:val="21"/>
              </w:rPr>
              <w:t>证明材料名称</w:t>
            </w:r>
          </w:p>
        </w:tc>
        <w:tc>
          <w:tcPr>
            <w:tcW w:w="2247" w:type="dxa"/>
            <w:tcMar>
              <w:top w:w="72" w:type="dxa"/>
              <w:left w:w="144" w:type="dxa"/>
              <w:bottom w:w="72" w:type="dxa"/>
              <w:right w:w="144" w:type="dxa"/>
            </w:tcMar>
          </w:tcPr>
          <w:p>
            <w:pPr>
              <w:snapToGrid w:val="0"/>
              <w:spacing w:line="360" w:lineRule="auto"/>
              <w:rPr>
                <w:rFonts w:hint="eastAsia" w:ascii="宋体" w:hAnsi="宋体" w:cs="宋体"/>
                <w:szCs w:val="21"/>
              </w:rPr>
            </w:pPr>
            <w:r>
              <w:rPr>
                <w:rFonts w:hint="eastAsia" w:ascii="宋体" w:hAnsi="宋体" w:cs="宋体"/>
                <w:szCs w:val="21"/>
              </w:rPr>
              <w:t>证明材料来源</w:t>
            </w:r>
          </w:p>
        </w:tc>
        <w:tc>
          <w:tcPr>
            <w:tcW w:w="2247" w:type="dxa"/>
            <w:tcMar>
              <w:top w:w="72" w:type="dxa"/>
              <w:left w:w="144" w:type="dxa"/>
              <w:bottom w:w="72" w:type="dxa"/>
              <w:right w:w="144" w:type="dxa"/>
            </w:tcMar>
          </w:tcPr>
          <w:p>
            <w:pPr>
              <w:snapToGrid w:val="0"/>
              <w:spacing w:line="360" w:lineRule="auto"/>
              <w:rPr>
                <w:rFonts w:hint="eastAsia" w:ascii="宋体" w:hAnsi="宋体" w:cs="宋体"/>
                <w:szCs w:val="21"/>
              </w:rPr>
            </w:pPr>
            <w:r>
              <w:rPr>
                <w:rFonts w:hint="eastAsia" w:ascii="宋体" w:hAnsi="宋体" w:cs="宋体"/>
                <w:szCs w:val="21"/>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snapToGrid w:val="0"/>
              <w:spacing w:line="360" w:lineRule="auto"/>
              <w:rPr>
                <w:rFonts w:hint="eastAsia" w:ascii="宋体" w:hAnsi="宋体" w:cs="宋体"/>
                <w:szCs w:val="21"/>
              </w:rPr>
            </w:pPr>
            <w:r>
              <w:rPr>
                <w:rFonts w:hint="eastAsia" w:ascii="宋体" w:hAnsi="宋体" w:cs="宋体"/>
                <w:szCs w:val="21"/>
              </w:rPr>
              <w:t xml:space="preserve">1 </w:t>
            </w:r>
          </w:p>
        </w:tc>
        <w:tc>
          <w:tcPr>
            <w:tcW w:w="2761" w:type="dxa"/>
            <w:tcMar>
              <w:top w:w="72" w:type="dxa"/>
              <w:left w:w="144" w:type="dxa"/>
              <w:bottom w:w="72" w:type="dxa"/>
              <w:right w:w="144" w:type="dxa"/>
            </w:tcMar>
          </w:tcPr>
          <w:p>
            <w:pPr>
              <w:snapToGrid w:val="0"/>
              <w:spacing w:line="360" w:lineRule="auto"/>
              <w:rPr>
                <w:rFonts w:hint="eastAsia" w:ascii="宋体" w:hAnsi="宋体" w:cs="宋体"/>
                <w:szCs w:val="21"/>
              </w:rPr>
            </w:pPr>
          </w:p>
        </w:tc>
        <w:tc>
          <w:tcPr>
            <w:tcW w:w="2247" w:type="dxa"/>
            <w:tcMar>
              <w:top w:w="72" w:type="dxa"/>
              <w:left w:w="144" w:type="dxa"/>
              <w:bottom w:w="72" w:type="dxa"/>
              <w:right w:w="144" w:type="dxa"/>
            </w:tcMar>
          </w:tcPr>
          <w:p>
            <w:pPr>
              <w:snapToGrid w:val="0"/>
              <w:spacing w:line="360" w:lineRule="auto"/>
              <w:rPr>
                <w:rFonts w:hint="eastAsia" w:ascii="宋体" w:hAnsi="宋体" w:cs="宋体"/>
                <w:szCs w:val="21"/>
              </w:rPr>
            </w:pPr>
          </w:p>
        </w:tc>
        <w:tc>
          <w:tcPr>
            <w:tcW w:w="2247" w:type="dxa"/>
            <w:tcMar>
              <w:top w:w="72" w:type="dxa"/>
              <w:left w:w="144" w:type="dxa"/>
              <w:bottom w:w="72" w:type="dxa"/>
              <w:right w:w="144" w:type="dxa"/>
            </w:tcMar>
          </w:tcPr>
          <w:p>
            <w:pPr>
              <w:snapToGrid w:val="0"/>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snapToGrid w:val="0"/>
              <w:spacing w:line="360" w:lineRule="auto"/>
              <w:rPr>
                <w:rFonts w:hint="eastAsia" w:ascii="宋体" w:hAnsi="宋体" w:cs="宋体"/>
                <w:szCs w:val="21"/>
              </w:rPr>
            </w:pPr>
            <w:r>
              <w:rPr>
                <w:rFonts w:hint="eastAsia" w:ascii="宋体" w:hAnsi="宋体" w:cs="宋体"/>
                <w:szCs w:val="21"/>
              </w:rPr>
              <w:t xml:space="preserve">2 </w:t>
            </w:r>
          </w:p>
        </w:tc>
        <w:tc>
          <w:tcPr>
            <w:tcW w:w="2761" w:type="dxa"/>
            <w:tcMar>
              <w:top w:w="72" w:type="dxa"/>
              <w:left w:w="144" w:type="dxa"/>
              <w:bottom w:w="72" w:type="dxa"/>
              <w:right w:w="144" w:type="dxa"/>
            </w:tcMar>
          </w:tcPr>
          <w:p>
            <w:pPr>
              <w:snapToGrid w:val="0"/>
              <w:spacing w:line="360" w:lineRule="auto"/>
              <w:rPr>
                <w:rFonts w:hint="eastAsia" w:ascii="宋体" w:hAnsi="宋体" w:cs="宋体"/>
                <w:szCs w:val="21"/>
              </w:rPr>
            </w:pPr>
          </w:p>
        </w:tc>
        <w:tc>
          <w:tcPr>
            <w:tcW w:w="2247" w:type="dxa"/>
            <w:tcMar>
              <w:top w:w="72" w:type="dxa"/>
              <w:left w:w="144" w:type="dxa"/>
              <w:bottom w:w="72" w:type="dxa"/>
              <w:right w:w="144" w:type="dxa"/>
            </w:tcMar>
          </w:tcPr>
          <w:p>
            <w:pPr>
              <w:snapToGrid w:val="0"/>
              <w:spacing w:line="360" w:lineRule="auto"/>
              <w:rPr>
                <w:rFonts w:hint="eastAsia" w:ascii="宋体" w:hAnsi="宋体" w:cs="宋体"/>
                <w:szCs w:val="21"/>
              </w:rPr>
            </w:pPr>
          </w:p>
        </w:tc>
        <w:tc>
          <w:tcPr>
            <w:tcW w:w="2247" w:type="dxa"/>
            <w:tcMar>
              <w:top w:w="72" w:type="dxa"/>
              <w:left w:w="144" w:type="dxa"/>
              <w:bottom w:w="72" w:type="dxa"/>
              <w:right w:w="144" w:type="dxa"/>
            </w:tcMar>
          </w:tcPr>
          <w:p>
            <w:pPr>
              <w:snapToGrid w:val="0"/>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snapToGrid w:val="0"/>
              <w:spacing w:line="360" w:lineRule="auto"/>
              <w:rPr>
                <w:rFonts w:hint="eastAsia" w:ascii="宋体" w:hAnsi="宋体" w:cs="宋体"/>
                <w:szCs w:val="21"/>
              </w:rPr>
            </w:pPr>
            <w:r>
              <w:rPr>
                <w:rFonts w:hint="eastAsia" w:ascii="宋体" w:hAnsi="宋体" w:cs="宋体"/>
                <w:szCs w:val="21"/>
              </w:rPr>
              <w:t>……</w:t>
            </w:r>
          </w:p>
        </w:tc>
        <w:tc>
          <w:tcPr>
            <w:tcW w:w="2761" w:type="dxa"/>
            <w:tcMar>
              <w:top w:w="72" w:type="dxa"/>
              <w:left w:w="144" w:type="dxa"/>
              <w:bottom w:w="72" w:type="dxa"/>
              <w:right w:w="144" w:type="dxa"/>
            </w:tcMar>
          </w:tcPr>
          <w:p>
            <w:pPr>
              <w:snapToGrid w:val="0"/>
              <w:spacing w:line="360" w:lineRule="auto"/>
              <w:rPr>
                <w:rFonts w:hint="eastAsia" w:ascii="宋体" w:hAnsi="宋体" w:cs="宋体"/>
                <w:szCs w:val="21"/>
              </w:rPr>
            </w:pPr>
          </w:p>
        </w:tc>
        <w:tc>
          <w:tcPr>
            <w:tcW w:w="2247" w:type="dxa"/>
            <w:tcMar>
              <w:top w:w="72" w:type="dxa"/>
              <w:left w:w="144" w:type="dxa"/>
              <w:bottom w:w="72" w:type="dxa"/>
              <w:right w:w="144" w:type="dxa"/>
            </w:tcMar>
          </w:tcPr>
          <w:p>
            <w:pPr>
              <w:snapToGrid w:val="0"/>
              <w:spacing w:line="360" w:lineRule="auto"/>
              <w:rPr>
                <w:rFonts w:hint="eastAsia" w:ascii="宋体" w:hAnsi="宋体" w:cs="宋体"/>
                <w:szCs w:val="21"/>
              </w:rPr>
            </w:pPr>
          </w:p>
        </w:tc>
        <w:tc>
          <w:tcPr>
            <w:tcW w:w="2247" w:type="dxa"/>
            <w:tcMar>
              <w:top w:w="72" w:type="dxa"/>
              <w:left w:w="144" w:type="dxa"/>
              <w:bottom w:w="72" w:type="dxa"/>
              <w:right w:w="144" w:type="dxa"/>
            </w:tcMar>
          </w:tcPr>
          <w:p>
            <w:pPr>
              <w:snapToGrid w:val="0"/>
              <w:spacing w:line="360" w:lineRule="auto"/>
              <w:rPr>
                <w:rFonts w:hint="eastAsia" w:ascii="宋体" w:hAnsi="宋体" w:cs="宋体"/>
                <w:szCs w:val="21"/>
              </w:rPr>
            </w:pPr>
          </w:p>
        </w:tc>
      </w:tr>
    </w:tbl>
    <w:p>
      <w:pPr>
        <w:snapToGrid w:val="0"/>
        <w:spacing w:line="360" w:lineRule="auto"/>
        <w:rPr>
          <w:rFonts w:hint="eastAsia" w:ascii="宋体" w:hAnsi="宋体" w:cs="宋体"/>
          <w:szCs w:val="21"/>
        </w:rPr>
      </w:pPr>
    </w:p>
    <w:p>
      <w:pPr>
        <w:spacing w:line="360" w:lineRule="auto"/>
        <w:rPr>
          <w:rFonts w:hint="eastAsia" w:ascii="宋体" w:hAnsi="宋体" w:cs="宋体"/>
          <w:b/>
          <w:szCs w:val="21"/>
        </w:rPr>
      </w:pPr>
      <w:r>
        <w:rPr>
          <w:rFonts w:hint="eastAsia" w:ascii="宋体" w:hAnsi="宋体" w:cs="宋体"/>
          <w:b/>
          <w:szCs w:val="21"/>
        </w:rPr>
        <w:t>异议函制作说明：</w:t>
      </w:r>
    </w:p>
    <w:p>
      <w:pPr>
        <w:widowControl/>
        <w:spacing w:line="360" w:lineRule="auto"/>
        <w:ind w:firstLine="420" w:firstLineChars="200"/>
        <w:rPr>
          <w:rFonts w:hint="eastAsia" w:ascii="宋体" w:hAnsi="宋体" w:cs="宋体"/>
          <w:szCs w:val="21"/>
        </w:rPr>
      </w:pPr>
      <w:r>
        <w:rPr>
          <w:rFonts w:hint="eastAsia" w:ascii="宋体" w:hAnsi="宋体" w:cs="宋体"/>
          <w:szCs w:val="21"/>
        </w:rPr>
        <w:t>1.供应商提出异议时，应提交异议函和必要的证明材料。</w:t>
      </w:r>
    </w:p>
    <w:p>
      <w:pPr>
        <w:widowControl/>
        <w:spacing w:line="360" w:lineRule="auto"/>
        <w:ind w:firstLine="420" w:firstLineChars="200"/>
        <w:rPr>
          <w:rFonts w:hint="eastAsia" w:ascii="宋体" w:hAnsi="宋体" w:cs="宋体"/>
          <w:szCs w:val="21"/>
        </w:rPr>
      </w:pPr>
      <w:r>
        <w:rPr>
          <w:rFonts w:hint="eastAsia" w:ascii="宋体" w:hAnsi="宋体" w:cs="宋体"/>
          <w:szCs w:val="21"/>
        </w:rPr>
        <w:t>2.异议供应商若委托代理人进行异议的，异议函应按要求列明“授权代表”的有关内容，并在附件中提交由异议供应商签署的授权委托书。授权委托书应载明代理人的姓名或者名称、代理事项、具体权限、期限和相关事项。</w:t>
      </w:r>
    </w:p>
    <w:p>
      <w:pPr>
        <w:widowControl/>
        <w:spacing w:line="360" w:lineRule="auto"/>
        <w:ind w:firstLine="420" w:firstLineChars="200"/>
        <w:rPr>
          <w:rFonts w:hint="eastAsia" w:ascii="宋体" w:hAnsi="宋体" w:cs="宋体"/>
          <w:szCs w:val="21"/>
        </w:rPr>
      </w:pPr>
      <w:r>
        <w:rPr>
          <w:rFonts w:hint="eastAsia" w:ascii="宋体" w:hAnsi="宋体" w:cs="宋体"/>
          <w:szCs w:val="21"/>
        </w:rPr>
        <w:t>3.异议供应商若对项目的某一分包进行异议，异议函中应列明具体标段号。</w:t>
      </w:r>
    </w:p>
    <w:p>
      <w:pPr>
        <w:widowControl/>
        <w:spacing w:line="360" w:lineRule="auto"/>
        <w:ind w:firstLine="420" w:firstLineChars="200"/>
        <w:rPr>
          <w:rFonts w:hint="eastAsia" w:ascii="宋体" w:hAnsi="宋体" w:cs="宋体"/>
          <w:szCs w:val="21"/>
        </w:rPr>
      </w:pPr>
      <w:r>
        <w:rPr>
          <w:rFonts w:hint="eastAsia" w:ascii="宋体" w:hAnsi="宋体" w:cs="宋体"/>
          <w:szCs w:val="21"/>
        </w:rPr>
        <w:t>4.异议函的异议事项应具体、明确，并有必要的事实依据和法律依据。</w:t>
      </w:r>
    </w:p>
    <w:p>
      <w:pPr>
        <w:widowControl/>
        <w:spacing w:line="360" w:lineRule="auto"/>
        <w:ind w:firstLine="420" w:firstLineChars="200"/>
        <w:rPr>
          <w:rFonts w:hint="eastAsia" w:ascii="宋体" w:hAnsi="宋体" w:cs="宋体"/>
          <w:szCs w:val="21"/>
        </w:rPr>
      </w:pPr>
      <w:r>
        <w:rPr>
          <w:rFonts w:hint="eastAsia" w:ascii="宋体" w:hAnsi="宋体" w:cs="宋体"/>
          <w:szCs w:val="21"/>
        </w:rPr>
        <w:t>5.异议函的异议请求应与异议事项相关。</w:t>
      </w:r>
    </w:p>
    <w:p>
      <w:pPr>
        <w:ind w:firstLine="420"/>
        <w:rPr>
          <w:rFonts w:hint="eastAsia" w:ascii="宋体" w:hAnsi="宋体" w:cs="宋体"/>
          <w:szCs w:val="21"/>
        </w:rPr>
      </w:pPr>
      <w:r>
        <w:rPr>
          <w:rFonts w:hint="eastAsia" w:ascii="宋体" w:hAnsi="宋体" w:cs="宋体"/>
          <w:szCs w:val="21"/>
        </w:rPr>
        <w:t>6.异议供应商为自然人的，异议函应由本人签字；异议供应商为法人或者其他组织的，异议函应由法定代表人、主要负责人，或者其授权代表签字或者盖章，并加盖公章。</w:t>
      </w:r>
    </w:p>
    <w:p>
      <w:pPr>
        <w:ind w:firstLine="420"/>
        <w:rPr>
          <w:rFonts w:hint="eastAsia" w:ascii="宋体" w:hAnsi="宋体" w:cs="宋体"/>
        </w:rPr>
      </w:pPr>
      <w:r>
        <w:rPr>
          <w:rFonts w:hint="eastAsia" w:ascii="宋体" w:hAnsi="宋体" w:cs="宋体"/>
          <w:szCs w:val="21"/>
        </w:rPr>
        <w:t>7. 供应商应在提交的证明材料中对异议点的内容作出相应的标识或以醒目的方式标明。</w:t>
      </w:r>
    </w:p>
    <w:p>
      <w:pPr>
        <w:pStyle w:val="87"/>
        <w:ind w:firstLine="480"/>
        <w:rPr>
          <w:rFonts w:hint="eastAsia" w:ascii="宋体" w:hAnsi="宋体" w:cs="宋体"/>
        </w:rPr>
      </w:pPr>
    </w:p>
    <w:p>
      <w:pPr>
        <w:rPr>
          <w:rFonts w:hint="eastAsia" w:ascii="宋体" w:hAnsi="宋体" w:cs="宋体"/>
          <w:kern w:val="0"/>
          <w:sz w:val="24"/>
          <w:szCs w:val="20"/>
        </w:rPr>
      </w:pPr>
    </w:p>
    <w:p>
      <w:pPr>
        <w:rPr>
          <w:rFonts w:hint="eastAsia" w:ascii="宋体" w:hAnsi="宋体" w:cs="宋体"/>
          <w:kern w:val="0"/>
          <w:sz w:val="24"/>
          <w:szCs w:val="20"/>
        </w:rPr>
      </w:pPr>
    </w:p>
    <w:p>
      <w:pPr>
        <w:pStyle w:val="34"/>
        <w:tabs>
          <w:tab w:val="clear" w:pos="426"/>
        </w:tabs>
        <w:rPr>
          <w:rFonts w:hint="eastAsia" w:ascii="宋体" w:hAnsi="宋体" w:cs="宋体"/>
        </w:rPr>
      </w:pPr>
    </w:p>
    <w:p>
      <w:pPr>
        <w:rPr>
          <w:rFonts w:hint="eastAsia" w:ascii="宋体" w:hAnsi="宋体" w:cs="宋体"/>
          <w:kern w:val="0"/>
          <w:sz w:val="24"/>
          <w:szCs w:val="20"/>
        </w:rPr>
      </w:pPr>
    </w:p>
    <w:p>
      <w:pPr>
        <w:rPr>
          <w:rFonts w:hint="eastAsia" w:ascii="宋体" w:hAnsi="宋体" w:cs="宋体"/>
          <w:kern w:val="0"/>
          <w:sz w:val="24"/>
          <w:szCs w:val="20"/>
        </w:rPr>
      </w:pPr>
    </w:p>
    <w:p>
      <w:pPr>
        <w:rPr>
          <w:rFonts w:hint="eastAsia" w:ascii="宋体" w:hAnsi="宋体" w:cs="宋体"/>
          <w:kern w:val="0"/>
          <w:sz w:val="24"/>
          <w:szCs w:val="20"/>
        </w:rPr>
      </w:pPr>
    </w:p>
    <w:bookmarkEnd w:id="2"/>
    <w:bookmarkEnd w:id="3"/>
    <w:p>
      <w:pPr>
        <w:rPr>
          <w:rFonts w:hint="eastAsia" w:ascii="宋体" w:hAnsi="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宋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ndale Sans UI">
    <w:altName w:val="宋体"/>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504020202030204"/>
    <w:charset w:val="00"/>
    <w:family w:val="swiss"/>
    <w:pitch w:val="default"/>
    <w:sig w:usb0="00000000" w:usb1="00000000" w:usb2="00000000" w:usb3="00000000" w:csb0="00000093" w:csb1="00000000"/>
  </w:font>
  <w:font w:name="长城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24</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68C50"/>
    <w:multiLevelType w:val="singleLevel"/>
    <w:tmpl w:val="88368C50"/>
    <w:lvl w:ilvl="0" w:tentative="0">
      <w:start w:val="8"/>
      <w:numFmt w:val="chineseCounting"/>
      <w:suff w:val="nothing"/>
      <w:lvlText w:val="%1、"/>
      <w:lvlJc w:val="left"/>
      <w:rPr>
        <w:rFonts w:hint="eastAsia"/>
      </w:rPr>
    </w:lvl>
  </w:abstractNum>
  <w:abstractNum w:abstractNumId="1">
    <w:nsid w:val="0BD4F8BC"/>
    <w:multiLevelType w:val="singleLevel"/>
    <w:tmpl w:val="0BD4F8BC"/>
    <w:lvl w:ilvl="0" w:tentative="0">
      <w:start w:val="1"/>
      <w:numFmt w:val="decimal"/>
      <w:suff w:val="nothing"/>
      <w:lvlText w:val="%1、"/>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pStyle w:val="93"/>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33EF11C5"/>
    <w:multiLevelType w:val="singleLevel"/>
    <w:tmpl w:val="33EF11C5"/>
    <w:lvl w:ilvl="0" w:tentative="0">
      <w:start w:val="1"/>
      <w:numFmt w:val="chineseCounting"/>
      <w:suff w:val="space"/>
      <w:lvlText w:val="第%1章"/>
      <w:lvlJc w:val="left"/>
      <w:rPr>
        <w:rFonts w:hint="eastAsia"/>
      </w:rPr>
    </w:lvl>
  </w:abstractNum>
  <w:abstractNum w:abstractNumId="4">
    <w:nsid w:val="44DA27F3"/>
    <w:multiLevelType w:val="multilevel"/>
    <w:tmpl w:val="44DA27F3"/>
    <w:lvl w:ilvl="0" w:tentative="0">
      <w:start w:val="1"/>
      <w:numFmt w:val="decimal"/>
      <w:lvlText w:val="%1."/>
      <w:lvlJc w:val="left"/>
      <w:pPr>
        <w:ind w:left="425" w:hanging="425"/>
      </w:pPr>
      <w:rPr>
        <w:rFonts w:ascii="宋体" w:hAnsi="宋体" w:eastAsia="宋体"/>
      </w:rPr>
    </w:lvl>
    <w:lvl w:ilvl="1" w:tentative="0">
      <w:start w:val="1"/>
      <w:numFmt w:val="decimal"/>
      <w:lvlText w:val="%1.%2."/>
      <w:lvlJc w:val="left"/>
      <w:pPr>
        <w:ind w:left="567" w:hanging="567"/>
      </w:pPr>
      <w:rPr>
        <w:rFonts w:ascii="宋体" w:hAnsi="宋体" w:eastAsia="宋体"/>
        <w:b w:val="0"/>
        <w:dstrike w:val="0"/>
        <w:sz w:val="21"/>
        <w:szCs w:val="21"/>
      </w:rPr>
    </w:lvl>
    <w:lvl w:ilvl="2" w:tentative="0">
      <w:start w:val="1"/>
      <w:numFmt w:val="decimal"/>
      <w:lvlText w:val="%1.%2.%3."/>
      <w:lvlJc w:val="left"/>
      <w:pPr>
        <w:ind w:left="709" w:hanging="709"/>
      </w:pPr>
      <w:rPr>
        <w:rFonts w:ascii="宋体" w:hAnsi="宋体" w:eastAsia="宋体"/>
        <w:dstrike w:val="0"/>
        <w:color w:val="0000FF"/>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571D36E9"/>
    <w:multiLevelType w:val="singleLevel"/>
    <w:tmpl w:val="571D36E9"/>
    <w:lvl w:ilvl="0" w:tentative="0">
      <w:start w:val="5"/>
      <w:numFmt w:val="chineseCounting"/>
      <w:suff w:val="nothing"/>
      <w:lvlText w:val="%1、"/>
      <w:lvlJc w:val="left"/>
      <w:rPr>
        <w:rFonts w:hint="eastAsia"/>
      </w:rPr>
    </w:lvl>
  </w:abstractNum>
  <w:abstractNum w:abstractNumId="6">
    <w:nsid w:val="74C27CE1"/>
    <w:multiLevelType w:val="singleLevel"/>
    <w:tmpl w:val="74C27CE1"/>
    <w:lvl w:ilvl="0" w:tentative="0">
      <w:start w:val="1"/>
      <w:numFmt w:val="decimal"/>
      <w:suff w:val="nothing"/>
      <w:lvlText w:val="%1、"/>
      <w:lvlJc w:val="left"/>
    </w:lvl>
  </w:abstractNum>
  <w:abstractNum w:abstractNumId="7">
    <w:nsid w:val="7AA7339C"/>
    <w:multiLevelType w:val="singleLevel"/>
    <w:tmpl w:val="7AA7339C"/>
    <w:lvl w:ilvl="0" w:tentative="0">
      <w:start w:val="1"/>
      <w:numFmt w:val="decimal"/>
      <w:suff w:val="nothing"/>
      <w:lvlText w:val="%1、"/>
      <w:lvlJc w:val="left"/>
    </w:lvl>
  </w:abstractNum>
  <w:num w:numId="1">
    <w:abstractNumId w:val="2"/>
  </w:num>
  <w:num w:numId="2">
    <w:abstractNumId w:val="3"/>
  </w:num>
  <w:num w:numId="3">
    <w:abstractNumId w:val="1"/>
  </w:num>
  <w:num w:numId="4">
    <w:abstractNumId w:val="5"/>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MTNhNzE5OWFhNDM2OTIzY2M4ZGQyMWE2YzAxNWIifQ=="/>
  </w:docVars>
  <w:rsids>
    <w:rsidRoot w:val="00246612"/>
    <w:rsid w:val="000005B8"/>
    <w:rsid w:val="00001557"/>
    <w:rsid w:val="0000178D"/>
    <w:rsid w:val="00001AC0"/>
    <w:rsid w:val="00002699"/>
    <w:rsid w:val="000029C6"/>
    <w:rsid w:val="00003ABB"/>
    <w:rsid w:val="00004377"/>
    <w:rsid w:val="000045D5"/>
    <w:rsid w:val="000047AF"/>
    <w:rsid w:val="0000518B"/>
    <w:rsid w:val="00005261"/>
    <w:rsid w:val="00005A86"/>
    <w:rsid w:val="000065CD"/>
    <w:rsid w:val="00006F5D"/>
    <w:rsid w:val="00006FB3"/>
    <w:rsid w:val="000074C4"/>
    <w:rsid w:val="00007707"/>
    <w:rsid w:val="00007E38"/>
    <w:rsid w:val="00010793"/>
    <w:rsid w:val="00010D68"/>
    <w:rsid w:val="000110EA"/>
    <w:rsid w:val="00011752"/>
    <w:rsid w:val="00012D2B"/>
    <w:rsid w:val="00012E91"/>
    <w:rsid w:val="0001348A"/>
    <w:rsid w:val="00013BCC"/>
    <w:rsid w:val="00014283"/>
    <w:rsid w:val="000148EB"/>
    <w:rsid w:val="00014922"/>
    <w:rsid w:val="00014BB8"/>
    <w:rsid w:val="00014C26"/>
    <w:rsid w:val="000152B7"/>
    <w:rsid w:val="0001583D"/>
    <w:rsid w:val="00015961"/>
    <w:rsid w:val="00015A3D"/>
    <w:rsid w:val="00016785"/>
    <w:rsid w:val="00016B1F"/>
    <w:rsid w:val="00017125"/>
    <w:rsid w:val="0001765C"/>
    <w:rsid w:val="000177CF"/>
    <w:rsid w:val="00017830"/>
    <w:rsid w:val="000205B0"/>
    <w:rsid w:val="00020748"/>
    <w:rsid w:val="00021005"/>
    <w:rsid w:val="00021588"/>
    <w:rsid w:val="00022D69"/>
    <w:rsid w:val="000230C9"/>
    <w:rsid w:val="000232F3"/>
    <w:rsid w:val="00023827"/>
    <w:rsid w:val="00023BA3"/>
    <w:rsid w:val="000241A8"/>
    <w:rsid w:val="0002483A"/>
    <w:rsid w:val="00024B4E"/>
    <w:rsid w:val="0002504A"/>
    <w:rsid w:val="00025563"/>
    <w:rsid w:val="00025639"/>
    <w:rsid w:val="000257D8"/>
    <w:rsid w:val="000263E2"/>
    <w:rsid w:val="0002644C"/>
    <w:rsid w:val="00026805"/>
    <w:rsid w:val="00026E8D"/>
    <w:rsid w:val="000272F8"/>
    <w:rsid w:val="0002739F"/>
    <w:rsid w:val="00027CDB"/>
    <w:rsid w:val="00027F7E"/>
    <w:rsid w:val="000300D2"/>
    <w:rsid w:val="0003081F"/>
    <w:rsid w:val="000308E3"/>
    <w:rsid w:val="00030B96"/>
    <w:rsid w:val="00030D7C"/>
    <w:rsid w:val="00031468"/>
    <w:rsid w:val="000318CC"/>
    <w:rsid w:val="000319F3"/>
    <w:rsid w:val="000321F9"/>
    <w:rsid w:val="00032998"/>
    <w:rsid w:val="00032C94"/>
    <w:rsid w:val="0003305A"/>
    <w:rsid w:val="00033329"/>
    <w:rsid w:val="00034B21"/>
    <w:rsid w:val="00035872"/>
    <w:rsid w:val="00035D9B"/>
    <w:rsid w:val="00036245"/>
    <w:rsid w:val="00036C54"/>
    <w:rsid w:val="000371D6"/>
    <w:rsid w:val="00037CFC"/>
    <w:rsid w:val="0004043A"/>
    <w:rsid w:val="00040801"/>
    <w:rsid w:val="00040928"/>
    <w:rsid w:val="00041C37"/>
    <w:rsid w:val="000421E7"/>
    <w:rsid w:val="000424A9"/>
    <w:rsid w:val="00042666"/>
    <w:rsid w:val="00042EDD"/>
    <w:rsid w:val="00042F4B"/>
    <w:rsid w:val="00043DC8"/>
    <w:rsid w:val="00045CBF"/>
    <w:rsid w:val="000463B2"/>
    <w:rsid w:val="0004658D"/>
    <w:rsid w:val="000465CC"/>
    <w:rsid w:val="00046F63"/>
    <w:rsid w:val="00047345"/>
    <w:rsid w:val="0004755E"/>
    <w:rsid w:val="00047AD0"/>
    <w:rsid w:val="00047C12"/>
    <w:rsid w:val="00047C93"/>
    <w:rsid w:val="00047CA6"/>
    <w:rsid w:val="00050033"/>
    <w:rsid w:val="0005070E"/>
    <w:rsid w:val="000509AA"/>
    <w:rsid w:val="00050B55"/>
    <w:rsid w:val="00050C47"/>
    <w:rsid w:val="00050D49"/>
    <w:rsid w:val="00051555"/>
    <w:rsid w:val="000515A5"/>
    <w:rsid w:val="00051629"/>
    <w:rsid w:val="00051E4D"/>
    <w:rsid w:val="00051F72"/>
    <w:rsid w:val="00052211"/>
    <w:rsid w:val="0005223E"/>
    <w:rsid w:val="00052ADD"/>
    <w:rsid w:val="00052DC4"/>
    <w:rsid w:val="000538A6"/>
    <w:rsid w:val="00054F25"/>
    <w:rsid w:val="00056CF0"/>
    <w:rsid w:val="0005741D"/>
    <w:rsid w:val="00057676"/>
    <w:rsid w:val="00057782"/>
    <w:rsid w:val="000610FF"/>
    <w:rsid w:val="0006127A"/>
    <w:rsid w:val="00061A09"/>
    <w:rsid w:val="00062108"/>
    <w:rsid w:val="0006239B"/>
    <w:rsid w:val="00062A2E"/>
    <w:rsid w:val="00063342"/>
    <w:rsid w:val="000635A3"/>
    <w:rsid w:val="00063D66"/>
    <w:rsid w:val="00063FC4"/>
    <w:rsid w:val="0006440A"/>
    <w:rsid w:val="0006489B"/>
    <w:rsid w:val="00064B43"/>
    <w:rsid w:val="000659F4"/>
    <w:rsid w:val="00065B43"/>
    <w:rsid w:val="0006696C"/>
    <w:rsid w:val="00067367"/>
    <w:rsid w:val="00067542"/>
    <w:rsid w:val="00067786"/>
    <w:rsid w:val="00067811"/>
    <w:rsid w:val="000710D4"/>
    <w:rsid w:val="00072E8F"/>
    <w:rsid w:val="00073984"/>
    <w:rsid w:val="00073C7D"/>
    <w:rsid w:val="00073F02"/>
    <w:rsid w:val="000740B9"/>
    <w:rsid w:val="000742B9"/>
    <w:rsid w:val="000746D9"/>
    <w:rsid w:val="00074C85"/>
    <w:rsid w:val="00074E52"/>
    <w:rsid w:val="00074F5B"/>
    <w:rsid w:val="00075101"/>
    <w:rsid w:val="000757EA"/>
    <w:rsid w:val="00075E76"/>
    <w:rsid w:val="000769C0"/>
    <w:rsid w:val="00077092"/>
    <w:rsid w:val="00077F58"/>
    <w:rsid w:val="0008128A"/>
    <w:rsid w:val="0008128B"/>
    <w:rsid w:val="0008185A"/>
    <w:rsid w:val="000819F5"/>
    <w:rsid w:val="00081FA1"/>
    <w:rsid w:val="000828C7"/>
    <w:rsid w:val="0008292C"/>
    <w:rsid w:val="00083D96"/>
    <w:rsid w:val="00083F52"/>
    <w:rsid w:val="0008405E"/>
    <w:rsid w:val="0008475E"/>
    <w:rsid w:val="00084846"/>
    <w:rsid w:val="00085118"/>
    <w:rsid w:val="00086476"/>
    <w:rsid w:val="00087011"/>
    <w:rsid w:val="00090574"/>
    <w:rsid w:val="00090A6A"/>
    <w:rsid w:val="00090D5A"/>
    <w:rsid w:val="00091168"/>
    <w:rsid w:val="00091442"/>
    <w:rsid w:val="00091726"/>
    <w:rsid w:val="00091749"/>
    <w:rsid w:val="000919D7"/>
    <w:rsid w:val="00091A18"/>
    <w:rsid w:val="00091C14"/>
    <w:rsid w:val="00092C31"/>
    <w:rsid w:val="000934E1"/>
    <w:rsid w:val="00093970"/>
    <w:rsid w:val="00093A51"/>
    <w:rsid w:val="0009405A"/>
    <w:rsid w:val="00094156"/>
    <w:rsid w:val="0009450A"/>
    <w:rsid w:val="00094BB1"/>
    <w:rsid w:val="0009507A"/>
    <w:rsid w:val="00095E5B"/>
    <w:rsid w:val="00095F0D"/>
    <w:rsid w:val="000978A2"/>
    <w:rsid w:val="00097C2B"/>
    <w:rsid w:val="00097C55"/>
    <w:rsid w:val="000A0DBF"/>
    <w:rsid w:val="000A1C06"/>
    <w:rsid w:val="000A2F79"/>
    <w:rsid w:val="000A31CD"/>
    <w:rsid w:val="000A43BF"/>
    <w:rsid w:val="000A4606"/>
    <w:rsid w:val="000A490F"/>
    <w:rsid w:val="000A56D8"/>
    <w:rsid w:val="000A56FA"/>
    <w:rsid w:val="000A5B65"/>
    <w:rsid w:val="000A5CC2"/>
    <w:rsid w:val="000A5D08"/>
    <w:rsid w:val="000A5D9C"/>
    <w:rsid w:val="000A6277"/>
    <w:rsid w:val="000A636A"/>
    <w:rsid w:val="000A708B"/>
    <w:rsid w:val="000A738A"/>
    <w:rsid w:val="000A74C6"/>
    <w:rsid w:val="000A7A21"/>
    <w:rsid w:val="000A7B54"/>
    <w:rsid w:val="000B0FA3"/>
    <w:rsid w:val="000B108C"/>
    <w:rsid w:val="000B18CF"/>
    <w:rsid w:val="000B19D9"/>
    <w:rsid w:val="000B19E1"/>
    <w:rsid w:val="000B2C00"/>
    <w:rsid w:val="000B342D"/>
    <w:rsid w:val="000B3A0D"/>
    <w:rsid w:val="000B3E8A"/>
    <w:rsid w:val="000B4208"/>
    <w:rsid w:val="000B4CF8"/>
    <w:rsid w:val="000B4F05"/>
    <w:rsid w:val="000B4FBB"/>
    <w:rsid w:val="000B603A"/>
    <w:rsid w:val="000B60D0"/>
    <w:rsid w:val="000B6304"/>
    <w:rsid w:val="000B6B01"/>
    <w:rsid w:val="000B6C23"/>
    <w:rsid w:val="000B6D40"/>
    <w:rsid w:val="000C086C"/>
    <w:rsid w:val="000C08E3"/>
    <w:rsid w:val="000C0D8D"/>
    <w:rsid w:val="000C0DA8"/>
    <w:rsid w:val="000C1E85"/>
    <w:rsid w:val="000C3602"/>
    <w:rsid w:val="000C3662"/>
    <w:rsid w:val="000C3DBD"/>
    <w:rsid w:val="000C4C0B"/>
    <w:rsid w:val="000C5F95"/>
    <w:rsid w:val="000C625F"/>
    <w:rsid w:val="000C6766"/>
    <w:rsid w:val="000C67CE"/>
    <w:rsid w:val="000C6BCF"/>
    <w:rsid w:val="000C78F6"/>
    <w:rsid w:val="000C7AC8"/>
    <w:rsid w:val="000C7C76"/>
    <w:rsid w:val="000D12F8"/>
    <w:rsid w:val="000D15ED"/>
    <w:rsid w:val="000D1A42"/>
    <w:rsid w:val="000D1AB2"/>
    <w:rsid w:val="000D1E8F"/>
    <w:rsid w:val="000D2373"/>
    <w:rsid w:val="000D2864"/>
    <w:rsid w:val="000D2B12"/>
    <w:rsid w:val="000D31C8"/>
    <w:rsid w:val="000D3E7F"/>
    <w:rsid w:val="000D5C6D"/>
    <w:rsid w:val="000D5C92"/>
    <w:rsid w:val="000D6BAC"/>
    <w:rsid w:val="000D6C0E"/>
    <w:rsid w:val="000D7207"/>
    <w:rsid w:val="000D7649"/>
    <w:rsid w:val="000D7EF7"/>
    <w:rsid w:val="000D7F42"/>
    <w:rsid w:val="000E0613"/>
    <w:rsid w:val="000E131A"/>
    <w:rsid w:val="000E1C29"/>
    <w:rsid w:val="000E20C2"/>
    <w:rsid w:val="000E23FF"/>
    <w:rsid w:val="000E31D2"/>
    <w:rsid w:val="000E52F0"/>
    <w:rsid w:val="000E6B7D"/>
    <w:rsid w:val="000E7413"/>
    <w:rsid w:val="000E7E2E"/>
    <w:rsid w:val="000F0BC7"/>
    <w:rsid w:val="000F0D42"/>
    <w:rsid w:val="000F0D6E"/>
    <w:rsid w:val="000F107D"/>
    <w:rsid w:val="000F1119"/>
    <w:rsid w:val="000F14D3"/>
    <w:rsid w:val="000F1606"/>
    <w:rsid w:val="000F29A2"/>
    <w:rsid w:val="000F2A73"/>
    <w:rsid w:val="000F2BA8"/>
    <w:rsid w:val="000F394C"/>
    <w:rsid w:val="000F4427"/>
    <w:rsid w:val="000F4550"/>
    <w:rsid w:val="000F4660"/>
    <w:rsid w:val="000F6066"/>
    <w:rsid w:val="000F76A3"/>
    <w:rsid w:val="00100487"/>
    <w:rsid w:val="00100580"/>
    <w:rsid w:val="00100764"/>
    <w:rsid w:val="001008D0"/>
    <w:rsid w:val="00101512"/>
    <w:rsid w:val="001018DB"/>
    <w:rsid w:val="001020D4"/>
    <w:rsid w:val="00102552"/>
    <w:rsid w:val="001026CC"/>
    <w:rsid w:val="00102903"/>
    <w:rsid w:val="00102DF7"/>
    <w:rsid w:val="00102E24"/>
    <w:rsid w:val="001030D8"/>
    <w:rsid w:val="0010451F"/>
    <w:rsid w:val="0010478F"/>
    <w:rsid w:val="00104880"/>
    <w:rsid w:val="00104A32"/>
    <w:rsid w:val="00104B44"/>
    <w:rsid w:val="0010665E"/>
    <w:rsid w:val="001067E4"/>
    <w:rsid w:val="00106E37"/>
    <w:rsid w:val="00106FA7"/>
    <w:rsid w:val="001071E5"/>
    <w:rsid w:val="0010799B"/>
    <w:rsid w:val="001103C2"/>
    <w:rsid w:val="00110B90"/>
    <w:rsid w:val="0011107D"/>
    <w:rsid w:val="00111487"/>
    <w:rsid w:val="00111A0E"/>
    <w:rsid w:val="00112396"/>
    <w:rsid w:val="001133C8"/>
    <w:rsid w:val="00113519"/>
    <w:rsid w:val="00113C91"/>
    <w:rsid w:val="00114A2C"/>
    <w:rsid w:val="00114F4E"/>
    <w:rsid w:val="00115243"/>
    <w:rsid w:val="00116498"/>
    <w:rsid w:val="00116871"/>
    <w:rsid w:val="001171AB"/>
    <w:rsid w:val="00120496"/>
    <w:rsid w:val="00120953"/>
    <w:rsid w:val="00120BB7"/>
    <w:rsid w:val="00121480"/>
    <w:rsid w:val="001216A5"/>
    <w:rsid w:val="00122267"/>
    <w:rsid w:val="00122AD2"/>
    <w:rsid w:val="00122EE9"/>
    <w:rsid w:val="001233DD"/>
    <w:rsid w:val="001238F8"/>
    <w:rsid w:val="00123916"/>
    <w:rsid w:val="00123C83"/>
    <w:rsid w:val="00123D03"/>
    <w:rsid w:val="001254F8"/>
    <w:rsid w:val="0012699A"/>
    <w:rsid w:val="00127261"/>
    <w:rsid w:val="0012794C"/>
    <w:rsid w:val="00127E18"/>
    <w:rsid w:val="001316BE"/>
    <w:rsid w:val="00131B4F"/>
    <w:rsid w:val="00131F95"/>
    <w:rsid w:val="00133A93"/>
    <w:rsid w:val="00133F94"/>
    <w:rsid w:val="00134167"/>
    <w:rsid w:val="00134524"/>
    <w:rsid w:val="001347D6"/>
    <w:rsid w:val="00134B12"/>
    <w:rsid w:val="001358FF"/>
    <w:rsid w:val="00135DDF"/>
    <w:rsid w:val="00136732"/>
    <w:rsid w:val="001367D3"/>
    <w:rsid w:val="0013683F"/>
    <w:rsid w:val="00137DE7"/>
    <w:rsid w:val="00140E31"/>
    <w:rsid w:val="00142150"/>
    <w:rsid w:val="001427B6"/>
    <w:rsid w:val="00142982"/>
    <w:rsid w:val="00143595"/>
    <w:rsid w:val="001438FC"/>
    <w:rsid w:val="00144B39"/>
    <w:rsid w:val="001459ED"/>
    <w:rsid w:val="00145A6F"/>
    <w:rsid w:val="00146A43"/>
    <w:rsid w:val="00146E25"/>
    <w:rsid w:val="00146EFD"/>
    <w:rsid w:val="00147E98"/>
    <w:rsid w:val="0015050C"/>
    <w:rsid w:val="00150E23"/>
    <w:rsid w:val="001510ED"/>
    <w:rsid w:val="0015186C"/>
    <w:rsid w:val="00151E7E"/>
    <w:rsid w:val="00151E84"/>
    <w:rsid w:val="001527DD"/>
    <w:rsid w:val="00152A62"/>
    <w:rsid w:val="001551FB"/>
    <w:rsid w:val="00155224"/>
    <w:rsid w:val="00155EFB"/>
    <w:rsid w:val="00155F07"/>
    <w:rsid w:val="00155F44"/>
    <w:rsid w:val="00156228"/>
    <w:rsid w:val="0015650B"/>
    <w:rsid w:val="0015669C"/>
    <w:rsid w:val="001567A2"/>
    <w:rsid w:val="001567E8"/>
    <w:rsid w:val="00156B61"/>
    <w:rsid w:val="001572CC"/>
    <w:rsid w:val="001575E8"/>
    <w:rsid w:val="0015793A"/>
    <w:rsid w:val="00157A8E"/>
    <w:rsid w:val="00157DAB"/>
    <w:rsid w:val="001608CD"/>
    <w:rsid w:val="00160978"/>
    <w:rsid w:val="00160A4B"/>
    <w:rsid w:val="00160DC5"/>
    <w:rsid w:val="00161880"/>
    <w:rsid w:val="001624DB"/>
    <w:rsid w:val="00162E75"/>
    <w:rsid w:val="001631DC"/>
    <w:rsid w:val="001634FB"/>
    <w:rsid w:val="00163552"/>
    <w:rsid w:val="00163F1A"/>
    <w:rsid w:val="001644F8"/>
    <w:rsid w:val="00164660"/>
    <w:rsid w:val="00164DF9"/>
    <w:rsid w:val="0016579C"/>
    <w:rsid w:val="00165849"/>
    <w:rsid w:val="001662D5"/>
    <w:rsid w:val="0016742A"/>
    <w:rsid w:val="0016744C"/>
    <w:rsid w:val="001674DB"/>
    <w:rsid w:val="00167B75"/>
    <w:rsid w:val="00170317"/>
    <w:rsid w:val="00170C6D"/>
    <w:rsid w:val="0017227A"/>
    <w:rsid w:val="00173C96"/>
    <w:rsid w:val="00173D95"/>
    <w:rsid w:val="00174CFE"/>
    <w:rsid w:val="001760DA"/>
    <w:rsid w:val="001765D6"/>
    <w:rsid w:val="00176B50"/>
    <w:rsid w:val="001771AB"/>
    <w:rsid w:val="00177448"/>
    <w:rsid w:val="00177DBF"/>
    <w:rsid w:val="001807E5"/>
    <w:rsid w:val="0018081A"/>
    <w:rsid w:val="00180C1F"/>
    <w:rsid w:val="00181DB0"/>
    <w:rsid w:val="0018227C"/>
    <w:rsid w:val="00182642"/>
    <w:rsid w:val="00182B26"/>
    <w:rsid w:val="001832E9"/>
    <w:rsid w:val="0018396B"/>
    <w:rsid w:val="00183DC6"/>
    <w:rsid w:val="00183F76"/>
    <w:rsid w:val="0018455C"/>
    <w:rsid w:val="0018495B"/>
    <w:rsid w:val="00184C4A"/>
    <w:rsid w:val="00185E19"/>
    <w:rsid w:val="001865E6"/>
    <w:rsid w:val="00186E12"/>
    <w:rsid w:val="001872A2"/>
    <w:rsid w:val="00187C77"/>
    <w:rsid w:val="00187FDC"/>
    <w:rsid w:val="00190182"/>
    <w:rsid w:val="00190193"/>
    <w:rsid w:val="00190CA3"/>
    <w:rsid w:val="00191131"/>
    <w:rsid w:val="0019113F"/>
    <w:rsid w:val="00191551"/>
    <w:rsid w:val="00191A86"/>
    <w:rsid w:val="00191FAA"/>
    <w:rsid w:val="001924B3"/>
    <w:rsid w:val="00192CEF"/>
    <w:rsid w:val="00193221"/>
    <w:rsid w:val="00193529"/>
    <w:rsid w:val="00193D03"/>
    <w:rsid w:val="00194144"/>
    <w:rsid w:val="0019490B"/>
    <w:rsid w:val="0019547F"/>
    <w:rsid w:val="0019609B"/>
    <w:rsid w:val="00196310"/>
    <w:rsid w:val="00196731"/>
    <w:rsid w:val="00196CC4"/>
    <w:rsid w:val="00196EBD"/>
    <w:rsid w:val="001971B6"/>
    <w:rsid w:val="00197550"/>
    <w:rsid w:val="00197945"/>
    <w:rsid w:val="00197BDE"/>
    <w:rsid w:val="00197E0E"/>
    <w:rsid w:val="001A019E"/>
    <w:rsid w:val="001A040C"/>
    <w:rsid w:val="001A0B03"/>
    <w:rsid w:val="001A0E84"/>
    <w:rsid w:val="001A0FAA"/>
    <w:rsid w:val="001A10C2"/>
    <w:rsid w:val="001A11CF"/>
    <w:rsid w:val="001A18EC"/>
    <w:rsid w:val="001A1953"/>
    <w:rsid w:val="001A2A65"/>
    <w:rsid w:val="001A32F9"/>
    <w:rsid w:val="001A3385"/>
    <w:rsid w:val="001A348B"/>
    <w:rsid w:val="001A363C"/>
    <w:rsid w:val="001A38CE"/>
    <w:rsid w:val="001A3BF9"/>
    <w:rsid w:val="001A49DB"/>
    <w:rsid w:val="001A4D2B"/>
    <w:rsid w:val="001A5415"/>
    <w:rsid w:val="001A5C3F"/>
    <w:rsid w:val="001A5FF2"/>
    <w:rsid w:val="001A6966"/>
    <w:rsid w:val="001A6D44"/>
    <w:rsid w:val="001A7163"/>
    <w:rsid w:val="001A7CEA"/>
    <w:rsid w:val="001A7D4F"/>
    <w:rsid w:val="001B00B7"/>
    <w:rsid w:val="001B0A48"/>
    <w:rsid w:val="001B0FF8"/>
    <w:rsid w:val="001B10CB"/>
    <w:rsid w:val="001B239E"/>
    <w:rsid w:val="001B2D0C"/>
    <w:rsid w:val="001B32EB"/>
    <w:rsid w:val="001B3517"/>
    <w:rsid w:val="001B39B2"/>
    <w:rsid w:val="001B4E2D"/>
    <w:rsid w:val="001B5451"/>
    <w:rsid w:val="001B590C"/>
    <w:rsid w:val="001B69D2"/>
    <w:rsid w:val="001B709B"/>
    <w:rsid w:val="001B72BE"/>
    <w:rsid w:val="001B7F58"/>
    <w:rsid w:val="001C0360"/>
    <w:rsid w:val="001C0B7E"/>
    <w:rsid w:val="001C158A"/>
    <w:rsid w:val="001C19CF"/>
    <w:rsid w:val="001C1AAF"/>
    <w:rsid w:val="001C2A35"/>
    <w:rsid w:val="001C2C47"/>
    <w:rsid w:val="001C2CCF"/>
    <w:rsid w:val="001C355B"/>
    <w:rsid w:val="001C3D15"/>
    <w:rsid w:val="001C3DC1"/>
    <w:rsid w:val="001C4654"/>
    <w:rsid w:val="001C48A5"/>
    <w:rsid w:val="001C561B"/>
    <w:rsid w:val="001C5936"/>
    <w:rsid w:val="001C5C21"/>
    <w:rsid w:val="001C7A6F"/>
    <w:rsid w:val="001D0920"/>
    <w:rsid w:val="001D097F"/>
    <w:rsid w:val="001D0A9E"/>
    <w:rsid w:val="001D0B39"/>
    <w:rsid w:val="001D0B8E"/>
    <w:rsid w:val="001D0DEC"/>
    <w:rsid w:val="001D1661"/>
    <w:rsid w:val="001D18D2"/>
    <w:rsid w:val="001D18F6"/>
    <w:rsid w:val="001D27DE"/>
    <w:rsid w:val="001D3099"/>
    <w:rsid w:val="001D30FD"/>
    <w:rsid w:val="001D365B"/>
    <w:rsid w:val="001D3E4C"/>
    <w:rsid w:val="001D3F32"/>
    <w:rsid w:val="001D45E7"/>
    <w:rsid w:val="001D4898"/>
    <w:rsid w:val="001D4FCB"/>
    <w:rsid w:val="001D5094"/>
    <w:rsid w:val="001D50B1"/>
    <w:rsid w:val="001D5139"/>
    <w:rsid w:val="001D5760"/>
    <w:rsid w:val="001D5A2C"/>
    <w:rsid w:val="001D5F26"/>
    <w:rsid w:val="001D6101"/>
    <w:rsid w:val="001D65D7"/>
    <w:rsid w:val="001D7180"/>
    <w:rsid w:val="001D7B9D"/>
    <w:rsid w:val="001D7F2F"/>
    <w:rsid w:val="001E0577"/>
    <w:rsid w:val="001E0FED"/>
    <w:rsid w:val="001E1E77"/>
    <w:rsid w:val="001E2072"/>
    <w:rsid w:val="001E2784"/>
    <w:rsid w:val="001E3EC9"/>
    <w:rsid w:val="001E45B5"/>
    <w:rsid w:val="001E4AF3"/>
    <w:rsid w:val="001E4CEF"/>
    <w:rsid w:val="001E4F74"/>
    <w:rsid w:val="001E5214"/>
    <w:rsid w:val="001E575D"/>
    <w:rsid w:val="001E5A0B"/>
    <w:rsid w:val="001E5FC9"/>
    <w:rsid w:val="001E6545"/>
    <w:rsid w:val="001E689D"/>
    <w:rsid w:val="001E71CE"/>
    <w:rsid w:val="001E7235"/>
    <w:rsid w:val="001E762C"/>
    <w:rsid w:val="001F0B24"/>
    <w:rsid w:val="001F1308"/>
    <w:rsid w:val="001F1895"/>
    <w:rsid w:val="001F1AB0"/>
    <w:rsid w:val="001F263F"/>
    <w:rsid w:val="001F2DE6"/>
    <w:rsid w:val="001F2EE8"/>
    <w:rsid w:val="001F3969"/>
    <w:rsid w:val="001F3C27"/>
    <w:rsid w:val="001F464F"/>
    <w:rsid w:val="001F4FEA"/>
    <w:rsid w:val="001F6E9C"/>
    <w:rsid w:val="001F6FE4"/>
    <w:rsid w:val="001F6FEF"/>
    <w:rsid w:val="001F72BF"/>
    <w:rsid w:val="00200EDB"/>
    <w:rsid w:val="002024C2"/>
    <w:rsid w:val="00203652"/>
    <w:rsid w:val="00203AF6"/>
    <w:rsid w:val="00203BFC"/>
    <w:rsid w:val="002043AC"/>
    <w:rsid w:val="00205331"/>
    <w:rsid w:val="0020543C"/>
    <w:rsid w:val="0020603E"/>
    <w:rsid w:val="00206122"/>
    <w:rsid w:val="002065D1"/>
    <w:rsid w:val="00206908"/>
    <w:rsid w:val="0020698A"/>
    <w:rsid w:val="00206C1E"/>
    <w:rsid w:val="002072F4"/>
    <w:rsid w:val="002075F9"/>
    <w:rsid w:val="00207893"/>
    <w:rsid w:val="002100E5"/>
    <w:rsid w:val="00210CE0"/>
    <w:rsid w:val="0021151D"/>
    <w:rsid w:val="00211864"/>
    <w:rsid w:val="00211D39"/>
    <w:rsid w:val="00211FA1"/>
    <w:rsid w:val="002128F5"/>
    <w:rsid w:val="00212A0A"/>
    <w:rsid w:val="00212AFA"/>
    <w:rsid w:val="002130D3"/>
    <w:rsid w:val="00213418"/>
    <w:rsid w:val="002135C9"/>
    <w:rsid w:val="00213E13"/>
    <w:rsid w:val="00213F6C"/>
    <w:rsid w:val="0021417B"/>
    <w:rsid w:val="002143BF"/>
    <w:rsid w:val="0021622D"/>
    <w:rsid w:val="002162CA"/>
    <w:rsid w:val="00216989"/>
    <w:rsid w:val="002171B6"/>
    <w:rsid w:val="00217FCD"/>
    <w:rsid w:val="002208FA"/>
    <w:rsid w:val="00220AE2"/>
    <w:rsid w:val="00220BAB"/>
    <w:rsid w:val="00220DFB"/>
    <w:rsid w:val="0022132C"/>
    <w:rsid w:val="0022190B"/>
    <w:rsid w:val="00221F36"/>
    <w:rsid w:val="00222310"/>
    <w:rsid w:val="00222423"/>
    <w:rsid w:val="002225BA"/>
    <w:rsid w:val="00222BF9"/>
    <w:rsid w:val="00223A39"/>
    <w:rsid w:val="00224257"/>
    <w:rsid w:val="00224370"/>
    <w:rsid w:val="0022576C"/>
    <w:rsid w:val="00225882"/>
    <w:rsid w:val="00225E0C"/>
    <w:rsid w:val="002265CC"/>
    <w:rsid w:val="002268C8"/>
    <w:rsid w:val="00226CEE"/>
    <w:rsid w:val="00227224"/>
    <w:rsid w:val="0022729F"/>
    <w:rsid w:val="00227B3F"/>
    <w:rsid w:val="002309B5"/>
    <w:rsid w:val="00231609"/>
    <w:rsid w:val="00231637"/>
    <w:rsid w:val="00231A8F"/>
    <w:rsid w:val="00231F6F"/>
    <w:rsid w:val="002323F9"/>
    <w:rsid w:val="00232861"/>
    <w:rsid w:val="00232D26"/>
    <w:rsid w:val="00233CA0"/>
    <w:rsid w:val="0023473E"/>
    <w:rsid w:val="0023693D"/>
    <w:rsid w:val="00236CB1"/>
    <w:rsid w:val="00236FD6"/>
    <w:rsid w:val="00237219"/>
    <w:rsid w:val="00237B00"/>
    <w:rsid w:val="00240052"/>
    <w:rsid w:val="00240969"/>
    <w:rsid w:val="00240DD9"/>
    <w:rsid w:val="00240EC4"/>
    <w:rsid w:val="002418FE"/>
    <w:rsid w:val="00241BB3"/>
    <w:rsid w:val="00241FAD"/>
    <w:rsid w:val="002420AA"/>
    <w:rsid w:val="00242305"/>
    <w:rsid w:val="00242AA3"/>
    <w:rsid w:val="00242D0E"/>
    <w:rsid w:val="00243400"/>
    <w:rsid w:val="00243423"/>
    <w:rsid w:val="0024361A"/>
    <w:rsid w:val="00244056"/>
    <w:rsid w:val="00244553"/>
    <w:rsid w:val="00245744"/>
    <w:rsid w:val="00245E4A"/>
    <w:rsid w:val="00245E5E"/>
    <w:rsid w:val="002464E5"/>
    <w:rsid w:val="00246612"/>
    <w:rsid w:val="00246972"/>
    <w:rsid w:val="00247686"/>
    <w:rsid w:val="00247F1C"/>
    <w:rsid w:val="0025005D"/>
    <w:rsid w:val="002505DF"/>
    <w:rsid w:val="0025077B"/>
    <w:rsid w:val="00250ADE"/>
    <w:rsid w:val="00251303"/>
    <w:rsid w:val="0025165B"/>
    <w:rsid w:val="00251F53"/>
    <w:rsid w:val="00252003"/>
    <w:rsid w:val="00252CE0"/>
    <w:rsid w:val="002539BB"/>
    <w:rsid w:val="002539C7"/>
    <w:rsid w:val="00254C86"/>
    <w:rsid w:val="00255760"/>
    <w:rsid w:val="00257D8D"/>
    <w:rsid w:val="00257E4C"/>
    <w:rsid w:val="00260187"/>
    <w:rsid w:val="002605F1"/>
    <w:rsid w:val="00260737"/>
    <w:rsid w:val="00260BFC"/>
    <w:rsid w:val="00260EAD"/>
    <w:rsid w:val="00261917"/>
    <w:rsid w:val="00261DDA"/>
    <w:rsid w:val="00261EF2"/>
    <w:rsid w:val="0026216A"/>
    <w:rsid w:val="0026273B"/>
    <w:rsid w:val="00262E23"/>
    <w:rsid w:val="002637F3"/>
    <w:rsid w:val="002646A2"/>
    <w:rsid w:val="00264EC9"/>
    <w:rsid w:val="002654F2"/>
    <w:rsid w:val="00265D2B"/>
    <w:rsid w:val="0026617A"/>
    <w:rsid w:val="0026621F"/>
    <w:rsid w:val="0026637B"/>
    <w:rsid w:val="0026663F"/>
    <w:rsid w:val="00267418"/>
    <w:rsid w:val="0027020F"/>
    <w:rsid w:val="00270BFF"/>
    <w:rsid w:val="00270E9A"/>
    <w:rsid w:val="00271292"/>
    <w:rsid w:val="00272942"/>
    <w:rsid w:val="002729B5"/>
    <w:rsid w:val="00272D54"/>
    <w:rsid w:val="00273360"/>
    <w:rsid w:val="00273C3E"/>
    <w:rsid w:val="00273F66"/>
    <w:rsid w:val="00274065"/>
    <w:rsid w:val="00274FBD"/>
    <w:rsid w:val="00275437"/>
    <w:rsid w:val="0027589A"/>
    <w:rsid w:val="002761A3"/>
    <w:rsid w:val="002767C2"/>
    <w:rsid w:val="00276819"/>
    <w:rsid w:val="00277462"/>
    <w:rsid w:val="002814FD"/>
    <w:rsid w:val="00281CDA"/>
    <w:rsid w:val="00281E5A"/>
    <w:rsid w:val="00282254"/>
    <w:rsid w:val="00282C1B"/>
    <w:rsid w:val="002830F7"/>
    <w:rsid w:val="00283120"/>
    <w:rsid w:val="00283892"/>
    <w:rsid w:val="0028452A"/>
    <w:rsid w:val="00284583"/>
    <w:rsid w:val="002845AA"/>
    <w:rsid w:val="00284A8F"/>
    <w:rsid w:val="00284AF5"/>
    <w:rsid w:val="0028500A"/>
    <w:rsid w:val="00285D00"/>
    <w:rsid w:val="00285D2F"/>
    <w:rsid w:val="0028604E"/>
    <w:rsid w:val="00286EA6"/>
    <w:rsid w:val="00286F3F"/>
    <w:rsid w:val="00287944"/>
    <w:rsid w:val="00287D16"/>
    <w:rsid w:val="002905CC"/>
    <w:rsid w:val="002908AE"/>
    <w:rsid w:val="00290EA5"/>
    <w:rsid w:val="00291167"/>
    <w:rsid w:val="002917FA"/>
    <w:rsid w:val="002929C4"/>
    <w:rsid w:val="00292AC7"/>
    <w:rsid w:val="00292C84"/>
    <w:rsid w:val="00293F76"/>
    <w:rsid w:val="00294480"/>
    <w:rsid w:val="00294641"/>
    <w:rsid w:val="00295452"/>
    <w:rsid w:val="002957BB"/>
    <w:rsid w:val="00295F57"/>
    <w:rsid w:val="00296D9A"/>
    <w:rsid w:val="002976EF"/>
    <w:rsid w:val="002A0652"/>
    <w:rsid w:val="002A0E1D"/>
    <w:rsid w:val="002A1717"/>
    <w:rsid w:val="002A1737"/>
    <w:rsid w:val="002A19D5"/>
    <w:rsid w:val="002A1A41"/>
    <w:rsid w:val="002A2062"/>
    <w:rsid w:val="002A20CD"/>
    <w:rsid w:val="002A2175"/>
    <w:rsid w:val="002A39DA"/>
    <w:rsid w:val="002A416F"/>
    <w:rsid w:val="002A558C"/>
    <w:rsid w:val="002A5B20"/>
    <w:rsid w:val="002A5BCE"/>
    <w:rsid w:val="002A7323"/>
    <w:rsid w:val="002A7455"/>
    <w:rsid w:val="002A74D9"/>
    <w:rsid w:val="002A7A04"/>
    <w:rsid w:val="002B0235"/>
    <w:rsid w:val="002B04DA"/>
    <w:rsid w:val="002B05F5"/>
    <w:rsid w:val="002B061E"/>
    <w:rsid w:val="002B1464"/>
    <w:rsid w:val="002B1633"/>
    <w:rsid w:val="002B1B50"/>
    <w:rsid w:val="002B1C04"/>
    <w:rsid w:val="002B1EF9"/>
    <w:rsid w:val="002B2346"/>
    <w:rsid w:val="002B2384"/>
    <w:rsid w:val="002B27E8"/>
    <w:rsid w:val="002B296C"/>
    <w:rsid w:val="002B2FFD"/>
    <w:rsid w:val="002B3B35"/>
    <w:rsid w:val="002B3F92"/>
    <w:rsid w:val="002B44DD"/>
    <w:rsid w:val="002B6185"/>
    <w:rsid w:val="002B6240"/>
    <w:rsid w:val="002B6249"/>
    <w:rsid w:val="002B6879"/>
    <w:rsid w:val="002B6D0E"/>
    <w:rsid w:val="002B72CD"/>
    <w:rsid w:val="002B743B"/>
    <w:rsid w:val="002B7C9C"/>
    <w:rsid w:val="002B7CA8"/>
    <w:rsid w:val="002C0185"/>
    <w:rsid w:val="002C0F4C"/>
    <w:rsid w:val="002C1221"/>
    <w:rsid w:val="002C139F"/>
    <w:rsid w:val="002C16FC"/>
    <w:rsid w:val="002C18D7"/>
    <w:rsid w:val="002C1ADA"/>
    <w:rsid w:val="002C2357"/>
    <w:rsid w:val="002C279A"/>
    <w:rsid w:val="002C2AC4"/>
    <w:rsid w:val="002C2CDB"/>
    <w:rsid w:val="002C2DF7"/>
    <w:rsid w:val="002C4390"/>
    <w:rsid w:val="002C5AFB"/>
    <w:rsid w:val="002C6250"/>
    <w:rsid w:val="002C674D"/>
    <w:rsid w:val="002C7583"/>
    <w:rsid w:val="002C7767"/>
    <w:rsid w:val="002D1099"/>
    <w:rsid w:val="002D237F"/>
    <w:rsid w:val="002D3396"/>
    <w:rsid w:val="002D3CB6"/>
    <w:rsid w:val="002D42B4"/>
    <w:rsid w:val="002D4D5E"/>
    <w:rsid w:val="002D4F8A"/>
    <w:rsid w:val="002D529C"/>
    <w:rsid w:val="002D5300"/>
    <w:rsid w:val="002D5BF2"/>
    <w:rsid w:val="002D7176"/>
    <w:rsid w:val="002D7272"/>
    <w:rsid w:val="002D7B35"/>
    <w:rsid w:val="002E0146"/>
    <w:rsid w:val="002E0300"/>
    <w:rsid w:val="002E0419"/>
    <w:rsid w:val="002E0FA8"/>
    <w:rsid w:val="002E1874"/>
    <w:rsid w:val="002E1A5F"/>
    <w:rsid w:val="002E1BBF"/>
    <w:rsid w:val="002E203C"/>
    <w:rsid w:val="002E2305"/>
    <w:rsid w:val="002E2BEF"/>
    <w:rsid w:val="002E2C9E"/>
    <w:rsid w:val="002E2D78"/>
    <w:rsid w:val="002E3473"/>
    <w:rsid w:val="002E3DD4"/>
    <w:rsid w:val="002E4A7C"/>
    <w:rsid w:val="002E549C"/>
    <w:rsid w:val="002E5604"/>
    <w:rsid w:val="002E5705"/>
    <w:rsid w:val="002E5D76"/>
    <w:rsid w:val="002E5E59"/>
    <w:rsid w:val="002E61B6"/>
    <w:rsid w:val="002E62C0"/>
    <w:rsid w:val="002E695C"/>
    <w:rsid w:val="002E6E55"/>
    <w:rsid w:val="002F0594"/>
    <w:rsid w:val="002F0C89"/>
    <w:rsid w:val="002F0D24"/>
    <w:rsid w:val="002F1398"/>
    <w:rsid w:val="002F2050"/>
    <w:rsid w:val="002F2445"/>
    <w:rsid w:val="002F2F54"/>
    <w:rsid w:val="002F302B"/>
    <w:rsid w:val="002F336F"/>
    <w:rsid w:val="002F3BE1"/>
    <w:rsid w:val="002F3DD4"/>
    <w:rsid w:val="002F5305"/>
    <w:rsid w:val="002F5CA9"/>
    <w:rsid w:val="002F5E4F"/>
    <w:rsid w:val="002F5FC0"/>
    <w:rsid w:val="002F6B60"/>
    <w:rsid w:val="002F6CA7"/>
    <w:rsid w:val="002F6F0B"/>
    <w:rsid w:val="002F6F9A"/>
    <w:rsid w:val="002F79AC"/>
    <w:rsid w:val="002F79F4"/>
    <w:rsid w:val="0030042D"/>
    <w:rsid w:val="003018B0"/>
    <w:rsid w:val="00301C9A"/>
    <w:rsid w:val="00301EFE"/>
    <w:rsid w:val="00301F66"/>
    <w:rsid w:val="00301FA5"/>
    <w:rsid w:val="003023D9"/>
    <w:rsid w:val="0030258C"/>
    <w:rsid w:val="0030280D"/>
    <w:rsid w:val="00302FD5"/>
    <w:rsid w:val="003037C7"/>
    <w:rsid w:val="00303C2F"/>
    <w:rsid w:val="00304066"/>
    <w:rsid w:val="00304248"/>
    <w:rsid w:val="00304939"/>
    <w:rsid w:val="00304957"/>
    <w:rsid w:val="00304A9C"/>
    <w:rsid w:val="00304E80"/>
    <w:rsid w:val="00305895"/>
    <w:rsid w:val="00305981"/>
    <w:rsid w:val="00305C60"/>
    <w:rsid w:val="00307526"/>
    <w:rsid w:val="00307873"/>
    <w:rsid w:val="00307CC4"/>
    <w:rsid w:val="00310378"/>
    <w:rsid w:val="00310A7E"/>
    <w:rsid w:val="00310B52"/>
    <w:rsid w:val="00310E38"/>
    <w:rsid w:val="00311775"/>
    <w:rsid w:val="003123DD"/>
    <w:rsid w:val="003126DE"/>
    <w:rsid w:val="003135F1"/>
    <w:rsid w:val="00314323"/>
    <w:rsid w:val="003143D8"/>
    <w:rsid w:val="00315D43"/>
    <w:rsid w:val="00316067"/>
    <w:rsid w:val="0031620F"/>
    <w:rsid w:val="00316446"/>
    <w:rsid w:val="003164DD"/>
    <w:rsid w:val="00316739"/>
    <w:rsid w:val="00316BDF"/>
    <w:rsid w:val="00316CE5"/>
    <w:rsid w:val="00317479"/>
    <w:rsid w:val="00317997"/>
    <w:rsid w:val="00317D2C"/>
    <w:rsid w:val="00320855"/>
    <w:rsid w:val="00320E48"/>
    <w:rsid w:val="00320EC4"/>
    <w:rsid w:val="00320EE7"/>
    <w:rsid w:val="0032123F"/>
    <w:rsid w:val="003212CA"/>
    <w:rsid w:val="00321B86"/>
    <w:rsid w:val="00322B58"/>
    <w:rsid w:val="00322BF2"/>
    <w:rsid w:val="00323096"/>
    <w:rsid w:val="00323785"/>
    <w:rsid w:val="003238AA"/>
    <w:rsid w:val="00323A50"/>
    <w:rsid w:val="00323AB2"/>
    <w:rsid w:val="003246C2"/>
    <w:rsid w:val="003257D3"/>
    <w:rsid w:val="0032709B"/>
    <w:rsid w:val="0032767C"/>
    <w:rsid w:val="00330A90"/>
    <w:rsid w:val="0033268B"/>
    <w:rsid w:val="003329CD"/>
    <w:rsid w:val="00332DA6"/>
    <w:rsid w:val="00333313"/>
    <w:rsid w:val="00333B2F"/>
    <w:rsid w:val="00333DDB"/>
    <w:rsid w:val="00334853"/>
    <w:rsid w:val="003352DB"/>
    <w:rsid w:val="00335783"/>
    <w:rsid w:val="00335794"/>
    <w:rsid w:val="00335AD5"/>
    <w:rsid w:val="00336845"/>
    <w:rsid w:val="00337E7E"/>
    <w:rsid w:val="00340015"/>
    <w:rsid w:val="003400F9"/>
    <w:rsid w:val="00340755"/>
    <w:rsid w:val="003410DF"/>
    <w:rsid w:val="00342ED6"/>
    <w:rsid w:val="0034341C"/>
    <w:rsid w:val="00343D0B"/>
    <w:rsid w:val="00343DEF"/>
    <w:rsid w:val="00343ECF"/>
    <w:rsid w:val="00344429"/>
    <w:rsid w:val="00344636"/>
    <w:rsid w:val="0034550B"/>
    <w:rsid w:val="00345BFE"/>
    <w:rsid w:val="00346091"/>
    <w:rsid w:val="00346A6F"/>
    <w:rsid w:val="00346E4E"/>
    <w:rsid w:val="00347134"/>
    <w:rsid w:val="0034715E"/>
    <w:rsid w:val="00347E37"/>
    <w:rsid w:val="00350207"/>
    <w:rsid w:val="0035081A"/>
    <w:rsid w:val="00351114"/>
    <w:rsid w:val="003524B9"/>
    <w:rsid w:val="00352798"/>
    <w:rsid w:val="00352917"/>
    <w:rsid w:val="00352ECC"/>
    <w:rsid w:val="00353545"/>
    <w:rsid w:val="00353AAF"/>
    <w:rsid w:val="00353C6A"/>
    <w:rsid w:val="00354046"/>
    <w:rsid w:val="0035419B"/>
    <w:rsid w:val="003549F9"/>
    <w:rsid w:val="00354ED7"/>
    <w:rsid w:val="00354F99"/>
    <w:rsid w:val="0035530D"/>
    <w:rsid w:val="0035552C"/>
    <w:rsid w:val="00355844"/>
    <w:rsid w:val="00355981"/>
    <w:rsid w:val="00355A7D"/>
    <w:rsid w:val="00355E91"/>
    <w:rsid w:val="00356335"/>
    <w:rsid w:val="003568F3"/>
    <w:rsid w:val="00356DB9"/>
    <w:rsid w:val="00357BE2"/>
    <w:rsid w:val="00357CC3"/>
    <w:rsid w:val="00357DCA"/>
    <w:rsid w:val="003609F0"/>
    <w:rsid w:val="00360DB5"/>
    <w:rsid w:val="00360EF4"/>
    <w:rsid w:val="0036109F"/>
    <w:rsid w:val="00361335"/>
    <w:rsid w:val="0036139E"/>
    <w:rsid w:val="003637A4"/>
    <w:rsid w:val="00363BED"/>
    <w:rsid w:val="00363E0A"/>
    <w:rsid w:val="00364298"/>
    <w:rsid w:val="00364E3C"/>
    <w:rsid w:val="0036569C"/>
    <w:rsid w:val="0036586F"/>
    <w:rsid w:val="003658EB"/>
    <w:rsid w:val="00366580"/>
    <w:rsid w:val="003666BB"/>
    <w:rsid w:val="003669CD"/>
    <w:rsid w:val="003704F3"/>
    <w:rsid w:val="0037090B"/>
    <w:rsid w:val="00370E7E"/>
    <w:rsid w:val="00371D82"/>
    <w:rsid w:val="00371EF4"/>
    <w:rsid w:val="003736FE"/>
    <w:rsid w:val="00373804"/>
    <w:rsid w:val="00373A15"/>
    <w:rsid w:val="00374770"/>
    <w:rsid w:val="00374BAB"/>
    <w:rsid w:val="00375DB5"/>
    <w:rsid w:val="003763F1"/>
    <w:rsid w:val="0037663B"/>
    <w:rsid w:val="00377266"/>
    <w:rsid w:val="0037728B"/>
    <w:rsid w:val="0037796D"/>
    <w:rsid w:val="0038032F"/>
    <w:rsid w:val="00380D77"/>
    <w:rsid w:val="00380EC3"/>
    <w:rsid w:val="00381004"/>
    <w:rsid w:val="0038165F"/>
    <w:rsid w:val="00382023"/>
    <w:rsid w:val="00382241"/>
    <w:rsid w:val="0038249C"/>
    <w:rsid w:val="003825C1"/>
    <w:rsid w:val="00382FF5"/>
    <w:rsid w:val="00383779"/>
    <w:rsid w:val="00383F84"/>
    <w:rsid w:val="003853AD"/>
    <w:rsid w:val="0038570C"/>
    <w:rsid w:val="0038572B"/>
    <w:rsid w:val="00386B51"/>
    <w:rsid w:val="00386C6B"/>
    <w:rsid w:val="00387267"/>
    <w:rsid w:val="00387783"/>
    <w:rsid w:val="00387CA1"/>
    <w:rsid w:val="00390AA0"/>
    <w:rsid w:val="00390FAB"/>
    <w:rsid w:val="00391E81"/>
    <w:rsid w:val="00393206"/>
    <w:rsid w:val="003949E2"/>
    <w:rsid w:val="00394A1C"/>
    <w:rsid w:val="003955FA"/>
    <w:rsid w:val="0039656D"/>
    <w:rsid w:val="00396B2E"/>
    <w:rsid w:val="003973BD"/>
    <w:rsid w:val="00397794"/>
    <w:rsid w:val="003A02EA"/>
    <w:rsid w:val="003A0677"/>
    <w:rsid w:val="003A0709"/>
    <w:rsid w:val="003A08FB"/>
    <w:rsid w:val="003A14F9"/>
    <w:rsid w:val="003A155C"/>
    <w:rsid w:val="003A1CC1"/>
    <w:rsid w:val="003A1DC1"/>
    <w:rsid w:val="003A2487"/>
    <w:rsid w:val="003A28FC"/>
    <w:rsid w:val="003A4683"/>
    <w:rsid w:val="003A4751"/>
    <w:rsid w:val="003A4C7F"/>
    <w:rsid w:val="003A4F69"/>
    <w:rsid w:val="003A54D0"/>
    <w:rsid w:val="003A5D66"/>
    <w:rsid w:val="003A6625"/>
    <w:rsid w:val="003A6944"/>
    <w:rsid w:val="003A6FAC"/>
    <w:rsid w:val="003A7108"/>
    <w:rsid w:val="003B0483"/>
    <w:rsid w:val="003B06BD"/>
    <w:rsid w:val="003B07A0"/>
    <w:rsid w:val="003B0C08"/>
    <w:rsid w:val="003B0E3D"/>
    <w:rsid w:val="003B0E9D"/>
    <w:rsid w:val="003B0ECD"/>
    <w:rsid w:val="003B17B3"/>
    <w:rsid w:val="003B1B32"/>
    <w:rsid w:val="003B1C66"/>
    <w:rsid w:val="003B1D5F"/>
    <w:rsid w:val="003B239E"/>
    <w:rsid w:val="003B24B7"/>
    <w:rsid w:val="003B4BE0"/>
    <w:rsid w:val="003B4C46"/>
    <w:rsid w:val="003B4CC3"/>
    <w:rsid w:val="003B54FC"/>
    <w:rsid w:val="003B56F1"/>
    <w:rsid w:val="003B668F"/>
    <w:rsid w:val="003B6A25"/>
    <w:rsid w:val="003B6FC0"/>
    <w:rsid w:val="003B7C1C"/>
    <w:rsid w:val="003C0324"/>
    <w:rsid w:val="003C095A"/>
    <w:rsid w:val="003C0ACF"/>
    <w:rsid w:val="003C0C18"/>
    <w:rsid w:val="003C0D94"/>
    <w:rsid w:val="003C1143"/>
    <w:rsid w:val="003C1209"/>
    <w:rsid w:val="003C18B3"/>
    <w:rsid w:val="003C1A5F"/>
    <w:rsid w:val="003C1B6D"/>
    <w:rsid w:val="003C1BEB"/>
    <w:rsid w:val="003C2AE5"/>
    <w:rsid w:val="003C3D1A"/>
    <w:rsid w:val="003C44A7"/>
    <w:rsid w:val="003C4A92"/>
    <w:rsid w:val="003C4B66"/>
    <w:rsid w:val="003C5346"/>
    <w:rsid w:val="003C54F7"/>
    <w:rsid w:val="003C6531"/>
    <w:rsid w:val="003C6592"/>
    <w:rsid w:val="003C6718"/>
    <w:rsid w:val="003C67DC"/>
    <w:rsid w:val="003C7191"/>
    <w:rsid w:val="003D17C5"/>
    <w:rsid w:val="003D24D2"/>
    <w:rsid w:val="003D25F0"/>
    <w:rsid w:val="003D2A95"/>
    <w:rsid w:val="003D2FD2"/>
    <w:rsid w:val="003D3BA9"/>
    <w:rsid w:val="003D3C36"/>
    <w:rsid w:val="003D3F66"/>
    <w:rsid w:val="003D43C3"/>
    <w:rsid w:val="003D48C9"/>
    <w:rsid w:val="003D4A16"/>
    <w:rsid w:val="003D589E"/>
    <w:rsid w:val="003D58C3"/>
    <w:rsid w:val="003D59A4"/>
    <w:rsid w:val="003D637B"/>
    <w:rsid w:val="003D6591"/>
    <w:rsid w:val="003D6949"/>
    <w:rsid w:val="003D7373"/>
    <w:rsid w:val="003D766B"/>
    <w:rsid w:val="003D76E5"/>
    <w:rsid w:val="003D7E01"/>
    <w:rsid w:val="003E010C"/>
    <w:rsid w:val="003E0359"/>
    <w:rsid w:val="003E03A4"/>
    <w:rsid w:val="003E0C1D"/>
    <w:rsid w:val="003E0C4B"/>
    <w:rsid w:val="003E0DDE"/>
    <w:rsid w:val="003E0FD7"/>
    <w:rsid w:val="003E1A26"/>
    <w:rsid w:val="003E1F54"/>
    <w:rsid w:val="003E2119"/>
    <w:rsid w:val="003E2A22"/>
    <w:rsid w:val="003E2A46"/>
    <w:rsid w:val="003E3563"/>
    <w:rsid w:val="003E3D08"/>
    <w:rsid w:val="003E42FF"/>
    <w:rsid w:val="003E482F"/>
    <w:rsid w:val="003E4D8C"/>
    <w:rsid w:val="003E5063"/>
    <w:rsid w:val="003E5111"/>
    <w:rsid w:val="003E523E"/>
    <w:rsid w:val="003E595C"/>
    <w:rsid w:val="003E5CD5"/>
    <w:rsid w:val="003E618D"/>
    <w:rsid w:val="003E6CD5"/>
    <w:rsid w:val="003E6EB4"/>
    <w:rsid w:val="003E75AE"/>
    <w:rsid w:val="003E7816"/>
    <w:rsid w:val="003E7CCC"/>
    <w:rsid w:val="003F0F15"/>
    <w:rsid w:val="003F18C2"/>
    <w:rsid w:val="003F2557"/>
    <w:rsid w:val="003F2588"/>
    <w:rsid w:val="003F2A72"/>
    <w:rsid w:val="003F387D"/>
    <w:rsid w:val="003F54DF"/>
    <w:rsid w:val="003F55A4"/>
    <w:rsid w:val="003F598B"/>
    <w:rsid w:val="003F6190"/>
    <w:rsid w:val="003F65A2"/>
    <w:rsid w:val="003F7A50"/>
    <w:rsid w:val="0040017A"/>
    <w:rsid w:val="004009EC"/>
    <w:rsid w:val="004015B5"/>
    <w:rsid w:val="004019C3"/>
    <w:rsid w:val="00401ADB"/>
    <w:rsid w:val="00401E68"/>
    <w:rsid w:val="00402903"/>
    <w:rsid w:val="00402B6D"/>
    <w:rsid w:val="004033E5"/>
    <w:rsid w:val="004035F0"/>
    <w:rsid w:val="00403945"/>
    <w:rsid w:val="00403BDE"/>
    <w:rsid w:val="00403BFD"/>
    <w:rsid w:val="00404128"/>
    <w:rsid w:val="004043E8"/>
    <w:rsid w:val="004044DA"/>
    <w:rsid w:val="00404CC3"/>
    <w:rsid w:val="00405428"/>
    <w:rsid w:val="0040570D"/>
    <w:rsid w:val="00405C18"/>
    <w:rsid w:val="00405C7C"/>
    <w:rsid w:val="00405D9F"/>
    <w:rsid w:val="0040614B"/>
    <w:rsid w:val="00406BBA"/>
    <w:rsid w:val="00406E24"/>
    <w:rsid w:val="00407B26"/>
    <w:rsid w:val="00407DDC"/>
    <w:rsid w:val="00410257"/>
    <w:rsid w:val="004102A2"/>
    <w:rsid w:val="004103C5"/>
    <w:rsid w:val="00410412"/>
    <w:rsid w:val="0041108B"/>
    <w:rsid w:val="00411832"/>
    <w:rsid w:val="00411AA6"/>
    <w:rsid w:val="00413911"/>
    <w:rsid w:val="00414141"/>
    <w:rsid w:val="0041423C"/>
    <w:rsid w:val="00414BF9"/>
    <w:rsid w:val="00414D8D"/>
    <w:rsid w:val="004165B2"/>
    <w:rsid w:val="00416A05"/>
    <w:rsid w:val="004170D6"/>
    <w:rsid w:val="00417D1C"/>
    <w:rsid w:val="0042176D"/>
    <w:rsid w:val="004217F2"/>
    <w:rsid w:val="00422BEF"/>
    <w:rsid w:val="00422E86"/>
    <w:rsid w:val="0042306B"/>
    <w:rsid w:val="00423275"/>
    <w:rsid w:val="0042352A"/>
    <w:rsid w:val="00423FE8"/>
    <w:rsid w:val="00424320"/>
    <w:rsid w:val="00424444"/>
    <w:rsid w:val="00424DB5"/>
    <w:rsid w:val="0042574B"/>
    <w:rsid w:val="00425C4B"/>
    <w:rsid w:val="00425E15"/>
    <w:rsid w:val="00425E97"/>
    <w:rsid w:val="00425F5D"/>
    <w:rsid w:val="00426948"/>
    <w:rsid w:val="00426A5C"/>
    <w:rsid w:val="00426C57"/>
    <w:rsid w:val="00426D7A"/>
    <w:rsid w:val="0042741C"/>
    <w:rsid w:val="0042743E"/>
    <w:rsid w:val="004307CF"/>
    <w:rsid w:val="004309AF"/>
    <w:rsid w:val="00431369"/>
    <w:rsid w:val="004315F2"/>
    <w:rsid w:val="00432975"/>
    <w:rsid w:val="00433009"/>
    <w:rsid w:val="00433B21"/>
    <w:rsid w:val="0043408B"/>
    <w:rsid w:val="004349F9"/>
    <w:rsid w:val="0043594F"/>
    <w:rsid w:val="00435B18"/>
    <w:rsid w:val="00435D65"/>
    <w:rsid w:val="00436270"/>
    <w:rsid w:val="0043675F"/>
    <w:rsid w:val="00436ECB"/>
    <w:rsid w:val="004378F6"/>
    <w:rsid w:val="0043796C"/>
    <w:rsid w:val="0044009F"/>
    <w:rsid w:val="00440585"/>
    <w:rsid w:val="00440A35"/>
    <w:rsid w:val="00440DE2"/>
    <w:rsid w:val="004415F1"/>
    <w:rsid w:val="00443395"/>
    <w:rsid w:val="004433CC"/>
    <w:rsid w:val="004434B3"/>
    <w:rsid w:val="004435C2"/>
    <w:rsid w:val="00443FAA"/>
    <w:rsid w:val="0044552A"/>
    <w:rsid w:val="00445535"/>
    <w:rsid w:val="004458EE"/>
    <w:rsid w:val="00445A94"/>
    <w:rsid w:val="00445FEA"/>
    <w:rsid w:val="0044613F"/>
    <w:rsid w:val="0044619A"/>
    <w:rsid w:val="00446E46"/>
    <w:rsid w:val="00446F2C"/>
    <w:rsid w:val="00447FE6"/>
    <w:rsid w:val="004509A9"/>
    <w:rsid w:val="00450BEC"/>
    <w:rsid w:val="00450C09"/>
    <w:rsid w:val="0045102E"/>
    <w:rsid w:val="00451E78"/>
    <w:rsid w:val="00452C30"/>
    <w:rsid w:val="00452C88"/>
    <w:rsid w:val="004531C9"/>
    <w:rsid w:val="004534FA"/>
    <w:rsid w:val="00453B45"/>
    <w:rsid w:val="00454F8A"/>
    <w:rsid w:val="00454FD5"/>
    <w:rsid w:val="0045560C"/>
    <w:rsid w:val="0045573C"/>
    <w:rsid w:val="0045592F"/>
    <w:rsid w:val="00456327"/>
    <w:rsid w:val="00457AB7"/>
    <w:rsid w:val="00460339"/>
    <w:rsid w:val="00461387"/>
    <w:rsid w:val="00461ED7"/>
    <w:rsid w:val="00461F3D"/>
    <w:rsid w:val="00462933"/>
    <w:rsid w:val="00462DCC"/>
    <w:rsid w:val="004636F8"/>
    <w:rsid w:val="00463A94"/>
    <w:rsid w:val="00463B1F"/>
    <w:rsid w:val="00463E4B"/>
    <w:rsid w:val="00463FA9"/>
    <w:rsid w:val="00463FF9"/>
    <w:rsid w:val="0046496D"/>
    <w:rsid w:val="0046528B"/>
    <w:rsid w:val="0046582D"/>
    <w:rsid w:val="004660C1"/>
    <w:rsid w:val="00466132"/>
    <w:rsid w:val="0046662B"/>
    <w:rsid w:val="00466C15"/>
    <w:rsid w:val="00467E1C"/>
    <w:rsid w:val="004713FD"/>
    <w:rsid w:val="004719F7"/>
    <w:rsid w:val="00471EFF"/>
    <w:rsid w:val="00471FEF"/>
    <w:rsid w:val="00472423"/>
    <w:rsid w:val="00472B65"/>
    <w:rsid w:val="00472B67"/>
    <w:rsid w:val="00472DD3"/>
    <w:rsid w:val="00473380"/>
    <w:rsid w:val="00474168"/>
    <w:rsid w:val="00474CD5"/>
    <w:rsid w:val="00475050"/>
    <w:rsid w:val="00475475"/>
    <w:rsid w:val="00475C1D"/>
    <w:rsid w:val="004760FA"/>
    <w:rsid w:val="00476F6E"/>
    <w:rsid w:val="004770FA"/>
    <w:rsid w:val="004773E7"/>
    <w:rsid w:val="004807C9"/>
    <w:rsid w:val="004816FD"/>
    <w:rsid w:val="004818D2"/>
    <w:rsid w:val="00482979"/>
    <w:rsid w:val="00482C9D"/>
    <w:rsid w:val="00482DE7"/>
    <w:rsid w:val="00482E32"/>
    <w:rsid w:val="00483052"/>
    <w:rsid w:val="004830ED"/>
    <w:rsid w:val="00483BFF"/>
    <w:rsid w:val="0048402F"/>
    <w:rsid w:val="0048414B"/>
    <w:rsid w:val="0048489E"/>
    <w:rsid w:val="00484F4B"/>
    <w:rsid w:val="004850D6"/>
    <w:rsid w:val="00485431"/>
    <w:rsid w:val="00485770"/>
    <w:rsid w:val="00485AA4"/>
    <w:rsid w:val="00486C20"/>
    <w:rsid w:val="00487AA7"/>
    <w:rsid w:val="0049019E"/>
    <w:rsid w:val="004904FA"/>
    <w:rsid w:val="0049053A"/>
    <w:rsid w:val="00490710"/>
    <w:rsid w:val="0049087B"/>
    <w:rsid w:val="00491A6C"/>
    <w:rsid w:val="00491F29"/>
    <w:rsid w:val="00493097"/>
    <w:rsid w:val="004930DB"/>
    <w:rsid w:val="00493423"/>
    <w:rsid w:val="00493719"/>
    <w:rsid w:val="00493F14"/>
    <w:rsid w:val="004941B1"/>
    <w:rsid w:val="00494649"/>
    <w:rsid w:val="00494887"/>
    <w:rsid w:val="00494C41"/>
    <w:rsid w:val="00494C95"/>
    <w:rsid w:val="004957F5"/>
    <w:rsid w:val="004959AC"/>
    <w:rsid w:val="00495B34"/>
    <w:rsid w:val="00495EF3"/>
    <w:rsid w:val="00495EF5"/>
    <w:rsid w:val="0049610B"/>
    <w:rsid w:val="00496204"/>
    <w:rsid w:val="0049738F"/>
    <w:rsid w:val="004A026D"/>
    <w:rsid w:val="004A07F1"/>
    <w:rsid w:val="004A1013"/>
    <w:rsid w:val="004A1398"/>
    <w:rsid w:val="004A141C"/>
    <w:rsid w:val="004A1B2E"/>
    <w:rsid w:val="004A1BDC"/>
    <w:rsid w:val="004A20FC"/>
    <w:rsid w:val="004A21E3"/>
    <w:rsid w:val="004A291A"/>
    <w:rsid w:val="004A311A"/>
    <w:rsid w:val="004A37E3"/>
    <w:rsid w:val="004A39C9"/>
    <w:rsid w:val="004A460D"/>
    <w:rsid w:val="004A4B04"/>
    <w:rsid w:val="004A4DE6"/>
    <w:rsid w:val="004A5D4F"/>
    <w:rsid w:val="004A6210"/>
    <w:rsid w:val="004A6D0B"/>
    <w:rsid w:val="004A70CC"/>
    <w:rsid w:val="004A7D55"/>
    <w:rsid w:val="004B0105"/>
    <w:rsid w:val="004B0284"/>
    <w:rsid w:val="004B0DC4"/>
    <w:rsid w:val="004B20DB"/>
    <w:rsid w:val="004B21CA"/>
    <w:rsid w:val="004B2578"/>
    <w:rsid w:val="004B2918"/>
    <w:rsid w:val="004B29E9"/>
    <w:rsid w:val="004B329B"/>
    <w:rsid w:val="004B4E2C"/>
    <w:rsid w:val="004B6A4D"/>
    <w:rsid w:val="004B6E8B"/>
    <w:rsid w:val="004C0363"/>
    <w:rsid w:val="004C05C3"/>
    <w:rsid w:val="004C112D"/>
    <w:rsid w:val="004C1542"/>
    <w:rsid w:val="004C2B0B"/>
    <w:rsid w:val="004C2F9D"/>
    <w:rsid w:val="004C3346"/>
    <w:rsid w:val="004C4894"/>
    <w:rsid w:val="004C50A2"/>
    <w:rsid w:val="004C548F"/>
    <w:rsid w:val="004C5515"/>
    <w:rsid w:val="004C66E2"/>
    <w:rsid w:val="004C684D"/>
    <w:rsid w:val="004C6899"/>
    <w:rsid w:val="004C6AE4"/>
    <w:rsid w:val="004C729A"/>
    <w:rsid w:val="004C73DB"/>
    <w:rsid w:val="004C73E7"/>
    <w:rsid w:val="004C79CC"/>
    <w:rsid w:val="004D0029"/>
    <w:rsid w:val="004D0226"/>
    <w:rsid w:val="004D1AD1"/>
    <w:rsid w:val="004D1F18"/>
    <w:rsid w:val="004D2009"/>
    <w:rsid w:val="004D21DF"/>
    <w:rsid w:val="004D2C0C"/>
    <w:rsid w:val="004D3008"/>
    <w:rsid w:val="004D3025"/>
    <w:rsid w:val="004D3836"/>
    <w:rsid w:val="004D6010"/>
    <w:rsid w:val="004D63A0"/>
    <w:rsid w:val="004D6B34"/>
    <w:rsid w:val="004D7BEB"/>
    <w:rsid w:val="004E006C"/>
    <w:rsid w:val="004E09CF"/>
    <w:rsid w:val="004E09D2"/>
    <w:rsid w:val="004E0B15"/>
    <w:rsid w:val="004E1151"/>
    <w:rsid w:val="004E1514"/>
    <w:rsid w:val="004E16E3"/>
    <w:rsid w:val="004E18A3"/>
    <w:rsid w:val="004E1E57"/>
    <w:rsid w:val="004E2244"/>
    <w:rsid w:val="004E3596"/>
    <w:rsid w:val="004E4EA1"/>
    <w:rsid w:val="004E54F6"/>
    <w:rsid w:val="004E5636"/>
    <w:rsid w:val="004E57D8"/>
    <w:rsid w:val="004E59D1"/>
    <w:rsid w:val="004E5D26"/>
    <w:rsid w:val="004E5EC7"/>
    <w:rsid w:val="004E618D"/>
    <w:rsid w:val="004E6431"/>
    <w:rsid w:val="004E6918"/>
    <w:rsid w:val="004E796F"/>
    <w:rsid w:val="004E7DEE"/>
    <w:rsid w:val="004E7E39"/>
    <w:rsid w:val="004F01BB"/>
    <w:rsid w:val="004F13F2"/>
    <w:rsid w:val="004F1456"/>
    <w:rsid w:val="004F1724"/>
    <w:rsid w:val="004F3831"/>
    <w:rsid w:val="004F3FB9"/>
    <w:rsid w:val="004F4467"/>
    <w:rsid w:val="004F476D"/>
    <w:rsid w:val="004F4A0E"/>
    <w:rsid w:val="004F4A75"/>
    <w:rsid w:val="004F52B6"/>
    <w:rsid w:val="004F54EE"/>
    <w:rsid w:val="004F567E"/>
    <w:rsid w:val="004F5C9B"/>
    <w:rsid w:val="004F5CC7"/>
    <w:rsid w:val="004F64D1"/>
    <w:rsid w:val="004F6840"/>
    <w:rsid w:val="004F6C9D"/>
    <w:rsid w:val="004F7FE0"/>
    <w:rsid w:val="0050012B"/>
    <w:rsid w:val="00500431"/>
    <w:rsid w:val="005004B0"/>
    <w:rsid w:val="0050070A"/>
    <w:rsid w:val="00500FA2"/>
    <w:rsid w:val="0050268A"/>
    <w:rsid w:val="0050327D"/>
    <w:rsid w:val="00503A51"/>
    <w:rsid w:val="00505E9C"/>
    <w:rsid w:val="0050606D"/>
    <w:rsid w:val="00506C58"/>
    <w:rsid w:val="005072EA"/>
    <w:rsid w:val="005074EC"/>
    <w:rsid w:val="00507944"/>
    <w:rsid w:val="00507F1F"/>
    <w:rsid w:val="00510075"/>
    <w:rsid w:val="005100FC"/>
    <w:rsid w:val="00510850"/>
    <w:rsid w:val="005109E5"/>
    <w:rsid w:val="00512D92"/>
    <w:rsid w:val="005132FA"/>
    <w:rsid w:val="00513363"/>
    <w:rsid w:val="005134E1"/>
    <w:rsid w:val="0051356E"/>
    <w:rsid w:val="0051402B"/>
    <w:rsid w:val="005146CA"/>
    <w:rsid w:val="00514B64"/>
    <w:rsid w:val="00514CCD"/>
    <w:rsid w:val="005150D5"/>
    <w:rsid w:val="005156AC"/>
    <w:rsid w:val="00515A54"/>
    <w:rsid w:val="00515C41"/>
    <w:rsid w:val="00516275"/>
    <w:rsid w:val="0051645D"/>
    <w:rsid w:val="0051663A"/>
    <w:rsid w:val="00516C1A"/>
    <w:rsid w:val="00517EB6"/>
    <w:rsid w:val="005203BA"/>
    <w:rsid w:val="00520471"/>
    <w:rsid w:val="005214BE"/>
    <w:rsid w:val="00521928"/>
    <w:rsid w:val="005227BB"/>
    <w:rsid w:val="00522F86"/>
    <w:rsid w:val="00522FA9"/>
    <w:rsid w:val="00523620"/>
    <w:rsid w:val="00523700"/>
    <w:rsid w:val="00523F47"/>
    <w:rsid w:val="00524ACE"/>
    <w:rsid w:val="005250BE"/>
    <w:rsid w:val="00525334"/>
    <w:rsid w:val="00525641"/>
    <w:rsid w:val="00526042"/>
    <w:rsid w:val="00526158"/>
    <w:rsid w:val="00526449"/>
    <w:rsid w:val="005265B6"/>
    <w:rsid w:val="00526DB6"/>
    <w:rsid w:val="005279B7"/>
    <w:rsid w:val="00527C5C"/>
    <w:rsid w:val="005300C7"/>
    <w:rsid w:val="00530CE6"/>
    <w:rsid w:val="00531FE5"/>
    <w:rsid w:val="00532088"/>
    <w:rsid w:val="00532621"/>
    <w:rsid w:val="00532B1F"/>
    <w:rsid w:val="00532F40"/>
    <w:rsid w:val="005330AB"/>
    <w:rsid w:val="00533153"/>
    <w:rsid w:val="00533BBF"/>
    <w:rsid w:val="005346E7"/>
    <w:rsid w:val="00534CD1"/>
    <w:rsid w:val="00535194"/>
    <w:rsid w:val="005358D9"/>
    <w:rsid w:val="005368CC"/>
    <w:rsid w:val="00537A75"/>
    <w:rsid w:val="00537C7F"/>
    <w:rsid w:val="005402C7"/>
    <w:rsid w:val="00540604"/>
    <w:rsid w:val="00540EEA"/>
    <w:rsid w:val="0054127B"/>
    <w:rsid w:val="005431C9"/>
    <w:rsid w:val="005434AB"/>
    <w:rsid w:val="0054407E"/>
    <w:rsid w:val="00544191"/>
    <w:rsid w:val="00544211"/>
    <w:rsid w:val="0054435A"/>
    <w:rsid w:val="00544706"/>
    <w:rsid w:val="00545057"/>
    <w:rsid w:val="00546093"/>
    <w:rsid w:val="00547BA5"/>
    <w:rsid w:val="00547EBB"/>
    <w:rsid w:val="00547F9F"/>
    <w:rsid w:val="005507AD"/>
    <w:rsid w:val="00550BEA"/>
    <w:rsid w:val="00551104"/>
    <w:rsid w:val="0055122F"/>
    <w:rsid w:val="005514C8"/>
    <w:rsid w:val="00551AC0"/>
    <w:rsid w:val="00552C80"/>
    <w:rsid w:val="00553A1B"/>
    <w:rsid w:val="0055444D"/>
    <w:rsid w:val="00554AFA"/>
    <w:rsid w:val="00554B6D"/>
    <w:rsid w:val="00554E9F"/>
    <w:rsid w:val="00555142"/>
    <w:rsid w:val="005551CA"/>
    <w:rsid w:val="00555358"/>
    <w:rsid w:val="00555D74"/>
    <w:rsid w:val="00556020"/>
    <w:rsid w:val="0055647A"/>
    <w:rsid w:val="0055659A"/>
    <w:rsid w:val="00556E96"/>
    <w:rsid w:val="00556F2B"/>
    <w:rsid w:val="00557035"/>
    <w:rsid w:val="00557A41"/>
    <w:rsid w:val="00557ACA"/>
    <w:rsid w:val="00557F62"/>
    <w:rsid w:val="00560575"/>
    <w:rsid w:val="005610A6"/>
    <w:rsid w:val="0056206A"/>
    <w:rsid w:val="005627DD"/>
    <w:rsid w:val="00562EBD"/>
    <w:rsid w:val="005653FE"/>
    <w:rsid w:val="00565739"/>
    <w:rsid w:val="00565A8B"/>
    <w:rsid w:val="00566017"/>
    <w:rsid w:val="005675F7"/>
    <w:rsid w:val="0057092F"/>
    <w:rsid w:val="00570BD7"/>
    <w:rsid w:val="005715A4"/>
    <w:rsid w:val="005716B8"/>
    <w:rsid w:val="0057282E"/>
    <w:rsid w:val="00572D72"/>
    <w:rsid w:val="0057328D"/>
    <w:rsid w:val="00573594"/>
    <w:rsid w:val="00573776"/>
    <w:rsid w:val="00573DF3"/>
    <w:rsid w:val="00574914"/>
    <w:rsid w:val="00574DA5"/>
    <w:rsid w:val="0057536C"/>
    <w:rsid w:val="00575618"/>
    <w:rsid w:val="00575980"/>
    <w:rsid w:val="00575FAB"/>
    <w:rsid w:val="00576A5E"/>
    <w:rsid w:val="00576EFF"/>
    <w:rsid w:val="00577877"/>
    <w:rsid w:val="00577A8A"/>
    <w:rsid w:val="00577EF4"/>
    <w:rsid w:val="0058019A"/>
    <w:rsid w:val="0058052A"/>
    <w:rsid w:val="00580BD4"/>
    <w:rsid w:val="00581843"/>
    <w:rsid w:val="00581ED8"/>
    <w:rsid w:val="00582845"/>
    <w:rsid w:val="0058338E"/>
    <w:rsid w:val="005833B0"/>
    <w:rsid w:val="00585304"/>
    <w:rsid w:val="0058542D"/>
    <w:rsid w:val="0058566B"/>
    <w:rsid w:val="005858F2"/>
    <w:rsid w:val="00585910"/>
    <w:rsid w:val="005859B4"/>
    <w:rsid w:val="00586003"/>
    <w:rsid w:val="005868F4"/>
    <w:rsid w:val="00586C16"/>
    <w:rsid w:val="005874E2"/>
    <w:rsid w:val="00587773"/>
    <w:rsid w:val="00590EF0"/>
    <w:rsid w:val="00590F77"/>
    <w:rsid w:val="00591551"/>
    <w:rsid w:val="0059156A"/>
    <w:rsid w:val="00591C1C"/>
    <w:rsid w:val="00591CA2"/>
    <w:rsid w:val="00593178"/>
    <w:rsid w:val="005935DA"/>
    <w:rsid w:val="00594098"/>
    <w:rsid w:val="0059440E"/>
    <w:rsid w:val="00595AAD"/>
    <w:rsid w:val="005967F7"/>
    <w:rsid w:val="005970AE"/>
    <w:rsid w:val="00597910"/>
    <w:rsid w:val="00597A45"/>
    <w:rsid w:val="005A0826"/>
    <w:rsid w:val="005A1863"/>
    <w:rsid w:val="005A1C2B"/>
    <w:rsid w:val="005A2EFE"/>
    <w:rsid w:val="005A2FC7"/>
    <w:rsid w:val="005A3497"/>
    <w:rsid w:val="005A35A7"/>
    <w:rsid w:val="005A470D"/>
    <w:rsid w:val="005A4DAC"/>
    <w:rsid w:val="005A56B2"/>
    <w:rsid w:val="005A5E8F"/>
    <w:rsid w:val="005A60A3"/>
    <w:rsid w:val="005A6A13"/>
    <w:rsid w:val="005A733D"/>
    <w:rsid w:val="005A7AC7"/>
    <w:rsid w:val="005B03EE"/>
    <w:rsid w:val="005B129A"/>
    <w:rsid w:val="005B13D2"/>
    <w:rsid w:val="005B1406"/>
    <w:rsid w:val="005B1618"/>
    <w:rsid w:val="005B1AEF"/>
    <w:rsid w:val="005B29E8"/>
    <w:rsid w:val="005B2A5E"/>
    <w:rsid w:val="005B2A8D"/>
    <w:rsid w:val="005B341A"/>
    <w:rsid w:val="005B38C4"/>
    <w:rsid w:val="005B3F61"/>
    <w:rsid w:val="005B4292"/>
    <w:rsid w:val="005B42F2"/>
    <w:rsid w:val="005B4361"/>
    <w:rsid w:val="005B4719"/>
    <w:rsid w:val="005B50D7"/>
    <w:rsid w:val="005B5181"/>
    <w:rsid w:val="005B5800"/>
    <w:rsid w:val="005B5B38"/>
    <w:rsid w:val="005B62D7"/>
    <w:rsid w:val="005B6EDE"/>
    <w:rsid w:val="005B7CFC"/>
    <w:rsid w:val="005C1019"/>
    <w:rsid w:val="005C107C"/>
    <w:rsid w:val="005C1EDB"/>
    <w:rsid w:val="005C1F5A"/>
    <w:rsid w:val="005C30B9"/>
    <w:rsid w:val="005C30D5"/>
    <w:rsid w:val="005C32FB"/>
    <w:rsid w:val="005C37D2"/>
    <w:rsid w:val="005C3954"/>
    <w:rsid w:val="005C3A61"/>
    <w:rsid w:val="005C3D23"/>
    <w:rsid w:val="005C42E9"/>
    <w:rsid w:val="005C556D"/>
    <w:rsid w:val="005C5BEF"/>
    <w:rsid w:val="005C672B"/>
    <w:rsid w:val="005C690E"/>
    <w:rsid w:val="005C6B5E"/>
    <w:rsid w:val="005D0183"/>
    <w:rsid w:val="005D02EA"/>
    <w:rsid w:val="005D036C"/>
    <w:rsid w:val="005D05DB"/>
    <w:rsid w:val="005D0753"/>
    <w:rsid w:val="005D0A29"/>
    <w:rsid w:val="005D1134"/>
    <w:rsid w:val="005D1137"/>
    <w:rsid w:val="005D14C1"/>
    <w:rsid w:val="005D1B4B"/>
    <w:rsid w:val="005D1D77"/>
    <w:rsid w:val="005D22FB"/>
    <w:rsid w:val="005D319D"/>
    <w:rsid w:val="005D344C"/>
    <w:rsid w:val="005D44FA"/>
    <w:rsid w:val="005D4B70"/>
    <w:rsid w:val="005D4BE2"/>
    <w:rsid w:val="005D5113"/>
    <w:rsid w:val="005D5240"/>
    <w:rsid w:val="005D557C"/>
    <w:rsid w:val="005D559A"/>
    <w:rsid w:val="005D5C3A"/>
    <w:rsid w:val="005D64B6"/>
    <w:rsid w:val="005D6C10"/>
    <w:rsid w:val="005D70BE"/>
    <w:rsid w:val="005D7880"/>
    <w:rsid w:val="005E0285"/>
    <w:rsid w:val="005E07A5"/>
    <w:rsid w:val="005E096E"/>
    <w:rsid w:val="005E0EFC"/>
    <w:rsid w:val="005E1A47"/>
    <w:rsid w:val="005E1E44"/>
    <w:rsid w:val="005E1F80"/>
    <w:rsid w:val="005E23FC"/>
    <w:rsid w:val="005E2D68"/>
    <w:rsid w:val="005E2F5B"/>
    <w:rsid w:val="005E3194"/>
    <w:rsid w:val="005E345F"/>
    <w:rsid w:val="005E36B6"/>
    <w:rsid w:val="005E4298"/>
    <w:rsid w:val="005E42B4"/>
    <w:rsid w:val="005E52ED"/>
    <w:rsid w:val="005E54BD"/>
    <w:rsid w:val="005E5EB2"/>
    <w:rsid w:val="005E655F"/>
    <w:rsid w:val="005E65A0"/>
    <w:rsid w:val="005E682E"/>
    <w:rsid w:val="005E6B0A"/>
    <w:rsid w:val="005E7122"/>
    <w:rsid w:val="005E76A5"/>
    <w:rsid w:val="005E780B"/>
    <w:rsid w:val="005E7D3A"/>
    <w:rsid w:val="005E7FFE"/>
    <w:rsid w:val="005F0034"/>
    <w:rsid w:val="005F0533"/>
    <w:rsid w:val="005F064A"/>
    <w:rsid w:val="005F0CD4"/>
    <w:rsid w:val="005F0E0F"/>
    <w:rsid w:val="005F1006"/>
    <w:rsid w:val="005F10C6"/>
    <w:rsid w:val="005F1867"/>
    <w:rsid w:val="005F1C57"/>
    <w:rsid w:val="005F1F52"/>
    <w:rsid w:val="005F29D8"/>
    <w:rsid w:val="005F34BF"/>
    <w:rsid w:val="005F3C48"/>
    <w:rsid w:val="005F43F5"/>
    <w:rsid w:val="005F4928"/>
    <w:rsid w:val="005F4D78"/>
    <w:rsid w:val="005F4F91"/>
    <w:rsid w:val="005F5014"/>
    <w:rsid w:val="005F5372"/>
    <w:rsid w:val="005F54C5"/>
    <w:rsid w:val="005F56A8"/>
    <w:rsid w:val="005F5764"/>
    <w:rsid w:val="005F58E0"/>
    <w:rsid w:val="005F6F14"/>
    <w:rsid w:val="006003E7"/>
    <w:rsid w:val="00600821"/>
    <w:rsid w:val="00600E8D"/>
    <w:rsid w:val="006014F9"/>
    <w:rsid w:val="006018A5"/>
    <w:rsid w:val="00601A20"/>
    <w:rsid w:val="0060215A"/>
    <w:rsid w:val="006022E5"/>
    <w:rsid w:val="00602FBC"/>
    <w:rsid w:val="00603FE7"/>
    <w:rsid w:val="0060408F"/>
    <w:rsid w:val="006044C1"/>
    <w:rsid w:val="00604B01"/>
    <w:rsid w:val="00604BE8"/>
    <w:rsid w:val="00604D6E"/>
    <w:rsid w:val="0060692B"/>
    <w:rsid w:val="00606F87"/>
    <w:rsid w:val="0060759E"/>
    <w:rsid w:val="006075E7"/>
    <w:rsid w:val="00607B58"/>
    <w:rsid w:val="006105BE"/>
    <w:rsid w:val="00611973"/>
    <w:rsid w:val="00612387"/>
    <w:rsid w:val="00612892"/>
    <w:rsid w:val="00613135"/>
    <w:rsid w:val="00613708"/>
    <w:rsid w:val="00614132"/>
    <w:rsid w:val="006144CB"/>
    <w:rsid w:val="0061483B"/>
    <w:rsid w:val="006148EC"/>
    <w:rsid w:val="0061490D"/>
    <w:rsid w:val="00614D01"/>
    <w:rsid w:val="00614D3B"/>
    <w:rsid w:val="006152D9"/>
    <w:rsid w:val="00615569"/>
    <w:rsid w:val="00615C40"/>
    <w:rsid w:val="00615D59"/>
    <w:rsid w:val="00615F7D"/>
    <w:rsid w:val="0061697E"/>
    <w:rsid w:val="00616C21"/>
    <w:rsid w:val="00616F6D"/>
    <w:rsid w:val="00617234"/>
    <w:rsid w:val="006172E3"/>
    <w:rsid w:val="00617622"/>
    <w:rsid w:val="00620C31"/>
    <w:rsid w:val="00620D28"/>
    <w:rsid w:val="00621992"/>
    <w:rsid w:val="00621A66"/>
    <w:rsid w:val="00622812"/>
    <w:rsid w:val="00623324"/>
    <w:rsid w:val="00623475"/>
    <w:rsid w:val="00624590"/>
    <w:rsid w:val="00626DFA"/>
    <w:rsid w:val="0062706B"/>
    <w:rsid w:val="006276B9"/>
    <w:rsid w:val="006277D1"/>
    <w:rsid w:val="00627866"/>
    <w:rsid w:val="00627FBB"/>
    <w:rsid w:val="0063000F"/>
    <w:rsid w:val="0063034F"/>
    <w:rsid w:val="006306E3"/>
    <w:rsid w:val="00630A90"/>
    <w:rsid w:val="00630ED9"/>
    <w:rsid w:val="00631176"/>
    <w:rsid w:val="00631287"/>
    <w:rsid w:val="00631846"/>
    <w:rsid w:val="006318A8"/>
    <w:rsid w:val="00631987"/>
    <w:rsid w:val="006320D4"/>
    <w:rsid w:val="0063285C"/>
    <w:rsid w:val="006329BC"/>
    <w:rsid w:val="00632CBE"/>
    <w:rsid w:val="00633052"/>
    <w:rsid w:val="00633353"/>
    <w:rsid w:val="00633979"/>
    <w:rsid w:val="00633EEE"/>
    <w:rsid w:val="006340FB"/>
    <w:rsid w:val="0063432E"/>
    <w:rsid w:val="00634CFC"/>
    <w:rsid w:val="00635684"/>
    <w:rsid w:val="00636094"/>
    <w:rsid w:val="00636A37"/>
    <w:rsid w:val="00636D18"/>
    <w:rsid w:val="00636DDB"/>
    <w:rsid w:val="00636F0E"/>
    <w:rsid w:val="00637319"/>
    <w:rsid w:val="00637355"/>
    <w:rsid w:val="00637876"/>
    <w:rsid w:val="00640311"/>
    <w:rsid w:val="00641261"/>
    <w:rsid w:val="006420B5"/>
    <w:rsid w:val="00642532"/>
    <w:rsid w:val="006426E1"/>
    <w:rsid w:val="006430A1"/>
    <w:rsid w:val="006434BD"/>
    <w:rsid w:val="00643DFE"/>
    <w:rsid w:val="0064408A"/>
    <w:rsid w:val="0064414B"/>
    <w:rsid w:val="00644C3F"/>
    <w:rsid w:val="00644F04"/>
    <w:rsid w:val="00644F14"/>
    <w:rsid w:val="00644FA9"/>
    <w:rsid w:val="00645458"/>
    <w:rsid w:val="00645EE1"/>
    <w:rsid w:val="00646390"/>
    <w:rsid w:val="006464E3"/>
    <w:rsid w:val="006467CE"/>
    <w:rsid w:val="00646C7B"/>
    <w:rsid w:val="00646E53"/>
    <w:rsid w:val="00647C12"/>
    <w:rsid w:val="006508F5"/>
    <w:rsid w:val="00651098"/>
    <w:rsid w:val="0065124B"/>
    <w:rsid w:val="0065142C"/>
    <w:rsid w:val="006515FA"/>
    <w:rsid w:val="00651DF9"/>
    <w:rsid w:val="0065217D"/>
    <w:rsid w:val="0065271E"/>
    <w:rsid w:val="006535AF"/>
    <w:rsid w:val="00653EE0"/>
    <w:rsid w:val="006540DA"/>
    <w:rsid w:val="00655543"/>
    <w:rsid w:val="006560D4"/>
    <w:rsid w:val="00656CB9"/>
    <w:rsid w:val="0065709C"/>
    <w:rsid w:val="0065718D"/>
    <w:rsid w:val="0066048A"/>
    <w:rsid w:val="00661315"/>
    <w:rsid w:val="00661543"/>
    <w:rsid w:val="0066154F"/>
    <w:rsid w:val="00661A56"/>
    <w:rsid w:val="00662DAE"/>
    <w:rsid w:val="00663D02"/>
    <w:rsid w:val="0066461B"/>
    <w:rsid w:val="00664CF3"/>
    <w:rsid w:val="006665F1"/>
    <w:rsid w:val="006667A4"/>
    <w:rsid w:val="00666A31"/>
    <w:rsid w:val="00666F6A"/>
    <w:rsid w:val="00667045"/>
    <w:rsid w:val="006671F8"/>
    <w:rsid w:val="00671317"/>
    <w:rsid w:val="00672191"/>
    <w:rsid w:val="00673061"/>
    <w:rsid w:val="0067341B"/>
    <w:rsid w:val="00673CC9"/>
    <w:rsid w:val="00674115"/>
    <w:rsid w:val="0067530E"/>
    <w:rsid w:val="006768F6"/>
    <w:rsid w:val="00676ADC"/>
    <w:rsid w:val="0067754C"/>
    <w:rsid w:val="006801F8"/>
    <w:rsid w:val="00681E2E"/>
    <w:rsid w:val="006827E8"/>
    <w:rsid w:val="00682E02"/>
    <w:rsid w:val="0068408E"/>
    <w:rsid w:val="006842C2"/>
    <w:rsid w:val="00684436"/>
    <w:rsid w:val="00684EC3"/>
    <w:rsid w:val="00685165"/>
    <w:rsid w:val="0068586B"/>
    <w:rsid w:val="00685FF7"/>
    <w:rsid w:val="0068621A"/>
    <w:rsid w:val="0069001D"/>
    <w:rsid w:val="00690073"/>
    <w:rsid w:val="0069186A"/>
    <w:rsid w:val="00691BEF"/>
    <w:rsid w:val="00691E21"/>
    <w:rsid w:val="0069203B"/>
    <w:rsid w:val="00692B80"/>
    <w:rsid w:val="00692D6C"/>
    <w:rsid w:val="00693431"/>
    <w:rsid w:val="00694122"/>
    <w:rsid w:val="006942C3"/>
    <w:rsid w:val="006946F1"/>
    <w:rsid w:val="00694779"/>
    <w:rsid w:val="00694AE3"/>
    <w:rsid w:val="00695962"/>
    <w:rsid w:val="00695CB8"/>
    <w:rsid w:val="006968A5"/>
    <w:rsid w:val="006969FB"/>
    <w:rsid w:val="00697233"/>
    <w:rsid w:val="006972E3"/>
    <w:rsid w:val="0069764C"/>
    <w:rsid w:val="006A12E9"/>
    <w:rsid w:val="006A1AAE"/>
    <w:rsid w:val="006A2935"/>
    <w:rsid w:val="006A36E3"/>
    <w:rsid w:val="006A3A8E"/>
    <w:rsid w:val="006A3BEF"/>
    <w:rsid w:val="006A40AB"/>
    <w:rsid w:val="006A6304"/>
    <w:rsid w:val="006A72DB"/>
    <w:rsid w:val="006B1ABA"/>
    <w:rsid w:val="006B29B4"/>
    <w:rsid w:val="006B4119"/>
    <w:rsid w:val="006B478A"/>
    <w:rsid w:val="006B4A5C"/>
    <w:rsid w:val="006B4A5E"/>
    <w:rsid w:val="006B58E0"/>
    <w:rsid w:val="006B63A1"/>
    <w:rsid w:val="006B66E0"/>
    <w:rsid w:val="006B68D8"/>
    <w:rsid w:val="006B7246"/>
    <w:rsid w:val="006B7280"/>
    <w:rsid w:val="006B7514"/>
    <w:rsid w:val="006B7751"/>
    <w:rsid w:val="006B7BD5"/>
    <w:rsid w:val="006B7EDB"/>
    <w:rsid w:val="006C0037"/>
    <w:rsid w:val="006C0CF6"/>
    <w:rsid w:val="006C1CC8"/>
    <w:rsid w:val="006C2472"/>
    <w:rsid w:val="006C2EA1"/>
    <w:rsid w:val="006C318D"/>
    <w:rsid w:val="006C4517"/>
    <w:rsid w:val="006C49B9"/>
    <w:rsid w:val="006C4A8B"/>
    <w:rsid w:val="006C4FA3"/>
    <w:rsid w:val="006C55FD"/>
    <w:rsid w:val="006C56DC"/>
    <w:rsid w:val="006C5A77"/>
    <w:rsid w:val="006C637F"/>
    <w:rsid w:val="006C6B3B"/>
    <w:rsid w:val="006C6B8B"/>
    <w:rsid w:val="006D1293"/>
    <w:rsid w:val="006D1CC4"/>
    <w:rsid w:val="006D1E35"/>
    <w:rsid w:val="006D1EB4"/>
    <w:rsid w:val="006D3B59"/>
    <w:rsid w:val="006D46F3"/>
    <w:rsid w:val="006D4A17"/>
    <w:rsid w:val="006D4DCC"/>
    <w:rsid w:val="006D56EE"/>
    <w:rsid w:val="006D5ABA"/>
    <w:rsid w:val="006D6065"/>
    <w:rsid w:val="006D630B"/>
    <w:rsid w:val="006D6A20"/>
    <w:rsid w:val="006D6B11"/>
    <w:rsid w:val="006D6F32"/>
    <w:rsid w:val="006D78EA"/>
    <w:rsid w:val="006D7A53"/>
    <w:rsid w:val="006E00AE"/>
    <w:rsid w:val="006E010E"/>
    <w:rsid w:val="006E02ED"/>
    <w:rsid w:val="006E04C5"/>
    <w:rsid w:val="006E060B"/>
    <w:rsid w:val="006E2501"/>
    <w:rsid w:val="006E270B"/>
    <w:rsid w:val="006E28F0"/>
    <w:rsid w:val="006E29A0"/>
    <w:rsid w:val="006E335C"/>
    <w:rsid w:val="006E38B3"/>
    <w:rsid w:val="006E3A0D"/>
    <w:rsid w:val="006E3D0B"/>
    <w:rsid w:val="006E3DA2"/>
    <w:rsid w:val="006E3ED3"/>
    <w:rsid w:val="006E4919"/>
    <w:rsid w:val="006E570D"/>
    <w:rsid w:val="006E67CB"/>
    <w:rsid w:val="006E696B"/>
    <w:rsid w:val="006E6A9D"/>
    <w:rsid w:val="006E6AAC"/>
    <w:rsid w:val="006E6ECD"/>
    <w:rsid w:val="006E7058"/>
    <w:rsid w:val="006E714A"/>
    <w:rsid w:val="006E7F60"/>
    <w:rsid w:val="006F12E0"/>
    <w:rsid w:val="006F140F"/>
    <w:rsid w:val="006F1B41"/>
    <w:rsid w:val="006F2155"/>
    <w:rsid w:val="006F241C"/>
    <w:rsid w:val="006F24F2"/>
    <w:rsid w:val="006F3444"/>
    <w:rsid w:val="006F43C3"/>
    <w:rsid w:val="006F4B5F"/>
    <w:rsid w:val="006F514C"/>
    <w:rsid w:val="006F5187"/>
    <w:rsid w:val="006F552A"/>
    <w:rsid w:val="006F5877"/>
    <w:rsid w:val="006F5C3A"/>
    <w:rsid w:val="006F6501"/>
    <w:rsid w:val="006F7843"/>
    <w:rsid w:val="006F7A4E"/>
    <w:rsid w:val="006F7CFD"/>
    <w:rsid w:val="006F7F7A"/>
    <w:rsid w:val="00700545"/>
    <w:rsid w:val="00700C1B"/>
    <w:rsid w:val="0070137A"/>
    <w:rsid w:val="00701E7A"/>
    <w:rsid w:val="00701EB6"/>
    <w:rsid w:val="0070232E"/>
    <w:rsid w:val="00702854"/>
    <w:rsid w:val="00702FD3"/>
    <w:rsid w:val="00704DB4"/>
    <w:rsid w:val="00704E25"/>
    <w:rsid w:val="00705395"/>
    <w:rsid w:val="007057EC"/>
    <w:rsid w:val="007059BA"/>
    <w:rsid w:val="00705D31"/>
    <w:rsid w:val="00705FA5"/>
    <w:rsid w:val="00706605"/>
    <w:rsid w:val="00706A4D"/>
    <w:rsid w:val="00706F1D"/>
    <w:rsid w:val="00707744"/>
    <w:rsid w:val="0071015F"/>
    <w:rsid w:val="00710BA2"/>
    <w:rsid w:val="007117AC"/>
    <w:rsid w:val="00711CD5"/>
    <w:rsid w:val="00712145"/>
    <w:rsid w:val="00712662"/>
    <w:rsid w:val="0071269F"/>
    <w:rsid w:val="007129F0"/>
    <w:rsid w:val="007133BD"/>
    <w:rsid w:val="00714B0B"/>
    <w:rsid w:val="00714E18"/>
    <w:rsid w:val="00715392"/>
    <w:rsid w:val="0071557A"/>
    <w:rsid w:val="007156A8"/>
    <w:rsid w:val="00717C9B"/>
    <w:rsid w:val="00720358"/>
    <w:rsid w:val="007212B8"/>
    <w:rsid w:val="00722204"/>
    <w:rsid w:val="00722398"/>
    <w:rsid w:val="00723319"/>
    <w:rsid w:val="00723DE0"/>
    <w:rsid w:val="00724460"/>
    <w:rsid w:val="00724F96"/>
    <w:rsid w:val="0072557C"/>
    <w:rsid w:val="00725587"/>
    <w:rsid w:val="00727836"/>
    <w:rsid w:val="00727C31"/>
    <w:rsid w:val="00730190"/>
    <w:rsid w:val="00730651"/>
    <w:rsid w:val="007309BA"/>
    <w:rsid w:val="00730B86"/>
    <w:rsid w:val="007313C7"/>
    <w:rsid w:val="00731D1F"/>
    <w:rsid w:val="007322A2"/>
    <w:rsid w:val="007326D4"/>
    <w:rsid w:val="0073271F"/>
    <w:rsid w:val="007339E6"/>
    <w:rsid w:val="00733F6E"/>
    <w:rsid w:val="007343F9"/>
    <w:rsid w:val="00734436"/>
    <w:rsid w:val="00734CD0"/>
    <w:rsid w:val="00734CEB"/>
    <w:rsid w:val="00735854"/>
    <w:rsid w:val="007359AD"/>
    <w:rsid w:val="00737A5B"/>
    <w:rsid w:val="00737D3A"/>
    <w:rsid w:val="00740F51"/>
    <w:rsid w:val="00741462"/>
    <w:rsid w:val="0074176F"/>
    <w:rsid w:val="007419B5"/>
    <w:rsid w:val="007434E6"/>
    <w:rsid w:val="0074357E"/>
    <w:rsid w:val="0074382C"/>
    <w:rsid w:val="00745073"/>
    <w:rsid w:val="007452C1"/>
    <w:rsid w:val="00745696"/>
    <w:rsid w:val="00745F61"/>
    <w:rsid w:val="00746259"/>
    <w:rsid w:val="0074643E"/>
    <w:rsid w:val="007469F6"/>
    <w:rsid w:val="00746ABC"/>
    <w:rsid w:val="0074760B"/>
    <w:rsid w:val="00747FE2"/>
    <w:rsid w:val="0075138B"/>
    <w:rsid w:val="007514CC"/>
    <w:rsid w:val="0075152E"/>
    <w:rsid w:val="007518FB"/>
    <w:rsid w:val="00751D17"/>
    <w:rsid w:val="0075252D"/>
    <w:rsid w:val="00753892"/>
    <w:rsid w:val="00753F59"/>
    <w:rsid w:val="00753FCF"/>
    <w:rsid w:val="00754439"/>
    <w:rsid w:val="00754800"/>
    <w:rsid w:val="00754A5C"/>
    <w:rsid w:val="00754AE5"/>
    <w:rsid w:val="007554D3"/>
    <w:rsid w:val="007563E1"/>
    <w:rsid w:val="00756B74"/>
    <w:rsid w:val="00756FE5"/>
    <w:rsid w:val="00757878"/>
    <w:rsid w:val="007579E9"/>
    <w:rsid w:val="00760407"/>
    <w:rsid w:val="00760813"/>
    <w:rsid w:val="00760DD7"/>
    <w:rsid w:val="00760E3E"/>
    <w:rsid w:val="00761288"/>
    <w:rsid w:val="00761678"/>
    <w:rsid w:val="00762CF1"/>
    <w:rsid w:val="00763381"/>
    <w:rsid w:val="007634B2"/>
    <w:rsid w:val="0076350E"/>
    <w:rsid w:val="007635C6"/>
    <w:rsid w:val="00763F10"/>
    <w:rsid w:val="00765673"/>
    <w:rsid w:val="00765A1B"/>
    <w:rsid w:val="00765C48"/>
    <w:rsid w:val="00765FA0"/>
    <w:rsid w:val="0076600D"/>
    <w:rsid w:val="00766E5E"/>
    <w:rsid w:val="00766F11"/>
    <w:rsid w:val="0076708F"/>
    <w:rsid w:val="007670C1"/>
    <w:rsid w:val="0076730A"/>
    <w:rsid w:val="00767546"/>
    <w:rsid w:val="00767761"/>
    <w:rsid w:val="00767DF2"/>
    <w:rsid w:val="00767FDF"/>
    <w:rsid w:val="007700D8"/>
    <w:rsid w:val="00770C49"/>
    <w:rsid w:val="00771457"/>
    <w:rsid w:val="0077153E"/>
    <w:rsid w:val="007717B9"/>
    <w:rsid w:val="00771B5A"/>
    <w:rsid w:val="00772207"/>
    <w:rsid w:val="00772334"/>
    <w:rsid w:val="0077275B"/>
    <w:rsid w:val="007734BE"/>
    <w:rsid w:val="00773BAF"/>
    <w:rsid w:val="0077451B"/>
    <w:rsid w:val="00774590"/>
    <w:rsid w:val="0077463B"/>
    <w:rsid w:val="00774B91"/>
    <w:rsid w:val="007754F4"/>
    <w:rsid w:val="00775BFD"/>
    <w:rsid w:val="00775D94"/>
    <w:rsid w:val="0077695A"/>
    <w:rsid w:val="007771FB"/>
    <w:rsid w:val="00777A83"/>
    <w:rsid w:val="00777E7F"/>
    <w:rsid w:val="00781809"/>
    <w:rsid w:val="00781EE6"/>
    <w:rsid w:val="0078213F"/>
    <w:rsid w:val="007823C8"/>
    <w:rsid w:val="007829F2"/>
    <w:rsid w:val="00782D12"/>
    <w:rsid w:val="00782D45"/>
    <w:rsid w:val="00783430"/>
    <w:rsid w:val="00783927"/>
    <w:rsid w:val="00784FC4"/>
    <w:rsid w:val="007854BF"/>
    <w:rsid w:val="0078609A"/>
    <w:rsid w:val="00786395"/>
    <w:rsid w:val="007868A4"/>
    <w:rsid w:val="007868D1"/>
    <w:rsid w:val="00786F6E"/>
    <w:rsid w:val="007871A7"/>
    <w:rsid w:val="007877E8"/>
    <w:rsid w:val="007901F3"/>
    <w:rsid w:val="007909CA"/>
    <w:rsid w:val="007910F7"/>
    <w:rsid w:val="0079114A"/>
    <w:rsid w:val="007916EE"/>
    <w:rsid w:val="007917EA"/>
    <w:rsid w:val="00791E82"/>
    <w:rsid w:val="0079290C"/>
    <w:rsid w:val="00792D63"/>
    <w:rsid w:val="00792ECA"/>
    <w:rsid w:val="007930CC"/>
    <w:rsid w:val="00793394"/>
    <w:rsid w:val="00793B5A"/>
    <w:rsid w:val="00793F3A"/>
    <w:rsid w:val="007959B8"/>
    <w:rsid w:val="007961BA"/>
    <w:rsid w:val="0079737C"/>
    <w:rsid w:val="00797794"/>
    <w:rsid w:val="00797A8C"/>
    <w:rsid w:val="007A025E"/>
    <w:rsid w:val="007A08BF"/>
    <w:rsid w:val="007A09DB"/>
    <w:rsid w:val="007A0E18"/>
    <w:rsid w:val="007A10AD"/>
    <w:rsid w:val="007A12D7"/>
    <w:rsid w:val="007A148F"/>
    <w:rsid w:val="007A1879"/>
    <w:rsid w:val="007A18FA"/>
    <w:rsid w:val="007A20D5"/>
    <w:rsid w:val="007A2100"/>
    <w:rsid w:val="007A22A2"/>
    <w:rsid w:val="007A2301"/>
    <w:rsid w:val="007A28DB"/>
    <w:rsid w:val="007A29DE"/>
    <w:rsid w:val="007A2EAC"/>
    <w:rsid w:val="007A2F27"/>
    <w:rsid w:val="007A5766"/>
    <w:rsid w:val="007A597B"/>
    <w:rsid w:val="007A6113"/>
    <w:rsid w:val="007A6129"/>
    <w:rsid w:val="007A6278"/>
    <w:rsid w:val="007A638A"/>
    <w:rsid w:val="007B004F"/>
    <w:rsid w:val="007B0082"/>
    <w:rsid w:val="007B06C4"/>
    <w:rsid w:val="007B0B30"/>
    <w:rsid w:val="007B1742"/>
    <w:rsid w:val="007B220B"/>
    <w:rsid w:val="007B2765"/>
    <w:rsid w:val="007B2C70"/>
    <w:rsid w:val="007B3407"/>
    <w:rsid w:val="007B37E1"/>
    <w:rsid w:val="007B4002"/>
    <w:rsid w:val="007B55AF"/>
    <w:rsid w:val="007B585D"/>
    <w:rsid w:val="007B720D"/>
    <w:rsid w:val="007B7DBA"/>
    <w:rsid w:val="007C0077"/>
    <w:rsid w:val="007C02F0"/>
    <w:rsid w:val="007C192C"/>
    <w:rsid w:val="007C1B6E"/>
    <w:rsid w:val="007C2660"/>
    <w:rsid w:val="007C34F5"/>
    <w:rsid w:val="007C370E"/>
    <w:rsid w:val="007C5B29"/>
    <w:rsid w:val="007C5DD2"/>
    <w:rsid w:val="007C6BD9"/>
    <w:rsid w:val="007C6FEB"/>
    <w:rsid w:val="007C7973"/>
    <w:rsid w:val="007D0760"/>
    <w:rsid w:val="007D0BA8"/>
    <w:rsid w:val="007D0BD1"/>
    <w:rsid w:val="007D1DB0"/>
    <w:rsid w:val="007D2804"/>
    <w:rsid w:val="007D38B9"/>
    <w:rsid w:val="007D40B7"/>
    <w:rsid w:val="007D442E"/>
    <w:rsid w:val="007D4C91"/>
    <w:rsid w:val="007D4D66"/>
    <w:rsid w:val="007D4F06"/>
    <w:rsid w:val="007D5E34"/>
    <w:rsid w:val="007D66CE"/>
    <w:rsid w:val="007D765D"/>
    <w:rsid w:val="007D7B83"/>
    <w:rsid w:val="007E0193"/>
    <w:rsid w:val="007E034C"/>
    <w:rsid w:val="007E0781"/>
    <w:rsid w:val="007E0B8E"/>
    <w:rsid w:val="007E0D1E"/>
    <w:rsid w:val="007E0D90"/>
    <w:rsid w:val="007E12A7"/>
    <w:rsid w:val="007E131C"/>
    <w:rsid w:val="007E264F"/>
    <w:rsid w:val="007E34E7"/>
    <w:rsid w:val="007E4224"/>
    <w:rsid w:val="007E448A"/>
    <w:rsid w:val="007E580C"/>
    <w:rsid w:val="007E6B15"/>
    <w:rsid w:val="007E71EB"/>
    <w:rsid w:val="007E7475"/>
    <w:rsid w:val="007E7ABA"/>
    <w:rsid w:val="007F097B"/>
    <w:rsid w:val="007F0EFD"/>
    <w:rsid w:val="007F0FC2"/>
    <w:rsid w:val="007F11AF"/>
    <w:rsid w:val="007F17F2"/>
    <w:rsid w:val="007F2AF6"/>
    <w:rsid w:val="007F2EFE"/>
    <w:rsid w:val="007F3202"/>
    <w:rsid w:val="007F389E"/>
    <w:rsid w:val="007F4096"/>
    <w:rsid w:val="007F5205"/>
    <w:rsid w:val="007F576E"/>
    <w:rsid w:val="007F6504"/>
    <w:rsid w:val="007F6CDD"/>
    <w:rsid w:val="007F784D"/>
    <w:rsid w:val="00800DC3"/>
    <w:rsid w:val="0080203C"/>
    <w:rsid w:val="00802AB4"/>
    <w:rsid w:val="0080361B"/>
    <w:rsid w:val="00803C36"/>
    <w:rsid w:val="0080447F"/>
    <w:rsid w:val="0080458F"/>
    <w:rsid w:val="00804B01"/>
    <w:rsid w:val="00804F69"/>
    <w:rsid w:val="00804F7E"/>
    <w:rsid w:val="00805A06"/>
    <w:rsid w:val="00805A36"/>
    <w:rsid w:val="00807138"/>
    <w:rsid w:val="008072DD"/>
    <w:rsid w:val="00807D0B"/>
    <w:rsid w:val="0081082D"/>
    <w:rsid w:val="00810BCA"/>
    <w:rsid w:val="00812050"/>
    <w:rsid w:val="00812432"/>
    <w:rsid w:val="008125C6"/>
    <w:rsid w:val="008127A4"/>
    <w:rsid w:val="008133DB"/>
    <w:rsid w:val="00813836"/>
    <w:rsid w:val="0081399D"/>
    <w:rsid w:val="00813C5F"/>
    <w:rsid w:val="00814128"/>
    <w:rsid w:val="00814A01"/>
    <w:rsid w:val="00815820"/>
    <w:rsid w:val="00815DB3"/>
    <w:rsid w:val="00815F56"/>
    <w:rsid w:val="0082061A"/>
    <w:rsid w:val="00820BB0"/>
    <w:rsid w:val="00821276"/>
    <w:rsid w:val="0082180C"/>
    <w:rsid w:val="00821848"/>
    <w:rsid w:val="00821F5A"/>
    <w:rsid w:val="00822DF7"/>
    <w:rsid w:val="00823915"/>
    <w:rsid w:val="008248C0"/>
    <w:rsid w:val="00824C71"/>
    <w:rsid w:val="00824F58"/>
    <w:rsid w:val="00824FAE"/>
    <w:rsid w:val="00825057"/>
    <w:rsid w:val="00826120"/>
    <w:rsid w:val="00826AA2"/>
    <w:rsid w:val="00826EC2"/>
    <w:rsid w:val="008276D7"/>
    <w:rsid w:val="0082775E"/>
    <w:rsid w:val="00830394"/>
    <w:rsid w:val="00830411"/>
    <w:rsid w:val="0083101E"/>
    <w:rsid w:val="00833210"/>
    <w:rsid w:val="008337E1"/>
    <w:rsid w:val="0083406A"/>
    <w:rsid w:val="008348F3"/>
    <w:rsid w:val="008349F8"/>
    <w:rsid w:val="00834CB0"/>
    <w:rsid w:val="00835170"/>
    <w:rsid w:val="0083548D"/>
    <w:rsid w:val="0083556E"/>
    <w:rsid w:val="00835615"/>
    <w:rsid w:val="00835B2E"/>
    <w:rsid w:val="00835D52"/>
    <w:rsid w:val="008363E1"/>
    <w:rsid w:val="008365D2"/>
    <w:rsid w:val="008366EB"/>
    <w:rsid w:val="008377D4"/>
    <w:rsid w:val="008401E2"/>
    <w:rsid w:val="008410DC"/>
    <w:rsid w:val="00841CE2"/>
    <w:rsid w:val="00841E8C"/>
    <w:rsid w:val="00843152"/>
    <w:rsid w:val="0084318B"/>
    <w:rsid w:val="00843201"/>
    <w:rsid w:val="00843A6D"/>
    <w:rsid w:val="00843D36"/>
    <w:rsid w:val="00844E18"/>
    <w:rsid w:val="00845BE9"/>
    <w:rsid w:val="00846717"/>
    <w:rsid w:val="00846790"/>
    <w:rsid w:val="00846AB3"/>
    <w:rsid w:val="00846AF7"/>
    <w:rsid w:val="00846CAD"/>
    <w:rsid w:val="00847411"/>
    <w:rsid w:val="00847FB6"/>
    <w:rsid w:val="00850436"/>
    <w:rsid w:val="00851254"/>
    <w:rsid w:val="00851714"/>
    <w:rsid w:val="008523BC"/>
    <w:rsid w:val="00853D59"/>
    <w:rsid w:val="0085471F"/>
    <w:rsid w:val="008547CB"/>
    <w:rsid w:val="008548CC"/>
    <w:rsid w:val="00854CED"/>
    <w:rsid w:val="0085561B"/>
    <w:rsid w:val="00855EDA"/>
    <w:rsid w:val="00855FAD"/>
    <w:rsid w:val="00856684"/>
    <w:rsid w:val="00856E1D"/>
    <w:rsid w:val="008571E9"/>
    <w:rsid w:val="00857864"/>
    <w:rsid w:val="00860467"/>
    <w:rsid w:val="0086077E"/>
    <w:rsid w:val="008609CF"/>
    <w:rsid w:val="00860A07"/>
    <w:rsid w:val="00862597"/>
    <w:rsid w:val="00862CC5"/>
    <w:rsid w:val="00863F2C"/>
    <w:rsid w:val="00864BF6"/>
    <w:rsid w:val="00865CC9"/>
    <w:rsid w:val="00866157"/>
    <w:rsid w:val="0086618C"/>
    <w:rsid w:val="00866CBC"/>
    <w:rsid w:val="00870F9F"/>
    <w:rsid w:val="00871F83"/>
    <w:rsid w:val="008735BF"/>
    <w:rsid w:val="008736E3"/>
    <w:rsid w:val="00873A22"/>
    <w:rsid w:val="0087431E"/>
    <w:rsid w:val="00874581"/>
    <w:rsid w:val="008746FB"/>
    <w:rsid w:val="00874837"/>
    <w:rsid w:val="00875598"/>
    <w:rsid w:val="008758C9"/>
    <w:rsid w:val="00880319"/>
    <w:rsid w:val="00880577"/>
    <w:rsid w:val="00880A21"/>
    <w:rsid w:val="00881777"/>
    <w:rsid w:val="00881CF8"/>
    <w:rsid w:val="008840F3"/>
    <w:rsid w:val="008846F8"/>
    <w:rsid w:val="00884EB2"/>
    <w:rsid w:val="008851EC"/>
    <w:rsid w:val="00885220"/>
    <w:rsid w:val="0088529A"/>
    <w:rsid w:val="00885573"/>
    <w:rsid w:val="008856D0"/>
    <w:rsid w:val="008858C9"/>
    <w:rsid w:val="00885E35"/>
    <w:rsid w:val="00886047"/>
    <w:rsid w:val="008860B9"/>
    <w:rsid w:val="008873B6"/>
    <w:rsid w:val="008900A5"/>
    <w:rsid w:val="0089054D"/>
    <w:rsid w:val="008908A0"/>
    <w:rsid w:val="00890DF6"/>
    <w:rsid w:val="008911F1"/>
    <w:rsid w:val="0089190B"/>
    <w:rsid w:val="00891A28"/>
    <w:rsid w:val="00892F75"/>
    <w:rsid w:val="008951AA"/>
    <w:rsid w:val="0089569A"/>
    <w:rsid w:val="00895CB2"/>
    <w:rsid w:val="00896468"/>
    <w:rsid w:val="00896A2B"/>
    <w:rsid w:val="00896CB1"/>
    <w:rsid w:val="008973A9"/>
    <w:rsid w:val="00897A80"/>
    <w:rsid w:val="00897D21"/>
    <w:rsid w:val="00897DC4"/>
    <w:rsid w:val="00897EDB"/>
    <w:rsid w:val="008A0763"/>
    <w:rsid w:val="008A08F8"/>
    <w:rsid w:val="008A0BF7"/>
    <w:rsid w:val="008A1519"/>
    <w:rsid w:val="008A197A"/>
    <w:rsid w:val="008A21D7"/>
    <w:rsid w:val="008A2696"/>
    <w:rsid w:val="008A29D0"/>
    <w:rsid w:val="008A2A7E"/>
    <w:rsid w:val="008A2F5F"/>
    <w:rsid w:val="008A3776"/>
    <w:rsid w:val="008A37B4"/>
    <w:rsid w:val="008A3B0D"/>
    <w:rsid w:val="008A400F"/>
    <w:rsid w:val="008A4299"/>
    <w:rsid w:val="008A42CF"/>
    <w:rsid w:val="008A4C0C"/>
    <w:rsid w:val="008A616D"/>
    <w:rsid w:val="008A617D"/>
    <w:rsid w:val="008A63D7"/>
    <w:rsid w:val="008A65EC"/>
    <w:rsid w:val="008A6884"/>
    <w:rsid w:val="008A6CFF"/>
    <w:rsid w:val="008A6E62"/>
    <w:rsid w:val="008A7040"/>
    <w:rsid w:val="008A7779"/>
    <w:rsid w:val="008A7DC6"/>
    <w:rsid w:val="008B03AE"/>
    <w:rsid w:val="008B13DB"/>
    <w:rsid w:val="008B144E"/>
    <w:rsid w:val="008B1615"/>
    <w:rsid w:val="008B2E10"/>
    <w:rsid w:val="008B30A4"/>
    <w:rsid w:val="008B3283"/>
    <w:rsid w:val="008B3C5F"/>
    <w:rsid w:val="008B3EE8"/>
    <w:rsid w:val="008B469F"/>
    <w:rsid w:val="008B4ED8"/>
    <w:rsid w:val="008B504F"/>
    <w:rsid w:val="008B5134"/>
    <w:rsid w:val="008B5397"/>
    <w:rsid w:val="008B5D6F"/>
    <w:rsid w:val="008B7740"/>
    <w:rsid w:val="008B7E2C"/>
    <w:rsid w:val="008C0363"/>
    <w:rsid w:val="008C17E3"/>
    <w:rsid w:val="008C20FA"/>
    <w:rsid w:val="008C2A6C"/>
    <w:rsid w:val="008C2ABE"/>
    <w:rsid w:val="008C2D0D"/>
    <w:rsid w:val="008C3F4E"/>
    <w:rsid w:val="008C4876"/>
    <w:rsid w:val="008C67A9"/>
    <w:rsid w:val="008C6882"/>
    <w:rsid w:val="008D0FD6"/>
    <w:rsid w:val="008D163E"/>
    <w:rsid w:val="008D1A93"/>
    <w:rsid w:val="008D1B8E"/>
    <w:rsid w:val="008D1E15"/>
    <w:rsid w:val="008D2185"/>
    <w:rsid w:val="008D2285"/>
    <w:rsid w:val="008D248E"/>
    <w:rsid w:val="008D2592"/>
    <w:rsid w:val="008D285D"/>
    <w:rsid w:val="008D2B2F"/>
    <w:rsid w:val="008D2BB6"/>
    <w:rsid w:val="008D361A"/>
    <w:rsid w:val="008D3730"/>
    <w:rsid w:val="008D3C54"/>
    <w:rsid w:val="008D3E3F"/>
    <w:rsid w:val="008D45FE"/>
    <w:rsid w:val="008D468B"/>
    <w:rsid w:val="008D47FA"/>
    <w:rsid w:val="008D4F36"/>
    <w:rsid w:val="008D597B"/>
    <w:rsid w:val="008D6CFC"/>
    <w:rsid w:val="008D71E0"/>
    <w:rsid w:val="008D73AD"/>
    <w:rsid w:val="008D7C1E"/>
    <w:rsid w:val="008E0D44"/>
    <w:rsid w:val="008E0F73"/>
    <w:rsid w:val="008E143E"/>
    <w:rsid w:val="008E1830"/>
    <w:rsid w:val="008E1C68"/>
    <w:rsid w:val="008E2275"/>
    <w:rsid w:val="008E2512"/>
    <w:rsid w:val="008E2B41"/>
    <w:rsid w:val="008E3170"/>
    <w:rsid w:val="008E393F"/>
    <w:rsid w:val="008E3F38"/>
    <w:rsid w:val="008E512C"/>
    <w:rsid w:val="008E5B6D"/>
    <w:rsid w:val="008E5E31"/>
    <w:rsid w:val="008E6919"/>
    <w:rsid w:val="008E6D85"/>
    <w:rsid w:val="008E6F46"/>
    <w:rsid w:val="008E7BDB"/>
    <w:rsid w:val="008F00B1"/>
    <w:rsid w:val="008F0B1D"/>
    <w:rsid w:val="008F0EEB"/>
    <w:rsid w:val="008F104F"/>
    <w:rsid w:val="008F21C5"/>
    <w:rsid w:val="008F22AF"/>
    <w:rsid w:val="008F27A1"/>
    <w:rsid w:val="008F2BC1"/>
    <w:rsid w:val="008F35C2"/>
    <w:rsid w:val="008F3E97"/>
    <w:rsid w:val="008F41E6"/>
    <w:rsid w:val="008F46A2"/>
    <w:rsid w:val="008F5A1F"/>
    <w:rsid w:val="008F5ABF"/>
    <w:rsid w:val="008F6C26"/>
    <w:rsid w:val="008F6EB7"/>
    <w:rsid w:val="008F701C"/>
    <w:rsid w:val="008F7857"/>
    <w:rsid w:val="008F7EFC"/>
    <w:rsid w:val="00900A5B"/>
    <w:rsid w:val="0090151B"/>
    <w:rsid w:val="00901538"/>
    <w:rsid w:val="00901B6D"/>
    <w:rsid w:val="009031CC"/>
    <w:rsid w:val="00903C12"/>
    <w:rsid w:val="009052F3"/>
    <w:rsid w:val="009056FA"/>
    <w:rsid w:val="009057A2"/>
    <w:rsid w:val="009057AF"/>
    <w:rsid w:val="00905BFB"/>
    <w:rsid w:val="009061B5"/>
    <w:rsid w:val="009064F5"/>
    <w:rsid w:val="009065F3"/>
    <w:rsid w:val="00906759"/>
    <w:rsid w:val="00906A75"/>
    <w:rsid w:val="00906AB0"/>
    <w:rsid w:val="009079A8"/>
    <w:rsid w:val="00907B61"/>
    <w:rsid w:val="00907F57"/>
    <w:rsid w:val="009100FA"/>
    <w:rsid w:val="009101DD"/>
    <w:rsid w:val="00910B54"/>
    <w:rsid w:val="00910CAD"/>
    <w:rsid w:val="00910EF0"/>
    <w:rsid w:val="009114B7"/>
    <w:rsid w:val="00912435"/>
    <w:rsid w:val="00913434"/>
    <w:rsid w:val="0091390C"/>
    <w:rsid w:val="009141B5"/>
    <w:rsid w:val="009143B5"/>
    <w:rsid w:val="009144FC"/>
    <w:rsid w:val="0091451C"/>
    <w:rsid w:val="00915846"/>
    <w:rsid w:val="009166C4"/>
    <w:rsid w:val="00916A45"/>
    <w:rsid w:val="00916BCB"/>
    <w:rsid w:val="00917B2B"/>
    <w:rsid w:val="00917BC4"/>
    <w:rsid w:val="00917BF5"/>
    <w:rsid w:val="00917C43"/>
    <w:rsid w:val="00921F83"/>
    <w:rsid w:val="00922225"/>
    <w:rsid w:val="009222F4"/>
    <w:rsid w:val="0092259D"/>
    <w:rsid w:val="00922BBC"/>
    <w:rsid w:val="00922C4C"/>
    <w:rsid w:val="00923EB3"/>
    <w:rsid w:val="009248AF"/>
    <w:rsid w:val="00925C84"/>
    <w:rsid w:val="00925EB2"/>
    <w:rsid w:val="00925EF5"/>
    <w:rsid w:val="00925F2D"/>
    <w:rsid w:val="00926165"/>
    <w:rsid w:val="00927329"/>
    <w:rsid w:val="00927E89"/>
    <w:rsid w:val="009300EC"/>
    <w:rsid w:val="00930219"/>
    <w:rsid w:val="009302AA"/>
    <w:rsid w:val="00930DC4"/>
    <w:rsid w:val="00930EF2"/>
    <w:rsid w:val="009317A2"/>
    <w:rsid w:val="00931CF9"/>
    <w:rsid w:val="00932B2B"/>
    <w:rsid w:val="00932FDA"/>
    <w:rsid w:val="009333E3"/>
    <w:rsid w:val="00933605"/>
    <w:rsid w:val="00933663"/>
    <w:rsid w:val="00933D31"/>
    <w:rsid w:val="00934BFF"/>
    <w:rsid w:val="0093552D"/>
    <w:rsid w:val="009358B3"/>
    <w:rsid w:val="00935B07"/>
    <w:rsid w:val="0093664E"/>
    <w:rsid w:val="00936ABB"/>
    <w:rsid w:val="00940333"/>
    <w:rsid w:val="009407DA"/>
    <w:rsid w:val="0094141E"/>
    <w:rsid w:val="00941A80"/>
    <w:rsid w:val="009422C0"/>
    <w:rsid w:val="00942D13"/>
    <w:rsid w:val="009444FF"/>
    <w:rsid w:val="0094477D"/>
    <w:rsid w:val="00944B94"/>
    <w:rsid w:val="009462F4"/>
    <w:rsid w:val="00946835"/>
    <w:rsid w:val="009468F9"/>
    <w:rsid w:val="009471AF"/>
    <w:rsid w:val="00947959"/>
    <w:rsid w:val="00947AB5"/>
    <w:rsid w:val="00947F43"/>
    <w:rsid w:val="009502C9"/>
    <w:rsid w:val="0095076F"/>
    <w:rsid w:val="009508BB"/>
    <w:rsid w:val="00950BA2"/>
    <w:rsid w:val="00950C6E"/>
    <w:rsid w:val="009525D3"/>
    <w:rsid w:val="0095273F"/>
    <w:rsid w:val="00952FE9"/>
    <w:rsid w:val="00953821"/>
    <w:rsid w:val="00953A48"/>
    <w:rsid w:val="00953C32"/>
    <w:rsid w:val="009542AB"/>
    <w:rsid w:val="0095448F"/>
    <w:rsid w:val="00954492"/>
    <w:rsid w:val="00954B15"/>
    <w:rsid w:val="00954DB4"/>
    <w:rsid w:val="00954F98"/>
    <w:rsid w:val="009560AD"/>
    <w:rsid w:val="009561FC"/>
    <w:rsid w:val="00957140"/>
    <w:rsid w:val="0096021B"/>
    <w:rsid w:val="009608B8"/>
    <w:rsid w:val="00960CFE"/>
    <w:rsid w:val="00960F46"/>
    <w:rsid w:val="00962E6C"/>
    <w:rsid w:val="00963253"/>
    <w:rsid w:val="0096383D"/>
    <w:rsid w:val="009639DD"/>
    <w:rsid w:val="00964160"/>
    <w:rsid w:val="0096439A"/>
    <w:rsid w:val="009645D5"/>
    <w:rsid w:val="00965236"/>
    <w:rsid w:val="0096553D"/>
    <w:rsid w:val="00965E13"/>
    <w:rsid w:val="009669C9"/>
    <w:rsid w:val="00966A0F"/>
    <w:rsid w:val="00966F3B"/>
    <w:rsid w:val="009671A0"/>
    <w:rsid w:val="00967C31"/>
    <w:rsid w:val="009709AB"/>
    <w:rsid w:val="00970EC6"/>
    <w:rsid w:val="00970F30"/>
    <w:rsid w:val="00971FB6"/>
    <w:rsid w:val="00972A41"/>
    <w:rsid w:val="00973179"/>
    <w:rsid w:val="00973630"/>
    <w:rsid w:val="009740A1"/>
    <w:rsid w:val="00974946"/>
    <w:rsid w:val="00974E24"/>
    <w:rsid w:val="0097520B"/>
    <w:rsid w:val="00975945"/>
    <w:rsid w:val="009763B6"/>
    <w:rsid w:val="00977B6C"/>
    <w:rsid w:val="00977F0E"/>
    <w:rsid w:val="00980155"/>
    <w:rsid w:val="00980A01"/>
    <w:rsid w:val="00980E73"/>
    <w:rsid w:val="00981EB7"/>
    <w:rsid w:val="00981F9C"/>
    <w:rsid w:val="009828A5"/>
    <w:rsid w:val="00982AF8"/>
    <w:rsid w:val="00982D24"/>
    <w:rsid w:val="00982FB7"/>
    <w:rsid w:val="00983213"/>
    <w:rsid w:val="009832CF"/>
    <w:rsid w:val="009834C9"/>
    <w:rsid w:val="0098371D"/>
    <w:rsid w:val="00983C8D"/>
    <w:rsid w:val="0098404A"/>
    <w:rsid w:val="009842B4"/>
    <w:rsid w:val="0098444A"/>
    <w:rsid w:val="00984E8F"/>
    <w:rsid w:val="009852EE"/>
    <w:rsid w:val="009854E1"/>
    <w:rsid w:val="00985557"/>
    <w:rsid w:val="00985A47"/>
    <w:rsid w:val="00985C87"/>
    <w:rsid w:val="009860EC"/>
    <w:rsid w:val="00986CD3"/>
    <w:rsid w:val="00991097"/>
    <w:rsid w:val="00991805"/>
    <w:rsid w:val="009921E1"/>
    <w:rsid w:val="00992818"/>
    <w:rsid w:val="00992D20"/>
    <w:rsid w:val="00992DB1"/>
    <w:rsid w:val="009932A9"/>
    <w:rsid w:val="009938C5"/>
    <w:rsid w:val="00994AAD"/>
    <w:rsid w:val="00994BC0"/>
    <w:rsid w:val="00994BE1"/>
    <w:rsid w:val="0099524B"/>
    <w:rsid w:val="009952CA"/>
    <w:rsid w:val="00995861"/>
    <w:rsid w:val="00995946"/>
    <w:rsid w:val="0099673B"/>
    <w:rsid w:val="00996A0F"/>
    <w:rsid w:val="009977A4"/>
    <w:rsid w:val="00997CDC"/>
    <w:rsid w:val="00997E1B"/>
    <w:rsid w:val="009A1058"/>
    <w:rsid w:val="009A1DDA"/>
    <w:rsid w:val="009A1EEA"/>
    <w:rsid w:val="009A26E1"/>
    <w:rsid w:val="009A2877"/>
    <w:rsid w:val="009A4CAD"/>
    <w:rsid w:val="009A52A8"/>
    <w:rsid w:val="009A5BE7"/>
    <w:rsid w:val="009A5D84"/>
    <w:rsid w:val="009A5F16"/>
    <w:rsid w:val="009A61C7"/>
    <w:rsid w:val="009A72C7"/>
    <w:rsid w:val="009B00F7"/>
    <w:rsid w:val="009B1102"/>
    <w:rsid w:val="009B127C"/>
    <w:rsid w:val="009B1827"/>
    <w:rsid w:val="009B23A8"/>
    <w:rsid w:val="009B23B4"/>
    <w:rsid w:val="009B2564"/>
    <w:rsid w:val="009B296D"/>
    <w:rsid w:val="009B2F97"/>
    <w:rsid w:val="009B339D"/>
    <w:rsid w:val="009B3667"/>
    <w:rsid w:val="009B3F59"/>
    <w:rsid w:val="009B4811"/>
    <w:rsid w:val="009B4CB3"/>
    <w:rsid w:val="009B4D44"/>
    <w:rsid w:val="009B5C67"/>
    <w:rsid w:val="009B6573"/>
    <w:rsid w:val="009B65C1"/>
    <w:rsid w:val="009B67BC"/>
    <w:rsid w:val="009B6A8C"/>
    <w:rsid w:val="009B6E60"/>
    <w:rsid w:val="009B78BB"/>
    <w:rsid w:val="009B7947"/>
    <w:rsid w:val="009B794A"/>
    <w:rsid w:val="009C01F0"/>
    <w:rsid w:val="009C0B66"/>
    <w:rsid w:val="009C137D"/>
    <w:rsid w:val="009C2455"/>
    <w:rsid w:val="009C2896"/>
    <w:rsid w:val="009C463A"/>
    <w:rsid w:val="009C48E9"/>
    <w:rsid w:val="009C4EBB"/>
    <w:rsid w:val="009C5087"/>
    <w:rsid w:val="009C61AE"/>
    <w:rsid w:val="009C683E"/>
    <w:rsid w:val="009C6BD2"/>
    <w:rsid w:val="009C6BE3"/>
    <w:rsid w:val="009C78CD"/>
    <w:rsid w:val="009D0416"/>
    <w:rsid w:val="009D05A7"/>
    <w:rsid w:val="009D0869"/>
    <w:rsid w:val="009D0B7D"/>
    <w:rsid w:val="009D19C2"/>
    <w:rsid w:val="009D1BA0"/>
    <w:rsid w:val="009D1C11"/>
    <w:rsid w:val="009D1DB1"/>
    <w:rsid w:val="009D2479"/>
    <w:rsid w:val="009D2F50"/>
    <w:rsid w:val="009D2FAE"/>
    <w:rsid w:val="009D3E46"/>
    <w:rsid w:val="009D4C27"/>
    <w:rsid w:val="009D51D4"/>
    <w:rsid w:val="009D5FDF"/>
    <w:rsid w:val="009D5FED"/>
    <w:rsid w:val="009D60C8"/>
    <w:rsid w:val="009D7ECA"/>
    <w:rsid w:val="009E049A"/>
    <w:rsid w:val="009E1E4F"/>
    <w:rsid w:val="009E2097"/>
    <w:rsid w:val="009E24F2"/>
    <w:rsid w:val="009E5531"/>
    <w:rsid w:val="009E6F8D"/>
    <w:rsid w:val="009E70C9"/>
    <w:rsid w:val="009E7438"/>
    <w:rsid w:val="009E77D5"/>
    <w:rsid w:val="009E78C9"/>
    <w:rsid w:val="009F090B"/>
    <w:rsid w:val="009F1047"/>
    <w:rsid w:val="009F1DEE"/>
    <w:rsid w:val="009F4145"/>
    <w:rsid w:val="009F422C"/>
    <w:rsid w:val="009F4FBF"/>
    <w:rsid w:val="009F50B5"/>
    <w:rsid w:val="009F51CC"/>
    <w:rsid w:val="009F6686"/>
    <w:rsid w:val="009F67BF"/>
    <w:rsid w:val="009F69C7"/>
    <w:rsid w:val="009F7E60"/>
    <w:rsid w:val="00A0021C"/>
    <w:rsid w:val="00A00654"/>
    <w:rsid w:val="00A0131D"/>
    <w:rsid w:val="00A01BE0"/>
    <w:rsid w:val="00A02018"/>
    <w:rsid w:val="00A024DA"/>
    <w:rsid w:val="00A04160"/>
    <w:rsid w:val="00A0441E"/>
    <w:rsid w:val="00A04C6D"/>
    <w:rsid w:val="00A0559B"/>
    <w:rsid w:val="00A0576C"/>
    <w:rsid w:val="00A05D24"/>
    <w:rsid w:val="00A062FD"/>
    <w:rsid w:val="00A06EE2"/>
    <w:rsid w:val="00A06EE6"/>
    <w:rsid w:val="00A102BE"/>
    <w:rsid w:val="00A10719"/>
    <w:rsid w:val="00A11BAE"/>
    <w:rsid w:val="00A12E06"/>
    <w:rsid w:val="00A12E1A"/>
    <w:rsid w:val="00A13119"/>
    <w:rsid w:val="00A13501"/>
    <w:rsid w:val="00A13EF7"/>
    <w:rsid w:val="00A14F23"/>
    <w:rsid w:val="00A15061"/>
    <w:rsid w:val="00A15383"/>
    <w:rsid w:val="00A15B0A"/>
    <w:rsid w:val="00A15C0E"/>
    <w:rsid w:val="00A16D52"/>
    <w:rsid w:val="00A1716B"/>
    <w:rsid w:val="00A176E6"/>
    <w:rsid w:val="00A17BC6"/>
    <w:rsid w:val="00A20EC9"/>
    <w:rsid w:val="00A21BF7"/>
    <w:rsid w:val="00A21C20"/>
    <w:rsid w:val="00A21D2E"/>
    <w:rsid w:val="00A2388E"/>
    <w:rsid w:val="00A23B75"/>
    <w:rsid w:val="00A243AA"/>
    <w:rsid w:val="00A24BE3"/>
    <w:rsid w:val="00A24BF1"/>
    <w:rsid w:val="00A25396"/>
    <w:rsid w:val="00A25450"/>
    <w:rsid w:val="00A256CA"/>
    <w:rsid w:val="00A269A4"/>
    <w:rsid w:val="00A26AE6"/>
    <w:rsid w:val="00A27B43"/>
    <w:rsid w:val="00A304B9"/>
    <w:rsid w:val="00A3089E"/>
    <w:rsid w:val="00A320EA"/>
    <w:rsid w:val="00A3235F"/>
    <w:rsid w:val="00A32A49"/>
    <w:rsid w:val="00A32BCB"/>
    <w:rsid w:val="00A33220"/>
    <w:rsid w:val="00A334EF"/>
    <w:rsid w:val="00A33929"/>
    <w:rsid w:val="00A33D57"/>
    <w:rsid w:val="00A3498A"/>
    <w:rsid w:val="00A359E6"/>
    <w:rsid w:val="00A360CA"/>
    <w:rsid w:val="00A363D2"/>
    <w:rsid w:val="00A36FCF"/>
    <w:rsid w:val="00A374D0"/>
    <w:rsid w:val="00A40191"/>
    <w:rsid w:val="00A41532"/>
    <w:rsid w:val="00A41871"/>
    <w:rsid w:val="00A42638"/>
    <w:rsid w:val="00A427CC"/>
    <w:rsid w:val="00A43294"/>
    <w:rsid w:val="00A433EC"/>
    <w:rsid w:val="00A435DC"/>
    <w:rsid w:val="00A4400B"/>
    <w:rsid w:val="00A44C99"/>
    <w:rsid w:val="00A45060"/>
    <w:rsid w:val="00A45066"/>
    <w:rsid w:val="00A45153"/>
    <w:rsid w:val="00A45577"/>
    <w:rsid w:val="00A457F5"/>
    <w:rsid w:val="00A45A2E"/>
    <w:rsid w:val="00A45D3C"/>
    <w:rsid w:val="00A45D77"/>
    <w:rsid w:val="00A45E4B"/>
    <w:rsid w:val="00A465D9"/>
    <w:rsid w:val="00A46D6C"/>
    <w:rsid w:val="00A4700D"/>
    <w:rsid w:val="00A472A7"/>
    <w:rsid w:val="00A4735E"/>
    <w:rsid w:val="00A47847"/>
    <w:rsid w:val="00A47F06"/>
    <w:rsid w:val="00A50761"/>
    <w:rsid w:val="00A514C3"/>
    <w:rsid w:val="00A51CC3"/>
    <w:rsid w:val="00A52936"/>
    <w:rsid w:val="00A53635"/>
    <w:rsid w:val="00A54302"/>
    <w:rsid w:val="00A543C9"/>
    <w:rsid w:val="00A547F3"/>
    <w:rsid w:val="00A5512E"/>
    <w:rsid w:val="00A55505"/>
    <w:rsid w:val="00A5569C"/>
    <w:rsid w:val="00A56514"/>
    <w:rsid w:val="00A56E44"/>
    <w:rsid w:val="00A56E9D"/>
    <w:rsid w:val="00A576B5"/>
    <w:rsid w:val="00A5774F"/>
    <w:rsid w:val="00A57890"/>
    <w:rsid w:val="00A57CBB"/>
    <w:rsid w:val="00A60419"/>
    <w:rsid w:val="00A61CA7"/>
    <w:rsid w:val="00A62F27"/>
    <w:rsid w:val="00A632C0"/>
    <w:rsid w:val="00A63953"/>
    <w:rsid w:val="00A64F68"/>
    <w:rsid w:val="00A6553D"/>
    <w:rsid w:val="00A65DE8"/>
    <w:rsid w:val="00A66065"/>
    <w:rsid w:val="00A66100"/>
    <w:rsid w:val="00A669A2"/>
    <w:rsid w:val="00A67047"/>
    <w:rsid w:val="00A6723E"/>
    <w:rsid w:val="00A67505"/>
    <w:rsid w:val="00A675F4"/>
    <w:rsid w:val="00A677E5"/>
    <w:rsid w:val="00A7016E"/>
    <w:rsid w:val="00A70180"/>
    <w:rsid w:val="00A70619"/>
    <w:rsid w:val="00A71C22"/>
    <w:rsid w:val="00A71CB8"/>
    <w:rsid w:val="00A722A8"/>
    <w:rsid w:val="00A7305D"/>
    <w:rsid w:val="00A739F6"/>
    <w:rsid w:val="00A74799"/>
    <w:rsid w:val="00A7557B"/>
    <w:rsid w:val="00A75B92"/>
    <w:rsid w:val="00A7667F"/>
    <w:rsid w:val="00A768F5"/>
    <w:rsid w:val="00A76AE8"/>
    <w:rsid w:val="00A76E07"/>
    <w:rsid w:val="00A77357"/>
    <w:rsid w:val="00A77705"/>
    <w:rsid w:val="00A77AF3"/>
    <w:rsid w:val="00A80B9D"/>
    <w:rsid w:val="00A80C7F"/>
    <w:rsid w:val="00A81028"/>
    <w:rsid w:val="00A8119E"/>
    <w:rsid w:val="00A81F83"/>
    <w:rsid w:val="00A823E8"/>
    <w:rsid w:val="00A823F6"/>
    <w:rsid w:val="00A82DB4"/>
    <w:rsid w:val="00A83630"/>
    <w:rsid w:val="00A83665"/>
    <w:rsid w:val="00A83764"/>
    <w:rsid w:val="00A83ED2"/>
    <w:rsid w:val="00A83FA9"/>
    <w:rsid w:val="00A85BE8"/>
    <w:rsid w:val="00A85FEE"/>
    <w:rsid w:val="00A86050"/>
    <w:rsid w:val="00A86131"/>
    <w:rsid w:val="00A86990"/>
    <w:rsid w:val="00A86DBF"/>
    <w:rsid w:val="00A8725E"/>
    <w:rsid w:val="00A87E54"/>
    <w:rsid w:val="00A900D1"/>
    <w:rsid w:val="00A90B14"/>
    <w:rsid w:val="00A90D6C"/>
    <w:rsid w:val="00A91742"/>
    <w:rsid w:val="00A91881"/>
    <w:rsid w:val="00A921C8"/>
    <w:rsid w:val="00A924C7"/>
    <w:rsid w:val="00A928AB"/>
    <w:rsid w:val="00A92DA8"/>
    <w:rsid w:val="00A92F55"/>
    <w:rsid w:val="00A93E4D"/>
    <w:rsid w:val="00A94363"/>
    <w:rsid w:val="00A95592"/>
    <w:rsid w:val="00A955A7"/>
    <w:rsid w:val="00A95B36"/>
    <w:rsid w:val="00A96B77"/>
    <w:rsid w:val="00A971C0"/>
    <w:rsid w:val="00A97905"/>
    <w:rsid w:val="00AA05A3"/>
    <w:rsid w:val="00AA0FEC"/>
    <w:rsid w:val="00AA149D"/>
    <w:rsid w:val="00AA1663"/>
    <w:rsid w:val="00AA179F"/>
    <w:rsid w:val="00AA27B4"/>
    <w:rsid w:val="00AA298F"/>
    <w:rsid w:val="00AA2DFC"/>
    <w:rsid w:val="00AA3F77"/>
    <w:rsid w:val="00AA41D4"/>
    <w:rsid w:val="00AA41D7"/>
    <w:rsid w:val="00AA44CF"/>
    <w:rsid w:val="00AA50DB"/>
    <w:rsid w:val="00AA61D8"/>
    <w:rsid w:val="00AA6309"/>
    <w:rsid w:val="00AA6586"/>
    <w:rsid w:val="00AA7616"/>
    <w:rsid w:val="00AB0589"/>
    <w:rsid w:val="00AB0A2F"/>
    <w:rsid w:val="00AB12A6"/>
    <w:rsid w:val="00AB2C0D"/>
    <w:rsid w:val="00AB2C12"/>
    <w:rsid w:val="00AB3109"/>
    <w:rsid w:val="00AB3594"/>
    <w:rsid w:val="00AB37AA"/>
    <w:rsid w:val="00AB3908"/>
    <w:rsid w:val="00AB3B86"/>
    <w:rsid w:val="00AB43D2"/>
    <w:rsid w:val="00AB4969"/>
    <w:rsid w:val="00AB523E"/>
    <w:rsid w:val="00AB6138"/>
    <w:rsid w:val="00AB613F"/>
    <w:rsid w:val="00AB6EDC"/>
    <w:rsid w:val="00AB762B"/>
    <w:rsid w:val="00AB7F01"/>
    <w:rsid w:val="00AC0409"/>
    <w:rsid w:val="00AC05D4"/>
    <w:rsid w:val="00AC0657"/>
    <w:rsid w:val="00AC0C3D"/>
    <w:rsid w:val="00AC1688"/>
    <w:rsid w:val="00AC1A49"/>
    <w:rsid w:val="00AC1BC6"/>
    <w:rsid w:val="00AC2588"/>
    <w:rsid w:val="00AC32F7"/>
    <w:rsid w:val="00AC35B2"/>
    <w:rsid w:val="00AC38C4"/>
    <w:rsid w:val="00AC49B8"/>
    <w:rsid w:val="00AC506E"/>
    <w:rsid w:val="00AC545A"/>
    <w:rsid w:val="00AC5FBA"/>
    <w:rsid w:val="00AC72AA"/>
    <w:rsid w:val="00AC731C"/>
    <w:rsid w:val="00AC7D31"/>
    <w:rsid w:val="00AD0010"/>
    <w:rsid w:val="00AD0200"/>
    <w:rsid w:val="00AD0BBA"/>
    <w:rsid w:val="00AD1022"/>
    <w:rsid w:val="00AD194A"/>
    <w:rsid w:val="00AD2111"/>
    <w:rsid w:val="00AD269D"/>
    <w:rsid w:val="00AD3A08"/>
    <w:rsid w:val="00AD3AB3"/>
    <w:rsid w:val="00AD42A8"/>
    <w:rsid w:val="00AD4489"/>
    <w:rsid w:val="00AD4614"/>
    <w:rsid w:val="00AD507F"/>
    <w:rsid w:val="00AD5D2B"/>
    <w:rsid w:val="00AD5EB0"/>
    <w:rsid w:val="00AD61E9"/>
    <w:rsid w:val="00AD7357"/>
    <w:rsid w:val="00AD737F"/>
    <w:rsid w:val="00AE0DB7"/>
    <w:rsid w:val="00AE17CF"/>
    <w:rsid w:val="00AE19F3"/>
    <w:rsid w:val="00AE19FA"/>
    <w:rsid w:val="00AE1A1F"/>
    <w:rsid w:val="00AE35A9"/>
    <w:rsid w:val="00AE394F"/>
    <w:rsid w:val="00AE4A66"/>
    <w:rsid w:val="00AE501E"/>
    <w:rsid w:val="00AE5297"/>
    <w:rsid w:val="00AE5E6D"/>
    <w:rsid w:val="00AE6417"/>
    <w:rsid w:val="00AE6677"/>
    <w:rsid w:val="00AE6F13"/>
    <w:rsid w:val="00AE71E5"/>
    <w:rsid w:val="00AE7F0B"/>
    <w:rsid w:val="00AF0644"/>
    <w:rsid w:val="00AF0C3A"/>
    <w:rsid w:val="00AF1545"/>
    <w:rsid w:val="00AF1909"/>
    <w:rsid w:val="00AF2166"/>
    <w:rsid w:val="00AF3005"/>
    <w:rsid w:val="00AF4286"/>
    <w:rsid w:val="00AF434D"/>
    <w:rsid w:val="00AF4788"/>
    <w:rsid w:val="00AF570B"/>
    <w:rsid w:val="00AF572D"/>
    <w:rsid w:val="00AF629A"/>
    <w:rsid w:val="00AF74C2"/>
    <w:rsid w:val="00B0042A"/>
    <w:rsid w:val="00B00BBF"/>
    <w:rsid w:val="00B01996"/>
    <w:rsid w:val="00B01C2F"/>
    <w:rsid w:val="00B01C75"/>
    <w:rsid w:val="00B01DE0"/>
    <w:rsid w:val="00B01EE3"/>
    <w:rsid w:val="00B022BB"/>
    <w:rsid w:val="00B026F4"/>
    <w:rsid w:val="00B02D61"/>
    <w:rsid w:val="00B02FFA"/>
    <w:rsid w:val="00B04393"/>
    <w:rsid w:val="00B04EBD"/>
    <w:rsid w:val="00B05C41"/>
    <w:rsid w:val="00B05DBE"/>
    <w:rsid w:val="00B060D3"/>
    <w:rsid w:val="00B068A9"/>
    <w:rsid w:val="00B06ED2"/>
    <w:rsid w:val="00B06F0E"/>
    <w:rsid w:val="00B0713E"/>
    <w:rsid w:val="00B07372"/>
    <w:rsid w:val="00B07494"/>
    <w:rsid w:val="00B07F71"/>
    <w:rsid w:val="00B108AE"/>
    <w:rsid w:val="00B10CDB"/>
    <w:rsid w:val="00B11270"/>
    <w:rsid w:val="00B11F15"/>
    <w:rsid w:val="00B12207"/>
    <w:rsid w:val="00B127A4"/>
    <w:rsid w:val="00B12823"/>
    <w:rsid w:val="00B12D36"/>
    <w:rsid w:val="00B133C2"/>
    <w:rsid w:val="00B13AD7"/>
    <w:rsid w:val="00B13BEA"/>
    <w:rsid w:val="00B142EA"/>
    <w:rsid w:val="00B14563"/>
    <w:rsid w:val="00B1461E"/>
    <w:rsid w:val="00B177A9"/>
    <w:rsid w:val="00B20934"/>
    <w:rsid w:val="00B21B1C"/>
    <w:rsid w:val="00B226CB"/>
    <w:rsid w:val="00B22B78"/>
    <w:rsid w:val="00B22E38"/>
    <w:rsid w:val="00B22F07"/>
    <w:rsid w:val="00B232E0"/>
    <w:rsid w:val="00B23790"/>
    <w:rsid w:val="00B24205"/>
    <w:rsid w:val="00B24E8E"/>
    <w:rsid w:val="00B25767"/>
    <w:rsid w:val="00B25BA3"/>
    <w:rsid w:val="00B265E3"/>
    <w:rsid w:val="00B26714"/>
    <w:rsid w:val="00B26D17"/>
    <w:rsid w:val="00B274D3"/>
    <w:rsid w:val="00B27637"/>
    <w:rsid w:val="00B27A2A"/>
    <w:rsid w:val="00B27C4E"/>
    <w:rsid w:val="00B27E57"/>
    <w:rsid w:val="00B300C1"/>
    <w:rsid w:val="00B3011B"/>
    <w:rsid w:val="00B302F8"/>
    <w:rsid w:val="00B3062E"/>
    <w:rsid w:val="00B30CE8"/>
    <w:rsid w:val="00B30F18"/>
    <w:rsid w:val="00B31898"/>
    <w:rsid w:val="00B31973"/>
    <w:rsid w:val="00B31BC2"/>
    <w:rsid w:val="00B31CB3"/>
    <w:rsid w:val="00B3208D"/>
    <w:rsid w:val="00B32705"/>
    <w:rsid w:val="00B32E87"/>
    <w:rsid w:val="00B338F7"/>
    <w:rsid w:val="00B33F06"/>
    <w:rsid w:val="00B3424B"/>
    <w:rsid w:val="00B34581"/>
    <w:rsid w:val="00B3583C"/>
    <w:rsid w:val="00B358F2"/>
    <w:rsid w:val="00B35D56"/>
    <w:rsid w:val="00B36635"/>
    <w:rsid w:val="00B36FB5"/>
    <w:rsid w:val="00B37471"/>
    <w:rsid w:val="00B37A09"/>
    <w:rsid w:val="00B37AE6"/>
    <w:rsid w:val="00B421C5"/>
    <w:rsid w:val="00B42331"/>
    <w:rsid w:val="00B43009"/>
    <w:rsid w:val="00B435CD"/>
    <w:rsid w:val="00B44704"/>
    <w:rsid w:val="00B4493E"/>
    <w:rsid w:val="00B44C0C"/>
    <w:rsid w:val="00B45D93"/>
    <w:rsid w:val="00B46750"/>
    <w:rsid w:val="00B47218"/>
    <w:rsid w:val="00B4794D"/>
    <w:rsid w:val="00B50221"/>
    <w:rsid w:val="00B503A4"/>
    <w:rsid w:val="00B50459"/>
    <w:rsid w:val="00B505CB"/>
    <w:rsid w:val="00B5095B"/>
    <w:rsid w:val="00B50E85"/>
    <w:rsid w:val="00B51613"/>
    <w:rsid w:val="00B517E7"/>
    <w:rsid w:val="00B51AB4"/>
    <w:rsid w:val="00B52DB9"/>
    <w:rsid w:val="00B52E2F"/>
    <w:rsid w:val="00B536E9"/>
    <w:rsid w:val="00B538DD"/>
    <w:rsid w:val="00B53F39"/>
    <w:rsid w:val="00B54726"/>
    <w:rsid w:val="00B54841"/>
    <w:rsid w:val="00B55034"/>
    <w:rsid w:val="00B551AB"/>
    <w:rsid w:val="00B55BD6"/>
    <w:rsid w:val="00B56B9E"/>
    <w:rsid w:val="00B5771D"/>
    <w:rsid w:val="00B577DC"/>
    <w:rsid w:val="00B57D33"/>
    <w:rsid w:val="00B60042"/>
    <w:rsid w:val="00B60832"/>
    <w:rsid w:val="00B60E76"/>
    <w:rsid w:val="00B60E7B"/>
    <w:rsid w:val="00B6185B"/>
    <w:rsid w:val="00B61B71"/>
    <w:rsid w:val="00B61BEF"/>
    <w:rsid w:val="00B61D10"/>
    <w:rsid w:val="00B62C53"/>
    <w:rsid w:val="00B62F74"/>
    <w:rsid w:val="00B63284"/>
    <w:rsid w:val="00B63E4A"/>
    <w:rsid w:val="00B640BA"/>
    <w:rsid w:val="00B641CB"/>
    <w:rsid w:val="00B64EBA"/>
    <w:rsid w:val="00B65530"/>
    <w:rsid w:val="00B6593B"/>
    <w:rsid w:val="00B65992"/>
    <w:rsid w:val="00B664BF"/>
    <w:rsid w:val="00B66A04"/>
    <w:rsid w:val="00B66C52"/>
    <w:rsid w:val="00B66D41"/>
    <w:rsid w:val="00B67546"/>
    <w:rsid w:val="00B67815"/>
    <w:rsid w:val="00B7007E"/>
    <w:rsid w:val="00B70283"/>
    <w:rsid w:val="00B702DE"/>
    <w:rsid w:val="00B705D3"/>
    <w:rsid w:val="00B70A9F"/>
    <w:rsid w:val="00B70C70"/>
    <w:rsid w:val="00B70E2C"/>
    <w:rsid w:val="00B7134F"/>
    <w:rsid w:val="00B7139A"/>
    <w:rsid w:val="00B71ECC"/>
    <w:rsid w:val="00B71F7A"/>
    <w:rsid w:val="00B727F6"/>
    <w:rsid w:val="00B72D6E"/>
    <w:rsid w:val="00B7341E"/>
    <w:rsid w:val="00B7342D"/>
    <w:rsid w:val="00B73C33"/>
    <w:rsid w:val="00B74A7D"/>
    <w:rsid w:val="00B74F3A"/>
    <w:rsid w:val="00B75254"/>
    <w:rsid w:val="00B75677"/>
    <w:rsid w:val="00B761F5"/>
    <w:rsid w:val="00B76ACC"/>
    <w:rsid w:val="00B77271"/>
    <w:rsid w:val="00B773C6"/>
    <w:rsid w:val="00B775EF"/>
    <w:rsid w:val="00B804D9"/>
    <w:rsid w:val="00B80CBF"/>
    <w:rsid w:val="00B81214"/>
    <w:rsid w:val="00B81248"/>
    <w:rsid w:val="00B81935"/>
    <w:rsid w:val="00B81EA4"/>
    <w:rsid w:val="00B82472"/>
    <w:rsid w:val="00B824EE"/>
    <w:rsid w:val="00B82FF9"/>
    <w:rsid w:val="00B833E9"/>
    <w:rsid w:val="00B833F4"/>
    <w:rsid w:val="00B8341A"/>
    <w:rsid w:val="00B83672"/>
    <w:rsid w:val="00B837A5"/>
    <w:rsid w:val="00B8420B"/>
    <w:rsid w:val="00B84BDA"/>
    <w:rsid w:val="00B850C7"/>
    <w:rsid w:val="00B860CA"/>
    <w:rsid w:val="00B86712"/>
    <w:rsid w:val="00B86C2E"/>
    <w:rsid w:val="00B87022"/>
    <w:rsid w:val="00B879DE"/>
    <w:rsid w:val="00B87A8C"/>
    <w:rsid w:val="00B91345"/>
    <w:rsid w:val="00B940AB"/>
    <w:rsid w:val="00B95103"/>
    <w:rsid w:val="00B953B8"/>
    <w:rsid w:val="00B954C3"/>
    <w:rsid w:val="00B95EFD"/>
    <w:rsid w:val="00B96376"/>
    <w:rsid w:val="00B96A50"/>
    <w:rsid w:val="00B97869"/>
    <w:rsid w:val="00BA0303"/>
    <w:rsid w:val="00BA0425"/>
    <w:rsid w:val="00BA07A4"/>
    <w:rsid w:val="00BA1AC6"/>
    <w:rsid w:val="00BA222F"/>
    <w:rsid w:val="00BA2348"/>
    <w:rsid w:val="00BA2DDC"/>
    <w:rsid w:val="00BA369F"/>
    <w:rsid w:val="00BA3D47"/>
    <w:rsid w:val="00BA4771"/>
    <w:rsid w:val="00BA486F"/>
    <w:rsid w:val="00BA4961"/>
    <w:rsid w:val="00BA5117"/>
    <w:rsid w:val="00BA55C8"/>
    <w:rsid w:val="00BA7024"/>
    <w:rsid w:val="00BA741F"/>
    <w:rsid w:val="00BA7D35"/>
    <w:rsid w:val="00BA7EA6"/>
    <w:rsid w:val="00BB0291"/>
    <w:rsid w:val="00BB041F"/>
    <w:rsid w:val="00BB05F5"/>
    <w:rsid w:val="00BB0DC5"/>
    <w:rsid w:val="00BB0E5F"/>
    <w:rsid w:val="00BB13E7"/>
    <w:rsid w:val="00BB228A"/>
    <w:rsid w:val="00BB27D5"/>
    <w:rsid w:val="00BB2B9C"/>
    <w:rsid w:val="00BB2C13"/>
    <w:rsid w:val="00BB2FD0"/>
    <w:rsid w:val="00BB3CBA"/>
    <w:rsid w:val="00BB3FAF"/>
    <w:rsid w:val="00BB47D2"/>
    <w:rsid w:val="00BB661A"/>
    <w:rsid w:val="00BB6734"/>
    <w:rsid w:val="00BB6CA4"/>
    <w:rsid w:val="00BB765C"/>
    <w:rsid w:val="00BB7EC2"/>
    <w:rsid w:val="00BC07F6"/>
    <w:rsid w:val="00BC0B93"/>
    <w:rsid w:val="00BC0FCF"/>
    <w:rsid w:val="00BC1C21"/>
    <w:rsid w:val="00BC216B"/>
    <w:rsid w:val="00BC25E9"/>
    <w:rsid w:val="00BC261A"/>
    <w:rsid w:val="00BC3624"/>
    <w:rsid w:val="00BC4326"/>
    <w:rsid w:val="00BC43FF"/>
    <w:rsid w:val="00BC56F8"/>
    <w:rsid w:val="00BC5BAD"/>
    <w:rsid w:val="00BC6298"/>
    <w:rsid w:val="00BC6364"/>
    <w:rsid w:val="00BC641E"/>
    <w:rsid w:val="00BC6E40"/>
    <w:rsid w:val="00BC753C"/>
    <w:rsid w:val="00BC7FB0"/>
    <w:rsid w:val="00BD0500"/>
    <w:rsid w:val="00BD05AE"/>
    <w:rsid w:val="00BD1215"/>
    <w:rsid w:val="00BD153E"/>
    <w:rsid w:val="00BD17D9"/>
    <w:rsid w:val="00BD2053"/>
    <w:rsid w:val="00BD25B3"/>
    <w:rsid w:val="00BD29D2"/>
    <w:rsid w:val="00BD2DC1"/>
    <w:rsid w:val="00BD2EB6"/>
    <w:rsid w:val="00BD3446"/>
    <w:rsid w:val="00BD35C8"/>
    <w:rsid w:val="00BD3672"/>
    <w:rsid w:val="00BD4272"/>
    <w:rsid w:val="00BD4448"/>
    <w:rsid w:val="00BD448C"/>
    <w:rsid w:val="00BD4F46"/>
    <w:rsid w:val="00BD5A8E"/>
    <w:rsid w:val="00BD5ABD"/>
    <w:rsid w:val="00BD5ACC"/>
    <w:rsid w:val="00BD60E9"/>
    <w:rsid w:val="00BD6266"/>
    <w:rsid w:val="00BD6553"/>
    <w:rsid w:val="00BD677E"/>
    <w:rsid w:val="00BD6C83"/>
    <w:rsid w:val="00BD6EF9"/>
    <w:rsid w:val="00BD7AFC"/>
    <w:rsid w:val="00BD7C3C"/>
    <w:rsid w:val="00BD7F58"/>
    <w:rsid w:val="00BE01F4"/>
    <w:rsid w:val="00BE0505"/>
    <w:rsid w:val="00BE068F"/>
    <w:rsid w:val="00BE0CC1"/>
    <w:rsid w:val="00BE1968"/>
    <w:rsid w:val="00BE1F71"/>
    <w:rsid w:val="00BE26F1"/>
    <w:rsid w:val="00BE3288"/>
    <w:rsid w:val="00BE47BC"/>
    <w:rsid w:val="00BE4A00"/>
    <w:rsid w:val="00BE4A13"/>
    <w:rsid w:val="00BE4CA2"/>
    <w:rsid w:val="00BE4DB4"/>
    <w:rsid w:val="00BE57AB"/>
    <w:rsid w:val="00BE57F9"/>
    <w:rsid w:val="00BE5D3D"/>
    <w:rsid w:val="00BE5E01"/>
    <w:rsid w:val="00BE638D"/>
    <w:rsid w:val="00BE651F"/>
    <w:rsid w:val="00BE696F"/>
    <w:rsid w:val="00BE6AA4"/>
    <w:rsid w:val="00BE7718"/>
    <w:rsid w:val="00BF127E"/>
    <w:rsid w:val="00BF242C"/>
    <w:rsid w:val="00BF2469"/>
    <w:rsid w:val="00BF294E"/>
    <w:rsid w:val="00BF2C23"/>
    <w:rsid w:val="00BF2CCA"/>
    <w:rsid w:val="00BF3489"/>
    <w:rsid w:val="00BF4D41"/>
    <w:rsid w:val="00BF6381"/>
    <w:rsid w:val="00BF7146"/>
    <w:rsid w:val="00BF7426"/>
    <w:rsid w:val="00BF7B09"/>
    <w:rsid w:val="00BF7CA6"/>
    <w:rsid w:val="00C002E8"/>
    <w:rsid w:val="00C00FD6"/>
    <w:rsid w:val="00C01161"/>
    <w:rsid w:val="00C026A1"/>
    <w:rsid w:val="00C026A5"/>
    <w:rsid w:val="00C02B05"/>
    <w:rsid w:val="00C036BA"/>
    <w:rsid w:val="00C03803"/>
    <w:rsid w:val="00C03816"/>
    <w:rsid w:val="00C03CDD"/>
    <w:rsid w:val="00C04162"/>
    <w:rsid w:val="00C04277"/>
    <w:rsid w:val="00C04ACB"/>
    <w:rsid w:val="00C04D8F"/>
    <w:rsid w:val="00C053A1"/>
    <w:rsid w:val="00C0550A"/>
    <w:rsid w:val="00C055F8"/>
    <w:rsid w:val="00C05851"/>
    <w:rsid w:val="00C05AFD"/>
    <w:rsid w:val="00C05D13"/>
    <w:rsid w:val="00C068B3"/>
    <w:rsid w:val="00C06934"/>
    <w:rsid w:val="00C06A3A"/>
    <w:rsid w:val="00C06C6F"/>
    <w:rsid w:val="00C0716B"/>
    <w:rsid w:val="00C07A00"/>
    <w:rsid w:val="00C07CE4"/>
    <w:rsid w:val="00C10027"/>
    <w:rsid w:val="00C1010B"/>
    <w:rsid w:val="00C10293"/>
    <w:rsid w:val="00C104B5"/>
    <w:rsid w:val="00C108A5"/>
    <w:rsid w:val="00C1108B"/>
    <w:rsid w:val="00C116F4"/>
    <w:rsid w:val="00C11814"/>
    <w:rsid w:val="00C11A20"/>
    <w:rsid w:val="00C11CB5"/>
    <w:rsid w:val="00C12916"/>
    <w:rsid w:val="00C12996"/>
    <w:rsid w:val="00C134B9"/>
    <w:rsid w:val="00C13615"/>
    <w:rsid w:val="00C13712"/>
    <w:rsid w:val="00C13F88"/>
    <w:rsid w:val="00C140EE"/>
    <w:rsid w:val="00C14172"/>
    <w:rsid w:val="00C14E75"/>
    <w:rsid w:val="00C155AF"/>
    <w:rsid w:val="00C15FD9"/>
    <w:rsid w:val="00C163C6"/>
    <w:rsid w:val="00C16AB4"/>
    <w:rsid w:val="00C16F16"/>
    <w:rsid w:val="00C173FA"/>
    <w:rsid w:val="00C17605"/>
    <w:rsid w:val="00C178B9"/>
    <w:rsid w:val="00C20030"/>
    <w:rsid w:val="00C21E93"/>
    <w:rsid w:val="00C22255"/>
    <w:rsid w:val="00C2310D"/>
    <w:rsid w:val="00C23D5C"/>
    <w:rsid w:val="00C24268"/>
    <w:rsid w:val="00C24532"/>
    <w:rsid w:val="00C24A38"/>
    <w:rsid w:val="00C24C63"/>
    <w:rsid w:val="00C24EE4"/>
    <w:rsid w:val="00C252D2"/>
    <w:rsid w:val="00C25325"/>
    <w:rsid w:val="00C25871"/>
    <w:rsid w:val="00C25B61"/>
    <w:rsid w:val="00C25B81"/>
    <w:rsid w:val="00C26191"/>
    <w:rsid w:val="00C26308"/>
    <w:rsid w:val="00C2664D"/>
    <w:rsid w:val="00C26B30"/>
    <w:rsid w:val="00C2713C"/>
    <w:rsid w:val="00C2793F"/>
    <w:rsid w:val="00C27C5F"/>
    <w:rsid w:val="00C27DE3"/>
    <w:rsid w:val="00C27F82"/>
    <w:rsid w:val="00C30B60"/>
    <w:rsid w:val="00C30CFA"/>
    <w:rsid w:val="00C31FB3"/>
    <w:rsid w:val="00C325FF"/>
    <w:rsid w:val="00C32788"/>
    <w:rsid w:val="00C3283B"/>
    <w:rsid w:val="00C32B21"/>
    <w:rsid w:val="00C33579"/>
    <w:rsid w:val="00C33F06"/>
    <w:rsid w:val="00C340A4"/>
    <w:rsid w:val="00C34396"/>
    <w:rsid w:val="00C346CE"/>
    <w:rsid w:val="00C34A90"/>
    <w:rsid w:val="00C34B44"/>
    <w:rsid w:val="00C34DE9"/>
    <w:rsid w:val="00C34F44"/>
    <w:rsid w:val="00C35597"/>
    <w:rsid w:val="00C35D37"/>
    <w:rsid w:val="00C3655E"/>
    <w:rsid w:val="00C367B4"/>
    <w:rsid w:val="00C3697B"/>
    <w:rsid w:val="00C36DFE"/>
    <w:rsid w:val="00C3701A"/>
    <w:rsid w:val="00C37652"/>
    <w:rsid w:val="00C4076C"/>
    <w:rsid w:val="00C40886"/>
    <w:rsid w:val="00C40B07"/>
    <w:rsid w:val="00C4179F"/>
    <w:rsid w:val="00C41A79"/>
    <w:rsid w:val="00C41C0D"/>
    <w:rsid w:val="00C4218F"/>
    <w:rsid w:val="00C42414"/>
    <w:rsid w:val="00C42444"/>
    <w:rsid w:val="00C42D0A"/>
    <w:rsid w:val="00C42DD1"/>
    <w:rsid w:val="00C4341E"/>
    <w:rsid w:val="00C43AD7"/>
    <w:rsid w:val="00C44768"/>
    <w:rsid w:val="00C44BA0"/>
    <w:rsid w:val="00C452C8"/>
    <w:rsid w:val="00C456C9"/>
    <w:rsid w:val="00C4575A"/>
    <w:rsid w:val="00C459FB"/>
    <w:rsid w:val="00C45CA9"/>
    <w:rsid w:val="00C45D1C"/>
    <w:rsid w:val="00C46512"/>
    <w:rsid w:val="00C4659E"/>
    <w:rsid w:val="00C46A88"/>
    <w:rsid w:val="00C46F60"/>
    <w:rsid w:val="00C475F4"/>
    <w:rsid w:val="00C47C46"/>
    <w:rsid w:val="00C47DF3"/>
    <w:rsid w:val="00C50BE5"/>
    <w:rsid w:val="00C51528"/>
    <w:rsid w:val="00C52191"/>
    <w:rsid w:val="00C52924"/>
    <w:rsid w:val="00C52930"/>
    <w:rsid w:val="00C52A9C"/>
    <w:rsid w:val="00C53A43"/>
    <w:rsid w:val="00C53D1B"/>
    <w:rsid w:val="00C53FC9"/>
    <w:rsid w:val="00C54D7F"/>
    <w:rsid w:val="00C54F4F"/>
    <w:rsid w:val="00C55835"/>
    <w:rsid w:val="00C55BD9"/>
    <w:rsid w:val="00C56125"/>
    <w:rsid w:val="00C562A6"/>
    <w:rsid w:val="00C5652F"/>
    <w:rsid w:val="00C565C4"/>
    <w:rsid w:val="00C57C34"/>
    <w:rsid w:val="00C57CDF"/>
    <w:rsid w:val="00C60147"/>
    <w:rsid w:val="00C613A4"/>
    <w:rsid w:val="00C62A44"/>
    <w:rsid w:val="00C62BA9"/>
    <w:rsid w:val="00C635D2"/>
    <w:rsid w:val="00C63ADB"/>
    <w:rsid w:val="00C64457"/>
    <w:rsid w:val="00C64A71"/>
    <w:rsid w:val="00C64F22"/>
    <w:rsid w:val="00C658E8"/>
    <w:rsid w:val="00C65C07"/>
    <w:rsid w:val="00C667B6"/>
    <w:rsid w:val="00C6744A"/>
    <w:rsid w:val="00C70399"/>
    <w:rsid w:val="00C703B2"/>
    <w:rsid w:val="00C70642"/>
    <w:rsid w:val="00C71CD8"/>
    <w:rsid w:val="00C71EBF"/>
    <w:rsid w:val="00C738C8"/>
    <w:rsid w:val="00C73E78"/>
    <w:rsid w:val="00C7406A"/>
    <w:rsid w:val="00C74143"/>
    <w:rsid w:val="00C747F1"/>
    <w:rsid w:val="00C75728"/>
    <w:rsid w:val="00C759F9"/>
    <w:rsid w:val="00C75BE5"/>
    <w:rsid w:val="00C76685"/>
    <w:rsid w:val="00C76A8D"/>
    <w:rsid w:val="00C76D9C"/>
    <w:rsid w:val="00C76F9E"/>
    <w:rsid w:val="00C77424"/>
    <w:rsid w:val="00C8067B"/>
    <w:rsid w:val="00C8075F"/>
    <w:rsid w:val="00C807D7"/>
    <w:rsid w:val="00C807D8"/>
    <w:rsid w:val="00C80DDB"/>
    <w:rsid w:val="00C81963"/>
    <w:rsid w:val="00C82B88"/>
    <w:rsid w:val="00C82CE4"/>
    <w:rsid w:val="00C82D63"/>
    <w:rsid w:val="00C82EFD"/>
    <w:rsid w:val="00C848E3"/>
    <w:rsid w:val="00C84A7B"/>
    <w:rsid w:val="00C852DB"/>
    <w:rsid w:val="00C859E7"/>
    <w:rsid w:val="00C85D8A"/>
    <w:rsid w:val="00C861EB"/>
    <w:rsid w:val="00C86B7F"/>
    <w:rsid w:val="00C86ED8"/>
    <w:rsid w:val="00C86EE5"/>
    <w:rsid w:val="00C86EE9"/>
    <w:rsid w:val="00C8746F"/>
    <w:rsid w:val="00C874B9"/>
    <w:rsid w:val="00C87527"/>
    <w:rsid w:val="00C87633"/>
    <w:rsid w:val="00C87787"/>
    <w:rsid w:val="00C87F63"/>
    <w:rsid w:val="00C9045A"/>
    <w:rsid w:val="00C9096F"/>
    <w:rsid w:val="00C9182D"/>
    <w:rsid w:val="00C91B11"/>
    <w:rsid w:val="00C91B79"/>
    <w:rsid w:val="00C91C1C"/>
    <w:rsid w:val="00C91E2D"/>
    <w:rsid w:val="00C91FF9"/>
    <w:rsid w:val="00C92015"/>
    <w:rsid w:val="00C9312C"/>
    <w:rsid w:val="00C931A5"/>
    <w:rsid w:val="00C935DD"/>
    <w:rsid w:val="00C94925"/>
    <w:rsid w:val="00C94EA5"/>
    <w:rsid w:val="00C952E2"/>
    <w:rsid w:val="00C9592C"/>
    <w:rsid w:val="00C969CD"/>
    <w:rsid w:val="00C973FA"/>
    <w:rsid w:val="00C97FF5"/>
    <w:rsid w:val="00CA0377"/>
    <w:rsid w:val="00CA0955"/>
    <w:rsid w:val="00CA26E4"/>
    <w:rsid w:val="00CA316F"/>
    <w:rsid w:val="00CA4B0E"/>
    <w:rsid w:val="00CA4BEB"/>
    <w:rsid w:val="00CA539B"/>
    <w:rsid w:val="00CA53C2"/>
    <w:rsid w:val="00CA5A7C"/>
    <w:rsid w:val="00CA5DB2"/>
    <w:rsid w:val="00CA6387"/>
    <w:rsid w:val="00CA65B2"/>
    <w:rsid w:val="00CA687B"/>
    <w:rsid w:val="00CA6A50"/>
    <w:rsid w:val="00CA6AC6"/>
    <w:rsid w:val="00CA6F29"/>
    <w:rsid w:val="00CA6FC3"/>
    <w:rsid w:val="00CA711E"/>
    <w:rsid w:val="00CA728A"/>
    <w:rsid w:val="00CA738B"/>
    <w:rsid w:val="00CB0108"/>
    <w:rsid w:val="00CB059D"/>
    <w:rsid w:val="00CB08CF"/>
    <w:rsid w:val="00CB1D93"/>
    <w:rsid w:val="00CB20FB"/>
    <w:rsid w:val="00CB2F6C"/>
    <w:rsid w:val="00CB4005"/>
    <w:rsid w:val="00CB4060"/>
    <w:rsid w:val="00CB4936"/>
    <w:rsid w:val="00CB4DFB"/>
    <w:rsid w:val="00CB54DF"/>
    <w:rsid w:val="00CB5980"/>
    <w:rsid w:val="00CB6416"/>
    <w:rsid w:val="00CB6428"/>
    <w:rsid w:val="00CB65AB"/>
    <w:rsid w:val="00CB684A"/>
    <w:rsid w:val="00CB69BE"/>
    <w:rsid w:val="00CB6A13"/>
    <w:rsid w:val="00CB6BCE"/>
    <w:rsid w:val="00CB7632"/>
    <w:rsid w:val="00CC020D"/>
    <w:rsid w:val="00CC02ED"/>
    <w:rsid w:val="00CC0CB3"/>
    <w:rsid w:val="00CC1331"/>
    <w:rsid w:val="00CC1B1B"/>
    <w:rsid w:val="00CC1E32"/>
    <w:rsid w:val="00CC2725"/>
    <w:rsid w:val="00CC3B2A"/>
    <w:rsid w:val="00CC3C60"/>
    <w:rsid w:val="00CC486F"/>
    <w:rsid w:val="00CC48D5"/>
    <w:rsid w:val="00CC4A79"/>
    <w:rsid w:val="00CC4DB4"/>
    <w:rsid w:val="00CC4E15"/>
    <w:rsid w:val="00CC4F14"/>
    <w:rsid w:val="00CC5113"/>
    <w:rsid w:val="00CC5895"/>
    <w:rsid w:val="00CC5F02"/>
    <w:rsid w:val="00CC6241"/>
    <w:rsid w:val="00CC659A"/>
    <w:rsid w:val="00CC69C4"/>
    <w:rsid w:val="00CC6AF6"/>
    <w:rsid w:val="00CC7AA5"/>
    <w:rsid w:val="00CD0003"/>
    <w:rsid w:val="00CD02D4"/>
    <w:rsid w:val="00CD0A92"/>
    <w:rsid w:val="00CD0E27"/>
    <w:rsid w:val="00CD1B79"/>
    <w:rsid w:val="00CD217E"/>
    <w:rsid w:val="00CD26B3"/>
    <w:rsid w:val="00CD3424"/>
    <w:rsid w:val="00CD3FF0"/>
    <w:rsid w:val="00CD425E"/>
    <w:rsid w:val="00CD4C69"/>
    <w:rsid w:val="00CD4E28"/>
    <w:rsid w:val="00CD4EAF"/>
    <w:rsid w:val="00CD5657"/>
    <w:rsid w:val="00CD5C69"/>
    <w:rsid w:val="00CD6070"/>
    <w:rsid w:val="00CD645B"/>
    <w:rsid w:val="00CD66FC"/>
    <w:rsid w:val="00CD6DA4"/>
    <w:rsid w:val="00CD733B"/>
    <w:rsid w:val="00CD740C"/>
    <w:rsid w:val="00CD7B01"/>
    <w:rsid w:val="00CD7D43"/>
    <w:rsid w:val="00CE03A8"/>
    <w:rsid w:val="00CE0700"/>
    <w:rsid w:val="00CE1410"/>
    <w:rsid w:val="00CE199A"/>
    <w:rsid w:val="00CE19ED"/>
    <w:rsid w:val="00CE1CF3"/>
    <w:rsid w:val="00CE2128"/>
    <w:rsid w:val="00CE2152"/>
    <w:rsid w:val="00CE24E1"/>
    <w:rsid w:val="00CE2C92"/>
    <w:rsid w:val="00CE2F71"/>
    <w:rsid w:val="00CE3522"/>
    <w:rsid w:val="00CE35E9"/>
    <w:rsid w:val="00CE3680"/>
    <w:rsid w:val="00CE3AEE"/>
    <w:rsid w:val="00CE3B8D"/>
    <w:rsid w:val="00CE3D14"/>
    <w:rsid w:val="00CE4316"/>
    <w:rsid w:val="00CE4B22"/>
    <w:rsid w:val="00CE5BE5"/>
    <w:rsid w:val="00CE5FF9"/>
    <w:rsid w:val="00CE60C4"/>
    <w:rsid w:val="00CE6327"/>
    <w:rsid w:val="00CE6AD8"/>
    <w:rsid w:val="00CE6C82"/>
    <w:rsid w:val="00CF05B1"/>
    <w:rsid w:val="00CF05B7"/>
    <w:rsid w:val="00CF0618"/>
    <w:rsid w:val="00CF0EE6"/>
    <w:rsid w:val="00CF0F21"/>
    <w:rsid w:val="00CF0F5C"/>
    <w:rsid w:val="00CF116A"/>
    <w:rsid w:val="00CF13E6"/>
    <w:rsid w:val="00CF204F"/>
    <w:rsid w:val="00CF256D"/>
    <w:rsid w:val="00CF27AB"/>
    <w:rsid w:val="00CF2F28"/>
    <w:rsid w:val="00CF3F65"/>
    <w:rsid w:val="00CF4B44"/>
    <w:rsid w:val="00CF4C8F"/>
    <w:rsid w:val="00CF4D02"/>
    <w:rsid w:val="00CF4D97"/>
    <w:rsid w:val="00CF4DCD"/>
    <w:rsid w:val="00CF556B"/>
    <w:rsid w:val="00CF5B99"/>
    <w:rsid w:val="00CF5E57"/>
    <w:rsid w:val="00CF6619"/>
    <w:rsid w:val="00CF69D3"/>
    <w:rsid w:val="00CF6EE0"/>
    <w:rsid w:val="00CF7F1C"/>
    <w:rsid w:val="00D003CB"/>
    <w:rsid w:val="00D0040C"/>
    <w:rsid w:val="00D0042B"/>
    <w:rsid w:val="00D01089"/>
    <w:rsid w:val="00D0121A"/>
    <w:rsid w:val="00D017A1"/>
    <w:rsid w:val="00D024AE"/>
    <w:rsid w:val="00D03368"/>
    <w:rsid w:val="00D03635"/>
    <w:rsid w:val="00D03771"/>
    <w:rsid w:val="00D04622"/>
    <w:rsid w:val="00D05388"/>
    <w:rsid w:val="00D05874"/>
    <w:rsid w:val="00D05C14"/>
    <w:rsid w:val="00D05FC2"/>
    <w:rsid w:val="00D06428"/>
    <w:rsid w:val="00D06515"/>
    <w:rsid w:val="00D065A2"/>
    <w:rsid w:val="00D06B3A"/>
    <w:rsid w:val="00D07C1E"/>
    <w:rsid w:val="00D1048B"/>
    <w:rsid w:val="00D105D7"/>
    <w:rsid w:val="00D10E64"/>
    <w:rsid w:val="00D11336"/>
    <w:rsid w:val="00D118D9"/>
    <w:rsid w:val="00D11B97"/>
    <w:rsid w:val="00D11FDA"/>
    <w:rsid w:val="00D121B4"/>
    <w:rsid w:val="00D12614"/>
    <w:rsid w:val="00D12A17"/>
    <w:rsid w:val="00D1393A"/>
    <w:rsid w:val="00D14004"/>
    <w:rsid w:val="00D1454B"/>
    <w:rsid w:val="00D14A23"/>
    <w:rsid w:val="00D1516C"/>
    <w:rsid w:val="00D16991"/>
    <w:rsid w:val="00D1707D"/>
    <w:rsid w:val="00D17214"/>
    <w:rsid w:val="00D17774"/>
    <w:rsid w:val="00D17ADF"/>
    <w:rsid w:val="00D17C61"/>
    <w:rsid w:val="00D17E54"/>
    <w:rsid w:val="00D17E71"/>
    <w:rsid w:val="00D20E02"/>
    <w:rsid w:val="00D20F2C"/>
    <w:rsid w:val="00D2147A"/>
    <w:rsid w:val="00D214FB"/>
    <w:rsid w:val="00D22207"/>
    <w:rsid w:val="00D22E27"/>
    <w:rsid w:val="00D232B8"/>
    <w:rsid w:val="00D2354B"/>
    <w:rsid w:val="00D235EB"/>
    <w:rsid w:val="00D23A24"/>
    <w:rsid w:val="00D23ABF"/>
    <w:rsid w:val="00D240B7"/>
    <w:rsid w:val="00D24165"/>
    <w:rsid w:val="00D251CC"/>
    <w:rsid w:val="00D257D8"/>
    <w:rsid w:val="00D25849"/>
    <w:rsid w:val="00D25B2E"/>
    <w:rsid w:val="00D25C12"/>
    <w:rsid w:val="00D26174"/>
    <w:rsid w:val="00D264F8"/>
    <w:rsid w:val="00D26921"/>
    <w:rsid w:val="00D269C9"/>
    <w:rsid w:val="00D26D32"/>
    <w:rsid w:val="00D26E9E"/>
    <w:rsid w:val="00D2728B"/>
    <w:rsid w:val="00D275A6"/>
    <w:rsid w:val="00D27AEF"/>
    <w:rsid w:val="00D27EF0"/>
    <w:rsid w:val="00D30538"/>
    <w:rsid w:val="00D307A2"/>
    <w:rsid w:val="00D31B61"/>
    <w:rsid w:val="00D328B3"/>
    <w:rsid w:val="00D32A1A"/>
    <w:rsid w:val="00D33255"/>
    <w:rsid w:val="00D33C3D"/>
    <w:rsid w:val="00D346F3"/>
    <w:rsid w:val="00D3481C"/>
    <w:rsid w:val="00D348D3"/>
    <w:rsid w:val="00D3585A"/>
    <w:rsid w:val="00D36308"/>
    <w:rsid w:val="00D367BE"/>
    <w:rsid w:val="00D36E5A"/>
    <w:rsid w:val="00D37296"/>
    <w:rsid w:val="00D37314"/>
    <w:rsid w:val="00D37478"/>
    <w:rsid w:val="00D3790A"/>
    <w:rsid w:val="00D40BE5"/>
    <w:rsid w:val="00D40E8C"/>
    <w:rsid w:val="00D41471"/>
    <w:rsid w:val="00D41554"/>
    <w:rsid w:val="00D4183E"/>
    <w:rsid w:val="00D41E01"/>
    <w:rsid w:val="00D4208B"/>
    <w:rsid w:val="00D421DB"/>
    <w:rsid w:val="00D4229B"/>
    <w:rsid w:val="00D42D72"/>
    <w:rsid w:val="00D42E27"/>
    <w:rsid w:val="00D430D8"/>
    <w:rsid w:val="00D435EF"/>
    <w:rsid w:val="00D44AD4"/>
    <w:rsid w:val="00D44ED0"/>
    <w:rsid w:val="00D4513C"/>
    <w:rsid w:val="00D4568F"/>
    <w:rsid w:val="00D45C64"/>
    <w:rsid w:val="00D460FD"/>
    <w:rsid w:val="00D47597"/>
    <w:rsid w:val="00D47727"/>
    <w:rsid w:val="00D47E07"/>
    <w:rsid w:val="00D50195"/>
    <w:rsid w:val="00D5087F"/>
    <w:rsid w:val="00D5135F"/>
    <w:rsid w:val="00D51416"/>
    <w:rsid w:val="00D51E99"/>
    <w:rsid w:val="00D5234A"/>
    <w:rsid w:val="00D52AE0"/>
    <w:rsid w:val="00D52CDD"/>
    <w:rsid w:val="00D530B0"/>
    <w:rsid w:val="00D53BFD"/>
    <w:rsid w:val="00D549B6"/>
    <w:rsid w:val="00D555AE"/>
    <w:rsid w:val="00D5563E"/>
    <w:rsid w:val="00D56156"/>
    <w:rsid w:val="00D562EB"/>
    <w:rsid w:val="00D56431"/>
    <w:rsid w:val="00D56D51"/>
    <w:rsid w:val="00D56F6B"/>
    <w:rsid w:val="00D570F1"/>
    <w:rsid w:val="00D570F3"/>
    <w:rsid w:val="00D57690"/>
    <w:rsid w:val="00D60154"/>
    <w:rsid w:val="00D60576"/>
    <w:rsid w:val="00D61010"/>
    <w:rsid w:val="00D611EC"/>
    <w:rsid w:val="00D615FC"/>
    <w:rsid w:val="00D61914"/>
    <w:rsid w:val="00D61C91"/>
    <w:rsid w:val="00D62087"/>
    <w:rsid w:val="00D623F7"/>
    <w:rsid w:val="00D62408"/>
    <w:rsid w:val="00D63143"/>
    <w:rsid w:val="00D6379C"/>
    <w:rsid w:val="00D64D58"/>
    <w:rsid w:val="00D65085"/>
    <w:rsid w:val="00D657C4"/>
    <w:rsid w:val="00D657FF"/>
    <w:rsid w:val="00D6583E"/>
    <w:rsid w:val="00D65977"/>
    <w:rsid w:val="00D65D1D"/>
    <w:rsid w:val="00D661E5"/>
    <w:rsid w:val="00D6638B"/>
    <w:rsid w:val="00D66474"/>
    <w:rsid w:val="00D67FA3"/>
    <w:rsid w:val="00D7007D"/>
    <w:rsid w:val="00D701BF"/>
    <w:rsid w:val="00D70567"/>
    <w:rsid w:val="00D70C48"/>
    <w:rsid w:val="00D70D4A"/>
    <w:rsid w:val="00D71562"/>
    <w:rsid w:val="00D7189B"/>
    <w:rsid w:val="00D73BD8"/>
    <w:rsid w:val="00D74407"/>
    <w:rsid w:val="00D75F2E"/>
    <w:rsid w:val="00D760A6"/>
    <w:rsid w:val="00D7768C"/>
    <w:rsid w:val="00D77A11"/>
    <w:rsid w:val="00D77CE6"/>
    <w:rsid w:val="00D77DCD"/>
    <w:rsid w:val="00D77F55"/>
    <w:rsid w:val="00D77F92"/>
    <w:rsid w:val="00D807D4"/>
    <w:rsid w:val="00D810BC"/>
    <w:rsid w:val="00D81C32"/>
    <w:rsid w:val="00D84105"/>
    <w:rsid w:val="00D84422"/>
    <w:rsid w:val="00D844E4"/>
    <w:rsid w:val="00D84BD7"/>
    <w:rsid w:val="00D8538C"/>
    <w:rsid w:val="00D854F4"/>
    <w:rsid w:val="00D86E1B"/>
    <w:rsid w:val="00D872EB"/>
    <w:rsid w:val="00D87756"/>
    <w:rsid w:val="00D87A56"/>
    <w:rsid w:val="00D87DD2"/>
    <w:rsid w:val="00D87E8A"/>
    <w:rsid w:val="00D90B1D"/>
    <w:rsid w:val="00D923EE"/>
    <w:rsid w:val="00D93293"/>
    <w:rsid w:val="00D93302"/>
    <w:rsid w:val="00D93466"/>
    <w:rsid w:val="00D934E0"/>
    <w:rsid w:val="00D93681"/>
    <w:rsid w:val="00D93FC3"/>
    <w:rsid w:val="00D94C45"/>
    <w:rsid w:val="00D94F10"/>
    <w:rsid w:val="00D94F5A"/>
    <w:rsid w:val="00D953D3"/>
    <w:rsid w:val="00D956A5"/>
    <w:rsid w:val="00D962E9"/>
    <w:rsid w:val="00D9631C"/>
    <w:rsid w:val="00D96604"/>
    <w:rsid w:val="00D969C2"/>
    <w:rsid w:val="00DA116E"/>
    <w:rsid w:val="00DA128A"/>
    <w:rsid w:val="00DA2BCA"/>
    <w:rsid w:val="00DA2E5B"/>
    <w:rsid w:val="00DA3549"/>
    <w:rsid w:val="00DA40DE"/>
    <w:rsid w:val="00DA46EF"/>
    <w:rsid w:val="00DA4E67"/>
    <w:rsid w:val="00DA52F0"/>
    <w:rsid w:val="00DA5F49"/>
    <w:rsid w:val="00DA6A1D"/>
    <w:rsid w:val="00DA70F8"/>
    <w:rsid w:val="00DA7553"/>
    <w:rsid w:val="00DA7743"/>
    <w:rsid w:val="00DA7820"/>
    <w:rsid w:val="00DB1BF3"/>
    <w:rsid w:val="00DB215D"/>
    <w:rsid w:val="00DB2E4C"/>
    <w:rsid w:val="00DB2FC3"/>
    <w:rsid w:val="00DB314D"/>
    <w:rsid w:val="00DB3853"/>
    <w:rsid w:val="00DB3A1D"/>
    <w:rsid w:val="00DB4019"/>
    <w:rsid w:val="00DB40D6"/>
    <w:rsid w:val="00DB48B1"/>
    <w:rsid w:val="00DB4F19"/>
    <w:rsid w:val="00DB558A"/>
    <w:rsid w:val="00DB5618"/>
    <w:rsid w:val="00DB5920"/>
    <w:rsid w:val="00DB6255"/>
    <w:rsid w:val="00DB6363"/>
    <w:rsid w:val="00DB6BED"/>
    <w:rsid w:val="00DB7423"/>
    <w:rsid w:val="00DC048D"/>
    <w:rsid w:val="00DC0A87"/>
    <w:rsid w:val="00DC2171"/>
    <w:rsid w:val="00DC2D56"/>
    <w:rsid w:val="00DC3722"/>
    <w:rsid w:val="00DC3985"/>
    <w:rsid w:val="00DC40A3"/>
    <w:rsid w:val="00DC444C"/>
    <w:rsid w:val="00DC4D22"/>
    <w:rsid w:val="00DC5951"/>
    <w:rsid w:val="00DC78D2"/>
    <w:rsid w:val="00DC7EBF"/>
    <w:rsid w:val="00DD002F"/>
    <w:rsid w:val="00DD0A4E"/>
    <w:rsid w:val="00DD0D97"/>
    <w:rsid w:val="00DD12D7"/>
    <w:rsid w:val="00DD167C"/>
    <w:rsid w:val="00DD1B01"/>
    <w:rsid w:val="00DD2406"/>
    <w:rsid w:val="00DD2E4D"/>
    <w:rsid w:val="00DD3CB8"/>
    <w:rsid w:val="00DD3DF1"/>
    <w:rsid w:val="00DD40D8"/>
    <w:rsid w:val="00DD4223"/>
    <w:rsid w:val="00DD43EA"/>
    <w:rsid w:val="00DD4A08"/>
    <w:rsid w:val="00DD4E6B"/>
    <w:rsid w:val="00DD5518"/>
    <w:rsid w:val="00DD5F72"/>
    <w:rsid w:val="00DD7789"/>
    <w:rsid w:val="00DD7E90"/>
    <w:rsid w:val="00DE1068"/>
    <w:rsid w:val="00DE1674"/>
    <w:rsid w:val="00DE1A74"/>
    <w:rsid w:val="00DE1E6A"/>
    <w:rsid w:val="00DE2CEE"/>
    <w:rsid w:val="00DE2E9B"/>
    <w:rsid w:val="00DE3239"/>
    <w:rsid w:val="00DE33FD"/>
    <w:rsid w:val="00DE3695"/>
    <w:rsid w:val="00DE3999"/>
    <w:rsid w:val="00DE39F4"/>
    <w:rsid w:val="00DE45FA"/>
    <w:rsid w:val="00DE4845"/>
    <w:rsid w:val="00DE4B58"/>
    <w:rsid w:val="00DE4DAF"/>
    <w:rsid w:val="00DE54B9"/>
    <w:rsid w:val="00DE5734"/>
    <w:rsid w:val="00DE5E05"/>
    <w:rsid w:val="00DE668E"/>
    <w:rsid w:val="00DE7B64"/>
    <w:rsid w:val="00DF0235"/>
    <w:rsid w:val="00DF0836"/>
    <w:rsid w:val="00DF0B43"/>
    <w:rsid w:val="00DF117F"/>
    <w:rsid w:val="00DF1D73"/>
    <w:rsid w:val="00DF20B4"/>
    <w:rsid w:val="00DF2836"/>
    <w:rsid w:val="00DF28AD"/>
    <w:rsid w:val="00DF2DC3"/>
    <w:rsid w:val="00DF52E1"/>
    <w:rsid w:val="00DF5AA8"/>
    <w:rsid w:val="00DF63D7"/>
    <w:rsid w:val="00DF653D"/>
    <w:rsid w:val="00DF6B06"/>
    <w:rsid w:val="00DF6F33"/>
    <w:rsid w:val="00DF7705"/>
    <w:rsid w:val="00DF78E9"/>
    <w:rsid w:val="00DF7F67"/>
    <w:rsid w:val="00E00013"/>
    <w:rsid w:val="00E0051B"/>
    <w:rsid w:val="00E00D57"/>
    <w:rsid w:val="00E01034"/>
    <w:rsid w:val="00E01319"/>
    <w:rsid w:val="00E0191D"/>
    <w:rsid w:val="00E0262A"/>
    <w:rsid w:val="00E0264D"/>
    <w:rsid w:val="00E02D44"/>
    <w:rsid w:val="00E03765"/>
    <w:rsid w:val="00E038B5"/>
    <w:rsid w:val="00E03C2B"/>
    <w:rsid w:val="00E03DE8"/>
    <w:rsid w:val="00E03E03"/>
    <w:rsid w:val="00E03EB5"/>
    <w:rsid w:val="00E042EE"/>
    <w:rsid w:val="00E04660"/>
    <w:rsid w:val="00E04960"/>
    <w:rsid w:val="00E04CF2"/>
    <w:rsid w:val="00E0560D"/>
    <w:rsid w:val="00E05F06"/>
    <w:rsid w:val="00E0627E"/>
    <w:rsid w:val="00E06E53"/>
    <w:rsid w:val="00E120AE"/>
    <w:rsid w:val="00E13152"/>
    <w:rsid w:val="00E1350E"/>
    <w:rsid w:val="00E13547"/>
    <w:rsid w:val="00E137A5"/>
    <w:rsid w:val="00E13BA3"/>
    <w:rsid w:val="00E13E94"/>
    <w:rsid w:val="00E1452F"/>
    <w:rsid w:val="00E145D3"/>
    <w:rsid w:val="00E14CF6"/>
    <w:rsid w:val="00E15AB9"/>
    <w:rsid w:val="00E16784"/>
    <w:rsid w:val="00E16D51"/>
    <w:rsid w:val="00E17050"/>
    <w:rsid w:val="00E2097E"/>
    <w:rsid w:val="00E20D97"/>
    <w:rsid w:val="00E21508"/>
    <w:rsid w:val="00E21661"/>
    <w:rsid w:val="00E2166E"/>
    <w:rsid w:val="00E216FF"/>
    <w:rsid w:val="00E22C5F"/>
    <w:rsid w:val="00E23380"/>
    <w:rsid w:val="00E233A9"/>
    <w:rsid w:val="00E237C9"/>
    <w:rsid w:val="00E24816"/>
    <w:rsid w:val="00E25C1F"/>
    <w:rsid w:val="00E25C3F"/>
    <w:rsid w:val="00E265F8"/>
    <w:rsid w:val="00E268E8"/>
    <w:rsid w:val="00E26CF5"/>
    <w:rsid w:val="00E27427"/>
    <w:rsid w:val="00E278AE"/>
    <w:rsid w:val="00E27CE9"/>
    <w:rsid w:val="00E3001C"/>
    <w:rsid w:val="00E3049E"/>
    <w:rsid w:val="00E30867"/>
    <w:rsid w:val="00E30B01"/>
    <w:rsid w:val="00E31D8B"/>
    <w:rsid w:val="00E31FE4"/>
    <w:rsid w:val="00E324B3"/>
    <w:rsid w:val="00E32CAD"/>
    <w:rsid w:val="00E33A57"/>
    <w:rsid w:val="00E33B63"/>
    <w:rsid w:val="00E3572B"/>
    <w:rsid w:val="00E35C3D"/>
    <w:rsid w:val="00E35C7B"/>
    <w:rsid w:val="00E35E9A"/>
    <w:rsid w:val="00E3679E"/>
    <w:rsid w:val="00E37326"/>
    <w:rsid w:val="00E37390"/>
    <w:rsid w:val="00E375CD"/>
    <w:rsid w:val="00E37607"/>
    <w:rsid w:val="00E376E1"/>
    <w:rsid w:val="00E4058A"/>
    <w:rsid w:val="00E4062E"/>
    <w:rsid w:val="00E40897"/>
    <w:rsid w:val="00E40A89"/>
    <w:rsid w:val="00E40F15"/>
    <w:rsid w:val="00E41004"/>
    <w:rsid w:val="00E41025"/>
    <w:rsid w:val="00E412FE"/>
    <w:rsid w:val="00E414CA"/>
    <w:rsid w:val="00E415C8"/>
    <w:rsid w:val="00E41681"/>
    <w:rsid w:val="00E41E44"/>
    <w:rsid w:val="00E42428"/>
    <w:rsid w:val="00E42546"/>
    <w:rsid w:val="00E427D6"/>
    <w:rsid w:val="00E42B8A"/>
    <w:rsid w:val="00E42C67"/>
    <w:rsid w:val="00E43515"/>
    <w:rsid w:val="00E43F7E"/>
    <w:rsid w:val="00E4454D"/>
    <w:rsid w:val="00E447AA"/>
    <w:rsid w:val="00E448D8"/>
    <w:rsid w:val="00E45522"/>
    <w:rsid w:val="00E45F50"/>
    <w:rsid w:val="00E4645B"/>
    <w:rsid w:val="00E464F8"/>
    <w:rsid w:val="00E46A2E"/>
    <w:rsid w:val="00E46B21"/>
    <w:rsid w:val="00E46E07"/>
    <w:rsid w:val="00E470CD"/>
    <w:rsid w:val="00E4770B"/>
    <w:rsid w:val="00E51389"/>
    <w:rsid w:val="00E519B2"/>
    <w:rsid w:val="00E51D81"/>
    <w:rsid w:val="00E51E2E"/>
    <w:rsid w:val="00E532DA"/>
    <w:rsid w:val="00E54404"/>
    <w:rsid w:val="00E55B12"/>
    <w:rsid w:val="00E56094"/>
    <w:rsid w:val="00E5615A"/>
    <w:rsid w:val="00E564AC"/>
    <w:rsid w:val="00E5656E"/>
    <w:rsid w:val="00E56FC3"/>
    <w:rsid w:val="00E57AA1"/>
    <w:rsid w:val="00E57CE9"/>
    <w:rsid w:val="00E60475"/>
    <w:rsid w:val="00E61D9E"/>
    <w:rsid w:val="00E62200"/>
    <w:rsid w:val="00E622E8"/>
    <w:rsid w:val="00E628CB"/>
    <w:rsid w:val="00E629E0"/>
    <w:rsid w:val="00E62F3B"/>
    <w:rsid w:val="00E63996"/>
    <w:rsid w:val="00E65070"/>
    <w:rsid w:val="00E65085"/>
    <w:rsid w:val="00E6544D"/>
    <w:rsid w:val="00E65D7F"/>
    <w:rsid w:val="00E65F90"/>
    <w:rsid w:val="00E66DB7"/>
    <w:rsid w:val="00E67D90"/>
    <w:rsid w:val="00E70124"/>
    <w:rsid w:val="00E708D6"/>
    <w:rsid w:val="00E70FC5"/>
    <w:rsid w:val="00E71115"/>
    <w:rsid w:val="00E719CE"/>
    <w:rsid w:val="00E724CD"/>
    <w:rsid w:val="00E72855"/>
    <w:rsid w:val="00E72FF1"/>
    <w:rsid w:val="00E743C3"/>
    <w:rsid w:val="00E74475"/>
    <w:rsid w:val="00E74D06"/>
    <w:rsid w:val="00E74DD7"/>
    <w:rsid w:val="00E7557B"/>
    <w:rsid w:val="00E7559C"/>
    <w:rsid w:val="00E75CAF"/>
    <w:rsid w:val="00E7608C"/>
    <w:rsid w:val="00E764DD"/>
    <w:rsid w:val="00E76783"/>
    <w:rsid w:val="00E769DA"/>
    <w:rsid w:val="00E769F8"/>
    <w:rsid w:val="00E77945"/>
    <w:rsid w:val="00E8256D"/>
    <w:rsid w:val="00E8277B"/>
    <w:rsid w:val="00E83C89"/>
    <w:rsid w:val="00E83FA3"/>
    <w:rsid w:val="00E8446A"/>
    <w:rsid w:val="00E84989"/>
    <w:rsid w:val="00E84C4F"/>
    <w:rsid w:val="00E84CB1"/>
    <w:rsid w:val="00E84D20"/>
    <w:rsid w:val="00E84FBF"/>
    <w:rsid w:val="00E8504C"/>
    <w:rsid w:val="00E85092"/>
    <w:rsid w:val="00E85BE5"/>
    <w:rsid w:val="00E860BF"/>
    <w:rsid w:val="00E8629E"/>
    <w:rsid w:val="00E86D35"/>
    <w:rsid w:val="00E86F79"/>
    <w:rsid w:val="00E87095"/>
    <w:rsid w:val="00E901F7"/>
    <w:rsid w:val="00E905A0"/>
    <w:rsid w:val="00E91243"/>
    <w:rsid w:val="00E915D3"/>
    <w:rsid w:val="00E918AF"/>
    <w:rsid w:val="00E91D9F"/>
    <w:rsid w:val="00E91F01"/>
    <w:rsid w:val="00E920AE"/>
    <w:rsid w:val="00E927AE"/>
    <w:rsid w:val="00E92849"/>
    <w:rsid w:val="00E9292A"/>
    <w:rsid w:val="00E93282"/>
    <w:rsid w:val="00E93966"/>
    <w:rsid w:val="00E93CBB"/>
    <w:rsid w:val="00E93FF2"/>
    <w:rsid w:val="00E9549E"/>
    <w:rsid w:val="00E95592"/>
    <w:rsid w:val="00E95EFB"/>
    <w:rsid w:val="00E95EFF"/>
    <w:rsid w:val="00E96A89"/>
    <w:rsid w:val="00E97509"/>
    <w:rsid w:val="00E979B8"/>
    <w:rsid w:val="00E97A29"/>
    <w:rsid w:val="00E97AB4"/>
    <w:rsid w:val="00E97B43"/>
    <w:rsid w:val="00EA03F6"/>
    <w:rsid w:val="00EA07A7"/>
    <w:rsid w:val="00EA0CA8"/>
    <w:rsid w:val="00EA137E"/>
    <w:rsid w:val="00EA14AB"/>
    <w:rsid w:val="00EA1E9B"/>
    <w:rsid w:val="00EA1F0A"/>
    <w:rsid w:val="00EA3256"/>
    <w:rsid w:val="00EA4CA5"/>
    <w:rsid w:val="00EA54A4"/>
    <w:rsid w:val="00EA5943"/>
    <w:rsid w:val="00EA59B7"/>
    <w:rsid w:val="00EA5B69"/>
    <w:rsid w:val="00EA5EDD"/>
    <w:rsid w:val="00EA6036"/>
    <w:rsid w:val="00EA62FC"/>
    <w:rsid w:val="00EA672F"/>
    <w:rsid w:val="00EA6805"/>
    <w:rsid w:val="00EA75B0"/>
    <w:rsid w:val="00EA75D6"/>
    <w:rsid w:val="00EB0E76"/>
    <w:rsid w:val="00EB14D7"/>
    <w:rsid w:val="00EB1787"/>
    <w:rsid w:val="00EB20F4"/>
    <w:rsid w:val="00EB2611"/>
    <w:rsid w:val="00EB2682"/>
    <w:rsid w:val="00EB2B93"/>
    <w:rsid w:val="00EB2D11"/>
    <w:rsid w:val="00EB30E6"/>
    <w:rsid w:val="00EB3373"/>
    <w:rsid w:val="00EB3379"/>
    <w:rsid w:val="00EB3FF1"/>
    <w:rsid w:val="00EB4BCD"/>
    <w:rsid w:val="00EB5913"/>
    <w:rsid w:val="00EB5CAE"/>
    <w:rsid w:val="00EB64F2"/>
    <w:rsid w:val="00EB656A"/>
    <w:rsid w:val="00EB6D55"/>
    <w:rsid w:val="00EB6FE1"/>
    <w:rsid w:val="00EB7009"/>
    <w:rsid w:val="00EB79DB"/>
    <w:rsid w:val="00EB7D49"/>
    <w:rsid w:val="00EC07DB"/>
    <w:rsid w:val="00EC0E61"/>
    <w:rsid w:val="00EC163F"/>
    <w:rsid w:val="00EC29CC"/>
    <w:rsid w:val="00EC2BD3"/>
    <w:rsid w:val="00EC30A9"/>
    <w:rsid w:val="00EC40BB"/>
    <w:rsid w:val="00EC40E1"/>
    <w:rsid w:val="00EC61FF"/>
    <w:rsid w:val="00EC63BC"/>
    <w:rsid w:val="00EC6853"/>
    <w:rsid w:val="00EC6B46"/>
    <w:rsid w:val="00EC7331"/>
    <w:rsid w:val="00EC7BB7"/>
    <w:rsid w:val="00ED00F0"/>
    <w:rsid w:val="00ED0DD7"/>
    <w:rsid w:val="00ED1003"/>
    <w:rsid w:val="00ED1D76"/>
    <w:rsid w:val="00ED2F0C"/>
    <w:rsid w:val="00ED43CB"/>
    <w:rsid w:val="00ED4684"/>
    <w:rsid w:val="00ED562C"/>
    <w:rsid w:val="00ED565F"/>
    <w:rsid w:val="00ED5B62"/>
    <w:rsid w:val="00ED601E"/>
    <w:rsid w:val="00ED6A32"/>
    <w:rsid w:val="00ED6E78"/>
    <w:rsid w:val="00ED7C38"/>
    <w:rsid w:val="00EE0620"/>
    <w:rsid w:val="00EE0C3E"/>
    <w:rsid w:val="00EE10AD"/>
    <w:rsid w:val="00EE15C3"/>
    <w:rsid w:val="00EE1E68"/>
    <w:rsid w:val="00EE255E"/>
    <w:rsid w:val="00EE2781"/>
    <w:rsid w:val="00EE2969"/>
    <w:rsid w:val="00EE29D5"/>
    <w:rsid w:val="00EE3D41"/>
    <w:rsid w:val="00EE3E4D"/>
    <w:rsid w:val="00EE3E71"/>
    <w:rsid w:val="00EE3ED0"/>
    <w:rsid w:val="00EE3EF6"/>
    <w:rsid w:val="00EE47EA"/>
    <w:rsid w:val="00EE4DF7"/>
    <w:rsid w:val="00EE4EAE"/>
    <w:rsid w:val="00EE5130"/>
    <w:rsid w:val="00EE5254"/>
    <w:rsid w:val="00EE576B"/>
    <w:rsid w:val="00EE5E63"/>
    <w:rsid w:val="00EE6D04"/>
    <w:rsid w:val="00EE6D4E"/>
    <w:rsid w:val="00EE7029"/>
    <w:rsid w:val="00EE7078"/>
    <w:rsid w:val="00EE7531"/>
    <w:rsid w:val="00EE7EAB"/>
    <w:rsid w:val="00EF03F8"/>
    <w:rsid w:val="00EF0C4F"/>
    <w:rsid w:val="00EF13CE"/>
    <w:rsid w:val="00EF1B6E"/>
    <w:rsid w:val="00EF2328"/>
    <w:rsid w:val="00EF275A"/>
    <w:rsid w:val="00EF294B"/>
    <w:rsid w:val="00EF33E6"/>
    <w:rsid w:val="00EF3D3B"/>
    <w:rsid w:val="00EF3E08"/>
    <w:rsid w:val="00EF3FDD"/>
    <w:rsid w:val="00EF48D9"/>
    <w:rsid w:val="00EF4ADA"/>
    <w:rsid w:val="00EF4DF0"/>
    <w:rsid w:val="00EF51D7"/>
    <w:rsid w:val="00EF5BF7"/>
    <w:rsid w:val="00EF6193"/>
    <w:rsid w:val="00EF6A3B"/>
    <w:rsid w:val="00EF6C95"/>
    <w:rsid w:val="00EF7298"/>
    <w:rsid w:val="00F0162D"/>
    <w:rsid w:val="00F01FFF"/>
    <w:rsid w:val="00F02570"/>
    <w:rsid w:val="00F036B1"/>
    <w:rsid w:val="00F036B3"/>
    <w:rsid w:val="00F040B9"/>
    <w:rsid w:val="00F04286"/>
    <w:rsid w:val="00F04916"/>
    <w:rsid w:val="00F05216"/>
    <w:rsid w:val="00F053E1"/>
    <w:rsid w:val="00F058C3"/>
    <w:rsid w:val="00F05A42"/>
    <w:rsid w:val="00F05F85"/>
    <w:rsid w:val="00F061CE"/>
    <w:rsid w:val="00F06BBC"/>
    <w:rsid w:val="00F07671"/>
    <w:rsid w:val="00F0784F"/>
    <w:rsid w:val="00F07D10"/>
    <w:rsid w:val="00F07D8D"/>
    <w:rsid w:val="00F1038B"/>
    <w:rsid w:val="00F10E49"/>
    <w:rsid w:val="00F12440"/>
    <w:rsid w:val="00F12D69"/>
    <w:rsid w:val="00F1312E"/>
    <w:rsid w:val="00F1323F"/>
    <w:rsid w:val="00F1368B"/>
    <w:rsid w:val="00F1388C"/>
    <w:rsid w:val="00F141CA"/>
    <w:rsid w:val="00F14922"/>
    <w:rsid w:val="00F14A85"/>
    <w:rsid w:val="00F15672"/>
    <w:rsid w:val="00F15B2A"/>
    <w:rsid w:val="00F15ECD"/>
    <w:rsid w:val="00F16C67"/>
    <w:rsid w:val="00F176C8"/>
    <w:rsid w:val="00F20D0E"/>
    <w:rsid w:val="00F20F16"/>
    <w:rsid w:val="00F211D2"/>
    <w:rsid w:val="00F21AFF"/>
    <w:rsid w:val="00F22A09"/>
    <w:rsid w:val="00F23348"/>
    <w:rsid w:val="00F242A6"/>
    <w:rsid w:val="00F2489C"/>
    <w:rsid w:val="00F254D2"/>
    <w:rsid w:val="00F25514"/>
    <w:rsid w:val="00F25F59"/>
    <w:rsid w:val="00F2655A"/>
    <w:rsid w:val="00F26F6C"/>
    <w:rsid w:val="00F27D24"/>
    <w:rsid w:val="00F30372"/>
    <w:rsid w:val="00F3068A"/>
    <w:rsid w:val="00F3098E"/>
    <w:rsid w:val="00F309AE"/>
    <w:rsid w:val="00F30A96"/>
    <w:rsid w:val="00F3100C"/>
    <w:rsid w:val="00F31233"/>
    <w:rsid w:val="00F31A02"/>
    <w:rsid w:val="00F32BF6"/>
    <w:rsid w:val="00F33426"/>
    <w:rsid w:val="00F340F4"/>
    <w:rsid w:val="00F3505E"/>
    <w:rsid w:val="00F35210"/>
    <w:rsid w:val="00F352D5"/>
    <w:rsid w:val="00F35E98"/>
    <w:rsid w:val="00F35F50"/>
    <w:rsid w:val="00F36456"/>
    <w:rsid w:val="00F36B72"/>
    <w:rsid w:val="00F36EF5"/>
    <w:rsid w:val="00F36F04"/>
    <w:rsid w:val="00F371C4"/>
    <w:rsid w:val="00F3735F"/>
    <w:rsid w:val="00F379EC"/>
    <w:rsid w:val="00F37E8A"/>
    <w:rsid w:val="00F37EDC"/>
    <w:rsid w:val="00F40788"/>
    <w:rsid w:val="00F40E4F"/>
    <w:rsid w:val="00F4217B"/>
    <w:rsid w:val="00F42707"/>
    <w:rsid w:val="00F42EA1"/>
    <w:rsid w:val="00F43035"/>
    <w:rsid w:val="00F43B42"/>
    <w:rsid w:val="00F446B1"/>
    <w:rsid w:val="00F4482B"/>
    <w:rsid w:val="00F44F67"/>
    <w:rsid w:val="00F45A8E"/>
    <w:rsid w:val="00F45B6C"/>
    <w:rsid w:val="00F46AAE"/>
    <w:rsid w:val="00F47409"/>
    <w:rsid w:val="00F500D2"/>
    <w:rsid w:val="00F504BA"/>
    <w:rsid w:val="00F517D0"/>
    <w:rsid w:val="00F51D2D"/>
    <w:rsid w:val="00F51DD7"/>
    <w:rsid w:val="00F52095"/>
    <w:rsid w:val="00F523C7"/>
    <w:rsid w:val="00F52C21"/>
    <w:rsid w:val="00F5301E"/>
    <w:rsid w:val="00F5348E"/>
    <w:rsid w:val="00F53AF6"/>
    <w:rsid w:val="00F544DE"/>
    <w:rsid w:val="00F54DCF"/>
    <w:rsid w:val="00F554D9"/>
    <w:rsid w:val="00F55551"/>
    <w:rsid w:val="00F55696"/>
    <w:rsid w:val="00F561CC"/>
    <w:rsid w:val="00F569C8"/>
    <w:rsid w:val="00F569D1"/>
    <w:rsid w:val="00F576F9"/>
    <w:rsid w:val="00F61760"/>
    <w:rsid w:val="00F621CC"/>
    <w:rsid w:val="00F6271D"/>
    <w:rsid w:val="00F62DCC"/>
    <w:rsid w:val="00F636A9"/>
    <w:rsid w:val="00F6479D"/>
    <w:rsid w:val="00F64DCD"/>
    <w:rsid w:val="00F64E71"/>
    <w:rsid w:val="00F65336"/>
    <w:rsid w:val="00F66313"/>
    <w:rsid w:val="00F66401"/>
    <w:rsid w:val="00F6651A"/>
    <w:rsid w:val="00F66CF7"/>
    <w:rsid w:val="00F67227"/>
    <w:rsid w:val="00F67257"/>
    <w:rsid w:val="00F673F2"/>
    <w:rsid w:val="00F67AAD"/>
    <w:rsid w:val="00F67FDB"/>
    <w:rsid w:val="00F70A77"/>
    <w:rsid w:val="00F719E3"/>
    <w:rsid w:val="00F729A9"/>
    <w:rsid w:val="00F72AD5"/>
    <w:rsid w:val="00F730B3"/>
    <w:rsid w:val="00F730DA"/>
    <w:rsid w:val="00F7503F"/>
    <w:rsid w:val="00F751E1"/>
    <w:rsid w:val="00F75C69"/>
    <w:rsid w:val="00F766A5"/>
    <w:rsid w:val="00F76D64"/>
    <w:rsid w:val="00F7717D"/>
    <w:rsid w:val="00F7730B"/>
    <w:rsid w:val="00F77C08"/>
    <w:rsid w:val="00F77C3B"/>
    <w:rsid w:val="00F77F24"/>
    <w:rsid w:val="00F80C15"/>
    <w:rsid w:val="00F81052"/>
    <w:rsid w:val="00F8157A"/>
    <w:rsid w:val="00F81582"/>
    <w:rsid w:val="00F828E5"/>
    <w:rsid w:val="00F82BFF"/>
    <w:rsid w:val="00F832CB"/>
    <w:rsid w:val="00F8405E"/>
    <w:rsid w:val="00F8487C"/>
    <w:rsid w:val="00F85177"/>
    <w:rsid w:val="00F85710"/>
    <w:rsid w:val="00F86387"/>
    <w:rsid w:val="00F866A8"/>
    <w:rsid w:val="00F86757"/>
    <w:rsid w:val="00F86A8A"/>
    <w:rsid w:val="00F86B4F"/>
    <w:rsid w:val="00F86EE3"/>
    <w:rsid w:val="00F87974"/>
    <w:rsid w:val="00F90663"/>
    <w:rsid w:val="00F91B06"/>
    <w:rsid w:val="00F91E4F"/>
    <w:rsid w:val="00F92E8E"/>
    <w:rsid w:val="00F93C77"/>
    <w:rsid w:val="00F942C8"/>
    <w:rsid w:val="00F953A2"/>
    <w:rsid w:val="00F955F1"/>
    <w:rsid w:val="00F95AF1"/>
    <w:rsid w:val="00F95E6E"/>
    <w:rsid w:val="00F96815"/>
    <w:rsid w:val="00F96EE6"/>
    <w:rsid w:val="00F9763C"/>
    <w:rsid w:val="00F9793B"/>
    <w:rsid w:val="00F97BEA"/>
    <w:rsid w:val="00FA001E"/>
    <w:rsid w:val="00FA0803"/>
    <w:rsid w:val="00FA0D77"/>
    <w:rsid w:val="00FA1470"/>
    <w:rsid w:val="00FA2293"/>
    <w:rsid w:val="00FA24E1"/>
    <w:rsid w:val="00FA2701"/>
    <w:rsid w:val="00FA2C55"/>
    <w:rsid w:val="00FA2E7E"/>
    <w:rsid w:val="00FA3063"/>
    <w:rsid w:val="00FA3638"/>
    <w:rsid w:val="00FA38CE"/>
    <w:rsid w:val="00FA3E39"/>
    <w:rsid w:val="00FA4955"/>
    <w:rsid w:val="00FA4A7E"/>
    <w:rsid w:val="00FA4DB8"/>
    <w:rsid w:val="00FA6F4F"/>
    <w:rsid w:val="00FA7AA7"/>
    <w:rsid w:val="00FB06FD"/>
    <w:rsid w:val="00FB09C1"/>
    <w:rsid w:val="00FB120A"/>
    <w:rsid w:val="00FB1CA2"/>
    <w:rsid w:val="00FB2310"/>
    <w:rsid w:val="00FB2A62"/>
    <w:rsid w:val="00FB2AAB"/>
    <w:rsid w:val="00FB2CCD"/>
    <w:rsid w:val="00FB3ACD"/>
    <w:rsid w:val="00FB432E"/>
    <w:rsid w:val="00FB4752"/>
    <w:rsid w:val="00FB4F75"/>
    <w:rsid w:val="00FB54E9"/>
    <w:rsid w:val="00FB5720"/>
    <w:rsid w:val="00FB578E"/>
    <w:rsid w:val="00FB6D37"/>
    <w:rsid w:val="00FB77D7"/>
    <w:rsid w:val="00FB7A5A"/>
    <w:rsid w:val="00FB7FCC"/>
    <w:rsid w:val="00FC0014"/>
    <w:rsid w:val="00FC0486"/>
    <w:rsid w:val="00FC1308"/>
    <w:rsid w:val="00FC14A8"/>
    <w:rsid w:val="00FC2119"/>
    <w:rsid w:val="00FC2280"/>
    <w:rsid w:val="00FC35E9"/>
    <w:rsid w:val="00FC3D63"/>
    <w:rsid w:val="00FC3DE4"/>
    <w:rsid w:val="00FC4052"/>
    <w:rsid w:val="00FC4EA8"/>
    <w:rsid w:val="00FC54A3"/>
    <w:rsid w:val="00FC6175"/>
    <w:rsid w:val="00FC643E"/>
    <w:rsid w:val="00FC6C1D"/>
    <w:rsid w:val="00FC6D95"/>
    <w:rsid w:val="00FC7A20"/>
    <w:rsid w:val="00FC7DA3"/>
    <w:rsid w:val="00FD01F7"/>
    <w:rsid w:val="00FD07CB"/>
    <w:rsid w:val="00FD07D5"/>
    <w:rsid w:val="00FD0832"/>
    <w:rsid w:val="00FD13F4"/>
    <w:rsid w:val="00FD19F2"/>
    <w:rsid w:val="00FD20FF"/>
    <w:rsid w:val="00FD244B"/>
    <w:rsid w:val="00FD2767"/>
    <w:rsid w:val="00FD3594"/>
    <w:rsid w:val="00FD3EE6"/>
    <w:rsid w:val="00FD4451"/>
    <w:rsid w:val="00FD632B"/>
    <w:rsid w:val="00FD6508"/>
    <w:rsid w:val="00FD65FC"/>
    <w:rsid w:val="00FD67E9"/>
    <w:rsid w:val="00FD714D"/>
    <w:rsid w:val="00FD757E"/>
    <w:rsid w:val="00FD78BD"/>
    <w:rsid w:val="00FD7CD6"/>
    <w:rsid w:val="00FE0910"/>
    <w:rsid w:val="00FE1A30"/>
    <w:rsid w:val="00FE2418"/>
    <w:rsid w:val="00FE2B58"/>
    <w:rsid w:val="00FE2BBF"/>
    <w:rsid w:val="00FE2DF8"/>
    <w:rsid w:val="00FE2FB8"/>
    <w:rsid w:val="00FE32BB"/>
    <w:rsid w:val="00FE3880"/>
    <w:rsid w:val="00FE4136"/>
    <w:rsid w:val="00FE4983"/>
    <w:rsid w:val="00FE569A"/>
    <w:rsid w:val="00FE5B5F"/>
    <w:rsid w:val="00FE614E"/>
    <w:rsid w:val="00FE6482"/>
    <w:rsid w:val="00FE6732"/>
    <w:rsid w:val="00FE6D37"/>
    <w:rsid w:val="00FE73DC"/>
    <w:rsid w:val="00FE7650"/>
    <w:rsid w:val="00FE79DC"/>
    <w:rsid w:val="00FF0E61"/>
    <w:rsid w:val="00FF0ED4"/>
    <w:rsid w:val="00FF12C1"/>
    <w:rsid w:val="00FF1318"/>
    <w:rsid w:val="00FF1590"/>
    <w:rsid w:val="00FF18A2"/>
    <w:rsid w:val="00FF1DF1"/>
    <w:rsid w:val="00FF1FDC"/>
    <w:rsid w:val="00FF20FD"/>
    <w:rsid w:val="00FF233A"/>
    <w:rsid w:val="00FF27AD"/>
    <w:rsid w:val="00FF2F6C"/>
    <w:rsid w:val="00FF48EC"/>
    <w:rsid w:val="00FF4B25"/>
    <w:rsid w:val="00FF5096"/>
    <w:rsid w:val="00FF55C5"/>
    <w:rsid w:val="00FF5AD0"/>
    <w:rsid w:val="00FF607A"/>
    <w:rsid w:val="00FF63D0"/>
    <w:rsid w:val="01A505DF"/>
    <w:rsid w:val="01C14306"/>
    <w:rsid w:val="01D95F0B"/>
    <w:rsid w:val="020E629F"/>
    <w:rsid w:val="022A54A7"/>
    <w:rsid w:val="026743DB"/>
    <w:rsid w:val="027605D2"/>
    <w:rsid w:val="02B80C01"/>
    <w:rsid w:val="02E01C47"/>
    <w:rsid w:val="031F25F2"/>
    <w:rsid w:val="03600692"/>
    <w:rsid w:val="03806344"/>
    <w:rsid w:val="03992497"/>
    <w:rsid w:val="03AE725F"/>
    <w:rsid w:val="03C52CC5"/>
    <w:rsid w:val="03D6031C"/>
    <w:rsid w:val="044C50BA"/>
    <w:rsid w:val="045C403D"/>
    <w:rsid w:val="047210F8"/>
    <w:rsid w:val="052B4465"/>
    <w:rsid w:val="05757F89"/>
    <w:rsid w:val="05B85338"/>
    <w:rsid w:val="063B6BCC"/>
    <w:rsid w:val="06423C78"/>
    <w:rsid w:val="064A040C"/>
    <w:rsid w:val="06621B38"/>
    <w:rsid w:val="0701572A"/>
    <w:rsid w:val="074F6EC3"/>
    <w:rsid w:val="07524370"/>
    <w:rsid w:val="07774E7B"/>
    <w:rsid w:val="07CB1720"/>
    <w:rsid w:val="08181FA3"/>
    <w:rsid w:val="08225533"/>
    <w:rsid w:val="083D602B"/>
    <w:rsid w:val="08534FC3"/>
    <w:rsid w:val="08BA0844"/>
    <w:rsid w:val="08C24B52"/>
    <w:rsid w:val="09433FFC"/>
    <w:rsid w:val="09661630"/>
    <w:rsid w:val="09714770"/>
    <w:rsid w:val="09783538"/>
    <w:rsid w:val="097924AD"/>
    <w:rsid w:val="098705F9"/>
    <w:rsid w:val="099F7A3A"/>
    <w:rsid w:val="09F97257"/>
    <w:rsid w:val="0A312E6D"/>
    <w:rsid w:val="0A4D0A1B"/>
    <w:rsid w:val="0A7B4277"/>
    <w:rsid w:val="0A8B6D9E"/>
    <w:rsid w:val="0A8F2C28"/>
    <w:rsid w:val="0AA91055"/>
    <w:rsid w:val="0AE370AD"/>
    <w:rsid w:val="0B2850F4"/>
    <w:rsid w:val="0B34483E"/>
    <w:rsid w:val="0BB15CFC"/>
    <w:rsid w:val="0BB75AA4"/>
    <w:rsid w:val="0BC27972"/>
    <w:rsid w:val="0BDC6765"/>
    <w:rsid w:val="0C5F738E"/>
    <w:rsid w:val="0C8F1775"/>
    <w:rsid w:val="0D296BEF"/>
    <w:rsid w:val="0D5420C7"/>
    <w:rsid w:val="0D703BC7"/>
    <w:rsid w:val="0DB13CB1"/>
    <w:rsid w:val="0E1A6C88"/>
    <w:rsid w:val="0E6D03B6"/>
    <w:rsid w:val="0E80353E"/>
    <w:rsid w:val="0E846D78"/>
    <w:rsid w:val="0ECC12D1"/>
    <w:rsid w:val="0EE859A3"/>
    <w:rsid w:val="0EF84178"/>
    <w:rsid w:val="0EFA5AE5"/>
    <w:rsid w:val="0F086350"/>
    <w:rsid w:val="0F5466B3"/>
    <w:rsid w:val="0F816FE3"/>
    <w:rsid w:val="0F826704"/>
    <w:rsid w:val="0FB934DF"/>
    <w:rsid w:val="10024664"/>
    <w:rsid w:val="100D394F"/>
    <w:rsid w:val="10606175"/>
    <w:rsid w:val="10731A3E"/>
    <w:rsid w:val="1081433D"/>
    <w:rsid w:val="109F3752"/>
    <w:rsid w:val="10CB0366"/>
    <w:rsid w:val="10CD1E06"/>
    <w:rsid w:val="11034E16"/>
    <w:rsid w:val="125B488D"/>
    <w:rsid w:val="128F3934"/>
    <w:rsid w:val="12D43ED8"/>
    <w:rsid w:val="12F2272F"/>
    <w:rsid w:val="12F30735"/>
    <w:rsid w:val="13013A46"/>
    <w:rsid w:val="132B4159"/>
    <w:rsid w:val="133B512C"/>
    <w:rsid w:val="13403001"/>
    <w:rsid w:val="13403754"/>
    <w:rsid w:val="13544C20"/>
    <w:rsid w:val="135E08ED"/>
    <w:rsid w:val="13AC7923"/>
    <w:rsid w:val="13FF5CA5"/>
    <w:rsid w:val="141A6F7E"/>
    <w:rsid w:val="142B6D3D"/>
    <w:rsid w:val="14320898"/>
    <w:rsid w:val="14C75E7F"/>
    <w:rsid w:val="14D2208F"/>
    <w:rsid w:val="14DC196D"/>
    <w:rsid w:val="14EA24B1"/>
    <w:rsid w:val="152C2AC9"/>
    <w:rsid w:val="15FA26EF"/>
    <w:rsid w:val="168E7405"/>
    <w:rsid w:val="16B10503"/>
    <w:rsid w:val="16C156E0"/>
    <w:rsid w:val="16C90EF1"/>
    <w:rsid w:val="16F21AF1"/>
    <w:rsid w:val="17667DE9"/>
    <w:rsid w:val="17861FA7"/>
    <w:rsid w:val="17906635"/>
    <w:rsid w:val="179F458C"/>
    <w:rsid w:val="17C502A4"/>
    <w:rsid w:val="185B471C"/>
    <w:rsid w:val="18780D82"/>
    <w:rsid w:val="195C3032"/>
    <w:rsid w:val="195F09D1"/>
    <w:rsid w:val="19DB5F62"/>
    <w:rsid w:val="1A991B97"/>
    <w:rsid w:val="1AE46951"/>
    <w:rsid w:val="1B652085"/>
    <w:rsid w:val="1B7453B5"/>
    <w:rsid w:val="1B9B142D"/>
    <w:rsid w:val="1BA44EF7"/>
    <w:rsid w:val="1BF77C5A"/>
    <w:rsid w:val="1C383E46"/>
    <w:rsid w:val="1C8D610B"/>
    <w:rsid w:val="1CB3697A"/>
    <w:rsid w:val="1D2B6D71"/>
    <w:rsid w:val="1E0B0BB8"/>
    <w:rsid w:val="1EED438F"/>
    <w:rsid w:val="1FAD440C"/>
    <w:rsid w:val="1FD12B82"/>
    <w:rsid w:val="1FED676C"/>
    <w:rsid w:val="204B3912"/>
    <w:rsid w:val="20A1469C"/>
    <w:rsid w:val="20D12777"/>
    <w:rsid w:val="21776CC6"/>
    <w:rsid w:val="21901A79"/>
    <w:rsid w:val="219C536B"/>
    <w:rsid w:val="21BB3713"/>
    <w:rsid w:val="21DF35AE"/>
    <w:rsid w:val="21F45BC7"/>
    <w:rsid w:val="22000ED9"/>
    <w:rsid w:val="222F39C7"/>
    <w:rsid w:val="22427B5A"/>
    <w:rsid w:val="22D13257"/>
    <w:rsid w:val="22F00ED6"/>
    <w:rsid w:val="23386CD4"/>
    <w:rsid w:val="23507FD7"/>
    <w:rsid w:val="23806892"/>
    <w:rsid w:val="23B819CC"/>
    <w:rsid w:val="23D84354"/>
    <w:rsid w:val="23DA7DCF"/>
    <w:rsid w:val="24637F30"/>
    <w:rsid w:val="249205BC"/>
    <w:rsid w:val="24F932A3"/>
    <w:rsid w:val="24FA2A38"/>
    <w:rsid w:val="25333240"/>
    <w:rsid w:val="25601F6B"/>
    <w:rsid w:val="25AE0C03"/>
    <w:rsid w:val="265536D1"/>
    <w:rsid w:val="268907C4"/>
    <w:rsid w:val="26A74CD3"/>
    <w:rsid w:val="26B77021"/>
    <w:rsid w:val="26BF6525"/>
    <w:rsid w:val="26D10191"/>
    <w:rsid w:val="2740732A"/>
    <w:rsid w:val="27801341"/>
    <w:rsid w:val="27E97E3B"/>
    <w:rsid w:val="284E2F52"/>
    <w:rsid w:val="284E3CE2"/>
    <w:rsid w:val="28952DAA"/>
    <w:rsid w:val="28A3018C"/>
    <w:rsid w:val="29035C00"/>
    <w:rsid w:val="2926632E"/>
    <w:rsid w:val="29DB7CAB"/>
    <w:rsid w:val="2A056A4F"/>
    <w:rsid w:val="2A171AE2"/>
    <w:rsid w:val="2A3A3353"/>
    <w:rsid w:val="2B1945CB"/>
    <w:rsid w:val="2B503F7A"/>
    <w:rsid w:val="2B972393"/>
    <w:rsid w:val="2C271DEC"/>
    <w:rsid w:val="2C376460"/>
    <w:rsid w:val="2C931228"/>
    <w:rsid w:val="2CAB47C4"/>
    <w:rsid w:val="2CC87B0E"/>
    <w:rsid w:val="2DCE0E24"/>
    <w:rsid w:val="2DE0474B"/>
    <w:rsid w:val="2DE70501"/>
    <w:rsid w:val="2DF413C7"/>
    <w:rsid w:val="2E0917A2"/>
    <w:rsid w:val="2F4B0519"/>
    <w:rsid w:val="2F687E17"/>
    <w:rsid w:val="2F800E27"/>
    <w:rsid w:val="2F8F2E5E"/>
    <w:rsid w:val="2FF56D08"/>
    <w:rsid w:val="2FF5708A"/>
    <w:rsid w:val="30364654"/>
    <w:rsid w:val="31EA7296"/>
    <w:rsid w:val="31F91DE1"/>
    <w:rsid w:val="32280B5C"/>
    <w:rsid w:val="326F3B9E"/>
    <w:rsid w:val="32FE2EEA"/>
    <w:rsid w:val="330662B0"/>
    <w:rsid w:val="331B65F8"/>
    <w:rsid w:val="33526AEF"/>
    <w:rsid w:val="339419FC"/>
    <w:rsid w:val="34353039"/>
    <w:rsid w:val="344838C6"/>
    <w:rsid w:val="346A33A3"/>
    <w:rsid w:val="35AB5F0D"/>
    <w:rsid w:val="35DE2854"/>
    <w:rsid w:val="366A6CB5"/>
    <w:rsid w:val="366D4898"/>
    <w:rsid w:val="37537E51"/>
    <w:rsid w:val="37AA3783"/>
    <w:rsid w:val="37CB072C"/>
    <w:rsid w:val="383B0102"/>
    <w:rsid w:val="383F4354"/>
    <w:rsid w:val="38723E23"/>
    <w:rsid w:val="38AB408D"/>
    <w:rsid w:val="38BE50C9"/>
    <w:rsid w:val="3925443F"/>
    <w:rsid w:val="393540C4"/>
    <w:rsid w:val="39C55247"/>
    <w:rsid w:val="3A092B2A"/>
    <w:rsid w:val="3A10719C"/>
    <w:rsid w:val="3A693CF4"/>
    <w:rsid w:val="3A7213BF"/>
    <w:rsid w:val="3AD112E2"/>
    <w:rsid w:val="3AF04901"/>
    <w:rsid w:val="3B2925F8"/>
    <w:rsid w:val="3B5C331C"/>
    <w:rsid w:val="3B845B5E"/>
    <w:rsid w:val="3BAEC528"/>
    <w:rsid w:val="3BB3067D"/>
    <w:rsid w:val="3BB8226A"/>
    <w:rsid w:val="3BBE0977"/>
    <w:rsid w:val="3BCD39AE"/>
    <w:rsid w:val="3BF27054"/>
    <w:rsid w:val="3C3E5F34"/>
    <w:rsid w:val="3C416748"/>
    <w:rsid w:val="3C50509D"/>
    <w:rsid w:val="3C85130C"/>
    <w:rsid w:val="3CB13731"/>
    <w:rsid w:val="3CB46F9A"/>
    <w:rsid w:val="3CF80298"/>
    <w:rsid w:val="3D0E3783"/>
    <w:rsid w:val="3D9B452B"/>
    <w:rsid w:val="3D9D3843"/>
    <w:rsid w:val="3DB50FFF"/>
    <w:rsid w:val="3DD376D7"/>
    <w:rsid w:val="3E366DDC"/>
    <w:rsid w:val="3E8E08F0"/>
    <w:rsid w:val="3EF8725E"/>
    <w:rsid w:val="3F1F701B"/>
    <w:rsid w:val="3F3148EC"/>
    <w:rsid w:val="3F8F58FF"/>
    <w:rsid w:val="3FB45618"/>
    <w:rsid w:val="40721FD0"/>
    <w:rsid w:val="40CB0B39"/>
    <w:rsid w:val="40CE5B0D"/>
    <w:rsid w:val="40D65444"/>
    <w:rsid w:val="40D74405"/>
    <w:rsid w:val="40ED0EB3"/>
    <w:rsid w:val="415F7745"/>
    <w:rsid w:val="41A969BF"/>
    <w:rsid w:val="41B034D0"/>
    <w:rsid w:val="41D82964"/>
    <w:rsid w:val="42741FE7"/>
    <w:rsid w:val="428D52FB"/>
    <w:rsid w:val="433924F6"/>
    <w:rsid w:val="43524217"/>
    <w:rsid w:val="43611999"/>
    <w:rsid w:val="43C268FF"/>
    <w:rsid w:val="43C31F3F"/>
    <w:rsid w:val="43F52CA9"/>
    <w:rsid w:val="440601E4"/>
    <w:rsid w:val="443D589F"/>
    <w:rsid w:val="44AE67A8"/>
    <w:rsid w:val="44FE7B79"/>
    <w:rsid w:val="45041127"/>
    <w:rsid w:val="4574519D"/>
    <w:rsid w:val="458D0AB3"/>
    <w:rsid w:val="45EE5DF8"/>
    <w:rsid w:val="45F25DBF"/>
    <w:rsid w:val="45FD6761"/>
    <w:rsid w:val="46055A5A"/>
    <w:rsid w:val="47AB68AE"/>
    <w:rsid w:val="47B33291"/>
    <w:rsid w:val="47B624B2"/>
    <w:rsid w:val="47D14C87"/>
    <w:rsid w:val="47DB0E8E"/>
    <w:rsid w:val="47E524E0"/>
    <w:rsid w:val="47F84572"/>
    <w:rsid w:val="48193282"/>
    <w:rsid w:val="48216DC4"/>
    <w:rsid w:val="48F124A8"/>
    <w:rsid w:val="4918380D"/>
    <w:rsid w:val="496F6480"/>
    <w:rsid w:val="498E1F9B"/>
    <w:rsid w:val="4A194EFC"/>
    <w:rsid w:val="4A1D053D"/>
    <w:rsid w:val="4A282B58"/>
    <w:rsid w:val="4A394D65"/>
    <w:rsid w:val="4A581C9D"/>
    <w:rsid w:val="4AA51B91"/>
    <w:rsid w:val="4B3F245B"/>
    <w:rsid w:val="4B6B5155"/>
    <w:rsid w:val="4B7743D8"/>
    <w:rsid w:val="4BA90E5D"/>
    <w:rsid w:val="4BEE2A4F"/>
    <w:rsid w:val="4C304B4A"/>
    <w:rsid w:val="4C8E5B88"/>
    <w:rsid w:val="4C9A1B9B"/>
    <w:rsid w:val="4D2602CE"/>
    <w:rsid w:val="4D2C2F9C"/>
    <w:rsid w:val="4D634380"/>
    <w:rsid w:val="4D676743"/>
    <w:rsid w:val="4DC30604"/>
    <w:rsid w:val="4DC52A0F"/>
    <w:rsid w:val="4DF15EAB"/>
    <w:rsid w:val="4E1136FB"/>
    <w:rsid w:val="4E2B70BB"/>
    <w:rsid w:val="4E484B98"/>
    <w:rsid w:val="4EA04AAF"/>
    <w:rsid w:val="4EE126CE"/>
    <w:rsid w:val="4F0A7DFA"/>
    <w:rsid w:val="4F6A6A36"/>
    <w:rsid w:val="4FD75AC7"/>
    <w:rsid w:val="4FD92EF0"/>
    <w:rsid w:val="4FF06A7F"/>
    <w:rsid w:val="5029166D"/>
    <w:rsid w:val="502C64EB"/>
    <w:rsid w:val="507E530D"/>
    <w:rsid w:val="50A20D13"/>
    <w:rsid w:val="50A47D12"/>
    <w:rsid w:val="50A73529"/>
    <w:rsid w:val="50E347C2"/>
    <w:rsid w:val="50F1639A"/>
    <w:rsid w:val="51267FA3"/>
    <w:rsid w:val="518A27EE"/>
    <w:rsid w:val="51923F2E"/>
    <w:rsid w:val="51B15A23"/>
    <w:rsid w:val="51B46594"/>
    <w:rsid w:val="51E2353A"/>
    <w:rsid w:val="52CC4D3A"/>
    <w:rsid w:val="52E37D29"/>
    <w:rsid w:val="52EF47CC"/>
    <w:rsid w:val="53195734"/>
    <w:rsid w:val="532A0486"/>
    <w:rsid w:val="534E6DC6"/>
    <w:rsid w:val="53834DF7"/>
    <w:rsid w:val="54077C82"/>
    <w:rsid w:val="542D3B9F"/>
    <w:rsid w:val="5437274A"/>
    <w:rsid w:val="54631418"/>
    <w:rsid w:val="54764246"/>
    <w:rsid w:val="54895C16"/>
    <w:rsid w:val="549B202B"/>
    <w:rsid w:val="54F162DC"/>
    <w:rsid w:val="55371097"/>
    <w:rsid w:val="554726BA"/>
    <w:rsid w:val="554E7CEE"/>
    <w:rsid w:val="55A52A2C"/>
    <w:rsid w:val="55BA48FF"/>
    <w:rsid w:val="55E90AF5"/>
    <w:rsid w:val="560E1DF3"/>
    <w:rsid w:val="56112690"/>
    <w:rsid w:val="5628735F"/>
    <w:rsid w:val="563E2689"/>
    <w:rsid w:val="564B25D0"/>
    <w:rsid w:val="566B5684"/>
    <w:rsid w:val="56D05727"/>
    <w:rsid w:val="56E6159D"/>
    <w:rsid w:val="56F269C8"/>
    <w:rsid w:val="57315D8A"/>
    <w:rsid w:val="578E3618"/>
    <w:rsid w:val="581346E7"/>
    <w:rsid w:val="5816406A"/>
    <w:rsid w:val="5847287D"/>
    <w:rsid w:val="5862214E"/>
    <w:rsid w:val="586A1576"/>
    <w:rsid w:val="58753AB4"/>
    <w:rsid w:val="58801DB1"/>
    <w:rsid w:val="5889275F"/>
    <w:rsid w:val="58B25E3C"/>
    <w:rsid w:val="58C057E8"/>
    <w:rsid w:val="58C83E5B"/>
    <w:rsid w:val="58CD4EB7"/>
    <w:rsid w:val="58F17143"/>
    <w:rsid w:val="5909588B"/>
    <w:rsid w:val="592163C9"/>
    <w:rsid w:val="59551421"/>
    <w:rsid w:val="59711DDE"/>
    <w:rsid w:val="59E92304"/>
    <w:rsid w:val="59F178C0"/>
    <w:rsid w:val="5ACD5B81"/>
    <w:rsid w:val="5AE709EC"/>
    <w:rsid w:val="5B597AA0"/>
    <w:rsid w:val="5BBA6D8A"/>
    <w:rsid w:val="5CA0005D"/>
    <w:rsid w:val="5CCC7CD0"/>
    <w:rsid w:val="5D1B73EB"/>
    <w:rsid w:val="5D252794"/>
    <w:rsid w:val="5DDC51F4"/>
    <w:rsid w:val="5DF44220"/>
    <w:rsid w:val="5E7F1E4C"/>
    <w:rsid w:val="5E8048B9"/>
    <w:rsid w:val="5ED25D9F"/>
    <w:rsid w:val="5F0951A0"/>
    <w:rsid w:val="5F0B7DFC"/>
    <w:rsid w:val="5F4F721A"/>
    <w:rsid w:val="5F9F6501"/>
    <w:rsid w:val="5FCB5CB0"/>
    <w:rsid w:val="5FE8545C"/>
    <w:rsid w:val="606758A8"/>
    <w:rsid w:val="60BB4080"/>
    <w:rsid w:val="60D45C77"/>
    <w:rsid w:val="60D672E8"/>
    <w:rsid w:val="60FE71A4"/>
    <w:rsid w:val="613F2BD2"/>
    <w:rsid w:val="61A60BF2"/>
    <w:rsid w:val="61AE0E1D"/>
    <w:rsid w:val="61F669CE"/>
    <w:rsid w:val="623A2D83"/>
    <w:rsid w:val="62D75548"/>
    <w:rsid w:val="62D8033C"/>
    <w:rsid w:val="63464A61"/>
    <w:rsid w:val="634D34C9"/>
    <w:rsid w:val="636C6347"/>
    <w:rsid w:val="63D2534D"/>
    <w:rsid w:val="63E96CC0"/>
    <w:rsid w:val="64495785"/>
    <w:rsid w:val="64DB3D9D"/>
    <w:rsid w:val="655E1B54"/>
    <w:rsid w:val="658632D8"/>
    <w:rsid w:val="658B0713"/>
    <w:rsid w:val="65D3534E"/>
    <w:rsid w:val="65FE33B8"/>
    <w:rsid w:val="666D135A"/>
    <w:rsid w:val="667759C4"/>
    <w:rsid w:val="669336F1"/>
    <w:rsid w:val="67261A6C"/>
    <w:rsid w:val="67D32F58"/>
    <w:rsid w:val="67DA4098"/>
    <w:rsid w:val="67F517A1"/>
    <w:rsid w:val="680551E7"/>
    <w:rsid w:val="68495339"/>
    <w:rsid w:val="684A14EA"/>
    <w:rsid w:val="685C6397"/>
    <w:rsid w:val="689F0032"/>
    <w:rsid w:val="68A43301"/>
    <w:rsid w:val="68FD7FA6"/>
    <w:rsid w:val="68FF70FA"/>
    <w:rsid w:val="692830E7"/>
    <w:rsid w:val="692A1FF1"/>
    <w:rsid w:val="694C158E"/>
    <w:rsid w:val="69CB7308"/>
    <w:rsid w:val="69DA187A"/>
    <w:rsid w:val="69E84C61"/>
    <w:rsid w:val="6A7B123F"/>
    <w:rsid w:val="6A7C3136"/>
    <w:rsid w:val="6AD0578E"/>
    <w:rsid w:val="6AD246EE"/>
    <w:rsid w:val="6AE1039D"/>
    <w:rsid w:val="6AF90A4F"/>
    <w:rsid w:val="6B013226"/>
    <w:rsid w:val="6B2C2051"/>
    <w:rsid w:val="6B41512C"/>
    <w:rsid w:val="6B4730C0"/>
    <w:rsid w:val="6B4A0E75"/>
    <w:rsid w:val="6B60619E"/>
    <w:rsid w:val="6B80239C"/>
    <w:rsid w:val="6C34483D"/>
    <w:rsid w:val="6C696997"/>
    <w:rsid w:val="6CFF901E"/>
    <w:rsid w:val="6D0062DA"/>
    <w:rsid w:val="6D006ACC"/>
    <w:rsid w:val="6D375E5C"/>
    <w:rsid w:val="6D53787B"/>
    <w:rsid w:val="6D5A3A30"/>
    <w:rsid w:val="6D5F1031"/>
    <w:rsid w:val="6D790179"/>
    <w:rsid w:val="6D8E46AD"/>
    <w:rsid w:val="6D9623F2"/>
    <w:rsid w:val="6DA12AB5"/>
    <w:rsid w:val="6DDA29E1"/>
    <w:rsid w:val="6DE64287"/>
    <w:rsid w:val="6E3D0A27"/>
    <w:rsid w:val="6EA57C83"/>
    <w:rsid w:val="6EA63EC8"/>
    <w:rsid w:val="6EAA1E15"/>
    <w:rsid w:val="6EBF748C"/>
    <w:rsid w:val="6EDF44C7"/>
    <w:rsid w:val="6F35375F"/>
    <w:rsid w:val="6FBC7E39"/>
    <w:rsid w:val="6FD74A6A"/>
    <w:rsid w:val="706520DF"/>
    <w:rsid w:val="70AA78F9"/>
    <w:rsid w:val="70C35CAC"/>
    <w:rsid w:val="70C857CB"/>
    <w:rsid w:val="71510D25"/>
    <w:rsid w:val="71587675"/>
    <w:rsid w:val="71651CE8"/>
    <w:rsid w:val="71A33188"/>
    <w:rsid w:val="71DF133F"/>
    <w:rsid w:val="72056139"/>
    <w:rsid w:val="720A0D83"/>
    <w:rsid w:val="720A7322"/>
    <w:rsid w:val="72901CD2"/>
    <w:rsid w:val="73253A86"/>
    <w:rsid w:val="73290765"/>
    <w:rsid w:val="73414465"/>
    <w:rsid w:val="737C1500"/>
    <w:rsid w:val="738266DE"/>
    <w:rsid w:val="74136226"/>
    <w:rsid w:val="74144174"/>
    <w:rsid w:val="741C1D44"/>
    <w:rsid w:val="745448A5"/>
    <w:rsid w:val="74632BB7"/>
    <w:rsid w:val="74B65081"/>
    <w:rsid w:val="74C26582"/>
    <w:rsid w:val="74C7103C"/>
    <w:rsid w:val="74D717A4"/>
    <w:rsid w:val="752D7A57"/>
    <w:rsid w:val="75382BEB"/>
    <w:rsid w:val="755F069C"/>
    <w:rsid w:val="757752E4"/>
    <w:rsid w:val="75907D2D"/>
    <w:rsid w:val="75DB17E4"/>
    <w:rsid w:val="76235CEF"/>
    <w:rsid w:val="76661AE8"/>
    <w:rsid w:val="76843D75"/>
    <w:rsid w:val="76986038"/>
    <w:rsid w:val="76D355AA"/>
    <w:rsid w:val="774E7814"/>
    <w:rsid w:val="77A77481"/>
    <w:rsid w:val="77C841B9"/>
    <w:rsid w:val="77F06646"/>
    <w:rsid w:val="77F4117B"/>
    <w:rsid w:val="786869A5"/>
    <w:rsid w:val="787C3739"/>
    <w:rsid w:val="787F1A6B"/>
    <w:rsid w:val="788748B0"/>
    <w:rsid w:val="78AA7998"/>
    <w:rsid w:val="78FC0A67"/>
    <w:rsid w:val="796E5F2A"/>
    <w:rsid w:val="79B27CEF"/>
    <w:rsid w:val="79C27501"/>
    <w:rsid w:val="7A2937CC"/>
    <w:rsid w:val="7A326720"/>
    <w:rsid w:val="7A5A4E76"/>
    <w:rsid w:val="7A60405C"/>
    <w:rsid w:val="7A7D759B"/>
    <w:rsid w:val="7A841815"/>
    <w:rsid w:val="7AD42FD8"/>
    <w:rsid w:val="7ADE726A"/>
    <w:rsid w:val="7AE55AF2"/>
    <w:rsid w:val="7AF30787"/>
    <w:rsid w:val="7B057D45"/>
    <w:rsid w:val="7B336451"/>
    <w:rsid w:val="7B477DF0"/>
    <w:rsid w:val="7BDD448F"/>
    <w:rsid w:val="7BE13572"/>
    <w:rsid w:val="7BFB5EC3"/>
    <w:rsid w:val="7C281EBC"/>
    <w:rsid w:val="7C614EAE"/>
    <w:rsid w:val="7C66550F"/>
    <w:rsid w:val="7D10037D"/>
    <w:rsid w:val="7D8A5EEC"/>
    <w:rsid w:val="7DF851BD"/>
    <w:rsid w:val="7E0925E5"/>
    <w:rsid w:val="7E1C78DF"/>
    <w:rsid w:val="7E9B6739"/>
    <w:rsid w:val="7ED85D30"/>
    <w:rsid w:val="7EE74C6B"/>
    <w:rsid w:val="7F1E5CFC"/>
    <w:rsid w:val="7F1F59B0"/>
    <w:rsid w:val="7F4779CB"/>
    <w:rsid w:val="7F8C3C6F"/>
    <w:rsid w:val="7FE2792D"/>
    <w:rsid w:val="BF5DC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2"/>
    <w:qFormat/>
    <w:uiPriority w:val="0"/>
    <w:pPr>
      <w:spacing w:before="120" w:after="120"/>
      <w:jc w:val="center"/>
      <w:outlineLvl w:val="0"/>
    </w:pPr>
    <w:rPr>
      <w:color w:val="000000"/>
      <w:szCs w:val="28"/>
    </w:rPr>
  </w:style>
  <w:style w:type="paragraph" w:styleId="4">
    <w:name w:val="heading 2"/>
    <w:basedOn w:val="5"/>
    <w:next w:val="6"/>
    <w:link w:val="134"/>
    <w:qFormat/>
    <w:uiPriority w:val="0"/>
    <w:pPr>
      <w:adjustRightInd w:val="0"/>
      <w:jc w:val="center"/>
      <w:textAlignment w:val="baseline"/>
      <w:outlineLvl w:val="1"/>
    </w:pPr>
    <w:rPr>
      <w:kern w:val="0"/>
      <w:sz w:val="24"/>
      <w:szCs w:val="20"/>
    </w:rPr>
  </w:style>
  <w:style w:type="paragraph" w:styleId="5">
    <w:name w:val="heading 3"/>
    <w:basedOn w:val="6"/>
    <w:next w:val="1"/>
    <w:link w:val="149"/>
    <w:qFormat/>
    <w:uiPriority w:val="0"/>
    <w:pPr>
      <w:spacing w:before="260" w:after="260" w:line="240" w:lineRule="auto"/>
      <w:outlineLvl w:val="2"/>
    </w:pPr>
    <w:rPr>
      <w:rFonts w:ascii="宋体" w:hAnsi="宋体" w:eastAsia="宋体"/>
      <w:szCs w:val="32"/>
    </w:rPr>
  </w:style>
  <w:style w:type="paragraph" w:styleId="6">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8"/>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8"/>
    <w:qFormat/>
    <w:uiPriority w:val="0"/>
    <w:pPr>
      <w:spacing w:line="360" w:lineRule="auto"/>
    </w:pPr>
    <w:rPr>
      <w:b/>
      <w:bCs/>
      <w:sz w:val="24"/>
    </w:rPr>
  </w:style>
  <w:style w:type="paragraph" w:styleId="8">
    <w:name w:val="Normal Indent"/>
    <w:basedOn w:val="1"/>
    <w:next w:val="2"/>
    <w:link w:val="154"/>
    <w:qFormat/>
    <w:uiPriority w:val="0"/>
    <w:pPr>
      <w:ind w:firstLine="420" w:firstLineChars="200"/>
    </w:pPr>
  </w:style>
  <w:style w:type="paragraph" w:styleId="13">
    <w:name w:val="toc 7"/>
    <w:basedOn w:val="1"/>
    <w:next w:val="1"/>
    <w:qFormat/>
    <w:uiPriority w:val="0"/>
    <w:pPr>
      <w:ind w:left="2520" w:leftChars="1200"/>
    </w:pPr>
  </w:style>
  <w:style w:type="paragraph" w:styleId="14">
    <w:name w:val="index 8"/>
    <w:basedOn w:val="1"/>
    <w:next w:val="1"/>
    <w:unhideWhenUsed/>
    <w:qFormat/>
    <w:uiPriority w:val="99"/>
    <w:pPr>
      <w:ind w:left="1400" w:leftChars="1400"/>
    </w:pPr>
    <w:rPr>
      <w:rFonts w:eastAsia="仿宋"/>
      <w:snapToGrid w:val="0"/>
      <w:sz w:val="28"/>
      <w:szCs w:val="28"/>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after="120"/>
    </w:pPr>
    <w:rPr>
      <w:sz w:val="16"/>
      <w:szCs w:val="16"/>
    </w:rPr>
  </w:style>
  <w:style w:type="paragraph" w:styleId="18">
    <w:name w:val="Body Text Indent"/>
    <w:basedOn w:val="1"/>
    <w:link w:val="130"/>
    <w:qFormat/>
    <w:uiPriority w:val="0"/>
    <w:pPr>
      <w:spacing w:line="360" w:lineRule="auto"/>
      <w:ind w:firstLine="420" w:firstLineChars="200"/>
    </w:pPr>
  </w:style>
  <w:style w:type="paragraph" w:styleId="19">
    <w:name w:val="index 4"/>
    <w:basedOn w:val="1"/>
    <w:next w:val="1"/>
    <w:qFormat/>
    <w:uiPriority w:val="0"/>
    <w:pPr>
      <w:suppressAutoHyphens/>
      <w:ind w:left="600" w:leftChars="600"/>
      <w:jc w:val="left"/>
    </w:pPr>
    <w:rPr>
      <w:kern w:val="1"/>
      <w:sz w:val="24"/>
      <w:lang w:eastAsia="ar-SA"/>
    </w:rPr>
  </w:style>
  <w:style w:type="paragraph" w:styleId="20">
    <w:name w:val="toc 5"/>
    <w:basedOn w:val="1"/>
    <w:next w:val="1"/>
    <w:qFormat/>
    <w:uiPriority w:val="0"/>
    <w:pPr>
      <w:ind w:left="1680" w:leftChars="800"/>
    </w:pPr>
  </w:style>
  <w:style w:type="paragraph" w:styleId="21">
    <w:name w:val="toc 3"/>
    <w:basedOn w:val="1"/>
    <w:next w:val="1"/>
    <w:qFormat/>
    <w:uiPriority w:val="39"/>
    <w:pPr>
      <w:ind w:left="420"/>
      <w:jc w:val="left"/>
    </w:pPr>
    <w:rPr>
      <w:i/>
      <w:iCs/>
    </w:rPr>
  </w:style>
  <w:style w:type="paragraph" w:styleId="22">
    <w:name w:val="Plain Text"/>
    <w:basedOn w:val="1"/>
    <w:next w:val="23"/>
    <w:qFormat/>
    <w:uiPriority w:val="99"/>
    <w:rPr>
      <w:rFonts w:ascii="宋体" w:hAnsi="Courier New"/>
      <w:szCs w:val="20"/>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toc 8"/>
    <w:basedOn w:val="1"/>
    <w:next w:val="1"/>
    <w:qFormat/>
    <w:uiPriority w:val="0"/>
    <w:pPr>
      <w:ind w:left="2940" w:leftChars="1400"/>
    </w:pPr>
  </w:style>
  <w:style w:type="paragraph" w:styleId="25">
    <w:name w:val="index 3"/>
    <w:basedOn w:val="1"/>
    <w:next w:val="1"/>
    <w:qFormat/>
    <w:uiPriority w:val="0"/>
    <w:pPr>
      <w:suppressAutoHyphens/>
      <w:ind w:left="400" w:leftChars="400"/>
      <w:jc w:val="left"/>
    </w:pPr>
    <w:rPr>
      <w:kern w:val="1"/>
      <w:sz w:val="28"/>
      <w:lang w:eastAsia="ar-SA"/>
    </w:rPr>
  </w:style>
  <w:style w:type="paragraph" w:styleId="26">
    <w:name w:val="Date"/>
    <w:basedOn w:val="1"/>
    <w:next w:val="1"/>
    <w:qFormat/>
    <w:uiPriority w:val="0"/>
    <w:rPr>
      <w:rFonts w:ascii="宋体" w:hAnsi="Courier New"/>
      <w:sz w:val="32"/>
      <w:szCs w:val="20"/>
    </w:rPr>
  </w:style>
  <w:style w:type="paragraph" w:styleId="27">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8">
    <w:name w:val="Balloon Text"/>
    <w:basedOn w:val="1"/>
    <w:semiHidden/>
    <w:qFormat/>
    <w:uiPriority w:val="0"/>
    <w:rPr>
      <w:sz w:val="18"/>
      <w:szCs w:val="18"/>
    </w:rPr>
  </w:style>
  <w:style w:type="paragraph" w:styleId="29">
    <w:name w:val="footer"/>
    <w:basedOn w:val="1"/>
    <w:link w:val="156"/>
    <w:qFormat/>
    <w:uiPriority w:val="99"/>
    <w:pPr>
      <w:tabs>
        <w:tab w:val="center" w:pos="4153"/>
        <w:tab w:val="right" w:pos="8306"/>
      </w:tabs>
      <w:snapToGrid w:val="0"/>
      <w:jc w:val="left"/>
    </w:pPr>
    <w:rPr>
      <w:sz w:val="18"/>
      <w:szCs w:val="18"/>
    </w:rPr>
  </w:style>
  <w:style w:type="paragraph" w:styleId="30">
    <w:name w:val="envelope return"/>
    <w:basedOn w:val="1"/>
    <w:qFormat/>
    <w:uiPriority w:val="99"/>
    <w:rPr>
      <w:rFonts w:ascii="Arial" w:hAnsi="Arial"/>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b/>
      <w:bCs/>
      <w:caps/>
    </w:rPr>
  </w:style>
  <w:style w:type="paragraph" w:styleId="33">
    <w:name w:val="toc 4"/>
    <w:basedOn w:val="1"/>
    <w:next w:val="1"/>
    <w:qFormat/>
    <w:uiPriority w:val="39"/>
    <w:pPr>
      <w:ind w:left="1260" w:leftChars="600"/>
    </w:pPr>
  </w:style>
  <w:style w:type="paragraph" w:styleId="34">
    <w:name w:val="Subtitle"/>
    <w:basedOn w:val="1"/>
    <w:next w:val="1"/>
    <w:link w:val="138"/>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5">
    <w:name w:val="List"/>
    <w:basedOn w:val="2"/>
    <w:qFormat/>
    <w:uiPriority w:val="0"/>
    <w:pPr>
      <w:suppressAutoHyphens/>
      <w:spacing w:after="120" w:line="240" w:lineRule="auto"/>
      <w:jc w:val="left"/>
    </w:pPr>
    <w:rPr>
      <w:rFonts w:eastAsia="Andale Sans UI" w:cs="Tahoma"/>
      <w:b w:val="0"/>
      <w:bCs w:val="0"/>
      <w:kern w:val="1"/>
      <w:lang w:eastAsia="ar-SA"/>
    </w:rPr>
  </w:style>
  <w:style w:type="paragraph" w:styleId="36">
    <w:name w:val="toc 6"/>
    <w:basedOn w:val="1"/>
    <w:next w:val="1"/>
    <w:qFormat/>
    <w:uiPriority w:val="0"/>
    <w:pPr>
      <w:ind w:left="2100" w:leftChars="1000"/>
    </w:pPr>
  </w:style>
  <w:style w:type="paragraph" w:styleId="37">
    <w:name w:val="Body Text Indent 3"/>
    <w:basedOn w:val="1"/>
    <w:qFormat/>
    <w:uiPriority w:val="0"/>
    <w:pPr>
      <w:spacing w:line="360" w:lineRule="auto"/>
      <w:ind w:firstLine="482" w:firstLineChars="200"/>
    </w:pPr>
    <w:rPr>
      <w:rFonts w:ascii="宋体"/>
      <w:b/>
      <w:bCs/>
      <w:sz w:val="24"/>
    </w:rPr>
  </w:style>
  <w:style w:type="paragraph" w:styleId="38">
    <w:name w:val="toc 2"/>
    <w:basedOn w:val="1"/>
    <w:next w:val="1"/>
    <w:qFormat/>
    <w:uiPriority w:val="39"/>
    <w:pPr>
      <w:tabs>
        <w:tab w:val="right" w:leader="dot" w:pos="8296"/>
      </w:tabs>
      <w:ind w:left="210"/>
      <w:jc w:val="left"/>
    </w:pPr>
    <w:rPr>
      <w:smallCaps/>
    </w:rPr>
  </w:style>
  <w:style w:type="paragraph" w:styleId="39">
    <w:name w:val="toc 9"/>
    <w:basedOn w:val="1"/>
    <w:next w:val="1"/>
    <w:qFormat/>
    <w:uiPriority w:val="0"/>
    <w:pPr>
      <w:ind w:left="3360" w:leftChars="1600"/>
    </w:pPr>
  </w:style>
  <w:style w:type="paragraph" w:styleId="40">
    <w:name w:val="Body Text 2"/>
    <w:basedOn w:val="1"/>
    <w:qFormat/>
    <w:uiPriority w:val="0"/>
    <w:pPr>
      <w:spacing w:line="360" w:lineRule="auto"/>
    </w:pPr>
    <w:rPr>
      <w:sz w:val="24"/>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42">
    <w:name w:val="Normal (Web)"/>
    <w:basedOn w:val="1"/>
    <w:link w:val="152"/>
    <w:qFormat/>
    <w:uiPriority w:val="99"/>
    <w:rPr>
      <w:sz w:val="24"/>
    </w:rPr>
  </w:style>
  <w:style w:type="paragraph" w:styleId="43">
    <w:name w:val="index 1"/>
    <w:basedOn w:val="44"/>
    <w:next w:val="1"/>
    <w:qFormat/>
    <w:uiPriority w:val="0"/>
    <w:rPr>
      <w:rFonts w:eastAsia="宋体"/>
      <w:sz w:val="44"/>
    </w:rPr>
  </w:style>
  <w:style w:type="paragraph" w:customStyle="1" w:styleId="44">
    <w:name w:val="目录"/>
    <w:basedOn w:val="1"/>
    <w:qFormat/>
    <w:uiPriority w:val="0"/>
    <w:pPr>
      <w:suppressLineNumbers/>
      <w:suppressAutoHyphens/>
      <w:jc w:val="left"/>
    </w:pPr>
    <w:rPr>
      <w:rFonts w:eastAsia="Andale Sans UI" w:cs="Tahoma"/>
      <w:kern w:val="1"/>
      <w:sz w:val="24"/>
      <w:lang w:eastAsia="ar-SA"/>
    </w:rPr>
  </w:style>
  <w:style w:type="paragraph" w:styleId="45">
    <w:name w:val="index 2"/>
    <w:basedOn w:val="44"/>
    <w:next w:val="1"/>
    <w:qFormat/>
    <w:uiPriority w:val="0"/>
    <w:pPr>
      <w:ind w:left="283"/>
    </w:pPr>
    <w:rPr>
      <w:rFonts w:eastAsia="宋体"/>
      <w:sz w:val="32"/>
    </w:rPr>
  </w:style>
  <w:style w:type="paragraph" w:styleId="46">
    <w:name w:val="Title"/>
    <w:basedOn w:val="1"/>
    <w:qFormat/>
    <w:uiPriority w:val="0"/>
    <w:pPr>
      <w:spacing w:before="240" w:after="60"/>
      <w:jc w:val="center"/>
      <w:outlineLvl w:val="0"/>
    </w:pPr>
    <w:rPr>
      <w:rFonts w:ascii="Arial" w:hAnsi="Arial" w:eastAsia="隶书" w:cs="Arial"/>
      <w:b/>
      <w:bCs/>
      <w:sz w:val="32"/>
      <w:szCs w:val="32"/>
    </w:rPr>
  </w:style>
  <w:style w:type="paragraph" w:styleId="47">
    <w:name w:val="Body Text First Indent"/>
    <w:basedOn w:val="2"/>
    <w:next w:val="48"/>
    <w:qFormat/>
    <w:uiPriority w:val="0"/>
    <w:pPr>
      <w:spacing w:after="120"/>
      <w:ind w:firstLine="420" w:firstLineChars="100"/>
    </w:pPr>
    <w:rPr>
      <w:rFonts w:ascii="Tahoma"/>
      <w:sz w:val="21"/>
    </w:rPr>
  </w:style>
  <w:style w:type="paragraph" w:customStyle="1" w:styleId="48">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 w:type="paragraph" w:styleId="49">
    <w:name w:val="Body Text First Indent 2"/>
    <w:basedOn w:val="18"/>
    <w:next w:val="1"/>
    <w:link w:val="135"/>
    <w:qFormat/>
    <w:uiPriority w:val="0"/>
    <w:pPr>
      <w:spacing w:after="120" w:line="240" w:lineRule="auto"/>
      <w:ind w:left="420" w:leftChars="200"/>
    </w:p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4A4A4A"/>
      <w:u w:val="none"/>
    </w:rPr>
  </w:style>
  <w:style w:type="character" w:styleId="56">
    <w:name w:val="Emphasis"/>
    <w:qFormat/>
    <w:uiPriority w:val="0"/>
  </w:style>
  <w:style w:type="character" w:styleId="57">
    <w:name w:val="HTML Definition"/>
    <w:qFormat/>
    <w:uiPriority w:val="0"/>
  </w:style>
  <w:style w:type="character" w:styleId="58">
    <w:name w:val="HTML Typewriter"/>
    <w:qFormat/>
    <w:uiPriority w:val="0"/>
    <w:rPr>
      <w:rFonts w:ascii="宋体" w:hAnsi="宋体" w:eastAsia="宋体" w:cs="宋体"/>
      <w:sz w:val="24"/>
      <w:szCs w:val="24"/>
    </w:rPr>
  </w:style>
  <w:style w:type="character" w:styleId="59">
    <w:name w:val="HTML Acronym"/>
    <w:qFormat/>
    <w:uiPriority w:val="0"/>
  </w:style>
  <w:style w:type="character" w:styleId="60">
    <w:name w:val="HTML Variable"/>
    <w:qFormat/>
    <w:uiPriority w:val="0"/>
  </w:style>
  <w:style w:type="character" w:styleId="61">
    <w:name w:val="Hyperlink"/>
    <w:qFormat/>
    <w:uiPriority w:val="99"/>
    <w:rPr>
      <w:color w:val="4A4A4A"/>
      <w:u w:val="none"/>
    </w:rPr>
  </w:style>
  <w:style w:type="character" w:styleId="62">
    <w:name w:val="HTML Code"/>
    <w:qFormat/>
    <w:uiPriority w:val="0"/>
    <w:rPr>
      <w:rFonts w:ascii="Courier New" w:hAnsi="Courier New"/>
      <w:sz w:val="20"/>
    </w:rPr>
  </w:style>
  <w:style w:type="character" w:styleId="63">
    <w:name w:val="HTML Cite"/>
    <w:qFormat/>
    <w:uiPriority w:val="0"/>
  </w:style>
  <w:style w:type="paragraph" w:customStyle="1" w:styleId="64">
    <w:name w:val="_Style 5"/>
    <w:basedOn w:val="1"/>
    <w:qFormat/>
    <w:uiPriority w:val="0"/>
    <w:pPr>
      <w:ind w:firstLine="200" w:firstLineChars="200"/>
    </w:pPr>
    <w:rPr>
      <w:sz w:val="24"/>
      <w:szCs w:val="22"/>
    </w:rPr>
  </w:style>
  <w:style w:type="paragraph" w:customStyle="1" w:styleId="65">
    <w:name w:val="项目符号 1"/>
    <w:basedOn w:val="35"/>
    <w:qFormat/>
    <w:uiPriority w:val="0"/>
    <w:pPr>
      <w:ind w:left="360" w:hanging="360"/>
    </w:pPr>
  </w:style>
  <w:style w:type="paragraph" w:customStyle="1" w:styleId="66">
    <w:name w:val="Normal_8e16b1ee-761a-43a8-88d0-0b70e4365a11"/>
    <w:next w:val="3"/>
    <w:qFormat/>
    <w:uiPriority w:val="0"/>
    <w:rPr>
      <w:rFonts w:ascii="Calibri" w:hAnsi="Calibri" w:eastAsia="宋体" w:cs="宋体"/>
      <w:sz w:val="21"/>
      <w:lang w:val="en-US" w:eastAsia="zh-CN" w:bidi="ar-SA"/>
    </w:rPr>
  </w:style>
  <w:style w:type="paragraph" w:styleId="67">
    <w:name w:val="No Spacing"/>
    <w:qFormat/>
    <w:uiPriority w:val="1"/>
    <w:rPr>
      <w:rFonts w:ascii="Calibri" w:hAnsi="Calibri" w:eastAsia="Times New Roman" w:cs="Times New Roman"/>
      <w:kern w:val="2"/>
      <w:sz w:val="22"/>
      <w:szCs w:val="22"/>
      <w:lang w:val="en-US" w:eastAsia="zh-CN" w:bidi="ar-SA"/>
    </w:rPr>
  </w:style>
  <w:style w:type="paragraph" w:customStyle="1" w:styleId="6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样式2"/>
    <w:basedOn w:val="46"/>
    <w:next w:val="71"/>
    <w:qFormat/>
    <w:uiPriority w:val="0"/>
    <w:pPr>
      <w:spacing w:before="120" w:after="120"/>
    </w:pPr>
    <w:rPr>
      <w:rFonts w:eastAsia="黑体"/>
      <w:b w:val="0"/>
      <w:sz w:val="30"/>
      <w:szCs w:val="30"/>
    </w:rPr>
  </w:style>
  <w:style w:type="paragraph" w:customStyle="1" w:styleId="71">
    <w:name w:val="样式1"/>
    <w:basedOn w:val="46"/>
    <w:qFormat/>
    <w:uiPriority w:val="0"/>
    <w:pPr>
      <w:spacing w:before="120" w:after="120"/>
    </w:pPr>
    <w:rPr>
      <w:rFonts w:eastAsia="黑体"/>
      <w:b w:val="0"/>
      <w:sz w:val="30"/>
      <w:szCs w:val="21"/>
    </w:rPr>
  </w:style>
  <w:style w:type="paragraph" w:customStyle="1" w:styleId="72">
    <w:name w:val="contentlabel"/>
    <w:basedOn w:val="1"/>
    <w:qFormat/>
    <w:uiPriority w:val="0"/>
    <w:pPr>
      <w:widowControl/>
      <w:spacing w:before="32" w:after="100" w:afterAutospacing="1"/>
      <w:ind w:left="96"/>
      <w:jc w:val="left"/>
    </w:pPr>
    <w:rPr>
      <w:rFonts w:ascii="宋体" w:hAnsi="宋体" w:cs="宋体"/>
      <w:color w:val="336666"/>
      <w:kern w:val="0"/>
      <w:sz w:val="19"/>
      <w:szCs w:val="19"/>
    </w:rPr>
  </w:style>
  <w:style w:type="paragraph" w:customStyle="1" w:styleId="73">
    <w:name w:val="Body text|1"/>
    <w:basedOn w:val="1"/>
    <w:link w:val="145"/>
    <w:qFormat/>
    <w:uiPriority w:val="0"/>
    <w:pPr>
      <w:spacing w:line="451" w:lineRule="auto"/>
      <w:ind w:firstLine="400"/>
      <w:jc w:val="left"/>
    </w:pPr>
    <w:rPr>
      <w:rFonts w:ascii="宋体" w:hAnsi="宋体" w:cs="宋体"/>
      <w:color w:val="1B1415"/>
      <w:kern w:val="0"/>
      <w:sz w:val="20"/>
      <w:szCs w:val="20"/>
      <w:lang w:val="zh-TW" w:eastAsia="zh-TW" w:bidi="zh-TW"/>
    </w:rPr>
  </w:style>
  <w:style w:type="paragraph" w:customStyle="1" w:styleId="74">
    <w:name w:val="Normal_afae8a13-e36e-4bae-b75c-480a48c21245"/>
    <w:qFormat/>
    <w:uiPriority w:val="0"/>
    <w:rPr>
      <w:rFonts w:ascii="Times New Roman" w:hAnsi="Times New Roman" w:eastAsia="Times New Roman" w:cs="Times New Roman"/>
      <w:sz w:val="24"/>
      <w:szCs w:val="24"/>
      <w:lang w:val="en-US" w:eastAsia="uk-UA" w:bidi="ar-SA"/>
    </w:rPr>
  </w:style>
  <w:style w:type="paragraph" w:customStyle="1" w:styleId="75">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Normal_c32a2e0e-d469-4b52-a146-48a245057c82"/>
    <w:next w:val="1"/>
    <w:qFormat/>
    <w:uiPriority w:val="0"/>
    <w:rPr>
      <w:rFonts w:ascii="Times New Roman" w:hAnsi="Times New Roman" w:eastAsia="宋体" w:cs="Times New Roman"/>
      <w:sz w:val="21"/>
      <w:lang w:val="en-US" w:eastAsia="zh-CN" w:bidi="ar-SA"/>
    </w:rPr>
  </w:style>
  <w:style w:type="paragraph" w:customStyle="1" w:styleId="77">
    <w:name w:val="标书正文格式"/>
    <w:basedOn w:val="1"/>
    <w:link w:val="157"/>
    <w:qFormat/>
    <w:uiPriority w:val="0"/>
    <w:rPr>
      <w:kern w:val="0"/>
      <w:sz w:val="24"/>
    </w:rPr>
  </w:style>
  <w:style w:type="paragraph" w:customStyle="1" w:styleId="78">
    <w:name w:val="正文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9">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80">
    <w:name w:val="表1"/>
    <w:basedOn w:val="1"/>
    <w:qFormat/>
    <w:uiPriority w:val="0"/>
    <w:pPr>
      <w:tabs>
        <w:tab w:val="left" w:pos="1869"/>
      </w:tabs>
      <w:autoSpaceDE w:val="0"/>
      <w:autoSpaceDN w:val="0"/>
      <w:adjustRightInd w:val="0"/>
    </w:pPr>
    <w:rPr>
      <w:rFonts w:ascii="宋体"/>
      <w:sz w:val="24"/>
    </w:rPr>
  </w:style>
  <w:style w:type="paragraph" w:customStyle="1" w:styleId="81">
    <w:name w:val="列出段落2"/>
    <w:basedOn w:val="1"/>
    <w:qFormat/>
    <w:uiPriority w:val="34"/>
    <w:pPr>
      <w:spacing w:after="200"/>
      <w:ind w:firstLine="420" w:firstLineChars="200"/>
      <w:jc w:val="left"/>
    </w:pPr>
    <w:rPr>
      <w:rFonts w:eastAsia="微软雅黑"/>
      <w:sz w:val="24"/>
      <w:szCs w:val="22"/>
    </w:rPr>
  </w:style>
  <w:style w:type="paragraph" w:customStyle="1" w:styleId="8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83">
    <w:name w:val="List Paragraph"/>
    <w:basedOn w:val="1"/>
    <w:link w:val="124"/>
    <w:qFormat/>
    <w:uiPriority w:val="0"/>
    <w:pPr>
      <w:ind w:firstLine="420" w:firstLineChars="200"/>
    </w:pPr>
  </w:style>
  <w:style w:type="paragraph" w:customStyle="1" w:styleId="84">
    <w:name w:val="Char2"/>
    <w:basedOn w:val="1"/>
    <w:qFormat/>
    <w:uiPriority w:val="0"/>
    <w:pPr>
      <w:widowControl/>
      <w:spacing w:after="160" w:line="360" w:lineRule="exact"/>
      <w:jc w:val="left"/>
    </w:pPr>
    <w:rPr>
      <w:rFonts w:ascii="宋体" w:hAnsi="宋体"/>
      <w:b/>
      <w:kern w:val="0"/>
      <w:sz w:val="24"/>
      <w:szCs w:val="20"/>
      <w:lang w:eastAsia="en-US"/>
    </w:rPr>
  </w:style>
  <w:style w:type="paragraph" w:customStyle="1" w:styleId="85">
    <w:name w:val="Other|1"/>
    <w:basedOn w:val="1"/>
    <w:link w:val="153"/>
    <w:qFormat/>
    <w:uiPriority w:val="0"/>
    <w:pPr>
      <w:spacing w:line="451" w:lineRule="auto"/>
      <w:ind w:firstLine="400"/>
      <w:jc w:val="left"/>
    </w:pPr>
    <w:rPr>
      <w:rFonts w:ascii="宋体" w:hAnsi="宋体"/>
      <w:color w:val="1B1415"/>
      <w:kern w:val="0"/>
      <w:sz w:val="2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正文"/>
    <w:basedOn w:val="1"/>
    <w:link w:val="144"/>
    <w:qFormat/>
    <w:uiPriority w:val="0"/>
    <w:pPr>
      <w:widowControl/>
      <w:spacing w:line="360" w:lineRule="auto"/>
      <w:ind w:firstLine="200" w:firstLineChars="200"/>
      <w:jc w:val="left"/>
    </w:pPr>
    <w:rPr>
      <w:rFonts w:ascii="仿宋_GB2312"/>
      <w:kern w:val="0"/>
      <w:sz w:val="24"/>
      <w:szCs w:val="28"/>
    </w:rPr>
  </w:style>
  <w:style w:type="paragraph" w:customStyle="1" w:styleId="88">
    <w:name w:val="内容目录 10"/>
    <w:basedOn w:val="44"/>
    <w:qFormat/>
    <w:uiPriority w:val="0"/>
    <w:pPr>
      <w:tabs>
        <w:tab w:val="right" w:leader="dot" w:pos="-25335"/>
      </w:tabs>
      <w:ind w:left="2547"/>
    </w:pPr>
  </w:style>
  <w:style w:type="paragraph" w:customStyle="1" w:styleId="89">
    <w:name w:val="List Paragraph1_a64a0012-bd9b-4c4b-9159-6cef879f2673"/>
    <w:basedOn w:val="1"/>
    <w:qFormat/>
    <w:uiPriority w:val="0"/>
    <w:pPr>
      <w:ind w:firstLine="420" w:firstLineChars="200"/>
    </w:pPr>
    <w:rPr>
      <w:rFonts w:ascii="Calibri" w:hAnsi="Calibri"/>
    </w:rPr>
  </w:style>
  <w:style w:type="paragraph" w:customStyle="1" w:styleId="90">
    <w:name w:val="正文缩进1"/>
    <w:basedOn w:val="1"/>
    <w:qFormat/>
    <w:uiPriority w:val="0"/>
    <w:pPr>
      <w:ind w:firstLine="420" w:firstLineChars="200"/>
    </w:pPr>
    <w:rPr>
      <w:rFonts w:ascii="Calibri" w:hAnsi="Calibri"/>
    </w:rPr>
  </w:style>
  <w:style w:type="paragraph" w:customStyle="1" w:styleId="91">
    <w:name w:val="p1"/>
    <w:basedOn w:val="1"/>
    <w:qFormat/>
    <w:uiPriority w:val="99"/>
    <w:pPr>
      <w:widowControl/>
      <w:jc w:val="left"/>
    </w:pPr>
    <w:rPr>
      <w:rFonts w:ascii="Helvetica" w:hAnsi="Helvetica" w:cs="Helvetica"/>
      <w:kern w:val="0"/>
      <w:sz w:val="16"/>
      <w:szCs w:val="16"/>
    </w:rPr>
  </w:style>
  <w:style w:type="paragraph" w:customStyle="1" w:styleId="9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样式3"/>
    <w:basedOn w:val="4"/>
    <w:qFormat/>
    <w:uiPriority w:val="0"/>
    <w:pPr>
      <w:keepLines w:val="0"/>
      <w:numPr>
        <w:ilvl w:val="1"/>
        <w:numId w:val="1"/>
      </w:numPr>
      <w:tabs>
        <w:tab w:val="left" w:pos="576"/>
      </w:tabs>
      <w:suppressAutoHyphens/>
      <w:adjustRightInd/>
      <w:spacing w:before="240" w:after="120"/>
      <w:jc w:val="left"/>
      <w:textAlignment w:val="auto"/>
    </w:pPr>
    <w:rPr>
      <w:rFonts w:cs="Tahoma"/>
      <w:iCs/>
      <w:kern w:val="1"/>
      <w:sz w:val="28"/>
      <w:szCs w:val="28"/>
      <w:lang w:eastAsia="ar-SA"/>
    </w:rPr>
  </w:style>
  <w:style w:type="paragraph" w:customStyle="1" w:styleId="94">
    <w:name w:val="对象目录标题"/>
    <w:basedOn w:val="95"/>
    <w:qFormat/>
    <w:uiPriority w:val="0"/>
    <w:pPr>
      <w:suppressLineNumbers/>
    </w:pPr>
    <w:rPr>
      <w:b/>
      <w:bCs/>
      <w:sz w:val="32"/>
      <w:szCs w:val="32"/>
    </w:rPr>
  </w:style>
  <w:style w:type="paragraph" w:customStyle="1" w:styleId="95">
    <w:name w:val="标题1"/>
    <w:basedOn w:val="1"/>
    <w:next w:val="2"/>
    <w:qFormat/>
    <w:uiPriority w:val="0"/>
    <w:pPr>
      <w:keepNext/>
      <w:suppressAutoHyphens/>
      <w:spacing w:before="240" w:after="120"/>
      <w:jc w:val="left"/>
    </w:pPr>
    <w:rPr>
      <w:rFonts w:ascii="Arial" w:hAnsi="Arial" w:eastAsia="Andale Sans UI" w:cs="Tahoma"/>
      <w:kern w:val="1"/>
      <w:sz w:val="28"/>
      <w:szCs w:val="28"/>
      <w:lang w:eastAsia="ar-SA"/>
    </w:rPr>
  </w:style>
  <w:style w:type="paragraph" w:customStyle="1" w:styleId="96">
    <w:name w:val="标签"/>
    <w:basedOn w:val="1"/>
    <w:qFormat/>
    <w:uiPriority w:val="0"/>
    <w:pPr>
      <w:suppressLineNumbers/>
      <w:suppressAutoHyphens/>
      <w:spacing w:before="120" w:after="120"/>
      <w:jc w:val="left"/>
    </w:pPr>
    <w:rPr>
      <w:rFonts w:eastAsia="Andale Sans UI" w:cs="Tahoma"/>
      <w:i/>
      <w:iCs/>
      <w:kern w:val="1"/>
      <w:sz w:val="24"/>
      <w:lang w:eastAsia="ar-SA"/>
    </w:rPr>
  </w:style>
  <w:style w:type="paragraph" w:customStyle="1" w:styleId="97">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paragraph" w:customStyle="1" w:styleId="98">
    <w:name w:val="Normal_117c53fd-ebf7-4c68-b3cf-449a66e01bf8"/>
    <w:qFormat/>
    <w:uiPriority w:val="0"/>
    <w:rPr>
      <w:rFonts w:ascii="Times New Roman" w:hAnsi="Times New Roman" w:eastAsia="宋体" w:cs="Times New Roman"/>
      <w:sz w:val="21"/>
      <w:lang w:val="en-US" w:eastAsia="zh-CN" w:bidi="ar-SA"/>
    </w:rPr>
  </w:style>
  <w:style w:type="paragraph" w:customStyle="1" w:styleId="99">
    <w:name w:val="内容目录标题"/>
    <w:basedOn w:val="95"/>
    <w:qFormat/>
    <w:uiPriority w:val="0"/>
    <w:pPr>
      <w:suppressLineNumbers/>
    </w:pPr>
    <w:rPr>
      <w:b/>
      <w:bCs/>
      <w:sz w:val="32"/>
      <w:szCs w:val="32"/>
    </w:rPr>
  </w:style>
  <w:style w:type="paragraph" w:customStyle="1" w:styleId="100">
    <w:name w:val="_标题1"/>
    <w:basedOn w:val="3"/>
    <w:next w:val="1"/>
    <w:qFormat/>
    <w:uiPriority w:val="0"/>
    <w:pPr>
      <w:pageBreakBefore/>
      <w:tabs>
        <w:tab w:val="left" w:pos="240"/>
      </w:tabs>
      <w:spacing w:before="340" w:after="330" w:line="578" w:lineRule="auto"/>
      <w:ind w:left="453" w:hanging="567"/>
    </w:pPr>
    <w:rPr>
      <w:rFonts w:ascii="Arial" w:hAnsi="Arial" w:eastAsia="黑体"/>
      <w:b/>
      <w:color w:val="auto"/>
      <w:kern w:val="44"/>
      <w:sz w:val="44"/>
      <w:szCs w:val="44"/>
    </w:rPr>
  </w:style>
  <w:style w:type="paragraph" w:customStyle="1" w:styleId="101">
    <w:name w:val="Char"/>
    <w:basedOn w:val="1"/>
    <w:qFormat/>
    <w:uiPriority w:val="0"/>
    <w:pPr>
      <w:spacing w:line="360" w:lineRule="auto"/>
    </w:pPr>
    <w:rPr>
      <w:rFonts w:ascii="Tahoma" w:hAnsi="Tahoma"/>
      <w:szCs w:val="20"/>
    </w:rPr>
  </w:style>
  <w:style w:type="paragraph" w:customStyle="1" w:styleId="102">
    <w:name w:val="样式4"/>
    <w:basedOn w:val="4"/>
    <w:qFormat/>
    <w:uiPriority w:val="0"/>
    <w:pPr>
      <w:keepLines w:val="0"/>
      <w:tabs>
        <w:tab w:val="left" w:pos="576"/>
      </w:tabs>
      <w:suppressAutoHyphens/>
      <w:adjustRightInd/>
      <w:spacing w:before="240" w:after="120"/>
      <w:jc w:val="left"/>
      <w:textAlignment w:val="auto"/>
    </w:pPr>
    <w:rPr>
      <w:rFonts w:cs="Tahoma"/>
      <w:i/>
      <w:iCs/>
      <w:kern w:val="1"/>
      <w:sz w:val="28"/>
      <w:szCs w:val="28"/>
      <w:lang w:eastAsia="ar-SA"/>
    </w:rPr>
  </w:style>
  <w:style w:type="paragraph" w:customStyle="1" w:styleId="103">
    <w:name w:val="标书正文1"/>
    <w:basedOn w:val="1"/>
    <w:qFormat/>
    <w:uiPriority w:val="0"/>
    <w:pPr>
      <w:spacing w:line="520" w:lineRule="exact"/>
      <w:ind w:firstLine="640" w:firstLineChars="200"/>
    </w:pPr>
  </w:style>
  <w:style w:type="paragraph" w:customStyle="1" w:styleId="104">
    <w:name w:val="用户目录 1"/>
    <w:basedOn w:val="44"/>
    <w:qFormat/>
    <w:uiPriority w:val="0"/>
    <w:pPr>
      <w:tabs>
        <w:tab w:val="right" w:leader="dot" w:pos="9637"/>
      </w:tabs>
    </w:pPr>
  </w:style>
  <w:style w:type="paragraph" w:customStyle="1" w:styleId="105">
    <w:name w:val="Table Paragraph"/>
    <w:basedOn w:val="1"/>
    <w:qFormat/>
    <w:uiPriority w:val="0"/>
    <w:pPr>
      <w:autoSpaceDE w:val="0"/>
      <w:autoSpaceDN w:val="0"/>
      <w:jc w:val="left"/>
    </w:pPr>
    <w:rPr>
      <w:rFonts w:ascii="宋体" w:hAnsi="宋体" w:cs="宋体"/>
      <w:kern w:val="0"/>
      <w:sz w:val="22"/>
      <w:szCs w:val="22"/>
    </w:rPr>
  </w:style>
  <w:style w:type="paragraph" w:customStyle="1" w:styleId="106">
    <w:name w:val="表格内容"/>
    <w:basedOn w:val="1"/>
    <w:qFormat/>
    <w:uiPriority w:val="0"/>
    <w:pPr>
      <w:suppressLineNumbers/>
      <w:suppressAutoHyphens/>
      <w:jc w:val="left"/>
    </w:pPr>
    <w:rPr>
      <w:rFonts w:eastAsia="Andale Sans UI"/>
      <w:kern w:val="1"/>
      <w:sz w:val="24"/>
      <w:lang w:eastAsia="ar-SA"/>
    </w:rPr>
  </w:style>
  <w:style w:type="paragraph" w:customStyle="1" w:styleId="107">
    <w:name w:val="表格标题"/>
    <w:basedOn w:val="106"/>
    <w:qFormat/>
    <w:uiPriority w:val="0"/>
    <w:pPr>
      <w:jc w:val="center"/>
    </w:pPr>
    <w:rPr>
      <w:b/>
      <w:bCs/>
    </w:rPr>
  </w:style>
  <w:style w:type="paragraph" w:customStyle="1" w:styleId="108">
    <w:name w:val="编号 2 继续"/>
    <w:basedOn w:val="35"/>
    <w:qFormat/>
    <w:uiPriority w:val="0"/>
    <w:pPr>
      <w:ind w:left="720"/>
    </w:pPr>
  </w:style>
  <w:style w:type="paragraph" w:customStyle="1" w:styleId="109">
    <w:name w:val="正文（缩进）"/>
    <w:basedOn w:val="1"/>
    <w:qFormat/>
    <w:uiPriority w:val="0"/>
    <w:pPr>
      <w:spacing w:before="156" w:beforeLines="50" w:after="156" w:afterLines="50"/>
      <w:ind w:left="525" w:leftChars="250"/>
    </w:pPr>
    <w:rPr>
      <w:rFonts w:eastAsia="仿宋"/>
    </w:rPr>
  </w:style>
  <w:style w:type="paragraph" w:customStyle="1" w:styleId="110">
    <w:name w:val="p0"/>
    <w:basedOn w:val="1"/>
    <w:qFormat/>
    <w:uiPriority w:val="0"/>
    <w:pPr>
      <w:widowControl/>
    </w:pPr>
    <w:rPr>
      <w:kern w:val="0"/>
      <w:szCs w:val="21"/>
    </w:rPr>
  </w:style>
  <w:style w:type="paragraph" w:customStyle="1" w:styleId="111">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12">
    <w:name w:val="框内容"/>
    <w:basedOn w:val="2"/>
    <w:qFormat/>
    <w:uiPriority w:val="0"/>
    <w:pPr>
      <w:suppressAutoHyphens/>
      <w:spacing w:after="120" w:line="240" w:lineRule="auto"/>
      <w:jc w:val="left"/>
    </w:pPr>
    <w:rPr>
      <w:rFonts w:eastAsia="Andale Sans UI"/>
      <w:b w:val="0"/>
      <w:bCs w:val="0"/>
      <w:kern w:val="1"/>
      <w:lang w:eastAsia="ar-SA"/>
    </w:rPr>
  </w:style>
  <w:style w:type="paragraph" w:customStyle="1" w:styleId="113">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用户目录 2"/>
    <w:basedOn w:val="44"/>
    <w:qFormat/>
    <w:uiPriority w:val="0"/>
    <w:pPr>
      <w:tabs>
        <w:tab w:val="right" w:leader="dot" w:pos="13316"/>
      </w:tabs>
      <w:ind w:left="283"/>
    </w:pPr>
  </w:style>
  <w:style w:type="paragraph" w:customStyle="1" w:styleId="115">
    <w:name w:val="列出段落1"/>
    <w:basedOn w:val="1"/>
    <w:qFormat/>
    <w:uiPriority w:val="34"/>
    <w:pPr>
      <w:ind w:firstLine="420" w:firstLineChars="200"/>
    </w:pPr>
  </w:style>
  <w:style w:type="paragraph" w:customStyle="1" w:styleId="116">
    <w:name w:val="标题 10"/>
    <w:basedOn w:val="95"/>
    <w:next w:val="2"/>
    <w:qFormat/>
    <w:uiPriority w:val="0"/>
    <w:pPr>
      <w:tabs>
        <w:tab w:val="left" w:pos="1584"/>
      </w:tabs>
      <w:outlineLvl w:val="8"/>
    </w:pPr>
    <w:rPr>
      <w:b/>
      <w:bCs/>
      <w:sz w:val="21"/>
      <w:szCs w:val="21"/>
    </w:rPr>
  </w:style>
  <w:style w:type="paragraph" w:customStyle="1" w:styleId="117">
    <w:name w:val="Normal_de126e58-3647-47cf-9594-6b7ec33136ee"/>
    <w:next w:val="3"/>
    <w:qFormat/>
    <w:uiPriority w:val="0"/>
    <w:rPr>
      <w:rFonts w:ascii="Calibri" w:hAnsi="Calibri" w:eastAsia="宋体" w:cs="Times New Roman"/>
      <w:sz w:val="21"/>
      <w:lang w:val="en-US" w:eastAsia="zh-CN" w:bidi="ar-SA"/>
    </w:rPr>
  </w:style>
  <w:style w:type="character" w:customStyle="1" w:styleId="118">
    <w:name w:val="默认段落字体1"/>
    <w:qFormat/>
    <w:uiPriority w:val="0"/>
  </w:style>
  <w:style w:type="character" w:customStyle="1" w:styleId="119">
    <w:name w:val="WW-Absatz-Standardschriftart1111"/>
    <w:qFormat/>
    <w:uiPriority w:val="0"/>
  </w:style>
  <w:style w:type="character" w:customStyle="1" w:styleId="120">
    <w:name w:val="Char Char"/>
    <w:qFormat/>
    <w:uiPriority w:val="0"/>
    <w:rPr>
      <w:rFonts w:eastAsia="Andale Sans UI"/>
      <w:kern w:val="1"/>
      <w:sz w:val="18"/>
      <w:szCs w:val="18"/>
    </w:rPr>
  </w:style>
  <w:style w:type="character" w:customStyle="1" w:styleId="121">
    <w:name w:val="WW-Absatz-Standardschriftart1111111"/>
    <w:qFormat/>
    <w:uiPriority w:val="0"/>
  </w:style>
  <w:style w:type="character" w:customStyle="1" w:styleId="122">
    <w:name w:val="标题 4 字符"/>
    <w:link w:val="6"/>
    <w:qFormat/>
    <w:uiPriority w:val="0"/>
    <w:rPr>
      <w:rFonts w:ascii="Arial" w:hAnsi="Arial" w:eastAsia="黑体"/>
      <w:b/>
      <w:bCs/>
      <w:kern w:val="2"/>
      <w:sz w:val="28"/>
      <w:szCs w:val="28"/>
      <w:lang w:val="en-US" w:eastAsia="zh-CN" w:bidi="ar-SA"/>
    </w:rPr>
  </w:style>
  <w:style w:type="character" w:customStyle="1" w:styleId="123">
    <w:name w:val="WW-Absatz-Standardschriftart"/>
    <w:qFormat/>
    <w:uiPriority w:val="0"/>
  </w:style>
  <w:style w:type="character" w:customStyle="1" w:styleId="124">
    <w:name w:val="列表段落 字符"/>
    <w:link w:val="83"/>
    <w:qFormat/>
    <w:locked/>
    <w:uiPriority w:val="0"/>
    <w:rPr>
      <w:kern w:val="2"/>
      <w:sz w:val="21"/>
      <w:szCs w:val="24"/>
    </w:rPr>
  </w:style>
  <w:style w:type="character" w:customStyle="1" w:styleId="125">
    <w:name w:val="font51"/>
    <w:qFormat/>
    <w:uiPriority w:val="0"/>
    <w:rPr>
      <w:rFonts w:hint="eastAsia" w:ascii="宋体" w:hAnsi="宋体" w:eastAsia="宋体" w:cs="宋体"/>
      <w:color w:val="000000"/>
      <w:sz w:val="24"/>
      <w:szCs w:val="24"/>
      <w:u w:val="none"/>
    </w:rPr>
  </w:style>
  <w:style w:type="character" w:customStyle="1" w:styleId="126">
    <w:name w:val="WW-Absatz-Standardschriftart1"/>
    <w:qFormat/>
    <w:uiPriority w:val="0"/>
  </w:style>
  <w:style w:type="character" w:customStyle="1" w:styleId="127">
    <w:name w:val="WW-Absatz-Standardschriftart111111111"/>
    <w:qFormat/>
    <w:uiPriority w:val="0"/>
  </w:style>
  <w:style w:type="character" w:customStyle="1" w:styleId="128">
    <w:name w:val="Absatz-Standardschriftart"/>
    <w:qFormat/>
    <w:uiPriority w:val="0"/>
  </w:style>
  <w:style w:type="character" w:customStyle="1" w:styleId="129">
    <w:name w:val="font01"/>
    <w:qFormat/>
    <w:uiPriority w:val="0"/>
    <w:rPr>
      <w:rFonts w:ascii="微软雅黑" w:hAnsi="微软雅黑" w:eastAsia="微软雅黑" w:cs="微软雅黑"/>
      <w:color w:val="000000"/>
      <w:sz w:val="22"/>
      <w:szCs w:val="22"/>
      <w:u w:val="none"/>
    </w:rPr>
  </w:style>
  <w:style w:type="character" w:customStyle="1" w:styleId="130">
    <w:name w:val="正文文本缩进 字符"/>
    <w:link w:val="18"/>
    <w:qFormat/>
    <w:uiPriority w:val="0"/>
    <w:rPr>
      <w:kern w:val="2"/>
      <w:sz w:val="21"/>
      <w:szCs w:val="24"/>
    </w:rPr>
  </w:style>
  <w:style w:type="character" w:customStyle="1" w:styleId="131">
    <w:name w:val="WW-Absatz-Standardschriftart11111"/>
    <w:qFormat/>
    <w:uiPriority w:val="0"/>
  </w:style>
  <w:style w:type="character" w:customStyle="1" w:styleId="132">
    <w:name w:val="标题 3 Char"/>
    <w:qFormat/>
    <w:uiPriority w:val="0"/>
    <w:rPr>
      <w:rFonts w:ascii="黑体" w:eastAsia="黑体"/>
      <w:bCs/>
      <w:sz w:val="30"/>
    </w:rPr>
  </w:style>
  <w:style w:type="character" w:customStyle="1" w:styleId="133">
    <w:name w:val="hover26"/>
    <w:qFormat/>
    <w:uiPriority w:val="0"/>
    <w:rPr>
      <w:color w:val="337AB7"/>
    </w:rPr>
  </w:style>
  <w:style w:type="character" w:customStyle="1" w:styleId="134">
    <w:name w:val="标题 2 字符1"/>
    <w:link w:val="4"/>
    <w:qFormat/>
    <w:uiPriority w:val="0"/>
    <w:rPr>
      <w:rFonts w:ascii="宋体" w:hAnsi="宋体"/>
      <w:b/>
      <w:sz w:val="24"/>
    </w:rPr>
  </w:style>
  <w:style w:type="character" w:customStyle="1" w:styleId="135">
    <w:name w:val="正文文本首行缩进 2 字符"/>
    <w:link w:val="49"/>
    <w:qFormat/>
    <w:uiPriority w:val="0"/>
  </w:style>
  <w:style w:type="character" w:customStyle="1" w:styleId="136">
    <w:name w:val="索引目录 主条目"/>
    <w:qFormat/>
    <w:uiPriority w:val="0"/>
    <w:rPr>
      <w:b/>
      <w:bCs/>
    </w:rPr>
  </w:style>
  <w:style w:type="character" w:customStyle="1" w:styleId="137">
    <w:name w:val="正文缩进 Char Char"/>
    <w:qFormat/>
    <w:uiPriority w:val="0"/>
    <w:rPr>
      <w:rFonts w:eastAsia="宋体"/>
      <w:kern w:val="2"/>
      <w:sz w:val="21"/>
      <w:lang w:val="en-US" w:eastAsia="zh-CN" w:bidi="ar-SA"/>
    </w:rPr>
  </w:style>
  <w:style w:type="character" w:customStyle="1" w:styleId="138">
    <w:name w:val="副标题 字符"/>
    <w:link w:val="34"/>
    <w:qFormat/>
    <w:uiPriority w:val="0"/>
    <w:rPr>
      <w:rFonts w:ascii="Cambria" w:hAnsi="Cambria"/>
      <w:b/>
      <w:bCs/>
      <w:kern w:val="28"/>
      <w:sz w:val="28"/>
      <w:szCs w:val="32"/>
    </w:rPr>
  </w:style>
  <w:style w:type="character" w:customStyle="1" w:styleId="139">
    <w:name w:val="正文缩进 字符"/>
    <w:qFormat/>
    <w:uiPriority w:val="0"/>
    <w:rPr>
      <w:rFonts w:eastAsia="宋体"/>
      <w:kern w:val="2"/>
      <w:sz w:val="21"/>
      <w:szCs w:val="24"/>
      <w:lang w:val="en-US" w:eastAsia="zh-CN" w:bidi="ar-SA"/>
    </w:rPr>
  </w:style>
  <w:style w:type="character" w:customStyle="1" w:styleId="140">
    <w:name w:val="WW-Absatz-Standardschriftart11111111"/>
    <w:qFormat/>
    <w:uiPriority w:val="0"/>
  </w:style>
  <w:style w:type="character" w:customStyle="1" w:styleId="141">
    <w:name w:val="first-child"/>
    <w:qFormat/>
    <w:uiPriority w:val="0"/>
  </w:style>
  <w:style w:type="character" w:customStyle="1" w:styleId="142">
    <w:name w:val="标题 1 字符"/>
    <w:link w:val="3"/>
    <w:qFormat/>
    <w:uiPriority w:val="0"/>
    <w:rPr>
      <w:b/>
      <w:bCs/>
      <w:color w:val="000000"/>
      <w:kern w:val="2"/>
      <w:sz w:val="28"/>
      <w:szCs w:val="28"/>
    </w:rPr>
  </w:style>
  <w:style w:type="character" w:customStyle="1" w:styleId="143">
    <w:name w:val="标题 2 字符"/>
    <w:qFormat/>
    <w:uiPriority w:val="0"/>
    <w:rPr>
      <w:rFonts w:ascii="宋体" w:hAnsi="宋体"/>
      <w:b/>
      <w:sz w:val="24"/>
    </w:rPr>
  </w:style>
  <w:style w:type="character" w:customStyle="1" w:styleId="144">
    <w:name w:val="*正文 Char"/>
    <w:link w:val="87"/>
    <w:qFormat/>
    <w:uiPriority w:val="0"/>
    <w:rPr>
      <w:rFonts w:ascii="仿宋_GB2312"/>
      <w:sz w:val="24"/>
      <w:szCs w:val="28"/>
    </w:rPr>
  </w:style>
  <w:style w:type="character" w:customStyle="1" w:styleId="145">
    <w:name w:val="Body text|1_"/>
    <w:link w:val="73"/>
    <w:qFormat/>
    <w:uiPriority w:val="0"/>
    <w:rPr>
      <w:rFonts w:ascii="宋体" w:hAnsi="宋体" w:eastAsia="宋体" w:cs="宋体"/>
      <w:color w:val="1B1415"/>
      <w:lang w:val="zh-TW" w:eastAsia="zh-TW" w:bidi="zh-TW"/>
    </w:rPr>
  </w:style>
  <w:style w:type="character" w:customStyle="1" w:styleId="146">
    <w:name w:val="纯文本 Char"/>
    <w:qFormat/>
    <w:uiPriority w:val="99"/>
    <w:rPr>
      <w:rFonts w:ascii="宋体" w:hAnsi="Courier New" w:eastAsia="宋体" w:cs="Courier New"/>
      <w:kern w:val="2"/>
      <w:sz w:val="21"/>
      <w:szCs w:val="21"/>
      <w:lang w:val="en-US" w:eastAsia="zh-CN" w:bidi="ar-SA"/>
    </w:rPr>
  </w:style>
  <w:style w:type="character" w:customStyle="1" w:styleId="147">
    <w:name w:val="hover25"/>
    <w:qFormat/>
    <w:uiPriority w:val="0"/>
    <w:rPr>
      <w:color w:val="446CB4"/>
      <w:u w:val="none"/>
      <w:bdr w:val="single" w:color="446CB4" w:sz="6" w:space="0"/>
    </w:rPr>
  </w:style>
  <w:style w:type="character" w:customStyle="1" w:styleId="148">
    <w:name w:val="正文文本 字符"/>
    <w:link w:val="2"/>
    <w:qFormat/>
    <w:uiPriority w:val="0"/>
    <w:rPr>
      <w:b/>
      <w:bCs/>
      <w:kern w:val="2"/>
      <w:sz w:val="24"/>
      <w:szCs w:val="24"/>
    </w:rPr>
  </w:style>
  <w:style w:type="character" w:customStyle="1" w:styleId="149">
    <w:name w:val="标题 3 字符"/>
    <w:link w:val="5"/>
    <w:qFormat/>
    <w:uiPriority w:val="0"/>
    <w:rPr>
      <w:rFonts w:ascii="宋体" w:hAnsi="宋体" w:eastAsia="宋体"/>
      <w:b/>
      <w:bCs/>
      <w:kern w:val="2"/>
      <w:sz w:val="28"/>
      <w:szCs w:val="32"/>
      <w:lang w:val="en-US" w:eastAsia="zh-CN" w:bidi="ar-SA"/>
    </w:rPr>
  </w:style>
  <w:style w:type="character" w:customStyle="1" w:styleId="150">
    <w:name w:val="WW-Absatz-Standardschriftart11"/>
    <w:qFormat/>
    <w:uiPriority w:val="0"/>
  </w:style>
  <w:style w:type="character" w:customStyle="1" w:styleId="151">
    <w:name w:val="font41"/>
    <w:qFormat/>
    <w:uiPriority w:val="0"/>
    <w:rPr>
      <w:rFonts w:hint="default" w:ascii="Times New Roman" w:hAnsi="Times New Roman" w:cs="Times New Roman"/>
      <w:color w:val="000000"/>
      <w:sz w:val="24"/>
      <w:szCs w:val="24"/>
      <w:u w:val="none"/>
    </w:rPr>
  </w:style>
  <w:style w:type="character" w:customStyle="1" w:styleId="152">
    <w:name w:val="普通(网站) 字符"/>
    <w:link w:val="42"/>
    <w:qFormat/>
    <w:uiPriority w:val="99"/>
    <w:rPr>
      <w:kern w:val="2"/>
      <w:sz w:val="24"/>
      <w:szCs w:val="24"/>
    </w:rPr>
  </w:style>
  <w:style w:type="character" w:customStyle="1" w:styleId="153">
    <w:name w:val="Other|1_"/>
    <w:link w:val="85"/>
    <w:qFormat/>
    <w:uiPriority w:val="0"/>
    <w:rPr>
      <w:rFonts w:ascii="宋体" w:hAnsi="宋体" w:eastAsia="宋体" w:cs="宋体"/>
      <w:color w:val="1B1415"/>
    </w:rPr>
  </w:style>
  <w:style w:type="character" w:customStyle="1" w:styleId="154">
    <w:name w:val="正文缩进 字符1"/>
    <w:link w:val="8"/>
    <w:qFormat/>
    <w:uiPriority w:val="0"/>
    <w:rPr>
      <w:rFonts w:eastAsia="宋体"/>
      <w:kern w:val="2"/>
      <w:sz w:val="21"/>
      <w:szCs w:val="24"/>
      <w:lang w:val="en-US" w:eastAsia="zh-CN" w:bidi="ar-SA"/>
    </w:rPr>
  </w:style>
  <w:style w:type="character" w:customStyle="1" w:styleId="155">
    <w:name w:val="Char Char1"/>
    <w:qFormat/>
    <w:uiPriority w:val="0"/>
    <w:rPr>
      <w:rFonts w:eastAsia="Andale Sans UI"/>
      <w:kern w:val="1"/>
      <w:sz w:val="18"/>
      <w:szCs w:val="18"/>
    </w:rPr>
  </w:style>
  <w:style w:type="character" w:customStyle="1" w:styleId="156">
    <w:name w:val="页脚 字符"/>
    <w:link w:val="29"/>
    <w:qFormat/>
    <w:uiPriority w:val="99"/>
    <w:rPr>
      <w:kern w:val="2"/>
      <w:sz w:val="18"/>
      <w:szCs w:val="18"/>
    </w:rPr>
  </w:style>
  <w:style w:type="character" w:customStyle="1" w:styleId="157">
    <w:name w:val="标书正文格式 Char"/>
    <w:link w:val="77"/>
    <w:qFormat/>
    <w:uiPriority w:val="0"/>
    <w:rPr>
      <w:sz w:val="24"/>
      <w:szCs w:val="24"/>
    </w:rPr>
  </w:style>
  <w:style w:type="character" w:customStyle="1" w:styleId="158">
    <w:name w:val="WW-Absatz-Standardschriftart1111111111"/>
    <w:qFormat/>
    <w:uiPriority w:val="0"/>
  </w:style>
  <w:style w:type="character" w:customStyle="1" w:styleId="159">
    <w:name w:val="WW-Absatz-Standardschriftart111111"/>
    <w:qFormat/>
    <w:uiPriority w:val="0"/>
  </w:style>
  <w:style w:type="character" w:customStyle="1" w:styleId="160">
    <w:name w:val="WW-Absatz-Standardschriftart111"/>
    <w:qFormat/>
    <w:uiPriority w:val="0"/>
  </w:style>
  <w:style w:type="character" w:customStyle="1" w:styleId="161">
    <w:name w:val="WW-默认段落字体"/>
    <w:qFormat/>
    <w:uiPriority w:val="0"/>
  </w:style>
  <w:style w:type="character" w:customStyle="1" w:styleId="162">
    <w:name w:val="编号字符"/>
    <w:qFormat/>
    <w:uiPriority w:val="0"/>
  </w:style>
  <w:style w:type="character" w:customStyle="1" w:styleId="163">
    <w:name w:val="h9point1"/>
    <w:qFormat/>
    <w:uiPriority w:val="0"/>
    <w:rPr>
      <w:rFonts w:hint="eastAsia" w:ascii="宋体" w:hAnsi="宋体" w:eastAsia="宋体"/>
      <w:sz w:val="18"/>
      <w:szCs w:val="18"/>
    </w:rPr>
  </w:style>
  <w:style w:type="character" w:customStyle="1" w:styleId="164">
    <w:name w:val="副标题 Char1"/>
    <w:qFormat/>
    <w:uiPriority w:val="0"/>
    <w:rPr>
      <w:rFonts w:ascii="Cambria" w:hAnsi="Cambria" w:cs="Times New Roman"/>
      <w:b/>
      <w:bCs/>
      <w:kern w:val="28"/>
      <w:sz w:val="32"/>
      <w:szCs w:val="32"/>
    </w:rPr>
  </w:style>
  <w:style w:type="character" w:customStyle="1" w:styleId="165">
    <w:name w:val="font11"/>
    <w:qFormat/>
    <w:uiPriority w:val="0"/>
    <w:rPr>
      <w:rFonts w:hint="eastAsia" w:ascii="宋体" w:hAnsi="宋体" w:eastAsia="宋体" w:cs="宋体"/>
      <w:color w:val="000000"/>
      <w:sz w:val="22"/>
      <w:szCs w:val="22"/>
      <w:u w:val="none"/>
    </w:rPr>
  </w:style>
  <w:style w:type="character" w:customStyle="1" w:styleId="166">
    <w:name w:val="layui-this"/>
    <w:qFormat/>
    <w:uiPriority w:val="0"/>
    <w:rPr>
      <w:bdr w:val="single" w:color="EEEEEE" w:sz="6" w:space="0"/>
      <w:shd w:val="clear" w:color="auto" w:fill="FFFFFF"/>
    </w:rPr>
  </w:style>
  <w:style w:type="table" w:customStyle="1" w:styleId="167">
    <w:name w:val="网格型1"/>
    <w:basedOn w:val="5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69">
    <w:name w:val="Table caption|1"/>
    <w:basedOn w:val="1"/>
    <w:qFormat/>
    <w:uiPriority w:val="0"/>
    <w:rPr>
      <w:rFonts w:ascii="宋体" w:hAnsi="宋体" w:cs="宋体"/>
      <w:sz w:val="19"/>
      <w:szCs w:val="19"/>
      <w:lang w:val="zh-TW" w:eastAsia="zh-TW" w:bidi="zh-TW"/>
    </w:rPr>
  </w:style>
  <w:style w:type="paragraph" w:customStyle="1" w:styleId="170">
    <w:name w:val="Header or footer|1"/>
    <w:basedOn w:val="1"/>
    <w:qFormat/>
    <w:uiPriority w:val="0"/>
    <w:rPr>
      <w:sz w:val="19"/>
      <w:szCs w:val="19"/>
    </w:rPr>
  </w:style>
  <w:style w:type="paragraph" w:customStyle="1" w:styleId="171">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czj</Company>
  <Pages>53</Pages>
  <Words>29182</Words>
  <Characters>30625</Characters>
  <Lines>34</Lines>
  <Paragraphs>63</Paragraphs>
  <TotalTime>2</TotalTime>
  <ScaleCrop>false</ScaleCrop>
  <LinksUpToDate>false</LinksUpToDate>
  <CharactersWithSpaces>31790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2019-11-02T15:24:00Z</dcterms:created>
  <dc:creator>thsware</dc:creator>
  <cp:lastModifiedBy>zhou-招标审核</cp:lastModifiedBy>
  <cp:lastPrinted>2024-07-11T22:03:00Z</cp:lastPrinted>
  <dcterms:modified xsi:type="dcterms:W3CDTF">2026-03-20T01:47:38Z</dcterms:modified>
  <dc:title>政府采购工程施工公开招标文件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65510C677E7F4187925C5CC48642055F_13</vt:lpwstr>
  </property>
  <property fmtid="{D5CDD505-2E9C-101B-9397-08002B2CF9AE}" pid="4" name="KSOTemplateDocerSaveRecord">
    <vt:lpwstr>eyJoZGlkIjoiNWZhYjE4NTljNDU5ZDY2ZmEwNDkyNTYzZWU2YjhiZTMiLCJ1c2VySWQiOiI2OTA4MDc4MzQifQ==</vt:lpwstr>
  </property>
</Properties>
</file>