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contextualSpacing/>
        <w:jc w:val="both"/>
        <w:rPr>
          <w:rFonts w:hint="eastAsia" w:ascii="方正小标宋简体" w:eastAsia="方正小标宋简体"/>
          <w:sz w:val="44"/>
          <w:szCs w:val="44"/>
          <w:lang w:val="en-US" w:eastAsia="zh-CN"/>
        </w:rPr>
      </w:pPr>
      <w:bookmarkStart w:id="1" w:name="_GoBack"/>
      <w:bookmarkEnd w:id="1"/>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pPr>
        <w:spacing w:line="560" w:lineRule="exact"/>
        <w:contextualSpacing/>
        <w:jc w:val="center"/>
        <w:rPr>
          <w:rFonts w:hint="eastAsia" w:ascii="方正小标宋简体" w:eastAsia="方正小标宋简体"/>
          <w:sz w:val="44"/>
          <w:szCs w:val="44"/>
          <w:lang w:val="en-US" w:eastAsia="zh-CN"/>
        </w:rPr>
      </w:pPr>
    </w:p>
    <w:p>
      <w:pPr>
        <w:spacing w:line="560" w:lineRule="exact"/>
        <w:contextualSpacing/>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2026-2027年</w:t>
      </w:r>
      <w:r>
        <w:rPr>
          <w:rFonts w:hint="eastAsia" w:ascii="方正小标宋简体" w:eastAsia="方正小标宋简体"/>
          <w:sz w:val="44"/>
          <w:szCs w:val="44"/>
        </w:rPr>
        <w:t>盐田区统计调查</w:t>
      </w:r>
      <w:r>
        <w:rPr>
          <w:rFonts w:hint="eastAsia" w:ascii="方正小标宋简体" w:eastAsia="方正小标宋简体"/>
          <w:sz w:val="44"/>
          <w:szCs w:val="44"/>
          <w:lang w:eastAsia="zh-CN"/>
        </w:rPr>
        <w:t>数据采集审核项目需求书</w:t>
      </w:r>
    </w:p>
    <w:p>
      <w:pPr>
        <w:spacing w:line="560" w:lineRule="exact"/>
        <w:contextualSpacing/>
        <w:jc w:val="center"/>
        <w:rPr>
          <w:rFonts w:hint="eastAsia" w:ascii="方正小标宋简体" w:eastAsia="方正小标宋简体"/>
          <w:sz w:val="44"/>
          <w:szCs w:val="44"/>
        </w:rPr>
      </w:pPr>
    </w:p>
    <w:p>
      <w:pPr>
        <w:snapToGrid w:val="0"/>
        <w:spacing w:line="560" w:lineRule="exact"/>
        <w:ind w:firstLine="640" w:firstLineChars="200"/>
        <w:rPr>
          <w:rFonts w:hint="eastAsia" w:ascii="黑体" w:hAnsi="黑体" w:eastAsia="黑体" w:cs="黑体"/>
          <w:szCs w:val="32"/>
        </w:rPr>
      </w:pPr>
      <w:r>
        <w:rPr>
          <w:rFonts w:hint="eastAsia" w:ascii="黑体" w:hAnsi="黑体" w:eastAsia="黑体" w:cs="黑体"/>
          <w:szCs w:val="32"/>
        </w:rPr>
        <w:t>一、项目内容</w:t>
      </w:r>
    </w:p>
    <w:p>
      <w:pPr>
        <w:snapToGrid w:val="0"/>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严格按照</w:t>
      </w:r>
      <w:r>
        <w:rPr>
          <w:rFonts w:hint="eastAsia" w:ascii="仿宋_GB2312" w:hAnsi="仿宋_GB2312" w:cs="仿宋_GB2312"/>
          <w:szCs w:val="32"/>
          <w:lang w:eastAsia="zh-CN"/>
        </w:rPr>
        <w:t>《中华人民共和国民法典》</w:t>
      </w:r>
      <w:r>
        <w:rPr>
          <w:rFonts w:hint="eastAsia" w:ascii="仿宋_GB2312" w:hAnsi="仿宋_GB2312" w:cs="仿宋_GB2312"/>
          <w:szCs w:val="32"/>
        </w:rPr>
        <w:t>《中华人民共和国统计法》《深圳经济特区统计条例》等有关规定、国家统计局报表制度要求，开展以下工作。</w:t>
      </w:r>
    </w:p>
    <w:p>
      <w:pPr>
        <w:snapToGrid w:val="0"/>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1.协助开展辖区</w:t>
      </w:r>
      <w:r>
        <w:rPr>
          <w:rFonts w:hint="eastAsia" w:ascii="仿宋_GB2312" w:hAnsi="仿宋_GB2312" w:cs="仿宋_GB2312"/>
          <w:szCs w:val="32"/>
          <w:lang w:eastAsia="zh-CN"/>
        </w:rPr>
        <w:t>部分</w:t>
      </w:r>
      <w:r>
        <w:rPr>
          <w:rFonts w:hint="eastAsia" w:ascii="仿宋_GB2312" w:hAnsi="仿宋_GB2312" w:cs="仿宋_GB2312"/>
          <w:szCs w:val="32"/>
        </w:rPr>
        <w:t>“四上”企业（约</w:t>
      </w:r>
      <w:r>
        <w:rPr>
          <w:rFonts w:hint="eastAsia" w:ascii="仿宋_GB2312" w:hAnsi="仿宋_GB2312" w:cs="仿宋_GB2312"/>
          <w:szCs w:val="32"/>
          <w:lang w:val="en-US" w:eastAsia="zh-CN"/>
        </w:rPr>
        <w:t>880</w:t>
      </w:r>
      <w:r>
        <w:rPr>
          <w:rFonts w:hint="eastAsia" w:ascii="仿宋_GB2312" w:hAnsi="仿宋_GB2312" w:cs="仿宋_GB2312"/>
          <w:szCs w:val="32"/>
        </w:rPr>
        <w:t>家</w:t>
      </w:r>
      <w:r>
        <w:rPr>
          <w:rFonts w:hint="eastAsia" w:ascii="仿宋_GB2312" w:hAnsi="仿宋_GB2312" w:cs="仿宋_GB2312"/>
          <w:szCs w:val="32"/>
          <w:lang w:eastAsia="zh-CN"/>
        </w:rPr>
        <w:t>）、固投项目（约</w:t>
      </w:r>
      <w:r>
        <w:rPr>
          <w:rFonts w:hint="eastAsia" w:ascii="仿宋_GB2312" w:hAnsi="仿宋_GB2312" w:cs="仿宋_GB2312"/>
          <w:szCs w:val="32"/>
          <w:lang w:val="en-US" w:eastAsia="zh-CN"/>
        </w:rPr>
        <w:t>100个</w:t>
      </w:r>
      <w:r>
        <w:rPr>
          <w:rFonts w:hint="eastAsia" w:ascii="仿宋_GB2312" w:hAnsi="仿宋_GB2312" w:cs="仿宋_GB2312"/>
          <w:szCs w:val="32"/>
        </w:rPr>
        <w:t>）一套表数据采集工作，敦促企业建立</w:t>
      </w:r>
      <w:r>
        <w:rPr>
          <w:rFonts w:hint="eastAsia" w:ascii="仿宋_GB2312" w:hAnsi="仿宋_GB2312" w:cs="仿宋_GB2312"/>
          <w:szCs w:val="32"/>
          <w:lang w:eastAsia="zh-CN"/>
        </w:rPr>
        <w:t>并完善电子统计</w:t>
      </w:r>
      <w:r>
        <w:rPr>
          <w:rFonts w:hint="eastAsia" w:ascii="仿宋_GB2312" w:hAnsi="仿宋_GB2312" w:cs="仿宋_GB2312"/>
          <w:szCs w:val="32"/>
        </w:rPr>
        <w:t>台账、按时报送统计报表，审核报表数据。</w:t>
      </w:r>
    </w:p>
    <w:p>
      <w:pPr>
        <w:snapToGrid w:val="0"/>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负责各专业统计报表，含工业、能源、科技、固定资产投资、建筑业、房地产业、商业、服务业、劳动工资</w:t>
      </w:r>
      <w:r>
        <w:rPr>
          <w:rFonts w:hint="eastAsia" w:ascii="仿宋_GB2312" w:hAnsi="仿宋_GB2312" w:cs="仿宋_GB2312"/>
          <w:szCs w:val="32"/>
          <w:lang w:eastAsia="zh-CN"/>
        </w:rPr>
        <w:t>、行政事业单位</w:t>
      </w:r>
      <w:r>
        <w:rPr>
          <w:rFonts w:hint="eastAsia" w:ascii="仿宋_GB2312" w:hAnsi="仿宋_GB2312" w:cs="仿宋_GB2312"/>
          <w:szCs w:val="32"/>
        </w:rPr>
        <w:t>等国家一套表、广东省统计网等所有联网直报“四上”企业数据的催报、审核、查询业务。</w:t>
      </w:r>
    </w:p>
    <w:p>
      <w:pPr>
        <w:snapToGrid w:val="0"/>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2.协助开展</w:t>
      </w:r>
      <w:r>
        <w:rPr>
          <w:rFonts w:hint="eastAsia" w:ascii="仿宋_GB2312" w:hAnsi="仿宋_GB2312" w:cs="仿宋_GB2312"/>
          <w:szCs w:val="32"/>
          <w:lang w:eastAsia="zh-CN"/>
        </w:rPr>
        <w:t>辖区</w:t>
      </w:r>
      <w:r>
        <w:rPr>
          <w:rFonts w:hint="eastAsia" w:ascii="仿宋_GB2312" w:hAnsi="仿宋_GB2312" w:cs="仿宋_GB2312"/>
          <w:szCs w:val="32"/>
        </w:rPr>
        <w:t>规下样本企业（约</w:t>
      </w:r>
      <w:r>
        <w:rPr>
          <w:rFonts w:hint="eastAsia" w:ascii="仿宋_GB2312" w:hAnsi="仿宋_GB2312" w:cs="仿宋_GB2312"/>
          <w:szCs w:val="32"/>
          <w:lang w:val="en-US" w:eastAsia="zh-CN"/>
        </w:rPr>
        <w:t>8</w:t>
      </w:r>
      <w:r>
        <w:rPr>
          <w:rFonts w:hint="eastAsia" w:ascii="仿宋_GB2312" w:hAnsi="仿宋_GB2312" w:cs="仿宋_GB2312"/>
          <w:szCs w:val="32"/>
        </w:rPr>
        <w:t>0家）、</w:t>
      </w:r>
      <w:r>
        <w:rPr>
          <w:rFonts w:hint="eastAsia" w:ascii="仿宋_GB2312" w:hAnsi="仿宋_GB2312" w:cs="仿宋_GB2312"/>
          <w:szCs w:val="32"/>
          <w:lang w:eastAsia="zh-CN"/>
        </w:rPr>
        <w:t>规下劳动工资年报（约</w:t>
      </w:r>
      <w:r>
        <w:rPr>
          <w:rFonts w:hint="eastAsia" w:ascii="仿宋_GB2312" w:hAnsi="仿宋_GB2312" w:cs="仿宋_GB2312"/>
          <w:szCs w:val="32"/>
          <w:lang w:val="en-US" w:eastAsia="zh-CN"/>
        </w:rPr>
        <w:t>180家</w:t>
      </w:r>
      <w:r>
        <w:rPr>
          <w:rFonts w:hint="eastAsia" w:ascii="仿宋_GB2312" w:hAnsi="仿宋_GB2312" w:cs="仿宋_GB2312"/>
          <w:szCs w:val="32"/>
          <w:lang w:eastAsia="zh-CN"/>
        </w:rPr>
        <w:t>）、</w:t>
      </w:r>
      <w:r>
        <w:rPr>
          <w:rFonts w:hint="eastAsia" w:ascii="仿宋_GB2312" w:hAnsi="仿宋_GB2312" w:cs="仿宋_GB2312"/>
          <w:szCs w:val="32"/>
        </w:rPr>
        <w:t>临时性调查问卷的数据采集、审核、查询等工作。</w:t>
      </w:r>
    </w:p>
    <w:p>
      <w:pPr>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负责主要行业生产经营情况调查、统计调查等各项一套表中的出现临时性调查问卷的催报、查询及审核，</w:t>
      </w:r>
      <w:r>
        <w:rPr>
          <w:rFonts w:hint="eastAsia" w:ascii="仿宋_GB2312" w:hAnsi="仿宋_GB2312" w:cs="仿宋_GB2312"/>
          <w:szCs w:val="32"/>
          <w:lang w:eastAsia="zh-CN"/>
        </w:rPr>
        <w:t>规下劳动工资统计年报表，</w:t>
      </w:r>
      <w:r>
        <w:rPr>
          <w:rFonts w:hint="eastAsia" w:ascii="仿宋_GB2312" w:hAnsi="仿宋_GB2312" w:cs="仿宋_GB2312"/>
          <w:szCs w:val="32"/>
        </w:rPr>
        <w:t>“四下”工业、服务业、商业、私营单位、</w:t>
      </w:r>
      <w:r>
        <w:rPr>
          <w:rFonts w:hint="eastAsia" w:ascii="仿宋_GB2312" w:hAnsi="仿宋_GB2312" w:cs="仿宋_GB2312"/>
          <w:szCs w:val="32"/>
          <w:lang w:eastAsia="zh-CN"/>
        </w:rPr>
        <w:t>建筑业、小微企业</w:t>
      </w:r>
      <w:r>
        <w:rPr>
          <w:rFonts w:hint="eastAsia" w:ascii="仿宋_GB2312" w:hAnsi="仿宋_GB2312" w:cs="仿宋_GB2312"/>
          <w:szCs w:val="32"/>
        </w:rPr>
        <w:t>等调查表或问卷的收集、录入和审核。</w:t>
      </w:r>
    </w:p>
    <w:p>
      <w:pPr>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3.协助开展</w:t>
      </w:r>
      <w:r>
        <w:rPr>
          <w:rFonts w:hint="eastAsia" w:ascii="仿宋_GB2312" w:hAnsi="仿宋_GB2312" w:cs="仿宋_GB2312"/>
          <w:szCs w:val="32"/>
          <w:lang w:eastAsia="zh-CN"/>
        </w:rPr>
        <w:t>辖区</w:t>
      </w:r>
      <w:r>
        <w:rPr>
          <w:rFonts w:hint="eastAsia" w:ascii="仿宋_GB2312" w:hAnsi="仿宋_GB2312" w:cs="仿宋_GB2312"/>
          <w:szCs w:val="32"/>
        </w:rPr>
        <w:t>“四下转四上”企业达标入库工作</w:t>
      </w:r>
      <w:r>
        <w:rPr>
          <w:rFonts w:hint="eastAsia" w:ascii="仿宋_GB2312" w:hAnsi="仿宋_GB2312" w:cs="仿宋_GB2312"/>
          <w:szCs w:val="32"/>
          <w:lang w:eastAsia="zh-CN"/>
        </w:rPr>
        <w:t>、固定资产投资项目入库工作</w:t>
      </w:r>
      <w:r>
        <w:rPr>
          <w:rFonts w:hint="eastAsia" w:ascii="仿宋_GB2312" w:hAnsi="仿宋_GB2312" w:cs="仿宋_GB2312"/>
          <w:szCs w:val="32"/>
        </w:rPr>
        <w:t>；协助了解企业经营和项目投资动向，掌握盐田区企业迁入迁出、新注册成立企业情况。</w:t>
      </w:r>
    </w:p>
    <w:p>
      <w:pPr>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负责统计平台的数据更新与维护，基本单位名录库维护、一套表单位变动、单位清查等；负责固定资产投资项目的入库纳统工作。</w:t>
      </w:r>
    </w:p>
    <w:p>
      <w:pPr>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4.为企业提供良好的统计服务，同时做好统计法制宣讲，按照国家档案管理的规定完善统计台帐（包括统计资料的存档、保管、移交），协助做好统计违法行为查处等工作。</w:t>
      </w:r>
    </w:p>
    <w:p>
      <w:pPr>
        <w:spacing w:line="560" w:lineRule="exact"/>
        <w:ind w:firstLine="640" w:firstLineChars="200"/>
        <w:rPr>
          <w:rFonts w:hint="eastAsia" w:ascii="仿宋_GB2312" w:hAnsi="仿宋_GB2312" w:cs="仿宋_GB2312"/>
          <w:szCs w:val="32"/>
        </w:rPr>
      </w:pPr>
      <w:r>
        <w:rPr>
          <w:rFonts w:hint="eastAsia" w:ascii="黑体" w:hAnsi="黑体" w:eastAsia="黑体" w:cs="黑体"/>
          <w:szCs w:val="32"/>
        </w:rPr>
        <w:t>二、</w:t>
      </w:r>
      <w:r>
        <w:rPr>
          <w:rFonts w:hint="eastAsia" w:ascii="黑体" w:hAnsi="黑体" w:eastAsia="黑体" w:cs="黑体"/>
          <w:szCs w:val="32"/>
          <w:lang w:eastAsia="zh-CN"/>
        </w:rPr>
        <w:t>服务时间</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202</w:t>
      </w:r>
      <w:r>
        <w:rPr>
          <w:rFonts w:hint="eastAsia" w:ascii="仿宋_GB2312" w:hAnsi="仿宋_GB2312" w:cs="仿宋_GB2312"/>
          <w:szCs w:val="32"/>
          <w:lang w:val="en-US" w:eastAsia="zh-CN"/>
        </w:rPr>
        <w:t>6</w:t>
      </w:r>
      <w:r>
        <w:rPr>
          <w:rFonts w:hint="eastAsia" w:ascii="仿宋_GB2312" w:hAnsi="仿宋_GB2312" w:cs="仿宋_GB2312"/>
          <w:szCs w:val="32"/>
        </w:rPr>
        <w:t>年6月至202</w:t>
      </w:r>
      <w:r>
        <w:rPr>
          <w:rFonts w:hint="eastAsia" w:ascii="仿宋_GB2312" w:hAnsi="仿宋_GB2312" w:cs="仿宋_GB2312"/>
          <w:szCs w:val="32"/>
          <w:lang w:val="en-US" w:eastAsia="zh-CN"/>
        </w:rPr>
        <w:t>7</w:t>
      </w:r>
      <w:r>
        <w:rPr>
          <w:rFonts w:hint="eastAsia" w:ascii="仿宋_GB2312" w:hAnsi="仿宋_GB2312" w:cs="仿宋_GB2312"/>
          <w:szCs w:val="32"/>
        </w:rPr>
        <w:t>年6月</w:t>
      </w:r>
      <w:r>
        <w:rPr>
          <w:rFonts w:hint="eastAsia" w:ascii="仿宋_GB2312" w:hAnsi="仿宋_GB2312" w:cs="仿宋_GB2312"/>
          <w:szCs w:val="32"/>
          <w:lang w:eastAsia="zh-CN"/>
        </w:rPr>
        <w:t>，具体起始日期以合同签订日为准</w:t>
      </w:r>
      <w:r>
        <w:rPr>
          <w:rFonts w:hint="eastAsia" w:ascii="仿宋_GB2312" w:hAnsi="仿宋_GB2312" w:cs="仿宋_GB2312"/>
          <w:szCs w:val="32"/>
        </w:rPr>
        <w:t>。</w:t>
      </w:r>
    </w:p>
    <w:p>
      <w:pPr>
        <w:spacing w:line="560" w:lineRule="exact"/>
        <w:ind w:firstLine="640" w:firstLineChars="200"/>
        <w:rPr>
          <w:rFonts w:hint="eastAsia" w:ascii="黑体" w:hAnsi="黑体" w:eastAsia="黑体" w:cs="黑体"/>
          <w:szCs w:val="32"/>
        </w:rPr>
      </w:pPr>
      <w:r>
        <w:rPr>
          <w:rFonts w:hint="eastAsia" w:ascii="黑体" w:hAnsi="黑体" w:eastAsia="黑体" w:cs="黑体"/>
          <w:szCs w:val="32"/>
        </w:rPr>
        <w:t>三、项目要求</w:t>
      </w:r>
    </w:p>
    <w:p>
      <w:pPr>
        <w:spacing w:line="560" w:lineRule="exact"/>
        <w:ind w:firstLine="640" w:firstLineChars="200"/>
        <w:rPr>
          <w:rFonts w:hint="eastAsia" w:ascii="仿宋_GB2312" w:hAnsi="仿宋_GB2312" w:cs="仿宋_GB2312"/>
          <w:szCs w:val="32"/>
          <w:lang w:val="en-US" w:eastAsia="zh-CN"/>
        </w:rPr>
      </w:pPr>
      <w:r>
        <w:rPr>
          <w:rFonts w:hint="eastAsia" w:ascii="仿宋_GB2312" w:hAnsi="仿宋_GB2312" w:cs="仿宋_GB2312"/>
          <w:szCs w:val="32"/>
          <w:lang w:val="en-US" w:eastAsia="zh-CN"/>
        </w:rPr>
        <w:t>1.项目负责人安排：</w:t>
      </w:r>
    </w:p>
    <w:p>
      <w:pPr>
        <w:spacing w:line="560" w:lineRule="exact"/>
        <w:ind w:firstLine="640" w:firstLineChars="200"/>
        <w:rPr>
          <w:rFonts w:hint="eastAsia" w:ascii="仿宋_GB2312" w:hAnsi="仿宋_GB2312" w:cs="仿宋_GB2312"/>
          <w:szCs w:val="32"/>
          <w:lang w:val="en-US" w:eastAsia="zh-CN"/>
        </w:rPr>
      </w:pPr>
      <w:r>
        <w:rPr>
          <w:rFonts w:hint="eastAsia" w:ascii="仿宋_GB2312" w:hAnsi="仿宋_GB2312" w:cs="仿宋_GB2312"/>
          <w:szCs w:val="32"/>
          <w:lang w:val="en-US" w:eastAsia="zh-CN"/>
        </w:rPr>
        <w:t>（1）安排最少</w:t>
      </w:r>
      <w:r>
        <w:rPr>
          <w:rFonts w:hint="default" w:ascii="仿宋_GB2312" w:hAnsi="仿宋_GB2312" w:cs="仿宋_GB2312"/>
          <w:szCs w:val="32"/>
          <w:lang w:val="en" w:eastAsia="zh-CN"/>
        </w:rPr>
        <w:t>6</w:t>
      </w:r>
      <w:r>
        <w:rPr>
          <w:rFonts w:hint="eastAsia" w:ascii="仿宋_GB2312" w:hAnsi="仿宋_GB2312" w:cs="仿宋_GB2312"/>
          <w:szCs w:val="32"/>
          <w:lang w:val="en-US" w:eastAsia="zh-CN"/>
        </w:rPr>
        <w:t>名固定员工负责本项目的工作。</w:t>
      </w:r>
    </w:p>
    <w:p>
      <w:pPr>
        <w:spacing w:line="560" w:lineRule="exact"/>
        <w:ind w:firstLine="640" w:firstLineChars="200"/>
        <w:rPr>
          <w:rFonts w:hint="eastAsia" w:ascii="仿宋_GB2312" w:hAnsi="仿宋_GB2312" w:cs="仿宋_GB2312"/>
          <w:szCs w:val="32"/>
          <w:lang w:val="en-US" w:eastAsia="zh-CN"/>
        </w:rPr>
      </w:pPr>
      <w:r>
        <w:rPr>
          <w:rFonts w:hint="eastAsia" w:ascii="仿宋_GB2312" w:hAnsi="仿宋_GB2312" w:cs="仿宋_GB2312"/>
          <w:szCs w:val="32"/>
          <w:lang w:val="en-US" w:eastAsia="zh-CN"/>
        </w:rPr>
        <w:t>（2）对本项目应设置AB角，A角为项目工作主要承担人，B角在A角缺位时及时替补A角，以及工作任务紧急时协助A角。</w:t>
      </w:r>
    </w:p>
    <w:p>
      <w:pPr>
        <w:spacing w:line="560" w:lineRule="exact"/>
        <w:ind w:firstLine="640" w:firstLineChars="200"/>
        <w:rPr>
          <w:rFonts w:hint="eastAsia" w:ascii="仿宋_GB2312" w:hAnsi="仿宋_GB2312" w:cs="仿宋_GB2312"/>
          <w:szCs w:val="32"/>
          <w:lang w:val="en-US" w:eastAsia="zh-CN"/>
        </w:rPr>
      </w:pPr>
      <w:r>
        <w:rPr>
          <w:rFonts w:hint="eastAsia" w:ascii="仿宋_GB2312" w:hAnsi="仿宋_GB2312" w:cs="仿宋_GB2312"/>
          <w:szCs w:val="32"/>
          <w:lang w:val="en-US" w:eastAsia="zh-CN"/>
        </w:rPr>
        <w:t>（3）保障所安排的员工参加与本委托项目有关的统计业务培训，认真学习和掌握国家、广东省、深圳市统计部门制定的相关统计报表制度的要求。</w:t>
      </w:r>
    </w:p>
    <w:p>
      <w:pPr>
        <w:spacing w:line="560" w:lineRule="exact"/>
        <w:ind w:firstLine="640" w:firstLineChars="200"/>
        <w:rPr>
          <w:rFonts w:hint="eastAsia" w:ascii="仿宋_GB2312" w:hAnsi="仿宋_GB2312" w:cs="仿宋_GB2312"/>
          <w:szCs w:val="32"/>
          <w:lang w:val="en-US" w:eastAsia="zh-CN"/>
        </w:rPr>
      </w:pPr>
      <w:r>
        <w:rPr>
          <w:rFonts w:hint="eastAsia" w:ascii="仿宋_GB2312" w:hAnsi="仿宋_GB2312" w:cs="仿宋_GB2312"/>
          <w:szCs w:val="32"/>
          <w:lang w:val="en-US" w:eastAsia="zh-CN"/>
        </w:rPr>
        <w:t>（4）对项目工作人员设置奖惩机制。</w:t>
      </w:r>
    </w:p>
    <w:p>
      <w:pPr>
        <w:spacing w:line="560" w:lineRule="exact"/>
        <w:ind w:firstLine="640" w:firstLineChars="200"/>
        <w:rPr>
          <w:rFonts w:hint="eastAsia" w:ascii="仿宋_GB2312" w:hAnsi="仿宋_GB2312" w:cs="仿宋_GB2312"/>
          <w:szCs w:val="32"/>
          <w:lang w:val="en-US" w:eastAsia="zh-CN"/>
        </w:rPr>
      </w:pPr>
      <w:r>
        <w:rPr>
          <w:rFonts w:hint="eastAsia" w:ascii="仿宋_GB2312" w:hAnsi="仿宋_GB2312" w:cs="仿宋_GB2312"/>
          <w:szCs w:val="32"/>
          <w:lang w:val="en-US" w:eastAsia="zh-CN"/>
        </w:rPr>
        <w:t>2.催报初审：</w:t>
      </w:r>
    </w:p>
    <w:p>
      <w:pPr>
        <w:spacing w:line="560" w:lineRule="exact"/>
        <w:ind w:firstLine="640" w:firstLineChars="200"/>
        <w:rPr>
          <w:rFonts w:hint="eastAsia" w:ascii="仿宋_GB2312" w:hAnsi="仿宋_GB2312" w:cs="仿宋_GB2312"/>
          <w:szCs w:val="32"/>
          <w:lang w:val="en-US" w:eastAsia="zh-CN"/>
        </w:rPr>
      </w:pPr>
      <w:r>
        <w:rPr>
          <w:rFonts w:hint="eastAsia" w:ascii="仿宋_GB2312" w:hAnsi="仿宋_GB2312" w:cs="仿宋_GB2312"/>
          <w:szCs w:val="32"/>
          <w:lang w:val="en-US" w:eastAsia="zh-CN"/>
        </w:rPr>
        <w:t>（1）对所负责企业单位必须在报表填报期限内逐一通知到位，确保企业知悉并按时保质，通过一套表网上填报方式，填报相关统计报表制度规定上报的所有报表，包括国家统计局在一套表系统临时增加的报表或问卷。</w:t>
      </w:r>
    </w:p>
    <w:p>
      <w:pPr>
        <w:spacing w:line="560" w:lineRule="exact"/>
        <w:ind w:firstLine="640" w:firstLineChars="200"/>
        <w:rPr>
          <w:rFonts w:hint="eastAsia" w:ascii="仿宋_GB2312" w:hAnsi="仿宋_GB2312" w:cs="仿宋_GB2312"/>
          <w:szCs w:val="32"/>
          <w:lang w:val="en-US" w:eastAsia="zh-CN"/>
        </w:rPr>
      </w:pPr>
      <w:r>
        <w:rPr>
          <w:rFonts w:hint="eastAsia" w:ascii="仿宋_GB2312" w:hAnsi="仿宋_GB2312" w:cs="仿宋_GB2312"/>
          <w:szCs w:val="32"/>
          <w:lang w:val="en-US" w:eastAsia="zh-CN"/>
        </w:rPr>
        <w:t>（2）负责监督统计调查对象执行统计报表制度要求，指导统计调查对象填报统计报表，解答在填报过程中遇到的疑难问题，如用户安全证书下载、安装，登录、使用网上直报系统等问题。</w:t>
      </w:r>
    </w:p>
    <w:p>
      <w:pPr>
        <w:spacing w:line="560" w:lineRule="exact"/>
        <w:ind w:firstLine="640" w:firstLineChars="200"/>
        <w:rPr>
          <w:rFonts w:hint="eastAsia" w:ascii="仿宋_GB2312" w:hAnsi="仿宋_GB2312" w:cs="仿宋_GB2312"/>
          <w:szCs w:val="32"/>
          <w:lang w:val="en-US" w:eastAsia="zh-CN"/>
        </w:rPr>
      </w:pPr>
      <w:r>
        <w:rPr>
          <w:rFonts w:hint="eastAsia" w:ascii="仿宋_GB2312" w:hAnsi="仿宋_GB2312" w:cs="仿宋_GB2312"/>
          <w:szCs w:val="32"/>
          <w:lang w:val="en-US" w:eastAsia="zh-CN"/>
        </w:rPr>
        <w:t>（3）负责按照设置的查询模板对企业填报的数据进行初步审核，必须跟企业核实数据的准确性，如发现企业填错数据，务必敦促企业及时修改。当企业填报数据出现较大波动时，了解数据异常的原因以及企业相关经营、业务变动情况，按照专业要求将核实情况以台帐的形式及时反馈，反馈时间分别为报表上报期中期及上报期结束后一天内。对市级及以上统计机构临时下发的查询文件，反馈时间按市级及上级统计机构要求的时间最少提前2小时。</w:t>
      </w:r>
    </w:p>
    <w:p>
      <w:pPr>
        <w:spacing w:line="560" w:lineRule="exact"/>
        <w:ind w:firstLine="640" w:firstLineChars="200"/>
        <w:rPr>
          <w:rFonts w:hint="eastAsia" w:ascii="仿宋_GB2312" w:hAnsi="仿宋_GB2312" w:cs="仿宋_GB2312"/>
          <w:szCs w:val="32"/>
          <w:lang w:val="en-US" w:eastAsia="zh-CN"/>
        </w:rPr>
      </w:pPr>
      <w:r>
        <w:rPr>
          <w:rFonts w:hint="eastAsia" w:ascii="仿宋_GB2312" w:hAnsi="仿宋_GB2312" w:cs="仿宋_GB2312"/>
          <w:szCs w:val="32"/>
          <w:lang w:val="en-US" w:eastAsia="zh-CN"/>
        </w:rPr>
        <w:t>（4）汇总掌握每期各企业上报时间、配合程度等情况，建立企业信用等级库，不需提醒或催一次立刻上报的高度配合企业核定为一类企业，需催一次以上并按承诺时间上报的中度配合企业核定为二类企业，需要反复催报或更换统计员的核定为三类企业。等级库每月更新一次，要结合信用度对不同类型企业采取不同的催报方式和催报频率。</w:t>
      </w:r>
    </w:p>
    <w:p>
      <w:pPr>
        <w:spacing w:line="560" w:lineRule="exact"/>
        <w:ind w:firstLine="640" w:firstLineChars="200"/>
        <w:rPr>
          <w:rFonts w:hint="eastAsia" w:ascii="仿宋_GB2312" w:hAnsi="仿宋_GB2312" w:cs="仿宋_GB2312"/>
          <w:szCs w:val="32"/>
          <w:lang w:val="en-US" w:eastAsia="zh-CN"/>
        </w:rPr>
      </w:pPr>
      <w:r>
        <w:rPr>
          <w:rFonts w:hint="eastAsia" w:ascii="仿宋_GB2312" w:hAnsi="仿宋_GB2312" w:cs="仿宋_GB2312"/>
          <w:szCs w:val="32"/>
          <w:lang w:val="en-US" w:eastAsia="zh-CN"/>
        </w:rPr>
        <w:t>（5）汇总掌握每月各企业动态信息，包括：企业统计员变更、企业关停并转、数据经常出问题的企业等各项信息，每月报表上报结束后3日内书面反馈给我中心相关专业人员。</w:t>
      </w:r>
    </w:p>
    <w:p>
      <w:pPr>
        <w:spacing w:line="560" w:lineRule="exact"/>
        <w:ind w:firstLine="640" w:firstLineChars="200"/>
        <w:rPr>
          <w:rFonts w:hint="eastAsia" w:ascii="仿宋_GB2312" w:hAnsi="仿宋_GB2312" w:cs="仿宋_GB2312"/>
          <w:szCs w:val="32"/>
          <w:lang w:val="en-US" w:eastAsia="zh-CN"/>
        </w:rPr>
      </w:pPr>
      <w:r>
        <w:rPr>
          <w:rFonts w:hint="eastAsia" w:ascii="仿宋_GB2312" w:hAnsi="仿宋_GB2312" w:cs="仿宋_GB2312"/>
          <w:szCs w:val="32"/>
          <w:lang w:val="en-US" w:eastAsia="zh-CN"/>
        </w:rPr>
        <w:t>（6）每月对各专业企业总量10%的企业开展统计数据检查，确保所有企业每年至少抽查一次，每季度将数据检查情况书面反馈我中心相关专业人员。</w:t>
      </w:r>
    </w:p>
    <w:p>
      <w:pPr>
        <w:spacing w:line="560" w:lineRule="exact"/>
        <w:ind w:firstLine="640" w:firstLineChars="200"/>
        <w:rPr>
          <w:rFonts w:hint="eastAsia" w:ascii="仿宋_GB2312" w:hAnsi="仿宋_GB2312" w:cs="仿宋_GB2312"/>
          <w:szCs w:val="32"/>
          <w:lang w:val="en-US" w:eastAsia="zh-CN"/>
        </w:rPr>
      </w:pPr>
      <w:r>
        <w:rPr>
          <w:rFonts w:hint="eastAsia" w:ascii="仿宋_GB2312" w:hAnsi="仿宋_GB2312" w:cs="仿宋_GB2312"/>
          <w:szCs w:val="32"/>
          <w:lang w:val="en-US" w:eastAsia="zh-CN"/>
        </w:rPr>
        <w:t>（7）按照国家、广东省、深圳市统计部门要求，协助企业建立统计数据台账，每半年对企业数据台账进行全面检查，并将检查情况书面反馈我中心相关专业人员。</w:t>
      </w:r>
    </w:p>
    <w:p>
      <w:pPr>
        <w:spacing w:line="560" w:lineRule="exact"/>
        <w:ind w:firstLine="640" w:firstLineChars="200"/>
        <w:rPr>
          <w:rFonts w:hint="eastAsia" w:ascii="仿宋_GB2312" w:hAnsi="仿宋_GB2312" w:cs="仿宋_GB2312"/>
          <w:szCs w:val="32"/>
          <w:lang w:val="en-US" w:eastAsia="zh-CN"/>
        </w:rPr>
      </w:pPr>
      <w:r>
        <w:rPr>
          <w:rFonts w:hint="eastAsia" w:ascii="仿宋_GB2312" w:hAnsi="仿宋_GB2312" w:cs="仿宋_GB2312"/>
          <w:szCs w:val="32"/>
          <w:lang w:val="en-US" w:eastAsia="zh-CN"/>
        </w:rPr>
        <w:t>3.抽样调查：</w:t>
      </w:r>
    </w:p>
    <w:p>
      <w:pPr>
        <w:spacing w:line="560" w:lineRule="exact"/>
        <w:ind w:firstLine="640" w:firstLineChars="200"/>
        <w:rPr>
          <w:rFonts w:hint="eastAsia" w:ascii="仿宋_GB2312" w:hAnsi="仿宋_GB2312" w:cs="仿宋_GB2312"/>
          <w:szCs w:val="32"/>
          <w:lang w:val="en-US" w:eastAsia="zh-CN"/>
        </w:rPr>
      </w:pPr>
      <w:r>
        <w:rPr>
          <w:rFonts w:hint="eastAsia" w:ascii="仿宋_GB2312" w:hAnsi="仿宋_GB2312" w:cs="仿宋_GB2312"/>
          <w:szCs w:val="32"/>
          <w:lang w:val="en-US" w:eastAsia="zh-CN"/>
        </w:rPr>
        <w:t>（1）对所负责的抽样调查样本，在报表期的季末一周内（不能提前）派发调查表，收集调查表后进行初审、评估，按一套表系统（或“四下”企业抽样调查联网直报系统）要求截止的时间提前两天完成录入、汇总、评估，如上级统计机构对调查方式及完成时限有要求变更，按上级统计机构的最新要求为准。其中规下服务业抽样调查完成方式及时间按上级统计机构要求为准，审核标准及工作内容依照第二条第2点催报初审执行。</w:t>
      </w:r>
    </w:p>
    <w:p>
      <w:pPr>
        <w:spacing w:line="560" w:lineRule="exact"/>
        <w:ind w:firstLine="640" w:firstLineChars="200"/>
        <w:rPr>
          <w:rFonts w:hint="eastAsia" w:ascii="仿宋_GB2312" w:hAnsi="仿宋_GB2312" w:cs="仿宋_GB2312"/>
          <w:szCs w:val="32"/>
          <w:lang w:val="en-US" w:eastAsia="zh-CN"/>
        </w:rPr>
      </w:pPr>
      <w:r>
        <w:rPr>
          <w:rFonts w:hint="eastAsia" w:ascii="仿宋_GB2312" w:hAnsi="仿宋_GB2312" w:cs="仿宋_GB2312"/>
          <w:szCs w:val="32"/>
          <w:lang w:val="en-US" w:eastAsia="zh-CN"/>
        </w:rPr>
        <w:t>（2）负责对样本单位填报的数据进行真实性、准确性评估，如有数据波动大的样本，核实数据真实性，掌握波动原因，并做说明。</w:t>
      </w:r>
    </w:p>
    <w:p>
      <w:pPr>
        <w:spacing w:line="560" w:lineRule="exact"/>
        <w:ind w:firstLine="640" w:firstLineChars="200"/>
        <w:rPr>
          <w:rFonts w:hint="eastAsia" w:ascii="仿宋_GB2312" w:hAnsi="仿宋_GB2312" w:cs="仿宋_GB2312"/>
          <w:szCs w:val="32"/>
          <w:lang w:val="en-US" w:eastAsia="zh-CN"/>
        </w:rPr>
      </w:pPr>
      <w:r>
        <w:rPr>
          <w:rFonts w:hint="eastAsia" w:ascii="仿宋_GB2312" w:hAnsi="仿宋_GB2312" w:cs="仿宋_GB2312"/>
          <w:szCs w:val="32"/>
          <w:lang w:val="en-US" w:eastAsia="zh-CN"/>
        </w:rPr>
        <w:t>（3）负责及时了解样本单位数据异常的原因及业务变动情况，按照专业要求将核实情况以台帐的形式及时反馈给甲方，反馈时间分别为报表上报期中及上报期结束后一天内。对市级及以上统计机构下发的查询文件，反馈时间按市级及上级统计机构要求执行。</w:t>
      </w:r>
    </w:p>
    <w:p>
      <w:pPr>
        <w:spacing w:line="560" w:lineRule="exact"/>
        <w:ind w:firstLine="640" w:firstLineChars="200"/>
        <w:rPr>
          <w:rFonts w:hint="eastAsia" w:ascii="仿宋_GB2312" w:hAnsi="仿宋_GB2312" w:cs="仿宋_GB2312"/>
          <w:szCs w:val="32"/>
          <w:lang w:val="en-US" w:eastAsia="zh-CN"/>
        </w:rPr>
      </w:pPr>
      <w:r>
        <w:rPr>
          <w:rFonts w:hint="eastAsia" w:ascii="仿宋_GB2312" w:hAnsi="仿宋_GB2312" w:cs="仿宋_GB2312"/>
          <w:szCs w:val="32"/>
          <w:lang w:val="en-US" w:eastAsia="zh-CN"/>
        </w:rPr>
        <w:t>（4）调查问卷需由调查对象签字(盖章)确认，乙方不能代替调查对象填报问卷。对于关停倒闭的样本单位，需及时告知甲方，并按上级统计机构的相关要求填好更换样本申请表，经批准后更换样本。未经上级统计机构批准不得私自更换调查样本。</w:t>
      </w:r>
    </w:p>
    <w:p>
      <w:pPr>
        <w:spacing w:line="560" w:lineRule="exact"/>
        <w:ind w:firstLine="640" w:firstLineChars="200"/>
        <w:rPr>
          <w:rFonts w:hint="eastAsia" w:ascii="仿宋_GB2312" w:hAnsi="仿宋_GB2312" w:cs="仿宋_GB2312"/>
          <w:szCs w:val="32"/>
          <w:lang w:val="en-US" w:eastAsia="zh-CN"/>
        </w:rPr>
      </w:pPr>
      <w:r>
        <w:rPr>
          <w:rFonts w:hint="eastAsia" w:ascii="仿宋_GB2312" w:hAnsi="仿宋_GB2312" w:cs="仿宋_GB2312"/>
          <w:szCs w:val="32"/>
          <w:lang w:val="en-US" w:eastAsia="zh-CN"/>
        </w:rPr>
        <w:t>（5）调查催报和审核工作结束后5日内书面反馈调查中遇到的困难，数据变动较大的原因等。</w:t>
      </w:r>
    </w:p>
    <w:p>
      <w:pPr>
        <w:spacing w:line="560" w:lineRule="exact"/>
        <w:ind w:firstLine="640" w:firstLineChars="200"/>
        <w:rPr>
          <w:rFonts w:hint="eastAsia" w:ascii="仿宋_GB2312" w:hAnsi="仿宋_GB2312" w:cs="仿宋_GB2312"/>
          <w:szCs w:val="32"/>
          <w:lang w:val="en-US" w:eastAsia="zh-CN"/>
        </w:rPr>
      </w:pPr>
      <w:r>
        <w:rPr>
          <w:rFonts w:hint="eastAsia" w:ascii="仿宋_GB2312" w:hAnsi="仿宋_GB2312" w:cs="仿宋_GB2312"/>
          <w:szCs w:val="32"/>
          <w:lang w:val="en-US" w:eastAsia="zh-CN"/>
        </w:rPr>
        <w:t>（6）每季度对各专业样本总量30%的单位开展统计数据检查，确保所有样本单位每年至少抽查一次，每半年将数据检查情况书面反馈我中心相关专业人员。</w:t>
      </w:r>
    </w:p>
    <w:p>
      <w:pPr>
        <w:spacing w:line="560" w:lineRule="exact"/>
        <w:ind w:firstLine="640" w:firstLineChars="200"/>
        <w:rPr>
          <w:rFonts w:hint="eastAsia" w:ascii="仿宋_GB2312" w:hAnsi="仿宋_GB2312" w:cs="仿宋_GB2312"/>
          <w:szCs w:val="32"/>
          <w:lang w:val="en-US" w:eastAsia="zh-CN"/>
        </w:rPr>
      </w:pPr>
      <w:r>
        <w:rPr>
          <w:rFonts w:hint="eastAsia" w:ascii="仿宋_GB2312" w:hAnsi="仿宋_GB2312" w:cs="仿宋_GB2312"/>
          <w:szCs w:val="32"/>
          <w:lang w:val="en-US" w:eastAsia="zh-CN"/>
        </w:rPr>
        <w:t>4.统计入库：按国家统计局相关要求，在规定时期内将相关资料收集齐全、录入系统，成功入库数量以经国家统计局批准最后成功入库数为准。</w:t>
      </w:r>
    </w:p>
    <w:p>
      <w:pPr>
        <w:spacing w:line="560" w:lineRule="exact"/>
        <w:ind w:firstLine="640" w:firstLineChars="200"/>
        <w:rPr>
          <w:rFonts w:hint="eastAsia" w:ascii="仿宋_GB2312" w:hAnsi="仿宋_GB2312" w:cs="仿宋_GB2312"/>
          <w:szCs w:val="32"/>
          <w:lang w:val="en-US" w:eastAsia="zh-CN"/>
        </w:rPr>
      </w:pPr>
      <w:r>
        <w:rPr>
          <w:rFonts w:hint="eastAsia" w:ascii="仿宋_GB2312" w:hAnsi="仿宋_GB2312" w:cs="仿宋_GB2312"/>
          <w:szCs w:val="32"/>
          <w:lang w:val="en-US" w:eastAsia="zh-CN"/>
        </w:rPr>
        <w:t>5.协助开展临时性调查、企业调研、统计法宣传等工作。</w:t>
      </w:r>
    </w:p>
    <w:p>
      <w:pPr>
        <w:spacing w:line="560" w:lineRule="exact"/>
        <w:ind w:firstLine="640" w:firstLineChars="200"/>
        <w:rPr>
          <w:rFonts w:hint="eastAsia" w:ascii="仿宋_GB2312" w:hAnsi="仿宋_GB2312" w:cs="仿宋_GB2312"/>
          <w:szCs w:val="32"/>
          <w:lang w:val="en-US" w:eastAsia="zh-CN"/>
        </w:rPr>
      </w:pPr>
      <w:r>
        <w:rPr>
          <w:rFonts w:hint="eastAsia" w:ascii="仿宋_GB2312" w:hAnsi="仿宋_GB2312" w:cs="仿宋_GB2312"/>
          <w:szCs w:val="32"/>
          <w:lang w:val="en-US" w:eastAsia="zh-CN"/>
        </w:rPr>
        <w:t>6.按相关文件及各专业工作的规范要求，负责按时保质保量完成本合同委托的工作，并对其可靠性、准确性及由此产生的结果负责。</w:t>
      </w:r>
    </w:p>
    <w:p>
      <w:pPr>
        <w:spacing w:line="560" w:lineRule="exact"/>
        <w:ind w:firstLine="640" w:firstLineChars="200"/>
        <w:rPr>
          <w:rFonts w:hint="eastAsia" w:ascii="仿宋_GB2312" w:hAnsi="仿宋_GB2312" w:eastAsia="黑体" w:cs="仿宋_GB2312"/>
          <w:szCs w:val="32"/>
          <w:lang w:eastAsia="zh-CN"/>
        </w:rPr>
      </w:pPr>
      <w:r>
        <w:rPr>
          <w:rFonts w:hint="eastAsia" w:ascii="黑体" w:hAnsi="黑体" w:eastAsia="黑体" w:cs="黑体"/>
          <w:szCs w:val="32"/>
          <w:lang w:eastAsia="zh-CN"/>
        </w:rPr>
        <w:t>四、报价限额</w:t>
      </w:r>
    </w:p>
    <w:p>
      <w:pPr>
        <w:spacing w:line="560" w:lineRule="exact"/>
        <w:ind w:firstLine="640" w:firstLineChars="200"/>
        <w:rPr>
          <w:rFonts w:hint="eastAsia" w:ascii="仿宋_GB2312" w:hAnsi="仿宋_GB2312" w:cs="仿宋_GB2312"/>
          <w:color w:val="auto"/>
          <w:sz w:val="32"/>
          <w:szCs w:val="32"/>
          <w:highlight w:val="none"/>
          <w:lang w:eastAsia="zh-CN"/>
        </w:rPr>
      </w:pPr>
      <w:r>
        <w:rPr>
          <w:rFonts w:hint="eastAsia" w:ascii="仿宋_GB2312" w:hAnsi="仿宋_GB2312" w:cs="仿宋_GB2312"/>
          <w:szCs w:val="32"/>
          <w:lang w:val="en-US" w:eastAsia="zh-CN"/>
        </w:rPr>
        <w:t>最高限价95.62万元，</w:t>
      </w:r>
      <w:r>
        <w:rPr>
          <w:rFonts w:hint="eastAsia" w:ascii="仿宋_GB2312" w:hAnsi="仿宋_GB2312" w:cs="仿宋_GB2312"/>
          <w:szCs w:val="32"/>
        </w:rPr>
        <w:t>项目费用按照项目单价及验收合格的实际委托单位数，据实结算。</w:t>
      </w:r>
      <w:r>
        <w:rPr>
          <w:rFonts w:hint="eastAsia" w:ascii="仿宋_GB2312" w:hAnsi="仿宋_GB2312" w:eastAsia="仿宋_GB2312" w:cs="仿宋_GB2312"/>
          <w:b/>
          <w:bCs/>
          <w:color w:val="auto"/>
          <w:sz w:val="32"/>
          <w:szCs w:val="32"/>
          <w:highlight w:val="none"/>
          <w:lang w:eastAsia="zh-CN"/>
        </w:rPr>
        <w:t>项目报价表</w:t>
      </w:r>
      <w:r>
        <w:rPr>
          <w:rFonts w:hint="eastAsia" w:ascii="仿宋_GB2312" w:hAnsi="仿宋_GB2312" w:eastAsia="仿宋_GB2312" w:cs="仿宋_GB2312"/>
          <w:color w:val="auto"/>
          <w:sz w:val="32"/>
          <w:szCs w:val="32"/>
          <w:highlight w:val="none"/>
        </w:rPr>
        <w:t>需</w:t>
      </w:r>
      <w:r>
        <w:rPr>
          <w:rFonts w:hint="eastAsia" w:ascii="仿宋_GB2312" w:hAnsi="仿宋_GB2312" w:cs="仿宋_GB2312"/>
          <w:color w:val="auto"/>
          <w:sz w:val="32"/>
          <w:szCs w:val="32"/>
          <w:highlight w:val="none"/>
          <w:lang w:val="en-US" w:eastAsia="zh-CN"/>
        </w:rPr>
        <w:t>参考</w:t>
      </w:r>
      <w:r>
        <w:rPr>
          <w:rFonts w:hint="eastAsia" w:ascii="仿宋_GB2312" w:hAnsi="仿宋_GB2312" w:eastAsia="仿宋_GB2312" w:cs="仿宋_GB2312"/>
          <w:color w:val="auto"/>
          <w:sz w:val="32"/>
          <w:szCs w:val="32"/>
          <w:highlight w:val="none"/>
          <w:lang w:eastAsia="zh-CN"/>
        </w:rPr>
        <w:t>下表</w:t>
      </w:r>
      <w:r>
        <w:rPr>
          <w:rFonts w:hint="eastAsia" w:ascii="仿宋_GB2312" w:hAnsi="仿宋_GB2312" w:cs="仿宋_GB2312"/>
          <w:color w:val="auto"/>
          <w:sz w:val="32"/>
          <w:szCs w:val="32"/>
          <w:highlight w:val="none"/>
          <w:lang w:val="en-US" w:eastAsia="zh-CN"/>
        </w:rPr>
        <w:t>工作量及控制单价</w:t>
      </w:r>
      <w:r>
        <w:rPr>
          <w:rFonts w:hint="eastAsia" w:ascii="仿宋_GB2312" w:hAnsi="仿宋_GB2312" w:cs="仿宋_GB2312"/>
          <w:color w:val="auto"/>
          <w:sz w:val="32"/>
          <w:szCs w:val="32"/>
          <w:highlight w:val="none"/>
          <w:lang w:eastAsia="zh-CN"/>
        </w:rPr>
        <w:t>。</w:t>
      </w:r>
    </w:p>
    <w:p>
      <w:pPr>
        <w:spacing w:line="560" w:lineRule="exact"/>
        <w:ind w:firstLine="640" w:firstLineChars="200"/>
        <w:rPr>
          <w:rFonts w:hint="eastAsia" w:ascii="仿宋_GB2312" w:hAnsi="仿宋_GB2312" w:cs="仿宋_GB2312"/>
          <w:color w:val="auto"/>
          <w:sz w:val="32"/>
          <w:szCs w:val="32"/>
          <w:highlight w:val="none"/>
          <w:lang w:eastAsia="zh-CN"/>
        </w:rPr>
      </w:pPr>
    </w:p>
    <w:p>
      <w:pPr>
        <w:spacing w:line="560" w:lineRule="exact"/>
        <w:ind w:firstLine="640" w:firstLineChars="200"/>
        <w:rPr>
          <w:rFonts w:hint="eastAsia" w:ascii="仿宋_GB2312" w:hAnsi="仿宋_GB2312" w:cs="仿宋_GB2312"/>
          <w:color w:val="auto"/>
          <w:sz w:val="32"/>
          <w:szCs w:val="32"/>
          <w:highlight w:val="none"/>
          <w:lang w:eastAsia="zh-CN"/>
        </w:rPr>
      </w:pPr>
    </w:p>
    <w:tbl>
      <w:tblPr>
        <w:tblStyle w:val="15"/>
        <w:tblW w:w="90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
        <w:gridCol w:w="1895"/>
        <w:gridCol w:w="1978"/>
        <w:gridCol w:w="998"/>
        <w:gridCol w:w="1058"/>
        <w:gridCol w:w="1404"/>
        <w:gridCol w:w="12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blHeader/>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序号</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委托项目</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内容</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项目类型</w:t>
            </w:r>
          </w:p>
        </w:tc>
        <w:tc>
          <w:tcPr>
            <w:tcW w:w="105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预计</w:t>
            </w:r>
          </w:p>
          <w:p>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工作量</w:t>
            </w:r>
          </w:p>
        </w:tc>
        <w:tc>
          <w:tcPr>
            <w:tcW w:w="140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控制单价</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控制价格（元）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规下工业、限下商业、规下服务业抽样调查</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催报、回访、报表审核、处理标记和反馈查询及相关辅助性工作</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70元/家•季</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规上工业、限上商业、规上服务业、房地产、建筑业统计报表</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催报、初审以及相关辅助性工作</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月度、年度</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880</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70元/家•月</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739,200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固定资产投资统计报表</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催报、初审以及相关辅助性工作</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月度、年度</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70元/家•月</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机关事业单位劳资报表</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催报、初审以及相关辅助性工作</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70元/家•季</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规下劳资报表</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催报、初审以及相关辅助性工作</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70元/家•年</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四上单位入库</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摸查及收集入库所需相关资料</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210元/家•年</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固定资产投资入库</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摸查及收集入库所需相关资料</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210元/家•年</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7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控制总价</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956,200</w:t>
            </w:r>
          </w:p>
        </w:tc>
      </w:tr>
    </w:tbl>
    <w:p>
      <w:pPr>
        <w:spacing w:line="560" w:lineRule="exact"/>
        <w:ind w:firstLine="640" w:firstLineChars="200"/>
        <w:rPr>
          <w:rFonts w:hint="eastAsia" w:ascii="仿宋_GB2312" w:hAnsi="仿宋_GB2312" w:eastAsia="黑体" w:cs="仿宋_GB2312"/>
          <w:szCs w:val="32"/>
          <w:lang w:eastAsia="zh-CN"/>
        </w:rPr>
      </w:pPr>
      <w:r>
        <w:rPr>
          <w:rFonts w:hint="eastAsia" w:ascii="黑体" w:hAnsi="黑体" w:eastAsia="黑体" w:cs="黑体"/>
          <w:szCs w:val="32"/>
          <w:lang w:eastAsia="zh-CN"/>
        </w:rPr>
        <w:t>五</w:t>
      </w:r>
      <w:r>
        <w:rPr>
          <w:rFonts w:hint="eastAsia" w:ascii="黑体" w:hAnsi="黑体" w:eastAsia="黑体" w:cs="黑体"/>
          <w:szCs w:val="32"/>
        </w:rPr>
        <w:t>、</w:t>
      </w:r>
      <w:r>
        <w:rPr>
          <w:rFonts w:hint="eastAsia" w:ascii="黑体" w:hAnsi="黑体" w:eastAsia="黑体" w:cs="黑体"/>
          <w:szCs w:val="32"/>
          <w:lang w:eastAsia="zh-CN"/>
        </w:rPr>
        <w:t>供应商资质要求</w:t>
      </w:r>
    </w:p>
    <w:p>
      <w:pPr>
        <w:spacing w:line="560" w:lineRule="exact"/>
        <w:ind w:firstLine="640" w:firstLineChars="200"/>
        <w:rPr>
          <w:rFonts w:hint="eastAsia" w:ascii="仿宋_GB2312" w:hAnsi="仿宋_GB2312" w:eastAsia="仿宋_GB2312" w:cs="仿宋_GB2312"/>
          <w:szCs w:val="32"/>
          <w:lang w:eastAsia="zh-CN"/>
        </w:rPr>
      </w:pPr>
      <w:r>
        <w:rPr>
          <w:rFonts w:hint="eastAsia" w:ascii="仿宋_GB2312" w:hAnsi="仿宋_GB2312" w:cs="仿宋_GB2312"/>
          <w:szCs w:val="32"/>
        </w:rPr>
        <w:t>（一）符合</w:t>
      </w:r>
      <w:r>
        <w:rPr>
          <w:rFonts w:hint="eastAsia" w:ascii="仿宋_GB2312" w:hAnsi="仿宋_GB2312" w:cs="仿宋_GB2312"/>
          <w:szCs w:val="32"/>
          <w:lang w:eastAsia="zh-CN"/>
        </w:rPr>
        <w:t>采购相关条例中</w:t>
      </w:r>
      <w:r>
        <w:rPr>
          <w:rFonts w:hint="eastAsia" w:ascii="仿宋_GB2312" w:hAnsi="仿宋_GB2312" w:cs="仿宋_GB2312"/>
          <w:szCs w:val="32"/>
        </w:rPr>
        <w:t>供应商资格规定，具有本项目经营范围；在中国境内注册的独立法人或其他组织（提供营业执照、事业法人证书、社会团体法人登记证书等扫描件），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w:t>
      </w:r>
      <w:r>
        <w:rPr>
          <w:rFonts w:hint="eastAsia" w:ascii="仿宋_GB2312" w:hAnsi="仿宋_GB2312" w:cs="仿宋_GB2312"/>
          <w:szCs w:val="32"/>
          <w:lang w:eastAsia="zh-CN"/>
        </w:rPr>
        <w:t>。</w:t>
      </w:r>
    </w:p>
    <w:p>
      <w:pPr>
        <w:spacing w:line="560" w:lineRule="exact"/>
        <w:ind w:firstLine="640" w:firstLineChars="200"/>
        <w:rPr>
          <w:rFonts w:hint="eastAsia" w:ascii="仿宋_GB2312" w:hAnsi="仿宋_GB2312" w:eastAsia="仿宋_GB2312" w:cs="仿宋_GB2312"/>
          <w:szCs w:val="32"/>
          <w:lang w:eastAsia="zh-CN"/>
        </w:rPr>
      </w:pPr>
      <w:r>
        <w:rPr>
          <w:rFonts w:hint="eastAsia" w:ascii="仿宋_GB2312" w:hAnsi="仿宋_GB2312" w:cs="仿宋_GB2312"/>
          <w:szCs w:val="32"/>
        </w:rPr>
        <w:t>（二）参与本项目投标近三年内（供应商成立不足三年的可从成立之日起算），在经营活动中没有重大违法记录以及不存在被有关部门禁止参与政府采购活动且在有效期内的情况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_GB2312" w:cs="仿宋_GB2312"/>
          <w:szCs w:val="32"/>
          <w:lang w:eastAsia="zh-CN"/>
        </w:rPr>
        <w:t>，投标人在“信用中国”“国家企业信用信息公示系统”等公开网站查询，无不良信用记录（包括但不限于失信被执行人、重大税收违法失信主体、政府采购严重违法失信行为记录等）。</w:t>
      </w:r>
    </w:p>
    <w:p>
      <w:pPr>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三）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同时参加本项目的采购活动。</w:t>
      </w:r>
    </w:p>
    <w:p>
      <w:pPr>
        <w:spacing w:line="560" w:lineRule="exact"/>
        <w:ind w:firstLine="640" w:firstLineChars="200"/>
        <w:rPr>
          <w:rFonts w:hint="eastAsia" w:ascii="黑体" w:hAnsi="黑体" w:eastAsia="黑体" w:cs="黑体"/>
          <w:szCs w:val="32"/>
        </w:rPr>
      </w:pPr>
      <w:r>
        <w:rPr>
          <w:rFonts w:hint="eastAsia" w:ascii="黑体" w:hAnsi="黑体" w:eastAsia="黑体" w:cs="黑体"/>
          <w:szCs w:val="32"/>
          <w:lang w:eastAsia="zh-CN"/>
        </w:rPr>
        <w:t>六</w:t>
      </w:r>
      <w:r>
        <w:rPr>
          <w:rFonts w:hint="eastAsia" w:ascii="黑体" w:hAnsi="黑体" w:eastAsia="黑体" w:cs="黑体"/>
          <w:szCs w:val="32"/>
        </w:rPr>
        <w:t>、选定供应商方法</w:t>
      </w:r>
    </w:p>
    <w:p>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综合评分法。</w:t>
      </w:r>
    </w:p>
    <w:p>
      <w:pPr>
        <w:spacing w:line="560" w:lineRule="exact"/>
        <w:ind w:firstLine="640" w:firstLineChars="200"/>
        <w:rPr>
          <w:rFonts w:hint="eastAsia" w:ascii="黑体" w:hAnsi="黑体" w:eastAsia="黑体" w:cs="黑体"/>
          <w:szCs w:val="32"/>
        </w:rPr>
      </w:pPr>
      <w:r>
        <w:rPr>
          <w:rFonts w:hint="eastAsia" w:ascii="黑体" w:hAnsi="黑体" w:eastAsia="黑体" w:cs="黑体"/>
          <w:szCs w:val="32"/>
        </w:rPr>
        <w:t>七、评分要求</w:t>
      </w:r>
    </w:p>
    <w:p>
      <w:pPr>
        <w:spacing w:line="560" w:lineRule="exact"/>
        <w:ind w:firstLine="640"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（一）评分规则</w:t>
      </w:r>
    </w:p>
    <w:p>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采取综合评分标准，平均分最高的投标人为本项目中标人。提交报价文件要求</w:t>
      </w:r>
    </w:p>
    <w:p>
      <w:pPr>
        <w:pStyle w:val="28"/>
        <w:spacing w:line="560" w:lineRule="exact"/>
        <w:ind w:firstLine="640" w:firstLineChars="200"/>
        <w:rPr>
          <w:rFonts w:hint="eastAsia" w:ascii="楷体_GB2312" w:hAnsi="楷体_GB2312" w:eastAsia="楷体_GB2312" w:cs="楷体_GB2312"/>
          <w:b w:val="0"/>
          <w:bCs/>
          <w:color w:val="auto"/>
          <w:sz w:val="32"/>
          <w:szCs w:val="32"/>
          <w:highlight w:val="none"/>
        </w:rPr>
      </w:pPr>
    </w:p>
    <w:p>
      <w:pPr>
        <w:pStyle w:val="28"/>
        <w:spacing w:line="560" w:lineRule="exact"/>
        <w:ind w:firstLine="640" w:firstLineChars="200"/>
        <w:rPr>
          <w:rFonts w:hint="eastAsia" w:ascii="楷体_GB2312" w:hAnsi="楷体_GB2312" w:eastAsia="楷体_GB2312" w:cs="楷体_GB2312"/>
          <w:b w:val="0"/>
          <w:bCs/>
          <w:color w:val="auto"/>
          <w:sz w:val="32"/>
          <w:szCs w:val="32"/>
          <w:highlight w:val="none"/>
        </w:rPr>
      </w:pPr>
    </w:p>
    <w:p>
      <w:pPr>
        <w:pStyle w:val="28"/>
        <w:spacing w:line="560" w:lineRule="exact"/>
        <w:ind w:firstLine="640" w:firstLineChars="200"/>
        <w:rPr>
          <w:rFonts w:hint="eastAsia" w:ascii="楷体_GB2312" w:hAnsi="楷体_GB2312" w:eastAsia="楷体_GB2312" w:cs="楷体_GB2312"/>
          <w:b w:val="0"/>
          <w:bCs/>
          <w:color w:val="auto"/>
          <w:sz w:val="32"/>
          <w:szCs w:val="32"/>
          <w:highlight w:val="none"/>
          <w:lang w:eastAsia="zh-CN"/>
        </w:rPr>
      </w:pPr>
      <w:r>
        <w:rPr>
          <w:rFonts w:hint="eastAsia" w:ascii="楷体_GB2312" w:hAnsi="楷体_GB2312" w:eastAsia="楷体_GB2312" w:cs="楷体_GB2312"/>
          <w:b w:val="0"/>
          <w:bCs/>
          <w:color w:val="auto"/>
          <w:sz w:val="32"/>
          <w:szCs w:val="32"/>
          <w:highlight w:val="none"/>
        </w:rPr>
        <w:t>（二）评分权重</w:t>
      </w:r>
    </w:p>
    <w:tbl>
      <w:tblPr>
        <w:tblStyle w:val="15"/>
        <w:tblW w:w="89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1224"/>
        <w:gridCol w:w="1562"/>
        <w:gridCol w:w="1513"/>
        <w:gridCol w:w="1453"/>
        <w:gridCol w:w="1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477" w:type="dxa"/>
            <w:tcBorders>
              <w:top w:val="single" w:color="auto" w:sz="4" w:space="0"/>
              <w:left w:val="single" w:color="auto" w:sz="4" w:space="0"/>
              <w:bottom w:val="single" w:color="auto" w:sz="4" w:space="0"/>
              <w:right w:val="single" w:color="auto" w:sz="4" w:space="0"/>
            </w:tcBorders>
            <w:noWrap w:val="0"/>
            <w:vAlign w:val="top"/>
          </w:tcPr>
          <w:p>
            <w:pPr>
              <w:pStyle w:val="28"/>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b w:val="0"/>
                <w:bCs/>
                <w:color w:val="auto"/>
                <w:szCs w:val="24"/>
                <w:highlight w:val="none"/>
              </w:rPr>
            </w:pPr>
            <w:r>
              <w:rPr>
                <w:rFonts w:hint="eastAsia" w:ascii="仿宋_GB2312" w:hAnsi="仿宋_GB2312" w:eastAsia="仿宋_GB2312" w:cs="仿宋_GB2312"/>
                <w:b w:val="0"/>
                <w:bCs/>
                <w:color w:val="auto"/>
                <w:szCs w:val="24"/>
                <w:highlight w:val="none"/>
              </w:rPr>
              <w:t>评分内容</w:t>
            </w:r>
          </w:p>
        </w:tc>
        <w:tc>
          <w:tcPr>
            <w:tcW w:w="1224" w:type="dxa"/>
            <w:tcBorders>
              <w:top w:val="single" w:color="auto" w:sz="4" w:space="0"/>
              <w:left w:val="single" w:color="auto" w:sz="4" w:space="0"/>
              <w:bottom w:val="single" w:color="auto" w:sz="4" w:space="0"/>
              <w:right w:val="single" w:color="auto" w:sz="4" w:space="0"/>
            </w:tcBorders>
            <w:noWrap w:val="0"/>
            <w:vAlign w:val="top"/>
          </w:tcPr>
          <w:p>
            <w:pPr>
              <w:pStyle w:val="28"/>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b w:val="0"/>
                <w:bCs/>
                <w:color w:val="auto"/>
                <w:szCs w:val="24"/>
                <w:highlight w:val="none"/>
                <w:lang w:eastAsia="zh-CN"/>
              </w:rPr>
            </w:pPr>
            <w:r>
              <w:rPr>
                <w:rFonts w:hint="eastAsia" w:ascii="仿宋_GB2312" w:hAnsi="仿宋_GB2312" w:eastAsia="仿宋_GB2312" w:cs="仿宋_GB2312"/>
                <w:b w:val="0"/>
                <w:bCs/>
                <w:color w:val="auto"/>
                <w:szCs w:val="24"/>
                <w:highlight w:val="none"/>
              </w:rPr>
              <w:t>报价</w:t>
            </w:r>
          </w:p>
        </w:tc>
        <w:tc>
          <w:tcPr>
            <w:tcW w:w="1562" w:type="dxa"/>
            <w:tcBorders>
              <w:top w:val="single" w:color="auto" w:sz="4" w:space="0"/>
              <w:left w:val="single" w:color="auto" w:sz="4" w:space="0"/>
              <w:bottom w:val="single" w:color="auto" w:sz="4" w:space="0"/>
              <w:right w:val="single" w:color="auto" w:sz="4" w:space="0"/>
            </w:tcBorders>
            <w:noWrap w:val="0"/>
            <w:vAlign w:val="top"/>
          </w:tcPr>
          <w:p>
            <w:pPr>
              <w:pStyle w:val="28"/>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b w:val="0"/>
                <w:bCs/>
                <w:color w:val="auto"/>
                <w:szCs w:val="24"/>
                <w:highlight w:val="none"/>
                <w:lang w:eastAsia="zh-CN"/>
              </w:rPr>
            </w:pPr>
            <w:r>
              <w:rPr>
                <w:rFonts w:hint="eastAsia" w:ascii="仿宋_GB2312" w:hAnsi="仿宋_GB2312" w:cs="仿宋_GB2312"/>
                <w:b w:val="0"/>
                <w:bCs/>
                <w:color w:val="auto"/>
                <w:szCs w:val="24"/>
                <w:highlight w:val="none"/>
                <w:lang w:eastAsia="zh-CN"/>
              </w:rPr>
              <w:t>服务能力</w:t>
            </w:r>
          </w:p>
        </w:tc>
        <w:tc>
          <w:tcPr>
            <w:tcW w:w="1513" w:type="dxa"/>
            <w:tcBorders>
              <w:top w:val="single" w:color="auto" w:sz="4" w:space="0"/>
              <w:left w:val="single" w:color="auto" w:sz="4" w:space="0"/>
              <w:bottom w:val="single" w:color="auto" w:sz="4" w:space="0"/>
              <w:right w:val="single" w:color="auto" w:sz="4" w:space="0"/>
            </w:tcBorders>
            <w:noWrap w:val="0"/>
            <w:vAlign w:val="top"/>
          </w:tcPr>
          <w:p>
            <w:pPr>
              <w:pStyle w:val="28"/>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b w:val="0"/>
                <w:bCs/>
                <w:color w:val="auto"/>
                <w:szCs w:val="24"/>
                <w:highlight w:val="none"/>
                <w:lang w:eastAsia="zh-CN"/>
              </w:rPr>
            </w:pPr>
            <w:r>
              <w:rPr>
                <w:rFonts w:hint="eastAsia" w:ascii="仿宋_GB2312" w:hAnsi="仿宋_GB2312" w:cs="仿宋_GB2312"/>
                <w:b w:val="0"/>
                <w:bCs/>
                <w:color w:val="auto"/>
                <w:szCs w:val="24"/>
                <w:highlight w:val="none"/>
                <w:lang w:eastAsia="zh-CN"/>
              </w:rPr>
              <w:t>实施方案</w:t>
            </w:r>
          </w:p>
        </w:tc>
        <w:tc>
          <w:tcPr>
            <w:tcW w:w="1453" w:type="dxa"/>
            <w:tcBorders>
              <w:top w:val="single" w:color="auto" w:sz="4" w:space="0"/>
              <w:left w:val="single" w:color="auto" w:sz="4" w:space="0"/>
              <w:bottom w:val="single" w:color="auto" w:sz="4" w:space="0"/>
              <w:right w:val="single" w:color="auto" w:sz="4" w:space="0"/>
            </w:tcBorders>
            <w:noWrap w:val="0"/>
            <w:vAlign w:val="top"/>
          </w:tcPr>
          <w:p>
            <w:pPr>
              <w:pStyle w:val="28"/>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b w:val="0"/>
                <w:bCs/>
                <w:color w:val="auto"/>
                <w:szCs w:val="24"/>
                <w:highlight w:val="none"/>
                <w:lang w:eastAsia="zh-CN"/>
              </w:rPr>
            </w:pPr>
            <w:r>
              <w:rPr>
                <w:rFonts w:hint="eastAsia" w:ascii="仿宋_GB2312" w:hAnsi="仿宋_GB2312" w:cs="仿宋_GB2312"/>
                <w:b w:val="0"/>
                <w:bCs/>
                <w:color w:val="auto"/>
                <w:szCs w:val="24"/>
                <w:highlight w:val="none"/>
                <w:lang w:eastAsia="zh-CN"/>
              </w:rPr>
              <w:t>企业资质</w:t>
            </w:r>
          </w:p>
        </w:tc>
        <w:tc>
          <w:tcPr>
            <w:tcW w:w="1737" w:type="dxa"/>
            <w:tcBorders>
              <w:top w:val="single" w:color="auto" w:sz="4" w:space="0"/>
              <w:left w:val="single" w:color="auto" w:sz="4" w:space="0"/>
              <w:bottom w:val="single" w:color="auto" w:sz="4" w:space="0"/>
              <w:right w:val="single" w:color="auto" w:sz="4" w:space="0"/>
            </w:tcBorders>
            <w:noWrap w:val="0"/>
            <w:vAlign w:val="top"/>
          </w:tcPr>
          <w:p>
            <w:pPr>
              <w:pStyle w:val="28"/>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b w:val="0"/>
                <w:bCs/>
                <w:color w:val="auto"/>
                <w:szCs w:val="24"/>
                <w:highlight w:val="none"/>
                <w:lang w:eastAsia="zh-CN"/>
              </w:rPr>
            </w:pPr>
            <w:r>
              <w:rPr>
                <w:rFonts w:hint="eastAsia" w:ascii="仿宋_GB2312" w:hAnsi="仿宋_GB2312" w:cs="仿宋_GB2312"/>
                <w:b w:val="0"/>
                <w:bCs/>
                <w:color w:val="auto"/>
                <w:szCs w:val="24"/>
                <w:highlight w:val="none"/>
                <w:lang w:eastAsia="zh-CN"/>
              </w:rPr>
              <w:t>同类项目业绩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477" w:type="dxa"/>
            <w:tcBorders>
              <w:top w:val="single" w:color="auto" w:sz="4" w:space="0"/>
              <w:left w:val="single" w:color="auto" w:sz="4" w:space="0"/>
              <w:bottom w:val="single" w:color="auto" w:sz="4" w:space="0"/>
              <w:right w:val="single" w:color="auto" w:sz="4" w:space="0"/>
            </w:tcBorders>
            <w:noWrap w:val="0"/>
            <w:vAlign w:val="top"/>
          </w:tcPr>
          <w:p>
            <w:pPr>
              <w:pStyle w:val="28"/>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b w:val="0"/>
                <w:bCs/>
                <w:color w:val="auto"/>
                <w:szCs w:val="24"/>
                <w:highlight w:val="none"/>
              </w:rPr>
            </w:pPr>
            <w:r>
              <w:rPr>
                <w:rFonts w:hint="eastAsia" w:ascii="仿宋_GB2312" w:hAnsi="仿宋_GB2312" w:eastAsia="仿宋_GB2312" w:cs="仿宋_GB2312"/>
                <w:b w:val="0"/>
                <w:bCs/>
                <w:color w:val="auto"/>
                <w:szCs w:val="24"/>
                <w:highlight w:val="none"/>
              </w:rPr>
              <w:t>分值</w:t>
            </w:r>
          </w:p>
        </w:tc>
        <w:tc>
          <w:tcPr>
            <w:tcW w:w="1224" w:type="dxa"/>
            <w:tcBorders>
              <w:top w:val="single" w:color="auto" w:sz="4" w:space="0"/>
              <w:left w:val="single" w:color="auto" w:sz="4" w:space="0"/>
              <w:bottom w:val="single" w:color="auto" w:sz="4" w:space="0"/>
              <w:right w:val="single" w:color="auto" w:sz="4" w:space="0"/>
            </w:tcBorders>
            <w:noWrap w:val="0"/>
            <w:vAlign w:val="top"/>
          </w:tcPr>
          <w:p>
            <w:pPr>
              <w:pStyle w:val="28"/>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b w:val="0"/>
                <w:bCs/>
                <w:color w:val="auto"/>
                <w:szCs w:val="24"/>
                <w:highlight w:val="none"/>
              </w:rPr>
            </w:pPr>
            <w:r>
              <w:rPr>
                <w:rFonts w:hint="eastAsia" w:ascii="仿宋_GB2312" w:hAnsi="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b w:val="0"/>
                <w:bCs/>
                <w:color w:val="auto"/>
                <w:szCs w:val="24"/>
                <w:highlight w:val="none"/>
              </w:rPr>
              <w:t>分</w:t>
            </w:r>
          </w:p>
        </w:tc>
        <w:tc>
          <w:tcPr>
            <w:tcW w:w="1562" w:type="dxa"/>
            <w:tcBorders>
              <w:top w:val="single" w:color="auto" w:sz="4" w:space="0"/>
              <w:left w:val="single" w:color="auto" w:sz="4" w:space="0"/>
              <w:bottom w:val="single" w:color="auto" w:sz="4" w:space="0"/>
              <w:right w:val="single" w:color="auto" w:sz="4" w:space="0"/>
            </w:tcBorders>
            <w:noWrap w:val="0"/>
            <w:vAlign w:val="top"/>
          </w:tcPr>
          <w:p>
            <w:pPr>
              <w:pStyle w:val="28"/>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b w:val="0"/>
                <w:bCs/>
                <w:color w:val="auto"/>
                <w:szCs w:val="24"/>
                <w:highlight w:val="none"/>
              </w:rPr>
            </w:pPr>
            <w:r>
              <w:rPr>
                <w:rFonts w:hint="eastAsia" w:ascii="仿宋_GB2312" w:hAnsi="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b w:val="0"/>
                <w:bCs/>
                <w:color w:val="auto"/>
                <w:szCs w:val="24"/>
                <w:highlight w:val="none"/>
              </w:rPr>
              <w:t>分</w:t>
            </w:r>
          </w:p>
        </w:tc>
        <w:tc>
          <w:tcPr>
            <w:tcW w:w="1513" w:type="dxa"/>
            <w:tcBorders>
              <w:top w:val="single" w:color="auto" w:sz="4" w:space="0"/>
              <w:left w:val="single" w:color="auto" w:sz="4" w:space="0"/>
              <w:bottom w:val="single" w:color="auto" w:sz="4" w:space="0"/>
              <w:right w:val="single" w:color="auto" w:sz="4" w:space="0"/>
            </w:tcBorders>
            <w:noWrap w:val="0"/>
            <w:vAlign w:val="top"/>
          </w:tcPr>
          <w:p>
            <w:pPr>
              <w:pStyle w:val="28"/>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40分</w:t>
            </w:r>
          </w:p>
        </w:tc>
        <w:tc>
          <w:tcPr>
            <w:tcW w:w="1453" w:type="dxa"/>
            <w:tcBorders>
              <w:top w:val="single" w:color="auto" w:sz="4" w:space="0"/>
              <w:left w:val="single" w:color="auto" w:sz="4" w:space="0"/>
              <w:bottom w:val="single" w:color="auto" w:sz="4" w:space="0"/>
              <w:right w:val="single" w:color="auto" w:sz="4" w:space="0"/>
            </w:tcBorders>
            <w:noWrap w:val="0"/>
            <w:vAlign w:val="top"/>
          </w:tcPr>
          <w:p>
            <w:pPr>
              <w:pStyle w:val="28"/>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b w:val="0"/>
                <w:bCs/>
                <w:color w:val="auto"/>
                <w:szCs w:val="24"/>
                <w:highlight w:val="none"/>
              </w:rPr>
            </w:pPr>
            <w:r>
              <w:rPr>
                <w:rFonts w:hint="eastAsia" w:ascii="仿宋_GB2312" w:hAnsi="仿宋_GB2312" w:cs="仿宋_GB2312"/>
                <w:color w:val="auto"/>
                <w:sz w:val="24"/>
                <w:szCs w:val="24"/>
                <w:highlight w:val="none"/>
                <w:lang w:val="en-US" w:eastAsia="zh-CN"/>
              </w:rPr>
              <w:t>10</w:t>
            </w:r>
            <w:r>
              <w:rPr>
                <w:rFonts w:hint="eastAsia" w:ascii="仿宋_GB2312" w:hAnsi="仿宋_GB2312" w:eastAsia="仿宋_GB2312" w:cs="仿宋_GB2312"/>
                <w:b w:val="0"/>
                <w:bCs/>
                <w:color w:val="auto"/>
                <w:szCs w:val="24"/>
                <w:highlight w:val="none"/>
              </w:rPr>
              <w:t>分</w:t>
            </w:r>
          </w:p>
        </w:tc>
        <w:tc>
          <w:tcPr>
            <w:tcW w:w="1737" w:type="dxa"/>
            <w:tcBorders>
              <w:top w:val="single" w:color="auto" w:sz="4" w:space="0"/>
              <w:left w:val="single" w:color="auto" w:sz="4" w:space="0"/>
              <w:bottom w:val="single" w:color="auto" w:sz="4" w:space="0"/>
              <w:right w:val="single" w:color="auto" w:sz="4" w:space="0"/>
            </w:tcBorders>
            <w:noWrap w:val="0"/>
            <w:vAlign w:val="top"/>
          </w:tcPr>
          <w:p>
            <w:pPr>
              <w:pStyle w:val="28"/>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10分</w:t>
            </w:r>
          </w:p>
        </w:tc>
      </w:tr>
    </w:tbl>
    <w:p>
      <w:pPr>
        <w:pStyle w:val="28"/>
        <w:spacing w:line="560" w:lineRule="exact"/>
        <w:ind w:firstLine="640" w:firstLineChars="200"/>
        <w:rPr>
          <w:rFonts w:ascii="仿宋_GB2312" w:eastAsia="仿宋_GB2312"/>
          <w:color w:val="auto"/>
          <w:sz w:val="32"/>
          <w:szCs w:val="32"/>
          <w:highlight w:val="none"/>
        </w:rPr>
      </w:pPr>
      <w:r>
        <w:rPr>
          <w:rFonts w:hint="eastAsia" w:ascii="楷体_GB2312" w:hAnsi="楷体_GB2312" w:eastAsia="楷体_GB2312" w:cs="楷体_GB2312"/>
          <w:b w:val="0"/>
          <w:bCs/>
          <w:color w:val="auto"/>
          <w:sz w:val="32"/>
          <w:szCs w:val="32"/>
          <w:highlight w:val="none"/>
        </w:rPr>
        <w:t>（三）评分标准</w:t>
      </w:r>
    </w:p>
    <w:tbl>
      <w:tblPr>
        <w:tblStyle w:val="15"/>
        <w:tblW w:w="88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24"/>
        <w:gridCol w:w="73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152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center"/>
              <w:textAlignment w:val="auto"/>
              <w:rPr>
                <w:rFonts w:hint="eastAsia" w:ascii="仿宋_GB2312" w:hAnsi="仿宋_GB2312" w:eastAsia="仿宋_GB2312" w:cs="仿宋_GB2312"/>
              </w:rPr>
            </w:pPr>
            <w:r>
              <w:rPr>
                <w:rStyle w:val="18"/>
                <w:rFonts w:hint="eastAsia" w:ascii="仿宋_GB2312" w:hAnsi="仿宋_GB2312" w:eastAsia="仿宋_GB2312" w:cs="仿宋_GB2312"/>
                <w:b/>
                <w:bCs/>
                <w:i w:val="0"/>
                <w:iCs w:val="0"/>
                <w:caps w:val="0"/>
                <w:color w:val="000000"/>
                <w:spacing w:val="0"/>
                <w:sz w:val="21"/>
                <w:szCs w:val="21"/>
              </w:rPr>
              <w:t>评分因素</w:t>
            </w:r>
          </w:p>
        </w:tc>
        <w:tc>
          <w:tcPr>
            <w:tcW w:w="7334"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center"/>
              <w:textAlignment w:val="auto"/>
              <w:rPr>
                <w:rFonts w:hint="eastAsia" w:ascii="仿宋_GB2312" w:hAnsi="仿宋_GB2312" w:eastAsia="仿宋_GB2312" w:cs="仿宋_GB2312"/>
              </w:rPr>
            </w:pPr>
            <w:r>
              <w:rPr>
                <w:rStyle w:val="18"/>
                <w:rFonts w:hint="eastAsia" w:ascii="仿宋_GB2312" w:hAnsi="仿宋_GB2312" w:eastAsia="仿宋_GB2312" w:cs="仿宋_GB2312"/>
                <w:b/>
                <w:bCs/>
                <w:i w:val="0"/>
                <w:iCs w:val="0"/>
                <w:caps w:val="0"/>
                <w:color w:val="000000"/>
                <w:spacing w:val="0"/>
                <w:sz w:val="21"/>
                <w:szCs w:val="21"/>
              </w:rPr>
              <w:t>评分规则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468" w:hRule="atLeast"/>
        </w:trPr>
        <w:tc>
          <w:tcPr>
            <w:tcW w:w="1524"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center"/>
              <w:textAlignment w:val="auto"/>
              <w:rPr>
                <w:rFonts w:hint="eastAsia" w:ascii="仿宋_GB2312" w:hAnsi="仿宋_GB2312" w:eastAsia="仿宋_GB2312" w:cs="仿宋_GB2312"/>
                <w:i w:val="0"/>
                <w:iCs w:val="0"/>
                <w:caps w:val="0"/>
                <w:color w:val="000000"/>
                <w:spacing w:val="0"/>
                <w:sz w:val="21"/>
                <w:szCs w:val="21"/>
                <w:lang w:eastAsia="zh-CN"/>
              </w:rPr>
            </w:pPr>
            <w:r>
              <w:rPr>
                <w:rFonts w:hint="eastAsia" w:ascii="仿宋_GB2312" w:hAnsi="仿宋_GB2312" w:eastAsia="仿宋_GB2312" w:cs="仿宋_GB2312"/>
                <w:i w:val="0"/>
                <w:iCs w:val="0"/>
                <w:caps w:val="0"/>
                <w:color w:val="000000"/>
                <w:spacing w:val="0"/>
                <w:sz w:val="21"/>
                <w:szCs w:val="21"/>
                <w:lang w:eastAsia="zh-CN"/>
              </w:rPr>
              <w:t>报价</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i w:val="0"/>
                <w:iCs w:val="0"/>
                <w:caps w:val="0"/>
                <w:color w:val="000000"/>
                <w:spacing w:val="0"/>
                <w:sz w:val="21"/>
                <w:szCs w:val="21"/>
                <w:lang w:eastAsia="zh-CN"/>
              </w:rPr>
              <w:t>（</w:t>
            </w:r>
            <w:r>
              <w:rPr>
                <w:rFonts w:hint="eastAsia" w:ascii="仿宋_GB2312" w:hAnsi="仿宋_GB2312" w:cs="仿宋_GB2312"/>
                <w:i w:val="0"/>
                <w:iCs w:val="0"/>
                <w:caps w:val="0"/>
                <w:color w:val="000000"/>
                <w:spacing w:val="0"/>
                <w:sz w:val="21"/>
                <w:szCs w:val="21"/>
                <w:lang w:val="en-US" w:eastAsia="zh-CN"/>
              </w:rPr>
              <w:t>2</w:t>
            </w:r>
            <w:r>
              <w:rPr>
                <w:rFonts w:hint="eastAsia" w:ascii="仿宋_GB2312" w:hAnsi="仿宋_GB2312" w:eastAsia="仿宋_GB2312" w:cs="仿宋_GB2312"/>
                <w:i w:val="0"/>
                <w:iCs w:val="0"/>
                <w:caps w:val="0"/>
                <w:color w:val="000000"/>
                <w:spacing w:val="0"/>
                <w:sz w:val="21"/>
                <w:szCs w:val="21"/>
                <w:lang w:val="en-US" w:eastAsia="zh-CN"/>
              </w:rPr>
              <w:t>0分</w:t>
            </w:r>
            <w:r>
              <w:rPr>
                <w:rFonts w:hint="eastAsia" w:ascii="仿宋_GB2312" w:hAnsi="仿宋_GB2312" w:eastAsia="仿宋_GB2312" w:cs="仿宋_GB2312"/>
                <w:i w:val="0"/>
                <w:iCs w:val="0"/>
                <w:caps w:val="0"/>
                <w:color w:val="000000"/>
                <w:spacing w:val="0"/>
                <w:sz w:val="21"/>
                <w:szCs w:val="21"/>
                <w:lang w:eastAsia="zh-CN"/>
              </w:rPr>
              <w:t>）</w:t>
            </w:r>
          </w:p>
        </w:tc>
        <w:tc>
          <w:tcPr>
            <w:tcW w:w="7334"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textAlignment w:val="auto"/>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sz w:val="21"/>
                <w:szCs w:val="21"/>
                <w:lang w:val="en-US" w:eastAsia="zh-CN"/>
              </w:rPr>
              <w:t>1.</w:t>
            </w:r>
            <w:r>
              <w:rPr>
                <w:rFonts w:hint="eastAsia" w:ascii="仿宋_GB2312" w:hAnsi="仿宋_GB2312" w:eastAsia="仿宋_GB2312" w:cs="仿宋_GB2312"/>
                <w:i w:val="0"/>
                <w:iCs w:val="0"/>
                <w:caps w:val="0"/>
                <w:color w:val="000000"/>
                <w:spacing w:val="0"/>
                <w:sz w:val="21"/>
                <w:szCs w:val="21"/>
              </w:rPr>
              <w:t>价格合理，符合市场行情。不超过</w:t>
            </w:r>
            <w:r>
              <w:rPr>
                <w:rFonts w:hint="eastAsia" w:ascii="仿宋_GB2312" w:hAnsi="仿宋_GB2312" w:cs="仿宋_GB2312"/>
                <w:i w:val="0"/>
                <w:iCs w:val="0"/>
                <w:caps w:val="0"/>
                <w:color w:val="000000"/>
                <w:spacing w:val="0"/>
                <w:sz w:val="21"/>
                <w:szCs w:val="21"/>
                <w:highlight w:val="none"/>
                <w:lang w:val="en-US" w:eastAsia="zh-CN"/>
              </w:rPr>
              <w:t>96</w:t>
            </w:r>
            <w:r>
              <w:rPr>
                <w:rFonts w:hint="eastAsia" w:ascii="仿宋_GB2312" w:hAnsi="仿宋_GB2312" w:eastAsia="仿宋_GB2312" w:cs="仿宋_GB2312"/>
                <w:i w:val="0"/>
                <w:iCs w:val="0"/>
                <w:caps w:val="0"/>
                <w:color w:val="000000"/>
                <w:spacing w:val="0"/>
                <w:sz w:val="21"/>
                <w:szCs w:val="21"/>
                <w:highlight w:val="none"/>
              </w:rPr>
              <w:t>万元</w:t>
            </w:r>
            <w:r>
              <w:rPr>
                <w:rFonts w:hint="eastAsia" w:ascii="仿宋_GB2312" w:hAnsi="仿宋_GB2312" w:eastAsia="仿宋_GB2312" w:cs="仿宋_GB2312"/>
                <w:i w:val="0"/>
                <w:iCs w:val="0"/>
                <w:caps w:val="0"/>
                <w:color w:val="000000"/>
                <w:spacing w:val="0"/>
                <w:sz w:val="21"/>
                <w:szCs w:val="21"/>
              </w:rPr>
              <w:t>为有效，投标人需提供完整报价表及成本测算明细，明细需清晰列明各项费用构成，确保报价贴合市场行情与项目实际需求，未提供报价表或成本测算明细的，本项按0分计。</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textAlignment w:val="auto"/>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sz w:val="21"/>
                <w:szCs w:val="21"/>
                <w:lang w:val="en-US" w:eastAsia="zh-CN"/>
              </w:rPr>
              <w:t>2.</w:t>
            </w:r>
            <w:r>
              <w:rPr>
                <w:rFonts w:hint="eastAsia" w:ascii="仿宋_GB2312" w:hAnsi="仿宋_GB2312" w:cs="仿宋_GB2312"/>
                <w:i w:val="0"/>
                <w:iCs w:val="0"/>
                <w:caps w:val="0"/>
                <w:color w:val="000000"/>
                <w:spacing w:val="0"/>
                <w:sz w:val="21"/>
                <w:szCs w:val="21"/>
                <w:lang w:eastAsia="zh-CN"/>
              </w:rPr>
              <w:t>满足采购文件要求且投标价格最低的有效报价为评标基准价，得满分</w:t>
            </w:r>
            <w:r>
              <w:rPr>
                <w:rFonts w:hint="eastAsia" w:ascii="仿宋_GB2312" w:hAnsi="仿宋_GB2312" w:cs="仿宋_GB2312"/>
                <w:i w:val="0"/>
                <w:iCs w:val="0"/>
                <w:caps w:val="0"/>
                <w:color w:val="000000"/>
                <w:spacing w:val="0"/>
                <w:sz w:val="21"/>
                <w:szCs w:val="21"/>
                <w:lang w:val="en-US" w:eastAsia="zh-CN"/>
              </w:rPr>
              <w:t>20分；其他有效供应商的价格得分计算公式：价格得分=（评标基准价/投标报价）</w:t>
            </w:r>
            <w:r>
              <w:rPr>
                <w:rFonts w:hint="default" w:ascii="汉仪细圆B5" w:hAnsi="汉仪细圆B5" w:cs="汉仪细圆B5"/>
                <w:i w:val="0"/>
                <w:iCs w:val="0"/>
                <w:caps w:val="0"/>
                <w:color w:val="000000"/>
                <w:spacing w:val="0"/>
                <w:sz w:val="21"/>
                <w:szCs w:val="21"/>
                <w:lang w:val="en-US" w:eastAsia="zh-CN"/>
              </w:rPr>
              <w:t>×</w:t>
            </w:r>
            <w:r>
              <w:rPr>
                <w:rFonts w:hint="eastAsia" w:ascii="仿宋_GB2312" w:hAnsi="仿宋_GB2312" w:cs="仿宋_GB2312"/>
                <w:i w:val="0"/>
                <w:iCs w:val="0"/>
                <w:caps w:val="0"/>
                <w:color w:val="000000"/>
                <w:spacing w:val="0"/>
                <w:sz w:val="21"/>
                <w:szCs w:val="21"/>
                <w:lang w:val="en-US" w:eastAsia="zh-CN"/>
              </w:rPr>
              <w:t>20，得分保留2位小数。</w:t>
            </w:r>
            <w:r>
              <w:rPr>
                <w:rFonts w:hint="eastAsia" w:ascii="仿宋_GB2312" w:hAnsi="仿宋_GB2312" w:eastAsia="仿宋_GB2312" w:cs="仿宋_GB2312"/>
                <w:i w:val="0"/>
                <w:iCs w:val="0"/>
                <w:caps w:val="0"/>
                <w:color w:val="000000"/>
                <w:spacing w:val="0"/>
                <w:sz w:val="21"/>
                <w:szCs w:val="21"/>
              </w:rPr>
              <w:br w:type="textWrapping"/>
            </w:r>
            <w:r>
              <w:rPr>
                <w:rFonts w:hint="eastAsia" w:ascii="仿宋_GB2312" w:hAnsi="仿宋_GB2312" w:eastAsia="仿宋_GB2312" w:cs="仿宋_GB2312"/>
                <w:i w:val="0"/>
                <w:iCs w:val="0"/>
                <w:caps w:val="0"/>
                <w:color w:val="000000"/>
                <w:spacing w:val="0"/>
                <w:sz w:val="21"/>
                <w:szCs w:val="21"/>
                <w:lang w:val="en-US" w:eastAsia="zh-CN"/>
              </w:rPr>
              <w:t>3.评标小组认为投标人的报价明显低于其他通过符合性审查投标人的报价，有可能影响服务质量或者不能诚信履约的，应当要求其在合理时间内提供书面说明及相关证明材料</w:t>
            </w:r>
            <w:r>
              <w:rPr>
                <w:rFonts w:hint="eastAsia" w:ascii="仿宋_GB2312" w:hAnsi="仿宋_GB2312" w:cs="仿宋_GB2312"/>
                <w:i w:val="0"/>
                <w:iCs w:val="0"/>
                <w:caps w:val="0"/>
                <w:color w:val="000000"/>
                <w:spacing w:val="0"/>
                <w:sz w:val="21"/>
                <w:szCs w:val="21"/>
                <w:lang w:val="en-US" w:eastAsia="zh-CN"/>
              </w:rPr>
              <w:t>，</w:t>
            </w:r>
            <w:r>
              <w:rPr>
                <w:rFonts w:hint="eastAsia" w:ascii="仿宋_GB2312" w:hAnsi="仿宋_GB2312" w:eastAsia="仿宋_GB2312" w:cs="仿宋_GB2312"/>
                <w:i w:val="0"/>
                <w:iCs w:val="0"/>
                <w:caps w:val="0"/>
                <w:color w:val="000000"/>
                <w:spacing w:val="0"/>
                <w:sz w:val="21"/>
                <w:szCs w:val="21"/>
              </w:rPr>
              <w:t>投标人不能证明其报价合理性的，评标小组应当将其作为无效投标处理。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4"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center"/>
              <w:textAlignment w:val="auto"/>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sz w:val="21"/>
                <w:szCs w:val="21"/>
              </w:rPr>
              <w:t>服务能力</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center"/>
              <w:textAlignment w:val="auto"/>
              <w:rPr>
                <w:rFonts w:hint="eastAsia" w:ascii="仿宋_GB2312" w:hAnsi="仿宋_GB2312" w:eastAsia="仿宋_GB2312" w:cs="仿宋_GB2312"/>
                <w:i w:val="0"/>
                <w:iCs w:val="0"/>
                <w:caps w:val="0"/>
                <w:color w:val="000000"/>
                <w:spacing w:val="0"/>
                <w:sz w:val="21"/>
                <w:szCs w:val="21"/>
                <w:lang w:eastAsia="zh-CN"/>
              </w:rPr>
            </w:pPr>
            <w:r>
              <w:rPr>
                <w:rFonts w:hint="eastAsia" w:ascii="仿宋_GB2312" w:hAnsi="仿宋_GB2312" w:eastAsia="仿宋_GB2312" w:cs="仿宋_GB2312"/>
                <w:i w:val="0"/>
                <w:iCs w:val="0"/>
                <w:caps w:val="0"/>
                <w:color w:val="000000"/>
                <w:spacing w:val="0"/>
                <w:sz w:val="21"/>
                <w:szCs w:val="21"/>
                <w:lang w:eastAsia="zh-CN"/>
              </w:rPr>
              <w:t>（</w:t>
            </w:r>
            <w:r>
              <w:rPr>
                <w:rFonts w:hint="eastAsia" w:ascii="仿宋_GB2312" w:hAnsi="仿宋_GB2312" w:cs="仿宋_GB2312"/>
                <w:i w:val="0"/>
                <w:iCs w:val="0"/>
                <w:caps w:val="0"/>
                <w:color w:val="000000"/>
                <w:spacing w:val="0"/>
                <w:sz w:val="21"/>
                <w:szCs w:val="21"/>
                <w:lang w:val="en-US" w:eastAsia="zh-CN"/>
              </w:rPr>
              <w:t>20</w:t>
            </w:r>
            <w:r>
              <w:rPr>
                <w:rFonts w:hint="eastAsia" w:ascii="仿宋_GB2312" w:hAnsi="仿宋_GB2312" w:eastAsia="仿宋_GB2312" w:cs="仿宋_GB2312"/>
                <w:i w:val="0"/>
                <w:iCs w:val="0"/>
                <w:caps w:val="0"/>
                <w:color w:val="000000"/>
                <w:spacing w:val="0"/>
                <w:sz w:val="21"/>
                <w:szCs w:val="21"/>
                <w:lang w:val="en-US" w:eastAsia="zh-CN"/>
              </w:rPr>
              <w:t>分</w:t>
            </w:r>
            <w:r>
              <w:rPr>
                <w:rFonts w:hint="eastAsia" w:ascii="仿宋_GB2312" w:hAnsi="仿宋_GB2312" w:eastAsia="仿宋_GB2312" w:cs="仿宋_GB2312"/>
                <w:i w:val="0"/>
                <w:iCs w:val="0"/>
                <w:caps w:val="0"/>
                <w:color w:val="000000"/>
                <w:spacing w:val="0"/>
                <w:sz w:val="21"/>
                <w:szCs w:val="21"/>
                <w:lang w:eastAsia="zh-CN"/>
              </w:rPr>
              <w:t>）</w:t>
            </w:r>
          </w:p>
        </w:tc>
        <w:tc>
          <w:tcPr>
            <w:tcW w:w="7334"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textAlignment w:val="auto"/>
              <w:rPr>
                <w:rFonts w:hint="eastAsia" w:ascii="仿宋_GB2312" w:hAnsi="仿宋_GB2312" w:cs="仿宋_GB2312"/>
                <w:i w:val="0"/>
                <w:iCs w:val="0"/>
                <w:caps w:val="0"/>
                <w:color w:val="000000"/>
                <w:spacing w:val="0"/>
                <w:sz w:val="21"/>
                <w:szCs w:val="21"/>
                <w:lang w:val="en-US" w:eastAsia="zh-CN"/>
              </w:rPr>
            </w:pPr>
            <w:r>
              <w:rPr>
                <w:rFonts w:hint="eastAsia" w:ascii="仿宋_GB2312" w:hAnsi="仿宋_GB2312" w:cs="仿宋_GB2312"/>
                <w:i w:val="0"/>
                <w:iCs w:val="0"/>
                <w:caps w:val="0"/>
                <w:color w:val="000000"/>
                <w:spacing w:val="0"/>
                <w:sz w:val="21"/>
                <w:szCs w:val="21"/>
                <w:lang w:val="en-US" w:eastAsia="zh-CN"/>
              </w:rPr>
              <w:t>1.项目负责人配置（10分）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textAlignment w:val="auto"/>
              <w:rPr>
                <w:rFonts w:hint="eastAsia" w:ascii="仿宋_GB2312" w:hAnsi="仿宋_GB2312" w:cs="仿宋_GB2312"/>
                <w:i w:val="0"/>
                <w:iCs w:val="0"/>
                <w:caps w:val="0"/>
                <w:color w:val="000000"/>
                <w:spacing w:val="0"/>
                <w:sz w:val="21"/>
                <w:szCs w:val="21"/>
                <w:lang w:val="en-US" w:eastAsia="zh-CN"/>
              </w:rPr>
            </w:pPr>
            <w:r>
              <w:rPr>
                <w:rFonts w:hint="eastAsia" w:ascii="仿宋_GB2312" w:hAnsi="仿宋_GB2312" w:cs="仿宋_GB2312"/>
                <w:i w:val="0"/>
                <w:iCs w:val="0"/>
                <w:caps w:val="0"/>
                <w:color w:val="000000"/>
                <w:spacing w:val="0"/>
                <w:sz w:val="21"/>
                <w:szCs w:val="21"/>
                <w:lang w:val="en-US" w:eastAsia="zh-CN"/>
              </w:rPr>
              <w:t>（1）具备硕士及以上学历得5分，最高得5分；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textAlignment w:val="auto"/>
              <w:rPr>
                <w:rFonts w:hint="eastAsia" w:ascii="仿宋_GB2312" w:hAnsi="仿宋_GB2312" w:cs="仿宋_GB2312"/>
                <w:i w:val="0"/>
                <w:iCs w:val="0"/>
                <w:caps w:val="0"/>
                <w:color w:val="000000"/>
                <w:spacing w:val="0"/>
                <w:sz w:val="21"/>
                <w:szCs w:val="21"/>
                <w:lang w:val="en-US" w:eastAsia="zh-CN"/>
              </w:rPr>
            </w:pPr>
            <w:r>
              <w:rPr>
                <w:rFonts w:hint="eastAsia" w:ascii="仿宋_GB2312" w:hAnsi="仿宋_GB2312" w:cs="仿宋_GB2312"/>
                <w:i w:val="0"/>
                <w:iCs w:val="0"/>
                <w:caps w:val="0"/>
                <w:color w:val="000000"/>
                <w:spacing w:val="0"/>
                <w:sz w:val="21"/>
                <w:szCs w:val="21"/>
                <w:lang w:val="en-US" w:eastAsia="zh-CN"/>
              </w:rPr>
              <w:t>（2）具备统计类、经济类相关中级职称得5分，最高得5分。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textAlignment w:val="auto"/>
              <w:rPr>
                <w:rFonts w:hint="default" w:ascii="仿宋_GB2312" w:hAnsi="仿宋_GB2312" w:cs="仿宋_GB2312"/>
                <w:i w:val="0"/>
                <w:iCs w:val="0"/>
                <w:caps w:val="0"/>
                <w:color w:val="000000"/>
                <w:spacing w:val="0"/>
                <w:sz w:val="21"/>
                <w:szCs w:val="21"/>
                <w:lang w:val="en-US" w:eastAsia="zh-CN"/>
              </w:rPr>
            </w:pPr>
            <w:r>
              <w:rPr>
                <w:rFonts w:hint="eastAsia" w:ascii="仿宋_GB2312" w:hAnsi="仿宋_GB2312" w:cs="仿宋_GB2312"/>
                <w:i w:val="0"/>
                <w:iCs w:val="0"/>
                <w:caps w:val="0"/>
                <w:color w:val="000000"/>
                <w:spacing w:val="0"/>
                <w:sz w:val="21"/>
                <w:szCs w:val="21"/>
                <w:lang w:val="en-US" w:eastAsia="zh-CN"/>
              </w:rPr>
              <w:t>2.项目团队配置（10分）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textAlignment w:val="auto"/>
              <w:rPr>
                <w:rFonts w:hint="eastAsia" w:ascii="仿宋_GB2312" w:hAnsi="仿宋_GB2312" w:cs="仿宋_GB2312"/>
                <w:i w:val="0"/>
                <w:iCs w:val="0"/>
                <w:caps w:val="0"/>
                <w:color w:val="000000"/>
                <w:spacing w:val="0"/>
                <w:sz w:val="21"/>
                <w:szCs w:val="21"/>
                <w:lang w:val="en-US" w:eastAsia="zh-CN"/>
              </w:rPr>
            </w:pPr>
            <w:r>
              <w:rPr>
                <w:rFonts w:hint="eastAsia" w:ascii="仿宋_GB2312" w:hAnsi="仿宋_GB2312" w:cs="仿宋_GB2312"/>
                <w:i w:val="0"/>
                <w:iCs w:val="0"/>
                <w:caps w:val="0"/>
                <w:color w:val="000000"/>
                <w:spacing w:val="0"/>
                <w:sz w:val="21"/>
                <w:szCs w:val="21"/>
                <w:lang w:val="en-US" w:eastAsia="zh-CN"/>
              </w:rPr>
              <w:t>（1）团队成员（不含团队负责人，不少于5人）每1人具有本科及以上学历得1分，最高得5分。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textAlignment w:val="auto"/>
              <w:rPr>
                <w:rFonts w:hint="eastAsia" w:ascii="仿宋_GB2312" w:hAnsi="仿宋_GB2312" w:eastAsia="仿宋_GB2312" w:cs="仿宋_GB2312"/>
                <w:i w:val="0"/>
                <w:iCs w:val="0"/>
                <w:caps w:val="0"/>
                <w:color w:val="000000"/>
                <w:spacing w:val="0"/>
                <w:sz w:val="21"/>
                <w:szCs w:val="21"/>
              </w:rPr>
            </w:pPr>
            <w:r>
              <w:rPr>
                <w:rFonts w:hint="eastAsia" w:ascii="仿宋_GB2312" w:hAnsi="仿宋_GB2312" w:cs="仿宋_GB2312"/>
                <w:i w:val="0"/>
                <w:iCs w:val="0"/>
                <w:caps w:val="0"/>
                <w:color w:val="000000"/>
                <w:spacing w:val="0"/>
                <w:sz w:val="21"/>
                <w:szCs w:val="21"/>
                <w:lang w:val="en-US" w:eastAsia="zh-CN"/>
              </w:rPr>
              <w:t>（2）</w:t>
            </w:r>
            <w:r>
              <w:rPr>
                <w:rFonts w:hint="eastAsia" w:ascii="仿宋_GB2312" w:hAnsi="仿宋_GB2312" w:eastAsia="仿宋_GB2312" w:cs="仿宋_GB2312"/>
                <w:i w:val="0"/>
                <w:iCs w:val="0"/>
                <w:caps w:val="0"/>
                <w:color w:val="000000"/>
                <w:spacing w:val="0"/>
                <w:sz w:val="21"/>
                <w:szCs w:val="21"/>
              </w:rPr>
              <w:t>具有</w:t>
            </w:r>
            <w:r>
              <w:rPr>
                <w:rFonts w:hint="eastAsia" w:ascii="仿宋_GB2312" w:hAnsi="仿宋_GB2312" w:eastAsia="仿宋_GB2312" w:cs="仿宋_GB2312"/>
                <w:i w:val="0"/>
                <w:iCs w:val="0"/>
                <w:caps w:val="0"/>
                <w:color w:val="000000"/>
                <w:spacing w:val="0"/>
                <w:sz w:val="21"/>
                <w:szCs w:val="21"/>
                <w:lang w:eastAsia="zh-CN"/>
              </w:rPr>
              <w:t>统计调查工作</w:t>
            </w:r>
            <w:r>
              <w:rPr>
                <w:rFonts w:hint="eastAsia" w:ascii="仿宋_GB2312" w:hAnsi="仿宋_GB2312" w:eastAsia="仿宋_GB2312" w:cs="仿宋_GB2312"/>
                <w:i w:val="0"/>
                <w:iCs w:val="0"/>
                <w:caps w:val="0"/>
                <w:color w:val="000000"/>
                <w:spacing w:val="0"/>
                <w:sz w:val="21"/>
                <w:szCs w:val="21"/>
              </w:rPr>
              <w:t>有关工作经验（需满1年及以上</w:t>
            </w:r>
            <w:r>
              <w:rPr>
                <w:rFonts w:hint="default" w:ascii="仿宋_GB2312" w:hAnsi="仿宋_GB2312" w:cs="仿宋_GB2312"/>
                <w:i w:val="0"/>
                <w:iCs w:val="0"/>
                <w:caps w:val="0"/>
                <w:color w:val="000000"/>
                <w:spacing w:val="0"/>
                <w:sz w:val="21"/>
                <w:szCs w:val="21"/>
                <w:lang w:val="en"/>
              </w:rPr>
              <w:t>)</w:t>
            </w:r>
            <w:r>
              <w:rPr>
                <w:rFonts w:hint="eastAsia" w:ascii="仿宋_GB2312" w:hAnsi="仿宋_GB2312" w:eastAsia="仿宋_GB2312" w:cs="仿宋_GB2312"/>
                <w:i w:val="0"/>
                <w:iCs w:val="0"/>
                <w:caps w:val="0"/>
                <w:color w:val="000000"/>
                <w:spacing w:val="0"/>
                <w:sz w:val="21"/>
                <w:szCs w:val="21"/>
              </w:rPr>
              <w:t>，每提供1人符合要求的</w:t>
            </w:r>
            <w:r>
              <w:rPr>
                <w:rFonts w:hint="eastAsia" w:ascii="仿宋_GB2312" w:hAnsi="仿宋_GB2312" w:cs="仿宋_GB2312"/>
                <w:i w:val="0"/>
                <w:iCs w:val="0"/>
                <w:caps w:val="0"/>
                <w:color w:val="000000"/>
                <w:spacing w:val="0"/>
                <w:sz w:val="21"/>
                <w:szCs w:val="21"/>
                <w:lang w:eastAsia="zh-CN"/>
              </w:rPr>
              <w:t>经验证明</w:t>
            </w:r>
            <w:r>
              <w:rPr>
                <w:rFonts w:hint="eastAsia" w:ascii="仿宋_GB2312" w:hAnsi="仿宋_GB2312" w:eastAsia="仿宋_GB2312" w:cs="仿宋_GB2312"/>
                <w:i w:val="0"/>
                <w:iCs w:val="0"/>
                <w:caps w:val="0"/>
                <w:color w:val="000000"/>
                <w:spacing w:val="0"/>
                <w:sz w:val="21"/>
                <w:szCs w:val="21"/>
              </w:rPr>
              <w:t>得</w:t>
            </w:r>
            <w:r>
              <w:rPr>
                <w:rFonts w:hint="eastAsia" w:ascii="仿宋_GB2312" w:hAnsi="仿宋_GB2312" w:cs="仿宋_GB2312"/>
                <w:i w:val="0"/>
                <w:iCs w:val="0"/>
                <w:caps w:val="0"/>
                <w:color w:val="000000"/>
                <w:spacing w:val="0"/>
                <w:sz w:val="21"/>
                <w:szCs w:val="21"/>
                <w:lang w:val="en-US" w:eastAsia="zh-CN"/>
              </w:rPr>
              <w:t>1</w:t>
            </w:r>
            <w:r>
              <w:rPr>
                <w:rFonts w:hint="eastAsia" w:ascii="仿宋_GB2312" w:hAnsi="仿宋_GB2312" w:eastAsia="仿宋_GB2312" w:cs="仿宋_GB2312"/>
                <w:i w:val="0"/>
                <w:iCs w:val="0"/>
                <w:caps w:val="0"/>
                <w:color w:val="000000"/>
                <w:spacing w:val="0"/>
                <w:sz w:val="21"/>
                <w:szCs w:val="21"/>
              </w:rPr>
              <w:t>分，最高得</w:t>
            </w:r>
            <w:r>
              <w:rPr>
                <w:rFonts w:hint="eastAsia" w:ascii="仿宋_GB2312" w:hAnsi="仿宋_GB2312" w:cs="仿宋_GB2312"/>
                <w:i w:val="0"/>
                <w:iCs w:val="0"/>
                <w:caps w:val="0"/>
                <w:color w:val="000000"/>
                <w:spacing w:val="0"/>
                <w:sz w:val="21"/>
                <w:szCs w:val="21"/>
                <w:lang w:val="en-US" w:eastAsia="zh-CN"/>
              </w:rPr>
              <w:t>5</w:t>
            </w:r>
            <w:r>
              <w:rPr>
                <w:rFonts w:hint="eastAsia" w:ascii="仿宋_GB2312" w:hAnsi="仿宋_GB2312" w:eastAsia="仿宋_GB2312" w:cs="仿宋_GB2312"/>
                <w:i w:val="0"/>
                <w:iCs w:val="0"/>
                <w:caps w:val="0"/>
                <w:color w:val="000000"/>
                <w:spacing w:val="0"/>
                <w:sz w:val="21"/>
                <w:szCs w:val="21"/>
              </w:rPr>
              <w:t>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textAlignment w:val="auto"/>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sz w:val="21"/>
                <w:szCs w:val="21"/>
              </w:rPr>
              <w:t>同一人具备1至</w:t>
            </w:r>
            <w:r>
              <w:rPr>
                <w:rFonts w:hint="eastAsia" w:ascii="仿宋_GB2312" w:hAnsi="仿宋_GB2312" w:cs="仿宋_GB2312"/>
                <w:i w:val="0"/>
                <w:iCs w:val="0"/>
                <w:caps w:val="0"/>
                <w:color w:val="000000"/>
                <w:spacing w:val="0"/>
                <w:sz w:val="21"/>
                <w:szCs w:val="21"/>
                <w:lang w:val="en-US" w:eastAsia="zh-CN"/>
              </w:rPr>
              <w:t>2</w:t>
            </w:r>
            <w:r>
              <w:rPr>
                <w:rFonts w:hint="eastAsia" w:ascii="仿宋_GB2312" w:hAnsi="仿宋_GB2312" w:eastAsia="仿宋_GB2312" w:cs="仿宋_GB2312"/>
                <w:i w:val="0"/>
                <w:iCs w:val="0"/>
                <w:caps w:val="0"/>
                <w:color w:val="000000"/>
                <w:spacing w:val="0"/>
                <w:sz w:val="21"/>
                <w:szCs w:val="21"/>
              </w:rPr>
              <w:t>项情况的可重复得分，本项最高得</w:t>
            </w:r>
            <w:r>
              <w:rPr>
                <w:rFonts w:hint="eastAsia" w:ascii="仿宋_GB2312" w:hAnsi="仿宋_GB2312" w:cs="仿宋_GB2312"/>
                <w:i w:val="0"/>
                <w:iCs w:val="0"/>
                <w:caps w:val="0"/>
                <w:color w:val="000000"/>
                <w:spacing w:val="0"/>
                <w:sz w:val="21"/>
                <w:szCs w:val="21"/>
                <w:lang w:val="en-US" w:eastAsia="zh-CN"/>
              </w:rPr>
              <w:t>10</w:t>
            </w:r>
            <w:r>
              <w:rPr>
                <w:rFonts w:hint="eastAsia" w:ascii="仿宋_GB2312" w:hAnsi="仿宋_GB2312" w:eastAsia="仿宋_GB2312" w:cs="仿宋_GB2312"/>
                <w:i w:val="0"/>
                <w:iCs w:val="0"/>
                <w:caps w:val="0"/>
                <w:color w:val="000000"/>
                <w:spacing w:val="0"/>
                <w:sz w:val="21"/>
                <w:szCs w:val="21"/>
              </w:rPr>
              <w:t>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textAlignment w:val="auto"/>
              <w:rPr>
                <w:rFonts w:hint="eastAsia" w:ascii="仿宋_GB2312" w:hAnsi="仿宋_GB2312" w:eastAsia="仿宋_GB2312" w:cs="仿宋_GB2312"/>
                <w:i w:val="0"/>
                <w:iCs w:val="0"/>
                <w:caps w:val="0"/>
                <w:color w:val="000000"/>
                <w:spacing w:val="0"/>
                <w:sz w:val="21"/>
                <w:szCs w:val="21"/>
              </w:rPr>
            </w:pPr>
            <w:r>
              <w:rPr>
                <w:rFonts w:hint="eastAsia" w:ascii="仿宋_GB2312" w:hAnsi="仿宋_GB2312" w:cs="仿宋_GB2312"/>
                <w:i w:val="0"/>
                <w:iCs w:val="0"/>
                <w:caps w:val="0"/>
                <w:color w:val="000000"/>
                <w:spacing w:val="0"/>
                <w:sz w:val="21"/>
                <w:szCs w:val="21"/>
                <w:lang w:val="en-US" w:eastAsia="zh-CN"/>
              </w:rPr>
              <w:t>3.评审依据：（1）学历证明需提供毕业证书扫描件、学信网学历查询结果截图，原件备查；（2）职称证明需提供相关证书扫描件及官方线上查询验证材料，原件备查；（3）工作经验需提供合同关键页（关键信息包括但不限于项目名称、该成员姓名、服务内容、合同双方盖章页、服务起止时间）或其他有效证明材料；（4）需提供上述所有人员近3个月社保缴纳记录（由投标人所在地社保部门出具或线上查询截图），若本月社保未能提供，则提供前三个月的社保情况，如供应商为新成立企业且成立时间不足3个月的，可提供加盖公章的情况说明或其他相关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78" w:hRule="atLeast"/>
        </w:trPr>
        <w:tc>
          <w:tcPr>
            <w:tcW w:w="1524"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center"/>
              <w:textAlignment w:val="auto"/>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sz w:val="21"/>
                <w:szCs w:val="21"/>
              </w:rPr>
              <w:t>实施方案</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center"/>
              <w:textAlignment w:val="auto"/>
              <w:rPr>
                <w:rFonts w:hint="eastAsia" w:ascii="仿宋_GB2312" w:hAnsi="仿宋_GB2312" w:eastAsia="仿宋_GB2312" w:cs="仿宋_GB2312"/>
                <w:i w:val="0"/>
                <w:iCs w:val="0"/>
                <w:caps w:val="0"/>
                <w:color w:val="000000"/>
                <w:spacing w:val="0"/>
                <w:sz w:val="21"/>
                <w:szCs w:val="21"/>
                <w:lang w:eastAsia="zh-CN"/>
              </w:rPr>
            </w:pPr>
            <w:r>
              <w:rPr>
                <w:rFonts w:hint="eastAsia" w:ascii="仿宋_GB2312" w:hAnsi="仿宋_GB2312" w:cs="仿宋_GB2312"/>
                <w:i w:val="0"/>
                <w:iCs w:val="0"/>
                <w:caps w:val="0"/>
                <w:color w:val="000000"/>
                <w:spacing w:val="0"/>
                <w:sz w:val="21"/>
                <w:szCs w:val="21"/>
                <w:lang w:eastAsia="zh-CN"/>
              </w:rPr>
              <w:t>（</w:t>
            </w:r>
            <w:r>
              <w:rPr>
                <w:rFonts w:hint="eastAsia" w:ascii="仿宋_GB2312" w:hAnsi="仿宋_GB2312" w:cs="仿宋_GB2312"/>
                <w:i w:val="0"/>
                <w:iCs w:val="0"/>
                <w:caps w:val="0"/>
                <w:color w:val="000000"/>
                <w:spacing w:val="0"/>
                <w:sz w:val="21"/>
                <w:szCs w:val="21"/>
                <w:lang w:val="en-US" w:eastAsia="zh-CN"/>
              </w:rPr>
              <w:t>40分</w:t>
            </w:r>
            <w:r>
              <w:rPr>
                <w:rFonts w:hint="eastAsia" w:ascii="仿宋_GB2312" w:hAnsi="仿宋_GB2312" w:cs="仿宋_GB2312"/>
                <w:i w:val="0"/>
                <w:iCs w:val="0"/>
                <w:caps w:val="0"/>
                <w:color w:val="000000"/>
                <w:spacing w:val="0"/>
                <w:sz w:val="21"/>
                <w:szCs w:val="21"/>
                <w:lang w:eastAsia="zh-CN"/>
              </w:rPr>
              <w:t>）</w:t>
            </w:r>
          </w:p>
        </w:tc>
        <w:tc>
          <w:tcPr>
            <w:tcW w:w="7334"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仿宋_GB2312" w:hAnsi="仿宋_GB2312" w:cs="仿宋_GB2312"/>
                <w:i w:val="0"/>
                <w:iCs w:val="0"/>
                <w:caps w:val="0"/>
                <w:color w:val="000000"/>
                <w:spacing w:val="0"/>
                <w:sz w:val="21"/>
                <w:szCs w:val="21"/>
                <w:lang w:eastAsia="zh-CN"/>
              </w:rPr>
            </w:pPr>
            <w:r>
              <w:rPr>
                <w:rFonts w:hint="eastAsia" w:ascii="仿宋_GB2312" w:hAnsi="仿宋_GB2312" w:cs="仿宋_GB2312"/>
                <w:i w:val="0"/>
                <w:iCs w:val="0"/>
                <w:caps w:val="0"/>
                <w:color w:val="000000"/>
                <w:spacing w:val="0"/>
                <w:sz w:val="21"/>
                <w:szCs w:val="21"/>
                <w:lang w:eastAsia="zh-CN"/>
              </w:rPr>
              <w:t>按供应商提交的实施方案分细分项量化打分，每项内容缺项或不符合要求的扣完对应分值，</w:t>
            </w:r>
            <w:r>
              <w:rPr>
                <w:rFonts w:hint="eastAsia" w:ascii="仿宋_GB2312" w:hAnsi="仿宋_GB2312" w:cs="仿宋_GB2312"/>
                <w:i w:val="0"/>
                <w:iCs w:val="0"/>
                <w:caps w:val="0"/>
                <w:color w:val="000000"/>
                <w:spacing w:val="0"/>
                <w:sz w:val="21"/>
                <w:szCs w:val="21"/>
                <w:lang w:val="en-US" w:eastAsia="zh-CN"/>
              </w:rPr>
              <w:t>大</w:t>
            </w:r>
            <w:r>
              <w:rPr>
                <w:rFonts w:hint="eastAsia" w:ascii="仿宋_GB2312" w:hAnsi="仿宋_GB2312" w:cs="仿宋_GB2312"/>
                <w:i w:val="0"/>
                <w:iCs w:val="0"/>
                <w:caps w:val="0"/>
                <w:color w:val="000000"/>
                <w:spacing w:val="0"/>
                <w:sz w:val="21"/>
                <w:szCs w:val="21"/>
                <w:lang w:eastAsia="zh-CN"/>
              </w:rPr>
              <w:t>幅压缩评审自由裁量权；</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textAlignment w:val="auto"/>
              <w:rPr>
                <w:rFonts w:hint="eastAsia" w:ascii="仿宋_GB2312" w:hAnsi="仿宋_GB2312" w:cs="仿宋_GB2312"/>
                <w:i w:val="0"/>
                <w:iCs w:val="0"/>
                <w:caps w:val="0"/>
                <w:color w:val="000000"/>
                <w:spacing w:val="0"/>
                <w:sz w:val="21"/>
                <w:szCs w:val="21"/>
                <w:lang w:val="en-US" w:eastAsia="zh-CN"/>
              </w:rPr>
            </w:pPr>
            <w:r>
              <w:rPr>
                <w:rFonts w:hint="eastAsia" w:ascii="仿宋_GB2312" w:hAnsi="仿宋_GB2312" w:cs="仿宋_GB2312"/>
                <w:i w:val="0"/>
                <w:iCs w:val="0"/>
                <w:caps w:val="0"/>
                <w:color w:val="000000"/>
                <w:spacing w:val="0"/>
                <w:sz w:val="21"/>
                <w:szCs w:val="21"/>
                <w:lang w:val="en-US" w:eastAsia="zh-CN"/>
              </w:rPr>
              <w:t>1.项目整体思路与需求理解：贴合项目核心需求，针对性强、理解精准，最高得8分；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textAlignment w:val="auto"/>
              <w:rPr>
                <w:rFonts w:hint="eastAsia" w:ascii="仿宋_GB2312" w:hAnsi="仿宋_GB2312" w:cs="仿宋_GB2312"/>
                <w:i w:val="0"/>
                <w:iCs w:val="0"/>
                <w:caps w:val="0"/>
                <w:color w:val="000000"/>
                <w:spacing w:val="0"/>
                <w:sz w:val="21"/>
                <w:szCs w:val="21"/>
                <w:lang w:val="en-US" w:eastAsia="zh-CN"/>
              </w:rPr>
            </w:pPr>
            <w:r>
              <w:rPr>
                <w:rFonts w:hint="eastAsia" w:ascii="仿宋_GB2312" w:hAnsi="仿宋_GB2312" w:cs="仿宋_GB2312"/>
                <w:i w:val="0"/>
                <w:iCs w:val="0"/>
                <w:caps w:val="0"/>
                <w:color w:val="000000"/>
                <w:spacing w:val="0"/>
                <w:sz w:val="21"/>
                <w:szCs w:val="21"/>
                <w:lang w:val="en-US" w:eastAsia="zh-CN"/>
              </w:rPr>
              <w:t>2.实施流程、操作规范与时间进度安排：流程清晰、节点明确，符合相关制度规范；进度计划合理，与项目服务周期完全匹配，节点可落地、可考核，最高得8分；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textAlignment w:val="auto"/>
              <w:rPr>
                <w:rFonts w:hint="eastAsia" w:ascii="仿宋_GB2312" w:hAnsi="仿宋_GB2312" w:cs="仿宋_GB2312"/>
                <w:i w:val="0"/>
                <w:iCs w:val="0"/>
                <w:caps w:val="0"/>
                <w:color w:val="000000"/>
                <w:spacing w:val="0"/>
                <w:sz w:val="21"/>
                <w:szCs w:val="21"/>
                <w:lang w:val="en-US" w:eastAsia="zh-CN"/>
              </w:rPr>
            </w:pPr>
            <w:r>
              <w:rPr>
                <w:rFonts w:hint="eastAsia" w:ascii="仿宋_GB2312" w:hAnsi="仿宋_GB2312" w:cs="仿宋_GB2312"/>
                <w:i w:val="0"/>
                <w:iCs w:val="0"/>
                <w:caps w:val="0"/>
                <w:color w:val="000000"/>
                <w:spacing w:val="0"/>
                <w:sz w:val="21"/>
                <w:szCs w:val="21"/>
                <w:lang w:val="en-US" w:eastAsia="zh-CN"/>
              </w:rPr>
              <w:t>3.人员分工与岗位职责：分工明确、权责清晰，与团队配置完全对应，最高得6分；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textAlignment w:val="auto"/>
              <w:rPr>
                <w:rFonts w:hint="eastAsia" w:ascii="仿宋_GB2312" w:hAnsi="仿宋_GB2312" w:cs="仿宋_GB2312"/>
                <w:i w:val="0"/>
                <w:iCs w:val="0"/>
                <w:caps w:val="0"/>
                <w:color w:val="000000"/>
                <w:spacing w:val="0"/>
                <w:sz w:val="21"/>
                <w:szCs w:val="21"/>
                <w:lang w:val="en-US" w:eastAsia="zh-CN"/>
              </w:rPr>
            </w:pPr>
            <w:r>
              <w:rPr>
                <w:rFonts w:hint="eastAsia" w:ascii="仿宋_GB2312" w:hAnsi="仿宋_GB2312" w:cs="仿宋_GB2312"/>
                <w:i w:val="0"/>
                <w:iCs w:val="0"/>
                <w:caps w:val="0"/>
                <w:color w:val="000000"/>
                <w:spacing w:val="0"/>
                <w:sz w:val="21"/>
                <w:szCs w:val="21"/>
                <w:lang w:val="en-US" w:eastAsia="zh-CN"/>
              </w:rPr>
              <w:t>4.质量管控措施：具备全流程质量管控体系，符合统计数据质量管控要求，有明确的质控标准、复核机制，最高得6分；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textAlignment w:val="auto"/>
              <w:rPr>
                <w:rFonts w:hint="eastAsia" w:ascii="仿宋_GB2312" w:hAnsi="仿宋_GB2312" w:cs="仿宋_GB2312"/>
                <w:i w:val="0"/>
                <w:iCs w:val="0"/>
                <w:caps w:val="0"/>
                <w:color w:val="000000"/>
                <w:spacing w:val="0"/>
                <w:sz w:val="21"/>
                <w:szCs w:val="21"/>
                <w:lang w:val="en-US" w:eastAsia="zh-CN"/>
              </w:rPr>
            </w:pPr>
            <w:r>
              <w:rPr>
                <w:rFonts w:hint="eastAsia" w:ascii="仿宋_GB2312" w:hAnsi="仿宋_GB2312" w:cs="仿宋_GB2312"/>
                <w:i w:val="0"/>
                <w:iCs w:val="0"/>
                <w:caps w:val="0"/>
                <w:color w:val="000000"/>
                <w:spacing w:val="0"/>
                <w:sz w:val="21"/>
                <w:szCs w:val="21"/>
                <w:lang w:val="en-US" w:eastAsia="zh-CN"/>
              </w:rPr>
              <w:t>5.应急保障方案：针对数据异常、人员变动、进度延误等突发情况有完善的应急处置预案，可操作性强，最高得6分；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textAlignment w:val="auto"/>
              <w:rPr>
                <w:rFonts w:hint="default" w:ascii="仿宋_GB2312" w:hAnsi="仿宋_GB2312" w:cs="仿宋_GB2312"/>
                <w:i w:val="0"/>
                <w:iCs w:val="0"/>
                <w:caps w:val="0"/>
                <w:color w:val="000000"/>
                <w:spacing w:val="0"/>
                <w:sz w:val="21"/>
                <w:szCs w:val="21"/>
                <w:lang w:val="en-US" w:eastAsia="zh-CN"/>
              </w:rPr>
            </w:pPr>
            <w:r>
              <w:rPr>
                <w:rFonts w:hint="eastAsia" w:ascii="仿宋_GB2312" w:hAnsi="仿宋_GB2312" w:cs="仿宋_GB2312"/>
                <w:i w:val="0"/>
                <w:iCs w:val="0"/>
                <w:caps w:val="0"/>
                <w:color w:val="000000"/>
                <w:spacing w:val="0"/>
                <w:sz w:val="21"/>
                <w:szCs w:val="21"/>
                <w:lang w:val="en-US" w:eastAsia="zh-CN"/>
              </w:rPr>
              <w:t>6.售后服务与配合保障：具备完善的售后服务、数据答疑、配合验收、后续调整等服务机制，最高得 6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980" w:hRule="atLeast"/>
        </w:trPr>
        <w:tc>
          <w:tcPr>
            <w:tcW w:w="1524"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center"/>
              <w:textAlignment w:val="auto"/>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sz w:val="21"/>
                <w:szCs w:val="21"/>
              </w:rPr>
              <w:t>企业资质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center"/>
              <w:textAlignment w:val="auto"/>
              <w:rPr>
                <w:rFonts w:hint="eastAsia" w:ascii="仿宋_GB2312" w:hAnsi="仿宋_GB2312" w:eastAsia="仿宋_GB2312" w:cs="仿宋_GB2312"/>
                <w:i w:val="0"/>
                <w:iCs w:val="0"/>
                <w:caps w:val="0"/>
                <w:color w:val="000000"/>
                <w:spacing w:val="0"/>
                <w:sz w:val="21"/>
                <w:szCs w:val="21"/>
                <w:lang w:eastAsia="zh-CN"/>
              </w:rPr>
            </w:pPr>
            <w:r>
              <w:rPr>
                <w:rFonts w:hint="eastAsia" w:ascii="仿宋_GB2312" w:hAnsi="仿宋_GB2312" w:cs="仿宋_GB2312"/>
                <w:i w:val="0"/>
                <w:iCs w:val="0"/>
                <w:caps w:val="0"/>
                <w:color w:val="000000"/>
                <w:spacing w:val="0"/>
                <w:sz w:val="21"/>
                <w:szCs w:val="21"/>
                <w:lang w:eastAsia="zh-CN"/>
              </w:rPr>
              <w:t>（</w:t>
            </w:r>
            <w:r>
              <w:rPr>
                <w:rFonts w:hint="eastAsia" w:ascii="仿宋_GB2312" w:hAnsi="仿宋_GB2312" w:cs="仿宋_GB2312"/>
                <w:i w:val="0"/>
                <w:iCs w:val="0"/>
                <w:caps w:val="0"/>
                <w:color w:val="000000"/>
                <w:spacing w:val="0"/>
                <w:sz w:val="21"/>
                <w:szCs w:val="21"/>
                <w:lang w:val="en-US" w:eastAsia="zh-CN"/>
              </w:rPr>
              <w:t>10分</w:t>
            </w:r>
            <w:r>
              <w:rPr>
                <w:rFonts w:hint="eastAsia" w:ascii="仿宋_GB2312" w:hAnsi="仿宋_GB2312" w:cs="仿宋_GB2312"/>
                <w:i w:val="0"/>
                <w:iCs w:val="0"/>
                <w:caps w:val="0"/>
                <w:color w:val="000000"/>
                <w:spacing w:val="0"/>
                <w:sz w:val="21"/>
                <w:szCs w:val="21"/>
                <w:lang w:eastAsia="zh-CN"/>
              </w:rPr>
              <w:t>）</w:t>
            </w:r>
          </w:p>
        </w:tc>
        <w:tc>
          <w:tcPr>
            <w:tcW w:w="7334"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textAlignment w:val="auto"/>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sz w:val="21"/>
                <w:szCs w:val="21"/>
              </w:rPr>
              <w:t>1. 具备有效期内、认证范围包含统计调查或者统计分析相关服务的ISO三体系认证证书，每提供</w:t>
            </w:r>
            <w:r>
              <w:rPr>
                <w:rFonts w:hint="eastAsia" w:ascii="仿宋_GB2312" w:hAnsi="仿宋_GB2312" w:cs="仿宋_GB2312"/>
                <w:i w:val="0"/>
                <w:iCs w:val="0"/>
                <w:caps w:val="0"/>
                <w:color w:val="000000"/>
                <w:spacing w:val="0"/>
                <w:sz w:val="21"/>
                <w:szCs w:val="21"/>
                <w:lang w:val="en-US" w:eastAsia="zh-CN"/>
              </w:rPr>
              <w:t>1</w:t>
            </w:r>
            <w:r>
              <w:rPr>
                <w:rFonts w:hint="eastAsia" w:ascii="仿宋_GB2312" w:hAnsi="仿宋_GB2312" w:eastAsia="仿宋_GB2312" w:cs="仿宋_GB2312"/>
                <w:i w:val="0"/>
                <w:iCs w:val="0"/>
                <w:caps w:val="0"/>
                <w:color w:val="000000"/>
                <w:spacing w:val="0"/>
                <w:sz w:val="21"/>
                <w:szCs w:val="21"/>
              </w:rPr>
              <w:t>个得</w:t>
            </w:r>
            <w:r>
              <w:rPr>
                <w:rFonts w:hint="eastAsia" w:ascii="仿宋_GB2312" w:hAnsi="仿宋_GB2312" w:cs="仿宋_GB2312"/>
                <w:i w:val="0"/>
                <w:iCs w:val="0"/>
                <w:caps w:val="0"/>
                <w:color w:val="000000"/>
                <w:spacing w:val="0"/>
                <w:sz w:val="21"/>
                <w:szCs w:val="21"/>
                <w:lang w:val="en-US" w:eastAsia="zh-CN"/>
              </w:rPr>
              <w:t>2</w:t>
            </w:r>
            <w:r>
              <w:rPr>
                <w:rFonts w:hint="eastAsia" w:ascii="仿宋_GB2312" w:hAnsi="仿宋_GB2312" w:eastAsia="仿宋_GB2312" w:cs="仿宋_GB2312"/>
                <w:i w:val="0"/>
                <w:iCs w:val="0"/>
                <w:caps w:val="0"/>
                <w:color w:val="000000"/>
                <w:spacing w:val="0"/>
                <w:sz w:val="21"/>
                <w:szCs w:val="21"/>
              </w:rPr>
              <w:t>分，最高6分；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textAlignment w:val="auto"/>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sz w:val="21"/>
                <w:szCs w:val="21"/>
              </w:rPr>
              <w:t>2. 具备统计智能知识库管理系统、数据库管理运行平台等功能系统平台软著，每提供</w:t>
            </w:r>
            <w:r>
              <w:rPr>
                <w:rFonts w:hint="eastAsia" w:ascii="仿宋_GB2312" w:hAnsi="仿宋_GB2312" w:cs="仿宋_GB2312"/>
                <w:i w:val="0"/>
                <w:iCs w:val="0"/>
                <w:caps w:val="0"/>
                <w:color w:val="000000"/>
                <w:spacing w:val="0"/>
                <w:sz w:val="21"/>
                <w:szCs w:val="21"/>
                <w:lang w:val="en-US" w:eastAsia="zh-CN"/>
              </w:rPr>
              <w:t>1</w:t>
            </w:r>
            <w:r>
              <w:rPr>
                <w:rFonts w:hint="eastAsia" w:ascii="仿宋_GB2312" w:hAnsi="仿宋_GB2312" w:eastAsia="仿宋_GB2312" w:cs="仿宋_GB2312"/>
                <w:i w:val="0"/>
                <w:iCs w:val="0"/>
                <w:caps w:val="0"/>
                <w:color w:val="000000"/>
                <w:spacing w:val="0"/>
                <w:sz w:val="21"/>
                <w:szCs w:val="21"/>
              </w:rPr>
              <w:t>个得</w:t>
            </w:r>
            <w:r>
              <w:rPr>
                <w:rFonts w:hint="eastAsia" w:ascii="仿宋_GB2312" w:hAnsi="仿宋_GB2312" w:cs="仿宋_GB2312"/>
                <w:i w:val="0"/>
                <w:iCs w:val="0"/>
                <w:caps w:val="0"/>
                <w:color w:val="000000"/>
                <w:spacing w:val="0"/>
                <w:sz w:val="21"/>
                <w:szCs w:val="21"/>
                <w:lang w:val="en-US" w:eastAsia="zh-CN"/>
              </w:rPr>
              <w:t>2</w:t>
            </w:r>
            <w:r>
              <w:rPr>
                <w:rFonts w:hint="eastAsia" w:ascii="仿宋_GB2312" w:hAnsi="仿宋_GB2312" w:eastAsia="仿宋_GB2312" w:cs="仿宋_GB2312"/>
                <w:i w:val="0"/>
                <w:iCs w:val="0"/>
                <w:caps w:val="0"/>
                <w:color w:val="000000"/>
                <w:spacing w:val="0"/>
                <w:sz w:val="21"/>
                <w:szCs w:val="21"/>
              </w:rPr>
              <w:t>分，最高</w:t>
            </w:r>
            <w:r>
              <w:rPr>
                <w:rFonts w:hint="eastAsia" w:ascii="仿宋_GB2312" w:hAnsi="仿宋_GB2312" w:cs="仿宋_GB2312"/>
                <w:i w:val="0"/>
                <w:iCs w:val="0"/>
                <w:caps w:val="0"/>
                <w:color w:val="000000"/>
                <w:spacing w:val="0"/>
                <w:sz w:val="21"/>
                <w:szCs w:val="21"/>
                <w:lang w:val="en-US" w:eastAsia="zh-CN"/>
              </w:rPr>
              <w:t>4</w:t>
            </w:r>
            <w:r>
              <w:rPr>
                <w:rFonts w:hint="eastAsia" w:ascii="仿宋_GB2312" w:hAnsi="仿宋_GB2312" w:eastAsia="仿宋_GB2312" w:cs="仿宋_GB2312"/>
                <w:i w:val="0"/>
                <w:iCs w:val="0"/>
                <w:caps w:val="0"/>
                <w:color w:val="000000"/>
                <w:spacing w:val="0"/>
                <w:sz w:val="21"/>
                <w:szCs w:val="21"/>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4"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center"/>
              <w:textAlignment w:val="auto"/>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sz w:val="21"/>
                <w:szCs w:val="21"/>
              </w:rPr>
              <w:t>同类项目业绩</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center"/>
              <w:textAlignment w:val="auto"/>
              <w:rPr>
                <w:rFonts w:hint="eastAsia" w:ascii="仿宋_GB2312" w:hAnsi="仿宋_GB2312" w:eastAsia="仿宋_GB2312" w:cs="仿宋_GB2312"/>
                <w:i w:val="0"/>
                <w:iCs w:val="0"/>
                <w:caps w:val="0"/>
                <w:color w:val="000000"/>
                <w:spacing w:val="0"/>
                <w:sz w:val="21"/>
                <w:szCs w:val="21"/>
                <w:lang w:eastAsia="zh-CN"/>
              </w:rPr>
            </w:pPr>
            <w:r>
              <w:rPr>
                <w:rFonts w:hint="eastAsia" w:ascii="仿宋_GB2312" w:hAnsi="仿宋_GB2312" w:eastAsia="仿宋_GB2312" w:cs="仿宋_GB2312"/>
                <w:i w:val="0"/>
                <w:iCs w:val="0"/>
                <w:caps w:val="0"/>
                <w:color w:val="000000"/>
                <w:spacing w:val="0"/>
                <w:sz w:val="21"/>
                <w:szCs w:val="21"/>
                <w:lang w:eastAsia="zh-CN"/>
              </w:rPr>
              <w:t>（</w:t>
            </w:r>
            <w:r>
              <w:rPr>
                <w:rFonts w:hint="eastAsia" w:ascii="仿宋_GB2312" w:hAnsi="仿宋_GB2312" w:eastAsia="仿宋_GB2312" w:cs="仿宋_GB2312"/>
                <w:i w:val="0"/>
                <w:iCs w:val="0"/>
                <w:caps w:val="0"/>
                <w:color w:val="000000"/>
                <w:spacing w:val="0"/>
                <w:sz w:val="21"/>
                <w:szCs w:val="21"/>
                <w:lang w:val="en-US" w:eastAsia="zh-CN"/>
              </w:rPr>
              <w:t>10分</w:t>
            </w:r>
            <w:r>
              <w:rPr>
                <w:rFonts w:hint="eastAsia" w:ascii="仿宋_GB2312" w:hAnsi="仿宋_GB2312" w:eastAsia="仿宋_GB2312" w:cs="仿宋_GB2312"/>
                <w:i w:val="0"/>
                <w:iCs w:val="0"/>
                <w:caps w:val="0"/>
                <w:color w:val="000000"/>
                <w:spacing w:val="0"/>
                <w:sz w:val="21"/>
                <w:szCs w:val="21"/>
                <w:lang w:eastAsia="zh-CN"/>
              </w:rPr>
              <w:t>）</w:t>
            </w:r>
          </w:p>
        </w:tc>
        <w:tc>
          <w:tcPr>
            <w:tcW w:w="7334"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top"/>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textAlignment w:val="auto"/>
              <w:rPr>
                <w:rFonts w:hint="eastAsia" w:ascii="仿宋_GB2312" w:hAnsi="仿宋_GB2312" w:eastAsia="仿宋_GB2312" w:cs="仿宋_GB2312"/>
                <w:i w:val="0"/>
                <w:iCs w:val="0"/>
                <w:caps w:val="0"/>
                <w:color w:val="000000"/>
                <w:spacing w:val="0"/>
                <w:sz w:val="21"/>
                <w:szCs w:val="21"/>
                <w:lang w:eastAsia="zh-CN"/>
              </w:rPr>
            </w:pPr>
            <w:r>
              <w:rPr>
                <w:rFonts w:hint="eastAsia" w:ascii="仿宋_GB2312" w:hAnsi="仿宋_GB2312" w:eastAsia="仿宋_GB2312" w:cs="仿宋_GB2312"/>
                <w:i w:val="0"/>
                <w:iCs w:val="0"/>
                <w:caps w:val="0"/>
                <w:color w:val="000000"/>
                <w:spacing w:val="0"/>
                <w:sz w:val="21"/>
                <w:szCs w:val="21"/>
              </w:rPr>
              <w:t>投标人自2023年1月1日至本项目投标截止日（以合同签订日期为准），每提供一项</w:t>
            </w:r>
            <w:r>
              <w:rPr>
                <w:rFonts w:hint="eastAsia" w:ascii="仿宋_GB2312" w:hAnsi="仿宋_GB2312" w:eastAsia="仿宋_GB2312" w:cs="仿宋_GB2312"/>
                <w:i w:val="0"/>
                <w:iCs w:val="0"/>
                <w:caps w:val="0"/>
                <w:color w:val="000000"/>
                <w:spacing w:val="0"/>
                <w:sz w:val="21"/>
                <w:szCs w:val="21"/>
                <w:lang w:eastAsia="zh-CN"/>
              </w:rPr>
              <w:t>统计调查数据采集、催报、审核、入库、普查调查等同类项目</w:t>
            </w:r>
            <w:r>
              <w:rPr>
                <w:rFonts w:hint="eastAsia" w:ascii="仿宋_GB2312" w:hAnsi="仿宋_GB2312" w:eastAsia="仿宋_GB2312" w:cs="仿宋_GB2312"/>
                <w:i w:val="0"/>
                <w:iCs w:val="0"/>
                <w:caps w:val="0"/>
                <w:color w:val="000000"/>
                <w:spacing w:val="0"/>
                <w:sz w:val="21"/>
                <w:szCs w:val="21"/>
              </w:rPr>
              <w:t>业绩得</w:t>
            </w:r>
            <w:r>
              <w:rPr>
                <w:rFonts w:hint="eastAsia" w:ascii="仿宋_GB2312" w:hAnsi="仿宋_GB2312" w:eastAsia="仿宋_GB2312" w:cs="仿宋_GB2312"/>
                <w:i w:val="0"/>
                <w:iCs w:val="0"/>
                <w:caps w:val="0"/>
                <w:color w:val="000000"/>
                <w:spacing w:val="0"/>
                <w:sz w:val="21"/>
                <w:szCs w:val="21"/>
                <w:lang w:val="en-US" w:eastAsia="zh-CN"/>
              </w:rPr>
              <w:t>2</w:t>
            </w:r>
            <w:r>
              <w:rPr>
                <w:rFonts w:hint="eastAsia" w:ascii="仿宋_GB2312" w:hAnsi="仿宋_GB2312" w:eastAsia="仿宋_GB2312" w:cs="仿宋_GB2312"/>
                <w:i w:val="0"/>
                <w:iCs w:val="0"/>
                <w:caps w:val="0"/>
                <w:color w:val="000000"/>
                <w:spacing w:val="0"/>
                <w:sz w:val="21"/>
                <w:szCs w:val="21"/>
              </w:rPr>
              <w:t>分，最高得10分</w:t>
            </w:r>
            <w:r>
              <w:rPr>
                <w:rFonts w:hint="eastAsia" w:ascii="仿宋_GB2312" w:hAnsi="仿宋_GB2312" w:cs="仿宋_GB2312"/>
                <w:i w:val="0"/>
                <w:iCs w:val="0"/>
                <w:caps w:val="0"/>
                <w:color w:val="000000"/>
                <w:spacing w:val="0"/>
                <w:sz w:val="21"/>
                <w:szCs w:val="21"/>
                <w:lang w:eastAsia="zh-CN"/>
              </w:rPr>
              <w:t>，具体要求如下：</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textAlignment w:val="auto"/>
              <w:rPr>
                <w:rFonts w:hint="eastAsia" w:ascii="仿宋_GB2312" w:hAnsi="仿宋_GB2312" w:cs="仿宋_GB2312"/>
                <w:i w:val="0"/>
                <w:iCs w:val="0"/>
                <w:caps w:val="0"/>
                <w:color w:val="000000"/>
                <w:spacing w:val="0"/>
                <w:sz w:val="21"/>
                <w:szCs w:val="21"/>
                <w:lang w:eastAsia="zh-CN"/>
              </w:rPr>
            </w:pPr>
            <w:r>
              <w:rPr>
                <w:rFonts w:hint="eastAsia" w:ascii="仿宋_GB2312" w:hAnsi="仿宋_GB2312" w:eastAsia="仿宋_GB2312" w:cs="仿宋_GB2312"/>
                <w:i w:val="0"/>
                <w:iCs w:val="0"/>
                <w:caps w:val="0"/>
                <w:color w:val="000000"/>
                <w:spacing w:val="0"/>
                <w:sz w:val="21"/>
                <w:szCs w:val="21"/>
              </w:rPr>
              <w:t>1.每项业绩按以下要求提供完整准确的证明文件，一个合同计算一个业绩，一年一签的续签合同只计算一个业绩</w:t>
            </w:r>
            <w:r>
              <w:rPr>
                <w:rFonts w:hint="eastAsia" w:ascii="仿宋_GB2312" w:hAnsi="仿宋_GB2312" w:cs="仿宋_GB2312"/>
                <w:i w:val="0"/>
                <w:iCs w:val="0"/>
                <w:caps w:val="0"/>
                <w:color w:val="000000"/>
                <w:spacing w:val="0"/>
                <w:sz w:val="21"/>
                <w:szCs w:val="21"/>
                <w:lang w:eastAsia="zh-CN"/>
              </w:rPr>
              <w:t>，不重复计分；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textAlignment w:val="auto"/>
              <w:rPr>
                <w:rFonts w:hint="eastAsia" w:ascii="仿宋_GB2312" w:hAnsi="仿宋_GB2312" w:cs="仿宋_GB2312"/>
                <w:i w:val="0"/>
                <w:iCs w:val="0"/>
                <w:caps w:val="0"/>
                <w:color w:val="000000"/>
                <w:spacing w:val="0"/>
                <w:sz w:val="21"/>
                <w:szCs w:val="21"/>
                <w:lang w:val="en-US" w:eastAsia="zh-CN"/>
              </w:rPr>
            </w:pPr>
            <w:r>
              <w:rPr>
                <w:rFonts w:hint="eastAsia" w:ascii="仿宋_GB2312" w:hAnsi="仿宋_GB2312" w:cs="仿宋_GB2312"/>
                <w:i w:val="0"/>
                <w:iCs w:val="0"/>
                <w:caps w:val="0"/>
                <w:color w:val="000000"/>
                <w:spacing w:val="0"/>
                <w:sz w:val="21"/>
                <w:szCs w:val="21"/>
                <w:lang w:val="en-US" w:eastAsia="zh-CN"/>
              </w:rPr>
              <w:t>2.证明文件需提供合同关键页，关键信息包括但不限于：项目名称、服务内容（需明确为同类统计调查相关）、合同服务起止时间、合同双方盖章页、签订日期；</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textAlignment w:val="auto"/>
              <w:rPr>
                <w:rFonts w:hint="eastAsia" w:ascii="仿宋_GB2312" w:hAnsi="仿宋_GB2312" w:eastAsia="仿宋_GB2312" w:cs="仿宋_GB2312"/>
              </w:rPr>
            </w:pPr>
            <w:r>
              <w:rPr>
                <w:rFonts w:hint="eastAsia" w:ascii="仿宋_GB2312" w:hAnsi="仿宋_GB2312" w:cs="仿宋_GB2312"/>
                <w:i w:val="0"/>
                <w:iCs w:val="0"/>
                <w:caps w:val="0"/>
                <w:color w:val="000000"/>
                <w:spacing w:val="0"/>
                <w:sz w:val="21"/>
                <w:szCs w:val="21"/>
                <w:lang w:val="en-US" w:eastAsia="zh-CN"/>
              </w:rPr>
              <w:t>3.未提供证明材料、证明材料不符合要求，或材料不清晰导致评标小组无法辨认关键信息的，该业绩不计分；提供伪造、虚假业绩材料的，按无效投标处理。</w:t>
            </w:r>
          </w:p>
        </w:tc>
      </w:tr>
    </w:tbl>
    <w:p>
      <w:pPr>
        <w:widowControl w:val="0"/>
        <w:spacing w:line="560" w:lineRule="exact"/>
        <w:ind w:firstLine="640" w:firstLineChars="200"/>
        <w:jc w:val="left"/>
        <w:rPr>
          <w:rFonts w:hint="eastAsia" w:ascii="方正黑体_GBK" w:hAnsi="方正黑体_GBK" w:eastAsia="方正黑体_GBK" w:cs="方正黑体_GBK"/>
          <w:b w:val="0"/>
          <w:bCs/>
          <w:color w:val="auto"/>
          <w:kern w:val="2"/>
          <w:sz w:val="32"/>
          <w:szCs w:val="32"/>
          <w:highlight w:val="none"/>
          <w:lang w:val="en-US" w:eastAsia="zh-CN" w:bidi="ar-SA"/>
        </w:rPr>
      </w:pPr>
      <w:r>
        <w:rPr>
          <w:rFonts w:hint="eastAsia" w:ascii="方正黑体_GBK" w:hAnsi="方正黑体_GBK" w:eastAsia="方正黑体_GBK" w:cs="方正黑体_GBK"/>
          <w:b w:val="0"/>
          <w:bCs/>
          <w:color w:val="auto"/>
          <w:kern w:val="2"/>
          <w:sz w:val="32"/>
          <w:szCs w:val="32"/>
          <w:highlight w:val="none"/>
          <w:lang w:val="en-US" w:eastAsia="zh-CN" w:bidi="ar-SA"/>
        </w:rPr>
        <w:t>八、供应商提供资料清单</w:t>
      </w:r>
      <w:r>
        <w:rPr>
          <w:rFonts w:hint="eastAsia" w:ascii="方正黑体_GBK" w:hAnsi="方正黑体_GBK" w:eastAsia="方正黑体_GBK" w:cs="方正黑体_GBK"/>
          <w:b/>
          <w:bCs w:val="0"/>
          <w:color w:val="auto"/>
          <w:kern w:val="2"/>
          <w:sz w:val="32"/>
          <w:szCs w:val="32"/>
          <w:highlight w:val="none"/>
          <w:lang w:val="en-US" w:eastAsia="zh-CN" w:bidi="ar-SA"/>
        </w:rPr>
        <w:t>（均需每页加盖公章）</w:t>
      </w:r>
    </w:p>
    <w:p>
      <w:pPr>
        <w:spacing w:line="560" w:lineRule="exact"/>
        <w:ind w:firstLine="640" w:firstLineChars="200"/>
        <w:jc w:val="left"/>
        <w:rPr>
          <w:rFonts w:ascii="仿宋_GB2312" w:hAnsi="仿宋" w:eastAsia="仿宋_GB2312" w:cs="Times New Roman"/>
          <w:color w:val="auto"/>
          <w:sz w:val="32"/>
          <w:szCs w:val="24"/>
          <w:highlight w:val="none"/>
        </w:rPr>
      </w:pPr>
      <w:r>
        <w:rPr>
          <w:rFonts w:hint="eastAsia" w:ascii="仿宋_GB2312" w:hAnsi="仿宋" w:eastAsia="仿宋_GB2312" w:cs="Times New Roman"/>
          <w:color w:val="auto"/>
          <w:sz w:val="32"/>
          <w:szCs w:val="24"/>
          <w:highlight w:val="none"/>
        </w:rPr>
        <w:t>1.营业执照、事业法人证书、社会团体法人登记证书；</w:t>
      </w:r>
    </w:p>
    <w:p>
      <w:pPr>
        <w:spacing w:line="560" w:lineRule="exact"/>
        <w:ind w:firstLine="640" w:firstLineChars="200"/>
        <w:jc w:val="left"/>
        <w:rPr>
          <w:rFonts w:ascii="Calibri" w:hAnsi="Calibri" w:eastAsia="宋体" w:cs="Times New Roman"/>
          <w:color w:val="auto"/>
          <w:sz w:val="32"/>
          <w:szCs w:val="32"/>
          <w:highlight w:val="none"/>
        </w:rPr>
      </w:pPr>
      <w:r>
        <w:rPr>
          <w:rFonts w:hint="eastAsia" w:ascii="仿宋_GB2312" w:hAnsi="仿宋" w:eastAsia="仿宋_GB2312" w:cs="Times New Roman"/>
          <w:color w:val="auto"/>
          <w:sz w:val="32"/>
          <w:szCs w:val="32"/>
          <w:highlight w:val="none"/>
        </w:rPr>
        <w:t>2.法定代表人身份证复印件；</w:t>
      </w:r>
    </w:p>
    <w:p>
      <w:pPr>
        <w:pStyle w:val="8"/>
        <w:spacing w:after="0" w:line="560" w:lineRule="exact"/>
        <w:ind w:left="0" w:leftChars="0" w:right="0" w:rightChars="0" w:firstLine="640"/>
        <w:jc w:val="left"/>
        <w:rPr>
          <w:rFonts w:ascii="仿宋_GB2312" w:hAnsi="仿宋" w:eastAsia="仿宋_GB2312" w:cs="Times New Roman"/>
          <w:color w:val="auto"/>
          <w:sz w:val="32"/>
          <w:highlight w:val="none"/>
        </w:rPr>
      </w:pPr>
      <w:r>
        <w:rPr>
          <w:rFonts w:hint="eastAsia" w:ascii="仿宋_GB2312" w:hAnsi="仿宋" w:eastAsia="仿宋_GB2312" w:cs="Times New Roman"/>
          <w:color w:val="auto"/>
          <w:sz w:val="32"/>
          <w:highlight w:val="none"/>
        </w:rPr>
        <w:t>3.项目报价</w:t>
      </w:r>
      <w:r>
        <w:rPr>
          <w:rFonts w:hint="eastAsia" w:ascii="仿宋_GB2312" w:hAnsi="仿宋" w:eastAsia="仿宋_GB2312" w:cs="Times New Roman"/>
          <w:color w:val="auto"/>
          <w:sz w:val="32"/>
          <w:highlight w:val="none"/>
          <w:lang w:eastAsia="zh-CN"/>
        </w:rPr>
        <w:t>表</w:t>
      </w:r>
      <w:r>
        <w:rPr>
          <w:rFonts w:hint="eastAsia" w:ascii="仿宋_GB2312" w:hAnsi="仿宋" w:eastAsia="仿宋_GB2312" w:cs="Times New Roman"/>
          <w:b/>
          <w:bCs/>
          <w:color w:val="auto"/>
          <w:sz w:val="32"/>
          <w:highlight w:val="none"/>
          <w:lang w:eastAsia="zh-CN"/>
        </w:rPr>
        <w:t>（需按格式提供）</w:t>
      </w:r>
      <w:r>
        <w:rPr>
          <w:rFonts w:hint="eastAsia" w:ascii="仿宋_GB2312" w:hAnsi="仿宋" w:eastAsia="仿宋_GB2312" w:cs="Times New Roman"/>
          <w:color w:val="auto"/>
          <w:sz w:val="32"/>
          <w:highlight w:val="none"/>
        </w:rPr>
        <w:t>；</w:t>
      </w:r>
    </w:p>
    <w:p>
      <w:pPr>
        <w:pStyle w:val="8"/>
        <w:spacing w:after="0" w:line="560" w:lineRule="exact"/>
        <w:ind w:left="0" w:leftChars="0" w:right="0" w:rightChars="0" w:firstLine="640"/>
        <w:jc w:val="left"/>
        <w:rPr>
          <w:rFonts w:hint="eastAsia" w:ascii="仿宋_GB2312" w:hAnsi="仿宋" w:eastAsia="仿宋_GB2312" w:cs="Times New Roman"/>
          <w:color w:val="auto"/>
          <w:sz w:val="32"/>
          <w:highlight w:val="none"/>
        </w:rPr>
      </w:pPr>
      <w:r>
        <w:rPr>
          <w:rFonts w:hint="eastAsia" w:ascii="仿宋_GB2312" w:hAnsi="仿宋" w:eastAsia="仿宋_GB2312" w:cs="Times New Roman"/>
          <w:color w:val="auto"/>
          <w:sz w:val="32"/>
          <w:highlight w:val="none"/>
        </w:rPr>
        <w:t>4.评分规则所需资料（同类业绩证明、</w:t>
      </w:r>
      <w:r>
        <w:rPr>
          <w:rFonts w:hint="eastAsia" w:ascii="仿宋_GB2312" w:hAnsi="仿宋" w:eastAsia="仿宋_GB2312" w:cs="Times New Roman"/>
          <w:color w:val="auto"/>
          <w:sz w:val="32"/>
          <w:highlight w:val="none"/>
          <w:lang w:eastAsia="zh-CN"/>
        </w:rPr>
        <w:t>实施</w:t>
      </w:r>
      <w:r>
        <w:rPr>
          <w:rFonts w:hint="eastAsia" w:ascii="仿宋_GB2312" w:hAnsi="仿宋" w:eastAsia="仿宋_GB2312" w:cs="Times New Roman"/>
          <w:color w:val="auto"/>
          <w:sz w:val="32"/>
          <w:highlight w:val="none"/>
        </w:rPr>
        <w:t>方案等）；</w:t>
      </w:r>
    </w:p>
    <w:p>
      <w:pPr>
        <w:pStyle w:val="8"/>
        <w:spacing w:after="0" w:line="560" w:lineRule="exact"/>
        <w:ind w:left="0" w:leftChars="0" w:right="0" w:rightChars="0" w:firstLine="640"/>
        <w:jc w:val="left"/>
        <w:rPr>
          <w:rFonts w:hint="default"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5.诚信承诺书（详见附件1）；</w:t>
      </w:r>
    </w:p>
    <w:p>
      <w:pPr>
        <w:pStyle w:val="8"/>
        <w:spacing w:after="0" w:line="560" w:lineRule="exact"/>
        <w:ind w:left="0" w:leftChars="0" w:right="0" w:rightChars="0" w:firstLine="640"/>
        <w:jc w:val="left"/>
        <w:rPr>
          <w:rFonts w:hint="eastAsia" w:ascii="仿宋_GB2312" w:hAnsi="仿宋" w:eastAsia="仿宋_GB2312" w:cs="Times New Roman"/>
          <w:color w:val="auto"/>
          <w:sz w:val="32"/>
          <w:highlight w:val="none"/>
          <w:lang w:eastAsia="zh-CN"/>
        </w:rPr>
      </w:pPr>
      <w:r>
        <w:rPr>
          <w:rFonts w:hint="eastAsia" w:ascii="仿宋_GB2312" w:hAnsi="仿宋" w:eastAsia="仿宋_GB2312" w:cs="Times New Roman"/>
          <w:color w:val="auto"/>
          <w:sz w:val="32"/>
          <w:highlight w:val="none"/>
          <w:lang w:val="en-US" w:eastAsia="zh-CN"/>
        </w:rPr>
        <w:t>6</w:t>
      </w:r>
      <w:r>
        <w:rPr>
          <w:rFonts w:hint="eastAsia" w:ascii="仿宋_GB2312" w:hAnsi="仿宋" w:eastAsia="仿宋_GB2312" w:cs="Times New Roman"/>
          <w:color w:val="auto"/>
          <w:sz w:val="32"/>
          <w:highlight w:val="none"/>
        </w:rPr>
        <w:t>.</w:t>
      </w:r>
      <w:r>
        <w:rPr>
          <w:rFonts w:hint="eastAsia" w:ascii="仿宋_GB2312" w:hAnsi="仿宋" w:eastAsia="仿宋_GB2312" w:cs="Times New Roman"/>
          <w:color w:val="auto"/>
          <w:sz w:val="32"/>
          <w:highlight w:val="none"/>
          <w:lang w:eastAsia="zh-CN"/>
        </w:rPr>
        <w:t>填写</w:t>
      </w:r>
      <w:r>
        <w:rPr>
          <w:rFonts w:hint="eastAsia" w:ascii="仿宋_GB2312" w:hAnsi="仿宋" w:eastAsia="仿宋_GB2312" w:cs="Times New Roman"/>
          <w:color w:val="auto"/>
          <w:sz w:val="32"/>
          <w:highlight w:val="none"/>
        </w:rPr>
        <w:t>《供应商基本情况表》</w:t>
      </w:r>
      <w:r>
        <w:rPr>
          <w:rFonts w:hint="eastAsia" w:ascii="仿宋_GB2312" w:hAnsi="仿宋" w:eastAsia="仿宋_GB2312" w:cs="Times New Roman"/>
          <w:color w:val="auto"/>
          <w:sz w:val="32"/>
          <w:highlight w:val="none"/>
          <w:lang w:eastAsia="zh-CN"/>
        </w:rPr>
        <w:t>（加盖公章，</w:t>
      </w:r>
      <w:r>
        <w:rPr>
          <w:rFonts w:hint="eastAsia" w:ascii="仿宋_GB2312" w:hAnsi="仿宋" w:eastAsia="仿宋_GB2312" w:cs="Times New Roman"/>
          <w:color w:val="auto"/>
          <w:sz w:val="32"/>
          <w:highlight w:val="none"/>
        </w:rPr>
        <w:t>详见附件</w:t>
      </w:r>
      <w:r>
        <w:rPr>
          <w:rFonts w:hint="eastAsia" w:ascii="仿宋_GB2312" w:hAnsi="仿宋" w:eastAsia="仿宋_GB2312" w:cs="Times New Roman"/>
          <w:color w:val="auto"/>
          <w:sz w:val="32"/>
          <w:highlight w:val="none"/>
          <w:lang w:val="en-US" w:eastAsia="zh-CN"/>
        </w:rPr>
        <w:t>2</w:t>
      </w:r>
      <w:r>
        <w:rPr>
          <w:rFonts w:hint="eastAsia" w:ascii="仿宋_GB2312" w:hAnsi="仿宋" w:eastAsia="仿宋_GB2312" w:cs="Times New Roman"/>
          <w:color w:val="auto"/>
          <w:sz w:val="32"/>
          <w:highlight w:val="none"/>
          <w:lang w:eastAsia="zh-CN"/>
        </w:rPr>
        <w:t>）并提供表中投标（响应）供应商相关人员的近三个月社保缴纳情况，若本月社保未能提供，则提供前三个月的社保情况，如供应商为新成立企业且成立时间不足</w:t>
      </w:r>
      <w:r>
        <w:rPr>
          <w:rFonts w:hint="eastAsia" w:ascii="仿宋_GB2312" w:hAnsi="仿宋" w:eastAsia="仿宋_GB2312" w:cs="Times New Roman"/>
          <w:color w:val="auto"/>
          <w:sz w:val="32"/>
          <w:highlight w:val="none"/>
          <w:lang w:val="en-US" w:eastAsia="zh-CN"/>
        </w:rPr>
        <w:t>3</w:t>
      </w:r>
      <w:r>
        <w:rPr>
          <w:rFonts w:hint="eastAsia" w:ascii="仿宋_GB2312" w:hAnsi="仿宋" w:eastAsia="仿宋_GB2312" w:cs="Times New Roman"/>
          <w:color w:val="auto"/>
          <w:sz w:val="32"/>
          <w:highlight w:val="none"/>
          <w:lang w:eastAsia="zh-CN"/>
        </w:rPr>
        <w:t>个月的，可提供加盖公章的情况说明或其他相关证明材料。</w:t>
      </w:r>
    </w:p>
    <w:p>
      <w:pPr>
        <w:pStyle w:val="8"/>
        <w:spacing w:after="0" w:line="560" w:lineRule="exact"/>
        <w:ind w:left="0" w:leftChars="0" w:right="0" w:rightChars="0" w:firstLine="640"/>
        <w:jc w:val="left"/>
        <w:rPr>
          <w:rFonts w:hint="eastAsia" w:ascii="方正黑体_GBK" w:hAnsi="方正黑体_GBK" w:eastAsia="方正黑体_GBK" w:cs="方正黑体_GBK"/>
          <w:color w:val="auto"/>
          <w:sz w:val="32"/>
          <w:highlight w:val="none"/>
          <w:lang w:val="en-US" w:eastAsia="zh-CN"/>
        </w:rPr>
      </w:pPr>
      <w:r>
        <w:rPr>
          <w:rFonts w:hint="eastAsia" w:ascii="方正黑体_GBK" w:hAnsi="方正黑体_GBK" w:eastAsia="方正黑体_GBK" w:cs="方正黑体_GBK"/>
          <w:color w:val="auto"/>
          <w:sz w:val="32"/>
          <w:highlight w:val="none"/>
          <w:lang w:val="en-US" w:eastAsia="zh-CN"/>
        </w:rPr>
        <w:t>九、其他注意事项</w:t>
      </w:r>
    </w:p>
    <w:p>
      <w:pPr>
        <w:pStyle w:val="8"/>
        <w:spacing w:after="0" w:line="560" w:lineRule="exact"/>
        <w:ind w:left="0" w:leftChars="0" w:right="0" w:rightChars="0" w:firstLine="640"/>
        <w:jc w:val="left"/>
        <w:rPr>
          <w:rFonts w:hint="default"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rPr>
        <w:t>供应商需</w:t>
      </w:r>
      <w:r>
        <w:rPr>
          <w:rFonts w:hint="eastAsia" w:ascii="仿宋_GB2312" w:hAnsi="仿宋" w:eastAsia="仿宋_GB2312" w:cs="Times New Roman"/>
          <w:color w:val="auto"/>
          <w:sz w:val="32"/>
          <w:highlight w:val="none"/>
          <w:lang w:eastAsia="zh-CN"/>
        </w:rPr>
        <w:t>于2026年6月</w:t>
      </w:r>
      <w:r>
        <w:rPr>
          <w:rFonts w:hint="eastAsia" w:ascii="仿宋_GB2312" w:hAnsi="仿宋" w:eastAsia="仿宋_GB2312" w:cs="Times New Roman"/>
          <w:color w:val="auto"/>
          <w:sz w:val="32"/>
          <w:highlight w:val="none"/>
          <w:lang w:val="en-US" w:eastAsia="zh-CN"/>
        </w:rPr>
        <w:t>1</w:t>
      </w:r>
      <w:r>
        <w:rPr>
          <w:rFonts w:hint="eastAsia" w:ascii="仿宋_GB2312" w:hAnsi="仿宋" w:eastAsia="仿宋_GB2312" w:cs="Times New Roman"/>
          <w:color w:val="auto"/>
          <w:sz w:val="32"/>
          <w:highlight w:val="none"/>
          <w:lang w:eastAsia="zh-CN"/>
        </w:rPr>
        <w:t>5日</w:t>
      </w:r>
      <w:r>
        <w:rPr>
          <w:rFonts w:hint="eastAsia" w:ascii="仿宋_GB2312" w:hAnsi="仿宋" w:eastAsia="仿宋_GB2312" w:cs="Times New Roman"/>
          <w:color w:val="auto"/>
          <w:sz w:val="32"/>
          <w:highlight w:val="none"/>
          <w:lang w:val="en-US" w:eastAsia="zh-CN"/>
        </w:rPr>
        <w:t>以</w:t>
      </w:r>
      <w:r>
        <w:rPr>
          <w:rFonts w:hint="eastAsia" w:ascii="仿宋_GB2312" w:hAnsi="仿宋" w:eastAsia="仿宋_GB2312" w:cs="Times New Roman"/>
          <w:color w:val="auto"/>
          <w:sz w:val="32"/>
          <w:highlight w:val="none"/>
        </w:rPr>
        <w:t>邮寄</w:t>
      </w:r>
      <w:r>
        <w:rPr>
          <w:rFonts w:hint="eastAsia" w:ascii="仿宋_GB2312" w:hAnsi="仿宋" w:eastAsia="仿宋_GB2312" w:cs="Times New Roman"/>
          <w:color w:val="auto"/>
          <w:sz w:val="32"/>
          <w:highlight w:val="none"/>
          <w:lang w:val="en-US" w:eastAsia="zh-CN"/>
        </w:rPr>
        <w:t>方式提供2</w:t>
      </w:r>
      <w:r>
        <w:rPr>
          <w:rFonts w:hint="eastAsia" w:ascii="仿宋_GB2312" w:hAnsi="仿宋" w:eastAsia="仿宋_GB2312" w:cs="Times New Roman"/>
          <w:color w:val="auto"/>
          <w:sz w:val="32"/>
          <w:highlight w:val="none"/>
        </w:rPr>
        <w:t>份密封纸质版投标资料至本单位</w:t>
      </w:r>
      <w:r>
        <w:rPr>
          <w:rFonts w:hint="eastAsia" w:ascii="仿宋_GB2312" w:hAnsi="仿宋" w:eastAsia="仿宋_GB2312" w:cs="Times New Roman"/>
          <w:color w:val="auto"/>
          <w:sz w:val="32"/>
          <w:highlight w:val="none"/>
          <w:lang w:eastAsia="zh-CN"/>
        </w:rPr>
        <w:t>。</w:t>
      </w:r>
      <w:r>
        <w:rPr>
          <w:rFonts w:hint="eastAsia" w:ascii="仿宋_GB2312" w:hAnsi="仿宋" w:eastAsia="仿宋_GB2312" w:cs="Times New Roman"/>
          <w:color w:val="auto"/>
          <w:sz w:val="32"/>
          <w:highlight w:val="none"/>
          <w:lang w:val="en-US" w:eastAsia="zh-CN"/>
        </w:rPr>
        <w:t>并在封面备注“2026-2027年盐田区统计调查数据采集审核项目需求书</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项目+公司全称+日期+联系人+联系方式”。</w:t>
      </w:r>
    </w:p>
    <w:p>
      <w:pPr>
        <w:pStyle w:val="8"/>
        <w:spacing w:after="0" w:line="560" w:lineRule="exact"/>
        <w:ind w:left="0" w:leftChars="0" w:right="0" w:rightChars="0" w:firstLine="640" w:firstLineChars="200"/>
        <w:jc w:val="left"/>
        <w:rPr>
          <w:rFonts w:ascii="仿宋_GB2312" w:hAnsi="仿宋" w:eastAsia="仿宋_GB2312" w:cs="Times New Roman"/>
          <w:color w:val="auto"/>
          <w:sz w:val="32"/>
          <w:highlight w:val="none"/>
        </w:rPr>
      </w:pPr>
      <w:r>
        <w:rPr>
          <w:rFonts w:hint="eastAsia" w:ascii="仿宋_GB2312" w:hAnsi="仿宋" w:eastAsia="仿宋_GB2312" w:cs="Times New Roman"/>
          <w:color w:val="auto"/>
          <w:sz w:val="32"/>
          <w:highlight w:val="none"/>
        </w:rPr>
        <w:t>地址：</w:t>
      </w:r>
      <w:bookmarkStart w:id="0" w:name="OLE_LINK5"/>
      <w:r>
        <w:rPr>
          <w:rFonts w:hint="eastAsia" w:ascii="仿宋_GB2312" w:hAnsi="仿宋" w:eastAsia="仿宋_GB2312" w:cs="Times New Roman"/>
          <w:color w:val="auto"/>
          <w:sz w:val="32"/>
          <w:highlight w:val="none"/>
        </w:rPr>
        <w:t>深圳</w:t>
      </w:r>
      <w:bookmarkEnd w:id="0"/>
      <w:r>
        <w:rPr>
          <w:rFonts w:hint="eastAsia" w:ascii="仿宋_GB2312" w:hAnsi="仿宋" w:eastAsia="仿宋_GB2312" w:cs="Times New Roman"/>
          <w:color w:val="auto"/>
          <w:sz w:val="32"/>
          <w:highlight w:val="none"/>
        </w:rPr>
        <w:t>市盐田区文化馆7楼</w:t>
      </w:r>
      <w:r>
        <w:rPr>
          <w:rFonts w:hint="eastAsia" w:ascii="仿宋_GB2312" w:hAnsi="仿宋" w:eastAsia="仿宋_GB2312" w:cs="Times New Roman"/>
          <w:color w:val="auto"/>
          <w:sz w:val="32"/>
          <w:highlight w:val="none"/>
          <w:lang w:val="en-US" w:eastAsia="zh-CN"/>
        </w:rPr>
        <w:t>703室</w:t>
      </w:r>
    </w:p>
    <w:p>
      <w:pPr>
        <w:pStyle w:val="29"/>
        <w:spacing w:line="560" w:lineRule="exact"/>
        <w:rPr>
          <w:rFonts w:hint="eastAsia" w:ascii="仿宋_GB2312" w:hAnsi="仿宋" w:eastAsia="仿宋_GB2312" w:cs="Times New Roman"/>
          <w:color w:val="auto"/>
          <w:sz w:val="32"/>
          <w:highlight w:val="none"/>
        </w:rPr>
      </w:pPr>
      <w:r>
        <w:rPr>
          <w:rFonts w:hint="eastAsia" w:ascii="仿宋_GB2312" w:hAnsi="仿宋" w:eastAsia="仿宋_GB2312" w:cs="Times New Roman"/>
          <w:color w:val="auto"/>
          <w:sz w:val="32"/>
          <w:highlight w:val="none"/>
        </w:rPr>
        <w:t>收件人：黄女士</w:t>
      </w:r>
    </w:p>
    <w:p>
      <w:pPr>
        <w:spacing w:line="560" w:lineRule="exact"/>
        <w:ind w:firstLine="640" w:firstLineChars="200"/>
        <w:jc w:val="left"/>
      </w:pPr>
      <w:r>
        <w:rPr>
          <w:rFonts w:hint="eastAsia" w:ascii="仿宋_GB2312" w:hAnsi="仿宋" w:eastAsia="仿宋_GB2312" w:cs="Times New Roman"/>
          <w:color w:val="auto"/>
          <w:sz w:val="32"/>
          <w:szCs w:val="24"/>
          <w:highlight w:val="none"/>
        </w:rPr>
        <w:t>联系方式</w:t>
      </w:r>
      <w:r>
        <w:rPr>
          <w:rFonts w:hint="eastAsia" w:ascii="仿宋_GB2312" w:hAnsi="仿宋" w:eastAsia="仿宋_GB2312" w:cs="Times New Roman"/>
          <w:color w:val="auto"/>
          <w:sz w:val="32"/>
          <w:szCs w:val="24"/>
          <w:highlight w:val="none"/>
          <w:lang w:eastAsia="zh-CN"/>
        </w:rPr>
        <w:t>：</w:t>
      </w:r>
      <w:r>
        <w:rPr>
          <w:rFonts w:hint="eastAsia" w:ascii="仿宋_GB2312" w:hAnsi="仿宋" w:cs="Times New Roman"/>
          <w:color w:val="auto"/>
          <w:sz w:val="32"/>
          <w:szCs w:val="24"/>
          <w:highlight w:val="none"/>
          <w:lang w:val="en-US" w:eastAsia="zh-CN"/>
        </w:rPr>
        <w:t>0755-</w:t>
      </w:r>
      <w:r>
        <w:rPr>
          <w:rFonts w:hint="eastAsia" w:ascii="仿宋_GB2312" w:hAnsi="仿宋" w:eastAsia="仿宋_GB2312" w:cs="Times New Roman"/>
          <w:color w:val="auto"/>
          <w:sz w:val="32"/>
          <w:highlight w:val="none"/>
        </w:rPr>
        <w:t>88171613，15986665681</w:t>
      </w:r>
    </w:p>
    <w:sectPr>
      <w:footerReference r:id="rId7" w:type="first"/>
      <w:headerReference r:id="rId3" w:type="default"/>
      <w:footerReference r:id="rId5" w:type="default"/>
      <w:headerReference r:id="rId4" w:type="even"/>
      <w:footerReference r:id="rId6" w:type="even"/>
      <w:pgSz w:w="11906" w:h="16838"/>
      <w:pgMar w:top="2098" w:right="1531" w:bottom="1588" w:left="1531" w:header="851" w:footer="1588" w:gutter="0"/>
      <w:pgNumType w:fmt="decimal"/>
      <w:cols w:space="720" w:num="1"/>
      <w:titlePg/>
      <w:docGrid w:type="lines" w:linePitch="43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中宋"/>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汉仪细圆B5">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11"/>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11"/>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1200"/>
        <w:tab w:val="right" w:pos="8844"/>
      </w:tabs>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11"/>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tabs>
        <w:tab w:val="center" w:pos="4422"/>
        <w:tab w:val="left" w:pos="5430"/>
      </w:tabs>
      <w:jc w:val="left"/>
    </w:pP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9A8"/>
    <w:rsid w:val="00032F92"/>
    <w:rsid w:val="00081E62"/>
    <w:rsid w:val="00092A2F"/>
    <w:rsid w:val="000C5FA4"/>
    <w:rsid w:val="000E40A0"/>
    <w:rsid w:val="00103E79"/>
    <w:rsid w:val="001234A4"/>
    <w:rsid w:val="001513E5"/>
    <w:rsid w:val="00151A27"/>
    <w:rsid w:val="00172A27"/>
    <w:rsid w:val="00185A71"/>
    <w:rsid w:val="001A33D9"/>
    <w:rsid w:val="001B1E0B"/>
    <w:rsid w:val="001B6616"/>
    <w:rsid w:val="001D2344"/>
    <w:rsid w:val="001D57E3"/>
    <w:rsid w:val="001F4F0B"/>
    <w:rsid w:val="00233A7E"/>
    <w:rsid w:val="00244BD4"/>
    <w:rsid w:val="00257A6E"/>
    <w:rsid w:val="00287EC1"/>
    <w:rsid w:val="002B2F40"/>
    <w:rsid w:val="002B5C21"/>
    <w:rsid w:val="002C1012"/>
    <w:rsid w:val="002E5628"/>
    <w:rsid w:val="00300D47"/>
    <w:rsid w:val="003175FE"/>
    <w:rsid w:val="0032559D"/>
    <w:rsid w:val="003B26A3"/>
    <w:rsid w:val="003C37D3"/>
    <w:rsid w:val="003D58D8"/>
    <w:rsid w:val="004078C8"/>
    <w:rsid w:val="00427740"/>
    <w:rsid w:val="00431D5C"/>
    <w:rsid w:val="004329AD"/>
    <w:rsid w:val="00454C9E"/>
    <w:rsid w:val="00472B2A"/>
    <w:rsid w:val="004772AC"/>
    <w:rsid w:val="00480119"/>
    <w:rsid w:val="00484624"/>
    <w:rsid w:val="004D0949"/>
    <w:rsid w:val="004D6031"/>
    <w:rsid w:val="00506C3A"/>
    <w:rsid w:val="00515254"/>
    <w:rsid w:val="005215D1"/>
    <w:rsid w:val="0052706E"/>
    <w:rsid w:val="00530515"/>
    <w:rsid w:val="00534493"/>
    <w:rsid w:val="00567266"/>
    <w:rsid w:val="005930D0"/>
    <w:rsid w:val="005A0275"/>
    <w:rsid w:val="005C620A"/>
    <w:rsid w:val="005F3638"/>
    <w:rsid w:val="00603B67"/>
    <w:rsid w:val="00625E1D"/>
    <w:rsid w:val="00634506"/>
    <w:rsid w:val="00634F5F"/>
    <w:rsid w:val="006364BD"/>
    <w:rsid w:val="006419D2"/>
    <w:rsid w:val="00660F66"/>
    <w:rsid w:val="00677FA3"/>
    <w:rsid w:val="00680BAE"/>
    <w:rsid w:val="00687749"/>
    <w:rsid w:val="006F4A52"/>
    <w:rsid w:val="00753CC0"/>
    <w:rsid w:val="00767B86"/>
    <w:rsid w:val="007C0FDD"/>
    <w:rsid w:val="007C49E9"/>
    <w:rsid w:val="007C5D8B"/>
    <w:rsid w:val="007D74D3"/>
    <w:rsid w:val="007F715F"/>
    <w:rsid w:val="0083630B"/>
    <w:rsid w:val="0086040B"/>
    <w:rsid w:val="0087271A"/>
    <w:rsid w:val="008A2518"/>
    <w:rsid w:val="008A2FEC"/>
    <w:rsid w:val="008D1464"/>
    <w:rsid w:val="008F4429"/>
    <w:rsid w:val="009010DC"/>
    <w:rsid w:val="0091384E"/>
    <w:rsid w:val="0094512D"/>
    <w:rsid w:val="00990CC4"/>
    <w:rsid w:val="009A63CB"/>
    <w:rsid w:val="009B1199"/>
    <w:rsid w:val="009E3526"/>
    <w:rsid w:val="009E5A1F"/>
    <w:rsid w:val="00A333D7"/>
    <w:rsid w:val="00A41AAD"/>
    <w:rsid w:val="00AB2DAA"/>
    <w:rsid w:val="00AD1616"/>
    <w:rsid w:val="00AE3722"/>
    <w:rsid w:val="00AE4766"/>
    <w:rsid w:val="00B0728A"/>
    <w:rsid w:val="00B113BD"/>
    <w:rsid w:val="00B507F1"/>
    <w:rsid w:val="00BB3024"/>
    <w:rsid w:val="00BB460B"/>
    <w:rsid w:val="00BD7F34"/>
    <w:rsid w:val="00C2127D"/>
    <w:rsid w:val="00C21818"/>
    <w:rsid w:val="00C32BB9"/>
    <w:rsid w:val="00C9607D"/>
    <w:rsid w:val="00CB5D99"/>
    <w:rsid w:val="00CC1B0A"/>
    <w:rsid w:val="00CE2E09"/>
    <w:rsid w:val="00D44A20"/>
    <w:rsid w:val="00D513E5"/>
    <w:rsid w:val="00DA3E21"/>
    <w:rsid w:val="00DB5B8A"/>
    <w:rsid w:val="00DD6995"/>
    <w:rsid w:val="00DF100F"/>
    <w:rsid w:val="00E54445"/>
    <w:rsid w:val="00E6741A"/>
    <w:rsid w:val="00E7186F"/>
    <w:rsid w:val="00E76E0A"/>
    <w:rsid w:val="00E870C9"/>
    <w:rsid w:val="00E954AF"/>
    <w:rsid w:val="00EA19CF"/>
    <w:rsid w:val="00EC3D15"/>
    <w:rsid w:val="00EC5595"/>
    <w:rsid w:val="00EF1848"/>
    <w:rsid w:val="00F0485A"/>
    <w:rsid w:val="00F302B7"/>
    <w:rsid w:val="00F53990"/>
    <w:rsid w:val="00F952C1"/>
    <w:rsid w:val="00F97DC4"/>
    <w:rsid w:val="022E6926"/>
    <w:rsid w:val="0EAD18FC"/>
    <w:rsid w:val="103704AB"/>
    <w:rsid w:val="147C3D17"/>
    <w:rsid w:val="177EE5F4"/>
    <w:rsid w:val="18D0616E"/>
    <w:rsid w:val="1AE25CD4"/>
    <w:rsid w:val="1EBDB6D7"/>
    <w:rsid w:val="1FEDBF95"/>
    <w:rsid w:val="200233EE"/>
    <w:rsid w:val="22CE3480"/>
    <w:rsid w:val="27FFE82D"/>
    <w:rsid w:val="2C8531D6"/>
    <w:rsid w:val="2FFC053F"/>
    <w:rsid w:val="3035053B"/>
    <w:rsid w:val="382B3217"/>
    <w:rsid w:val="395B665A"/>
    <w:rsid w:val="3A677507"/>
    <w:rsid w:val="3BD200BE"/>
    <w:rsid w:val="3BE5844C"/>
    <w:rsid w:val="3C3616D7"/>
    <w:rsid w:val="3CAA0463"/>
    <w:rsid w:val="3DEF572F"/>
    <w:rsid w:val="3E994885"/>
    <w:rsid w:val="3FBFE392"/>
    <w:rsid w:val="44602787"/>
    <w:rsid w:val="476B4B72"/>
    <w:rsid w:val="487D623A"/>
    <w:rsid w:val="4A600B61"/>
    <w:rsid w:val="4ADC73F5"/>
    <w:rsid w:val="4BEF0E79"/>
    <w:rsid w:val="4CB7647E"/>
    <w:rsid w:val="53632EBF"/>
    <w:rsid w:val="561128D5"/>
    <w:rsid w:val="56592AEC"/>
    <w:rsid w:val="577459F0"/>
    <w:rsid w:val="577F323D"/>
    <w:rsid w:val="593F04E5"/>
    <w:rsid w:val="59B235C6"/>
    <w:rsid w:val="5A431F41"/>
    <w:rsid w:val="5C0C6614"/>
    <w:rsid w:val="5D32415E"/>
    <w:rsid w:val="5E4D2C4F"/>
    <w:rsid w:val="602A2EB1"/>
    <w:rsid w:val="616A4700"/>
    <w:rsid w:val="68301E79"/>
    <w:rsid w:val="6AABD441"/>
    <w:rsid w:val="6BF11143"/>
    <w:rsid w:val="6BFB647C"/>
    <w:rsid w:val="6D2D68F8"/>
    <w:rsid w:val="6EFA2E32"/>
    <w:rsid w:val="6F9FCA11"/>
    <w:rsid w:val="6FFD21D1"/>
    <w:rsid w:val="77FE0727"/>
    <w:rsid w:val="77FF1CDF"/>
    <w:rsid w:val="78277754"/>
    <w:rsid w:val="7A377147"/>
    <w:rsid w:val="7A6860C0"/>
    <w:rsid w:val="7BBF6C87"/>
    <w:rsid w:val="7BEF089A"/>
    <w:rsid w:val="7DE039EA"/>
    <w:rsid w:val="7E7A8A02"/>
    <w:rsid w:val="7EFF7D09"/>
    <w:rsid w:val="7F7F2F07"/>
    <w:rsid w:val="7FDCB45D"/>
    <w:rsid w:val="7FDF1221"/>
    <w:rsid w:val="7FFE892F"/>
    <w:rsid w:val="97F3740D"/>
    <w:rsid w:val="9DFF287D"/>
    <w:rsid w:val="9EFF217E"/>
    <w:rsid w:val="AEFD3130"/>
    <w:rsid w:val="AFE84721"/>
    <w:rsid w:val="B5EF8CD3"/>
    <w:rsid w:val="BAD32FEB"/>
    <w:rsid w:val="BDF7F8A8"/>
    <w:rsid w:val="BE3F51B0"/>
    <w:rsid w:val="BF826EAA"/>
    <w:rsid w:val="BF9F3937"/>
    <w:rsid w:val="BFDF51AC"/>
    <w:rsid w:val="BFFE5CE8"/>
    <w:rsid w:val="C67A868A"/>
    <w:rsid w:val="D68FF254"/>
    <w:rsid w:val="D7F766FC"/>
    <w:rsid w:val="DBB7DCB3"/>
    <w:rsid w:val="DBFB371E"/>
    <w:rsid w:val="DDBBFEDB"/>
    <w:rsid w:val="E4F7E91E"/>
    <w:rsid w:val="E9F2A140"/>
    <w:rsid w:val="EF7F54EB"/>
    <w:rsid w:val="F2DF391F"/>
    <w:rsid w:val="F74DE1C8"/>
    <w:rsid w:val="F7FFE157"/>
    <w:rsid w:val="FBFB7775"/>
    <w:rsid w:val="FBFEF039"/>
    <w:rsid w:val="FD6F6A7F"/>
    <w:rsid w:val="FE7E5A1C"/>
    <w:rsid w:val="FF5F97B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1" w:name="heading 5"/>
    <w:lsdException w:qFormat="1" w:uiPriority="1" w:name="heading 6"/>
    <w:lsdException w:qFormat="1" w:uiPriority="1" w:name="heading 7"/>
    <w:lsdException w:qFormat="1" w:uiPriority="1" w:name="heading 8"/>
    <w:lsdException w:qFormat="1" w:uiPriority="1" w:name="heading 9"/>
    <w:lsdException w:uiPriority="1" w:name="index 1"/>
    <w:lsdException w:uiPriority="1" w:name="index 2"/>
    <w:lsdException w:uiPriority="1" w:name="index 3"/>
    <w:lsdException w:uiPriority="1" w:name="index 4"/>
    <w:lsdException w:uiPriority="1" w:name="index 5"/>
    <w:lsdException w:uiPriority="1" w:name="index 6"/>
    <w:lsdException w:uiPriority="1" w:name="index 7"/>
    <w:lsdException w:uiPriority="1" w:name="index 8"/>
    <w:lsdException w:uiPriority="1" w:name="index 9"/>
    <w:lsdException w:uiPriority="1" w:name="toc 1"/>
    <w:lsdException w:uiPriority="1" w:name="toc 2"/>
    <w:lsdException w:uiPriority="1" w:name="toc 3"/>
    <w:lsdException w:uiPriority="1" w:name="toc 4"/>
    <w:lsdException w:uiPriority="1" w:name="toc 5"/>
    <w:lsdException w:uiPriority="1" w:name="toc 6"/>
    <w:lsdException w:uiPriority="1" w:name="toc 7"/>
    <w:lsdException w:uiPriority="1" w:name="toc 8"/>
    <w:lsdException w:uiPriority="1" w:name="toc 9"/>
    <w:lsdException w:qFormat="1" w:unhideWhenUsed="0" w:uiPriority="0" w:semiHidden="0" w:name="Normal Indent"/>
    <w:lsdException w:uiPriority="1" w:name="footnote text"/>
    <w:lsdException w:uiPriority="1" w:name="annotation text"/>
    <w:lsdException w:qFormat="1" w:uiPriority="99" w:semiHidden="0" w:name="header"/>
    <w:lsdException w:qFormat="1" w:uiPriority="99" w:semiHidden="0" w:name="footer"/>
    <w:lsdException w:uiPriority="1" w:name="index heading"/>
    <w:lsdException w:qFormat="1" w:uiPriority="1" w:name="caption"/>
    <w:lsdException w:uiPriority="1" w:name="table of figures"/>
    <w:lsdException w:uiPriority="1" w:name="envelope address"/>
    <w:lsdException w:uiPriority="1" w:name="envelope return"/>
    <w:lsdException w:uiPriority="1" w:name="footnote reference"/>
    <w:lsdException w:uiPriority="1" w:name="annotation reference"/>
    <w:lsdException w:uiPriority="1" w:name="line number"/>
    <w:lsdException w:qFormat="1" w:unhideWhenUsed="0" w:uiPriority="0" w:semiHidden="0" w:name="page number"/>
    <w:lsdException w:uiPriority="1" w:name="endnote reference"/>
    <w:lsdException w:uiPriority="1" w:name="endnote text"/>
    <w:lsdException w:uiPriority="1" w:name="table of authorities"/>
    <w:lsdException w:uiPriority="1" w:name="macro"/>
    <w:lsdException w:uiPriority="1" w:name="toa heading"/>
    <w:lsdException w:uiPriority="1" w:name="List"/>
    <w:lsdException w:uiPriority="1" w:name="List Bullet"/>
    <w:lsdException w:uiPriority="1" w:name="List Number"/>
    <w:lsdException w:uiPriority="1"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10" w:semiHidden="0" w:name="Title"/>
    <w:lsdException w:uiPriority="1" w:name="Closing"/>
    <w:lsdException w:uiPriority="1" w:name="Signature"/>
    <w:lsdException w:qFormat="1" w:uiPriority="1" w:semiHidden="0" w:name="Default Paragraph Font"/>
    <w:lsdException w:qFormat="1" w:unhideWhenUsed="0" w:uiPriority="1" w:semiHidden="0" w:name="Body Text"/>
    <w:lsdException w:uiPriority="1"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qFormat="1" w:unhideWhenUsed="0" w:uiPriority="1" w:semiHidden="0" w:name="Subtitle"/>
    <w:lsdException w:uiPriority="1" w:name="Salutation"/>
    <w:lsdException w:qFormat="1" w:uiPriority="99" w:semiHidden="0" w:name="Date"/>
    <w:lsdException w:uiPriority="1" w:name="Body Text First Indent"/>
    <w:lsdException w:uiPriority="1" w:name="Body Text First Indent 2"/>
    <w:lsdException w:uiPriority="1" w:name="Note Heading"/>
    <w:lsdException w:uiPriority="1" w:name="Body Text 2"/>
    <w:lsdException w:uiPriority="1" w:name="Body Text 3"/>
    <w:lsdException w:uiPriority="1" w:name="Body Text Indent 2"/>
    <w:lsdException w:uiPriority="1" w:name="Body Text Indent 3"/>
    <w:lsdException w:qFormat="1" w:unhideWhenUsed="0" w:uiPriority="0" w:semiHidden="0" w:name="Block Text"/>
    <w:lsdException w:uiPriority="1" w:name="Hyperlink"/>
    <w:lsdException w:uiPriority="1" w:name="FollowedHyperlink"/>
    <w:lsdException w:qFormat="1" w:unhideWhenUsed="0" w:uiPriority="1" w:semiHidden="0" w:name="Strong"/>
    <w:lsdException w:qFormat="1" w:unhideWhenUsed="0" w:uiPriority="1" w:semiHidden="0" w:name="Emphasis"/>
    <w:lsdException w:uiPriority="1" w:name="Document Map"/>
    <w:lsdException w:uiPriority="1" w:name="Plain Text"/>
    <w:lsdException w:uiPriority="1" w:name="E-mail Signature"/>
    <w:lsdException w:qFormat="1" w:uiPriority="1" w:name="Normal (Web)"/>
    <w:lsdException w:uiPriority="1" w:name="HTML Acronym"/>
    <w:lsdException w:uiPriority="1" w:name="HTML Address"/>
    <w:lsdException w:uiPriority="1" w:name="HTML Cite"/>
    <w:lsdException w:uiPriority="1" w:name="HTML Code"/>
    <w:lsdException w:uiPriority="1" w:name="HTML Definition"/>
    <w:lsdException w:uiPriority="1" w:name="HTML Keyboard"/>
    <w:lsdException w:uiPriority="1" w:name="HTML Preformatted"/>
    <w:lsdException w:uiPriority="1" w:name="HTML Sample"/>
    <w:lsdException w:uiPriority="1" w:name="HTML Typewriter"/>
    <w:lsdException w:uiPriority="1" w:name="HTML Variable"/>
    <w:lsdException w:qFormat="1" w:uiPriority="99" w:semiHidden="0" w:name="Normal Table"/>
    <w:lsdException w:uiPriority="1"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iPriority="99" w:semiHidden="0" w:name="Balloon Text"/>
    <w:lsdException w:qFormat="1" w:unhideWhenUsed="0" w:uiPriority="59"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paragraph" w:styleId="3">
    <w:name w:val="heading 2"/>
    <w:basedOn w:val="1"/>
    <w:next w:val="1"/>
    <w:qFormat/>
    <w:uiPriority w:val="9"/>
    <w:pPr>
      <w:keepNext/>
      <w:keepLines/>
      <w:spacing w:line="413" w:lineRule="auto"/>
      <w:outlineLvl w:val="1"/>
    </w:pPr>
    <w:rPr>
      <w:rFonts w:ascii="Arial" w:hAnsi="Arial" w:eastAsia="黑体"/>
      <w:b/>
    </w:rPr>
  </w:style>
  <w:style w:type="paragraph" w:styleId="4">
    <w:name w:val="heading 3"/>
    <w:basedOn w:val="1"/>
    <w:next w:val="1"/>
    <w:qFormat/>
    <w:uiPriority w:val="9"/>
    <w:pPr>
      <w:keepNext/>
      <w:keepLines/>
      <w:spacing w:line="413" w:lineRule="auto"/>
      <w:outlineLvl w:val="2"/>
    </w:pPr>
    <w:rPr>
      <w:b/>
    </w:rPr>
  </w:style>
  <w:style w:type="paragraph" w:styleId="5">
    <w:name w:val="heading 4"/>
    <w:next w:val="1"/>
    <w:qFormat/>
    <w:uiPriority w:val="9"/>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6">
    <w:name w:val="Normal Indent"/>
    <w:qFormat/>
    <w:uiPriority w:val="0"/>
    <w:pPr>
      <w:widowControl w:val="0"/>
      <w:ind w:firstLine="420"/>
      <w:jc w:val="both"/>
    </w:pPr>
    <w:rPr>
      <w:rFonts w:ascii="Calibri" w:hAnsi="Calibri" w:eastAsia="宋体" w:cs="Times New Roman"/>
      <w:kern w:val="2"/>
      <w:sz w:val="21"/>
      <w:szCs w:val="20"/>
      <w:lang w:val="en-US" w:eastAsia="zh-CN" w:bidi="ar-SA"/>
    </w:rPr>
  </w:style>
  <w:style w:type="paragraph" w:styleId="7">
    <w:name w:val="Body Text"/>
    <w:basedOn w:val="1"/>
    <w:next w:val="1"/>
    <w:qFormat/>
    <w:uiPriority w:val="1"/>
    <w:rPr>
      <w:rFonts w:ascii="仿宋" w:hAnsi="仿宋" w:eastAsia="仿宋" w:cs="仿宋"/>
      <w:sz w:val="28"/>
      <w:szCs w:val="28"/>
      <w:lang w:val="zh-CN" w:eastAsia="zh-CN" w:bidi="zh-CN"/>
    </w:rPr>
  </w:style>
  <w:style w:type="paragraph" w:styleId="8">
    <w:name w:val="Block Text"/>
    <w:qFormat/>
    <w:uiPriority w:val="0"/>
    <w:pPr>
      <w:widowControl w:val="0"/>
      <w:tabs>
        <w:tab w:val="left" w:pos="426"/>
      </w:tabs>
      <w:spacing w:after="120"/>
      <w:ind w:left="1440" w:leftChars="700" w:right="1440" w:rightChars="700"/>
      <w:jc w:val="both"/>
    </w:pPr>
    <w:rPr>
      <w:rFonts w:ascii="Calibri" w:hAnsi="Calibri" w:eastAsia="宋体" w:cs="Times New Roman"/>
      <w:kern w:val="2"/>
      <w:sz w:val="21"/>
      <w:szCs w:val="24"/>
      <w:lang w:val="en-US" w:eastAsia="zh-CN" w:bidi="ar-SA"/>
    </w:rPr>
  </w:style>
  <w:style w:type="paragraph" w:styleId="9">
    <w:name w:val="Date"/>
    <w:basedOn w:val="1"/>
    <w:next w:val="1"/>
    <w:link w:val="20"/>
    <w:unhideWhenUsed/>
    <w:qFormat/>
    <w:uiPriority w:val="99"/>
    <w:pPr>
      <w:ind w:left="100" w:leftChars="2500"/>
    </w:pPr>
  </w:style>
  <w:style w:type="paragraph" w:styleId="10">
    <w:name w:val="Balloon Text"/>
    <w:basedOn w:val="1"/>
    <w:link w:val="21"/>
    <w:unhideWhenUsed/>
    <w:qFormat/>
    <w:uiPriority w:val="99"/>
    <w:rPr>
      <w:sz w:val="18"/>
      <w:szCs w:val="18"/>
    </w:rPr>
  </w:style>
  <w:style w:type="paragraph" w:styleId="11">
    <w:name w:val="footer"/>
    <w:basedOn w:val="1"/>
    <w:link w:val="22"/>
    <w:unhideWhenUsed/>
    <w:qFormat/>
    <w:uiPriority w:val="99"/>
    <w:pPr>
      <w:tabs>
        <w:tab w:val="center" w:pos="4153"/>
        <w:tab w:val="right" w:pos="8306"/>
      </w:tabs>
      <w:snapToGrid w:val="0"/>
      <w:jc w:val="left"/>
    </w:pPr>
    <w:rPr>
      <w:rFonts w:ascii="Calibri" w:hAnsi="Calibri" w:eastAsia="宋体"/>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13">
    <w:name w:val="Normal (Web)"/>
    <w:basedOn w:val="1"/>
    <w:semiHidden/>
    <w:unhideWhenUsed/>
    <w:qFormat/>
    <w:uiPriority w:val="1"/>
    <w:pPr>
      <w:spacing w:before="0" w:beforeAutospacing="1" w:after="0" w:afterAutospacing="1"/>
      <w:ind w:left="0" w:right="0"/>
      <w:jc w:val="left"/>
    </w:pPr>
    <w:rPr>
      <w:kern w:val="0"/>
      <w:sz w:val="24"/>
      <w:lang w:val="en-US" w:eastAsia="zh-CN" w:bidi="ar"/>
    </w:rPr>
  </w:style>
  <w:style w:type="paragraph" w:styleId="14">
    <w:name w:val="Title"/>
    <w:next w:val="1"/>
    <w:qFormat/>
    <w:uiPriority w:val="10"/>
    <w:pPr>
      <w:widowControl w:val="0"/>
      <w:spacing w:before="240" w:after="60"/>
      <w:jc w:val="center"/>
      <w:outlineLvl w:val="0"/>
    </w:pPr>
    <w:rPr>
      <w:rFonts w:ascii="等线 Light" w:hAnsi="等线 Light" w:eastAsia="宋体" w:cs="Times New Roman"/>
      <w:b/>
      <w:bCs/>
      <w:kern w:val="2"/>
      <w:sz w:val="32"/>
      <w:szCs w:val="32"/>
      <w:lang w:val="en-US" w:eastAsia="zh-CN" w:bidi="ar-SA"/>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1"/>
    <w:rPr>
      <w:b/>
    </w:rPr>
  </w:style>
  <w:style w:type="character" w:styleId="19">
    <w:name w:val="page number"/>
    <w:basedOn w:val="17"/>
    <w:qFormat/>
    <w:uiPriority w:val="0"/>
  </w:style>
  <w:style w:type="character" w:customStyle="1" w:styleId="20">
    <w:name w:val="日期 Char"/>
    <w:basedOn w:val="17"/>
    <w:link w:val="9"/>
    <w:semiHidden/>
    <w:qFormat/>
    <w:uiPriority w:val="99"/>
    <w:rPr>
      <w:rFonts w:ascii="Times New Roman" w:hAnsi="Times New Roman" w:eastAsia="仿宋_GB2312" w:cs="Times New Roman"/>
      <w:sz w:val="32"/>
      <w:szCs w:val="20"/>
    </w:rPr>
  </w:style>
  <w:style w:type="character" w:customStyle="1" w:styleId="21">
    <w:name w:val="批注框文本 Char"/>
    <w:basedOn w:val="17"/>
    <w:link w:val="10"/>
    <w:semiHidden/>
    <w:qFormat/>
    <w:uiPriority w:val="99"/>
    <w:rPr>
      <w:rFonts w:ascii="Times New Roman" w:hAnsi="Times New Roman" w:eastAsia="仿宋_GB2312" w:cs="Times New Roman"/>
      <w:sz w:val="18"/>
      <w:szCs w:val="18"/>
    </w:rPr>
  </w:style>
  <w:style w:type="character" w:customStyle="1" w:styleId="22">
    <w:name w:val="页脚 Char"/>
    <w:basedOn w:val="17"/>
    <w:link w:val="11"/>
    <w:qFormat/>
    <w:uiPriority w:val="99"/>
    <w:rPr>
      <w:sz w:val="18"/>
      <w:szCs w:val="18"/>
    </w:rPr>
  </w:style>
  <w:style w:type="character" w:customStyle="1" w:styleId="23">
    <w:name w:val="页眉 Char"/>
    <w:basedOn w:val="17"/>
    <w:link w:val="12"/>
    <w:semiHidden/>
    <w:qFormat/>
    <w:uiPriority w:val="99"/>
    <w:rPr>
      <w:sz w:val="18"/>
      <w:szCs w:val="18"/>
    </w:rPr>
  </w:style>
  <w:style w:type="paragraph" w:styleId="24">
    <w:name w:val="List Paragraph"/>
    <w:basedOn w:val="1"/>
    <w:qFormat/>
    <w:uiPriority w:val="34"/>
    <w:pPr>
      <w:ind w:firstLine="420" w:firstLineChars="200"/>
    </w:pPr>
    <w:rPr>
      <w:rFonts w:ascii="Calibri" w:hAnsi="Calibri" w:eastAsia="宋体"/>
      <w:sz w:val="21"/>
      <w:szCs w:val="22"/>
    </w:rPr>
  </w:style>
  <w:style w:type="paragraph" w:customStyle="1" w:styleId="25">
    <w:name w:val="发文字号"/>
    <w:basedOn w:val="1"/>
    <w:qFormat/>
    <w:uiPriority w:val="0"/>
    <w:pPr>
      <w:jc w:val="left"/>
    </w:pPr>
  </w:style>
  <w:style w:type="paragraph" w:customStyle="1" w:styleId="26">
    <w:name w:val="正文内容"/>
    <w:basedOn w:val="1"/>
    <w:qFormat/>
    <w:uiPriority w:val="0"/>
    <w:pPr>
      <w:spacing w:line="360" w:lineRule="auto"/>
      <w:ind w:firstLine="680"/>
    </w:pPr>
    <w:rPr>
      <w:rFonts w:ascii="仿宋_GB2312"/>
    </w:rPr>
  </w:style>
  <w:style w:type="table" w:customStyle="1" w:styleId="27">
    <w:name w:val="浅色底纹1"/>
    <w:basedOn w:val="1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paragraph" w:customStyle="1" w:styleId="28">
    <w:name w:val="USE 1"/>
    <w:basedOn w:val="1"/>
    <w:qFormat/>
    <w:uiPriority w:val="0"/>
    <w:pPr>
      <w:spacing w:line="200" w:lineRule="atLeast"/>
      <w:jc w:val="left"/>
    </w:pPr>
    <w:rPr>
      <w:rFonts w:ascii="宋体" w:hAnsi="宋体"/>
      <w:b/>
      <w:sz w:val="24"/>
      <w:szCs w:val="28"/>
    </w:rPr>
  </w:style>
  <w:style w:type="paragraph" w:customStyle="1" w:styleId="29">
    <w:name w:val="l正文"/>
    <w:qFormat/>
    <w:uiPriority w:val="0"/>
    <w:pPr>
      <w:widowControl w:val="0"/>
      <w:spacing w:line="300" w:lineRule="auto"/>
      <w:ind w:firstLine="200" w:firstLineChars="200"/>
      <w:jc w:val="left"/>
    </w:pPr>
    <w:rPr>
      <w:rFonts w:ascii="楷体_GB2312" w:hAnsi="Times" w:eastAsia="楷体_GB2312" w:cs="等线"/>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盐田区政府</Company>
  <Pages>11</Pages>
  <Words>5167</Words>
  <Characters>5352</Characters>
  <Lines>9</Lines>
  <Paragraphs>2</Paragraphs>
  <TotalTime>3</TotalTime>
  <ScaleCrop>false</ScaleCrop>
  <LinksUpToDate>false</LinksUpToDate>
  <CharactersWithSpaces>5356</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2021-04-20T01:53:00Z</dcterms:created>
  <dc:creator>Administrator</dc:creator>
  <cp:lastModifiedBy>yt</cp:lastModifiedBy>
  <cp:lastPrinted>2026-06-02T16:50:00Z</cp:lastPrinted>
  <dcterms:modified xsi:type="dcterms:W3CDTF">2026-06-11T11:11:11Z</dcterms:modified>
  <dc:title>盐田区统计调查中心关于《委托第三方协助</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BEECA7D6A2BAF7304F272A6AB2FD73F6</vt:lpwstr>
  </property>
  <property fmtid="{D5CDD505-2E9C-101B-9397-08002B2CF9AE}" pid="4" name="KSOTemplateDocerSaveRecord">
    <vt:lpwstr>eyJoZGlkIjoiN2NjZDMxNTM5NTdjNzdlZmVhOWNhNTc4NmZkMDIyMzYiLCJ1c2VySWQiOiI2NzMxNDA4NTYifQ==</vt:lpwstr>
  </property>
</Properties>
</file>