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val="0"/>
          <w:kern w:val="44"/>
          <w:sz w:val="44"/>
          <w:szCs w:val="44"/>
          <w:lang w:val="en-US" w:eastAsia="zh-CN"/>
        </w:rPr>
      </w:pPr>
    </w:p>
    <w:p>
      <w:pPr>
        <w:jc w:val="center"/>
        <w:rPr>
          <w:rFonts w:hint="eastAsia" w:ascii="方正小标宋简体" w:hAnsi="方正小标宋简体" w:eastAsia="方正小标宋简体" w:cs="方正小标宋简体"/>
          <w:b w:val="0"/>
          <w:bCs w:val="0"/>
          <w:kern w:val="44"/>
          <w:sz w:val="44"/>
          <w:szCs w:val="44"/>
          <w:lang w:val="en-US" w:eastAsia="zh-CN"/>
        </w:rPr>
      </w:pPr>
    </w:p>
    <w:p>
      <w:pPr>
        <w:jc w:val="center"/>
        <w:rPr>
          <w:rFonts w:ascii="宋体" w:hAnsi="宋体"/>
          <w:color w:val="auto"/>
          <w:sz w:val="52"/>
          <w:szCs w:val="52"/>
        </w:rPr>
      </w:pPr>
      <w:r>
        <w:rPr>
          <w:rFonts w:hint="eastAsia" w:ascii="宋体" w:hAnsi="宋体"/>
          <w:color w:val="auto"/>
          <w:sz w:val="52"/>
          <w:szCs w:val="52"/>
          <w:lang w:eastAsia="zh-CN"/>
        </w:rPr>
        <w:t>碧海花园周边环境提升及人行路面修缮工程</w:t>
      </w:r>
    </w:p>
    <w:p>
      <w:pPr>
        <w:jc w:val="center"/>
        <w:rPr>
          <w:rFonts w:ascii="宋体" w:hAnsi="宋体"/>
          <w:color w:val="0000FF"/>
          <w:sz w:val="52"/>
          <w:szCs w:val="52"/>
        </w:rPr>
      </w:pPr>
    </w:p>
    <w:p>
      <w:pPr>
        <w:jc w:val="center"/>
        <w:rPr>
          <w:rFonts w:ascii="宋体" w:hAnsi="宋体"/>
          <w:color w:val="0000FF"/>
          <w:sz w:val="52"/>
          <w:szCs w:val="52"/>
        </w:rPr>
      </w:pPr>
    </w:p>
    <w:p>
      <w:pPr>
        <w:jc w:val="center"/>
        <w:rPr>
          <w:rFonts w:ascii="宋体" w:hAnsi="宋体"/>
          <w:b/>
          <w:color w:val="000000"/>
          <w:sz w:val="90"/>
        </w:rPr>
      </w:pPr>
      <w:r>
        <w:rPr>
          <w:rFonts w:hint="eastAsia" w:ascii="宋体" w:hAnsi="宋体"/>
          <w:b/>
          <w:color w:val="000000"/>
          <w:sz w:val="90"/>
        </w:rPr>
        <w:t>采 购 文 件</w:t>
      </w:r>
    </w:p>
    <w:p/>
    <w:p/>
    <w:p/>
    <w:p/>
    <w:p>
      <w:pPr>
        <w:jc w:val="center"/>
        <w:rPr>
          <w:rFonts w:hint="eastAsia" w:ascii="宋体" w:hAnsi="宋体" w:eastAsia="宋体"/>
          <w:color w:val="000000"/>
          <w:sz w:val="30"/>
          <w:lang w:eastAsia="zh-CN"/>
        </w:rPr>
      </w:pPr>
      <w:r>
        <w:rPr>
          <w:rFonts w:hint="eastAsia" w:ascii="宋体" w:hAnsi="宋体"/>
          <w:color w:val="000000"/>
          <w:sz w:val="30"/>
          <w:lang w:eastAsia="zh-CN"/>
        </w:rPr>
        <w:t>深圳市盐田区中英街管理局</w:t>
      </w:r>
    </w:p>
    <w:p>
      <w:pPr>
        <w:jc w:val="center"/>
        <w:rPr>
          <w:rFonts w:hint="eastAsia" w:ascii="宋体" w:hAnsi="宋体" w:eastAsia="宋体"/>
          <w:color w:val="000000"/>
          <w:sz w:val="30"/>
          <w:lang w:eastAsia="zh-CN"/>
        </w:rPr>
      </w:pPr>
      <w:r>
        <w:rPr>
          <w:rFonts w:hint="eastAsia" w:ascii="宋体" w:hAnsi="宋体" w:eastAsia="宋体"/>
          <w:color w:val="000000"/>
          <w:sz w:val="30"/>
          <w:lang w:eastAsia="zh-CN"/>
        </w:rPr>
        <w:t>二零二六年六月</w:t>
      </w:r>
    </w:p>
    <w:p>
      <w:pPr>
        <w:jc w:val="center"/>
        <w:rPr>
          <w:sz w:val="80"/>
          <w:szCs w:val="8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kern w:val="44"/>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p>
    <w:p>
      <w:pPr>
        <w:rPr>
          <w:rFonts w:hint="eastAsia"/>
          <w:lang w:val="en-US" w:eastAsia="zh-CN"/>
        </w:rPr>
      </w:pPr>
      <w:r>
        <w:rPr>
          <w:rFonts w:hint="eastAsia" w:ascii="黑体" w:hAnsi="黑体" w:eastAsia="黑体" w:cs="Times New Roman"/>
          <w:bCs w:val="0"/>
          <w:kern w:val="2"/>
          <w:sz w:val="32"/>
          <w:szCs w:val="32"/>
          <w:lang w:val="en-US" w:eastAsia="zh-CN" w:bidi="ar-SA"/>
        </w:rPr>
        <w:br w:type="page"/>
      </w:r>
    </w:p>
    <w:p>
      <w:pPr>
        <w:jc w:val="center"/>
        <w:rPr>
          <w:rFonts w:ascii="宋体" w:hAnsi="宋体"/>
          <w:b w:val="0"/>
          <w:bCs w:val="0"/>
          <w:color w:val="FF0000"/>
          <w:sz w:val="28"/>
          <w:szCs w:val="28"/>
        </w:rPr>
      </w:pPr>
      <w:bookmarkStart w:id="0" w:name="_Hlk73564573"/>
      <w:r>
        <w:rPr>
          <w:rFonts w:hint="eastAsia" w:ascii="宋体" w:hAnsi="宋体" w:eastAsia="黑体"/>
          <w:b w:val="0"/>
          <w:bCs w:val="0"/>
          <w:color w:val="FF0000"/>
          <w:kern w:val="44"/>
          <w:sz w:val="40"/>
          <w:szCs w:val="56"/>
        </w:rPr>
        <w:t>警示条款</w:t>
      </w:r>
    </w:p>
    <w:p>
      <w:pPr>
        <w:keepNext w:val="0"/>
        <w:keepLines w:val="0"/>
        <w:pageBreakBefore w:val="0"/>
        <w:widowControl w:val="0"/>
        <w:kinsoku/>
        <w:wordWrap/>
        <w:overflowPunct/>
        <w:topLinePunct w:val="0"/>
        <w:autoSpaceDE/>
        <w:autoSpaceDN/>
        <w:bidi w:val="0"/>
        <w:spacing w:line="500" w:lineRule="exact"/>
        <w:ind w:firstLine="440" w:firstLineChars="200"/>
        <w:jc w:val="left"/>
        <w:textAlignment w:val="auto"/>
        <w:rPr>
          <w:rFonts w:ascii="宋体" w:hAnsi="宋体"/>
          <w:color w:val="FF0000"/>
          <w:sz w:val="22"/>
          <w:szCs w:val="22"/>
        </w:rPr>
      </w:pPr>
      <w:r>
        <w:rPr>
          <w:rFonts w:hint="eastAsia" w:ascii="宋体" w:hAnsi="宋体"/>
          <w:color w:val="FF0000"/>
          <w:sz w:val="22"/>
          <w:szCs w:val="22"/>
        </w:rPr>
        <w:t>一、</w:t>
      </w:r>
      <w:r>
        <w:rPr>
          <w:rFonts w:hint="eastAsia" w:ascii="宋体" w:hAnsi="宋体"/>
          <w:b/>
          <w:bCs/>
          <w:color w:val="FF0000"/>
          <w:sz w:val="22"/>
          <w:szCs w:val="22"/>
        </w:rPr>
        <w:t>《深圳经济特区政府采购条例》第五十七条</w:t>
      </w:r>
      <w:r>
        <w:rPr>
          <w:rFonts w:hint="eastAsia" w:ascii="宋体" w:hAnsi="宋体"/>
          <w:color w:val="FF0000"/>
          <w:sz w:val="22"/>
          <w:szCs w:val="22"/>
        </w:rPr>
        <w:t xml:space="preserve">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pPr>
        <w:keepNext w:val="0"/>
        <w:keepLines w:val="0"/>
        <w:pageBreakBefore w:val="0"/>
        <w:widowControl w:val="0"/>
        <w:kinsoku/>
        <w:wordWrap/>
        <w:overflowPunct/>
        <w:topLinePunct w:val="0"/>
        <w:autoSpaceDE/>
        <w:autoSpaceDN/>
        <w:bidi w:val="0"/>
        <w:spacing w:line="500" w:lineRule="exact"/>
        <w:ind w:firstLine="440" w:firstLineChars="200"/>
        <w:jc w:val="left"/>
        <w:textAlignment w:val="auto"/>
        <w:rPr>
          <w:rFonts w:ascii="宋体" w:hAnsi="宋体"/>
          <w:color w:val="FF0000"/>
          <w:sz w:val="22"/>
          <w:szCs w:val="22"/>
        </w:rPr>
      </w:pPr>
      <w:r>
        <w:rPr>
          <w:rFonts w:hint="eastAsia" w:ascii="宋体" w:hAnsi="宋体"/>
          <w:color w:val="FF0000"/>
          <w:sz w:val="22"/>
          <w:szCs w:val="22"/>
        </w:rPr>
        <w:t>（一）在采购活动中应当回避而未回避的；</w:t>
      </w:r>
    </w:p>
    <w:p>
      <w:pPr>
        <w:keepNext w:val="0"/>
        <w:keepLines w:val="0"/>
        <w:pageBreakBefore w:val="0"/>
        <w:widowControl w:val="0"/>
        <w:kinsoku/>
        <w:wordWrap/>
        <w:overflowPunct/>
        <w:topLinePunct w:val="0"/>
        <w:autoSpaceDE/>
        <w:autoSpaceDN/>
        <w:bidi w:val="0"/>
        <w:spacing w:line="500" w:lineRule="exact"/>
        <w:ind w:firstLine="440" w:firstLineChars="200"/>
        <w:jc w:val="left"/>
        <w:textAlignment w:val="auto"/>
        <w:rPr>
          <w:rFonts w:ascii="宋体" w:hAnsi="宋体"/>
          <w:color w:val="FF0000"/>
          <w:sz w:val="22"/>
          <w:szCs w:val="22"/>
        </w:rPr>
      </w:pPr>
      <w:r>
        <w:rPr>
          <w:rFonts w:hint="eastAsia" w:ascii="宋体" w:hAnsi="宋体"/>
          <w:color w:val="FF0000"/>
          <w:sz w:val="22"/>
          <w:szCs w:val="22"/>
        </w:rPr>
        <w:t>（二）未按本条例规定签订、履行采购合同，造成严重后果的；</w:t>
      </w:r>
    </w:p>
    <w:p>
      <w:pPr>
        <w:keepNext w:val="0"/>
        <w:keepLines w:val="0"/>
        <w:pageBreakBefore w:val="0"/>
        <w:widowControl w:val="0"/>
        <w:kinsoku/>
        <w:wordWrap/>
        <w:overflowPunct/>
        <w:topLinePunct w:val="0"/>
        <w:autoSpaceDE/>
        <w:autoSpaceDN/>
        <w:bidi w:val="0"/>
        <w:spacing w:line="500" w:lineRule="exact"/>
        <w:ind w:firstLine="440" w:firstLineChars="200"/>
        <w:jc w:val="left"/>
        <w:textAlignment w:val="auto"/>
        <w:rPr>
          <w:rFonts w:ascii="宋体" w:hAnsi="宋体"/>
          <w:color w:val="FF0000"/>
          <w:sz w:val="22"/>
          <w:szCs w:val="22"/>
        </w:rPr>
      </w:pPr>
      <w:r>
        <w:rPr>
          <w:rFonts w:hint="eastAsia" w:ascii="宋体" w:hAnsi="宋体"/>
          <w:color w:val="FF0000"/>
          <w:sz w:val="22"/>
          <w:szCs w:val="22"/>
        </w:rPr>
        <w:t>（三）隐瞒真实情况，提供虚假资料的；</w:t>
      </w:r>
    </w:p>
    <w:p>
      <w:pPr>
        <w:keepNext w:val="0"/>
        <w:keepLines w:val="0"/>
        <w:pageBreakBefore w:val="0"/>
        <w:widowControl w:val="0"/>
        <w:kinsoku/>
        <w:wordWrap/>
        <w:overflowPunct/>
        <w:topLinePunct w:val="0"/>
        <w:autoSpaceDE/>
        <w:autoSpaceDN/>
        <w:bidi w:val="0"/>
        <w:spacing w:line="500" w:lineRule="exact"/>
        <w:ind w:firstLine="440" w:firstLineChars="200"/>
        <w:jc w:val="left"/>
        <w:textAlignment w:val="auto"/>
        <w:rPr>
          <w:rFonts w:ascii="宋体" w:hAnsi="宋体"/>
          <w:color w:val="FF0000"/>
          <w:sz w:val="22"/>
          <w:szCs w:val="22"/>
        </w:rPr>
      </w:pPr>
      <w:r>
        <w:rPr>
          <w:rFonts w:hint="eastAsia" w:ascii="宋体" w:hAnsi="宋体"/>
          <w:color w:val="FF0000"/>
          <w:sz w:val="22"/>
          <w:szCs w:val="22"/>
        </w:rPr>
        <w:t>（四）以非法手段排斥其他供应商参与竞争的；</w:t>
      </w:r>
    </w:p>
    <w:p>
      <w:pPr>
        <w:keepNext w:val="0"/>
        <w:keepLines w:val="0"/>
        <w:pageBreakBefore w:val="0"/>
        <w:widowControl w:val="0"/>
        <w:kinsoku/>
        <w:wordWrap/>
        <w:overflowPunct/>
        <w:topLinePunct w:val="0"/>
        <w:autoSpaceDE/>
        <w:autoSpaceDN/>
        <w:bidi w:val="0"/>
        <w:spacing w:line="500" w:lineRule="exact"/>
        <w:ind w:firstLine="440" w:firstLineChars="200"/>
        <w:jc w:val="left"/>
        <w:textAlignment w:val="auto"/>
        <w:rPr>
          <w:rFonts w:ascii="宋体" w:hAnsi="宋体"/>
          <w:color w:val="FF0000"/>
          <w:sz w:val="22"/>
          <w:szCs w:val="22"/>
        </w:rPr>
      </w:pPr>
      <w:r>
        <w:rPr>
          <w:rFonts w:hint="eastAsia" w:ascii="宋体" w:hAnsi="宋体"/>
          <w:color w:val="FF0000"/>
          <w:sz w:val="22"/>
          <w:szCs w:val="22"/>
        </w:rPr>
        <w:t>（五）与其他采购参加人串通投标的；</w:t>
      </w:r>
    </w:p>
    <w:p>
      <w:pPr>
        <w:keepNext w:val="0"/>
        <w:keepLines w:val="0"/>
        <w:pageBreakBefore w:val="0"/>
        <w:widowControl w:val="0"/>
        <w:kinsoku/>
        <w:wordWrap/>
        <w:overflowPunct/>
        <w:topLinePunct w:val="0"/>
        <w:autoSpaceDE/>
        <w:autoSpaceDN/>
        <w:bidi w:val="0"/>
        <w:spacing w:line="500" w:lineRule="exact"/>
        <w:ind w:firstLine="440" w:firstLineChars="200"/>
        <w:jc w:val="left"/>
        <w:textAlignment w:val="auto"/>
        <w:rPr>
          <w:rFonts w:ascii="宋体" w:hAnsi="宋体"/>
          <w:color w:val="FF0000"/>
          <w:sz w:val="22"/>
          <w:szCs w:val="22"/>
        </w:rPr>
      </w:pPr>
      <w:r>
        <w:rPr>
          <w:rFonts w:hint="eastAsia" w:ascii="宋体" w:hAnsi="宋体"/>
          <w:color w:val="FF0000"/>
          <w:sz w:val="22"/>
          <w:szCs w:val="22"/>
        </w:rPr>
        <w:t>（六）恶意投诉的；</w:t>
      </w:r>
    </w:p>
    <w:p>
      <w:pPr>
        <w:keepNext w:val="0"/>
        <w:keepLines w:val="0"/>
        <w:pageBreakBefore w:val="0"/>
        <w:widowControl w:val="0"/>
        <w:kinsoku/>
        <w:wordWrap/>
        <w:overflowPunct/>
        <w:topLinePunct w:val="0"/>
        <w:autoSpaceDE/>
        <w:autoSpaceDN/>
        <w:bidi w:val="0"/>
        <w:spacing w:line="500" w:lineRule="exact"/>
        <w:ind w:firstLine="440" w:firstLineChars="200"/>
        <w:jc w:val="left"/>
        <w:textAlignment w:val="auto"/>
        <w:rPr>
          <w:rFonts w:ascii="宋体" w:hAnsi="宋体"/>
          <w:color w:val="FF0000"/>
          <w:sz w:val="22"/>
          <w:szCs w:val="22"/>
        </w:rPr>
      </w:pPr>
      <w:r>
        <w:rPr>
          <w:rFonts w:hint="eastAsia" w:ascii="宋体" w:hAnsi="宋体"/>
          <w:color w:val="FF0000"/>
          <w:sz w:val="22"/>
          <w:szCs w:val="22"/>
        </w:rPr>
        <w:t>（七）向采购项目相关人行贿或者提供其他不当利益的；</w:t>
      </w:r>
    </w:p>
    <w:p>
      <w:pPr>
        <w:keepNext w:val="0"/>
        <w:keepLines w:val="0"/>
        <w:pageBreakBefore w:val="0"/>
        <w:widowControl w:val="0"/>
        <w:kinsoku/>
        <w:wordWrap/>
        <w:overflowPunct/>
        <w:topLinePunct w:val="0"/>
        <w:autoSpaceDE/>
        <w:autoSpaceDN/>
        <w:bidi w:val="0"/>
        <w:spacing w:line="500" w:lineRule="exact"/>
        <w:ind w:firstLine="440" w:firstLineChars="200"/>
        <w:jc w:val="left"/>
        <w:textAlignment w:val="auto"/>
        <w:rPr>
          <w:rFonts w:ascii="宋体" w:hAnsi="宋体"/>
          <w:color w:val="FF0000"/>
          <w:sz w:val="22"/>
          <w:szCs w:val="22"/>
        </w:rPr>
      </w:pPr>
      <w:r>
        <w:rPr>
          <w:rFonts w:hint="eastAsia" w:ascii="宋体" w:hAnsi="宋体"/>
          <w:color w:val="FF0000"/>
          <w:sz w:val="22"/>
          <w:szCs w:val="22"/>
        </w:rPr>
        <w:t>（八）阻碍、抗拒主管部门监督检查的；</w:t>
      </w:r>
    </w:p>
    <w:p>
      <w:pPr>
        <w:keepNext w:val="0"/>
        <w:keepLines w:val="0"/>
        <w:pageBreakBefore w:val="0"/>
        <w:widowControl w:val="0"/>
        <w:kinsoku/>
        <w:wordWrap/>
        <w:overflowPunct/>
        <w:topLinePunct w:val="0"/>
        <w:autoSpaceDE/>
        <w:autoSpaceDN/>
        <w:bidi w:val="0"/>
        <w:spacing w:line="500" w:lineRule="exact"/>
        <w:ind w:firstLine="440" w:firstLineChars="200"/>
        <w:jc w:val="left"/>
        <w:textAlignment w:val="auto"/>
        <w:rPr>
          <w:rFonts w:ascii="宋体" w:hAnsi="宋体"/>
          <w:color w:val="FF0000"/>
          <w:sz w:val="22"/>
          <w:szCs w:val="22"/>
        </w:rPr>
      </w:pPr>
      <w:r>
        <w:rPr>
          <w:rFonts w:hint="eastAsia" w:ascii="宋体" w:hAnsi="宋体"/>
          <w:color w:val="FF0000"/>
          <w:sz w:val="22"/>
          <w:szCs w:val="22"/>
        </w:rPr>
        <w:t>（九）其他违反本条例规定的行为。</w:t>
      </w:r>
    </w:p>
    <w:p>
      <w:pPr>
        <w:keepNext w:val="0"/>
        <w:keepLines w:val="0"/>
        <w:pageBreakBefore w:val="0"/>
        <w:widowControl w:val="0"/>
        <w:kinsoku/>
        <w:wordWrap/>
        <w:overflowPunct/>
        <w:topLinePunct w:val="0"/>
        <w:autoSpaceDE/>
        <w:autoSpaceDN/>
        <w:bidi w:val="0"/>
        <w:spacing w:line="500" w:lineRule="exact"/>
        <w:ind w:firstLine="441" w:firstLineChars="200"/>
        <w:jc w:val="left"/>
        <w:textAlignment w:val="auto"/>
        <w:rPr>
          <w:rFonts w:ascii="宋体" w:hAnsi="宋体"/>
          <w:color w:val="FF0000"/>
          <w:sz w:val="22"/>
          <w:szCs w:val="22"/>
        </w:rPr>
      </w:pPr>
      <w:r>
        <w:rPr>
          <w:rFonts w:hint="eastAsia" w:ascii="宋体" w:hAnsi="宋体"/>
          <w:b/>
          <w:bCs/>
          <w:color w:val="FF0000"/>
          <w:sz w:val="22"/>
          <w:szCs w:val="22"/>
        </w:rPr>
        <w:t>二、《深圳经济特区政府采购条例实施细则》第七十五条</w:t>
      </w:r>
      <w:r>
        <w:rPr>
          <w:rFonts w:hint="eastAsia" w:ascii="宋体" w:hAnsi="宋体"/>
          <w:b/>
          <w:bCs/>
          <w:color w:val="FF0000"/>
          <w:sz w:val="22"/>
          <w:szCs w:val="22"/>
          <w:lang w:val="en-US" w:eastAsia="zh-CN"/>
        </w:rPr>
        <w:t xml:space="preserve"> </w:t>
      </w:r>
      <w:r>
        <w:rPr>
          <w:rFonts w:hint="eastAsia" w:ascii="宋体" w:hAnsi="宋体"/>
          <w:color w:val="FF0000"/>
          <w:sz w:val="22"/>
          <w:szCs w:val="22"/>
        </w:rPr>
        <w:t>供应商有下列情形的，属于采购条例所称的串通投标行为，按照采购条例第五十七条有关规定处理：（一）投标供应商之间相互约定给予未中标的供应商利益补偿；（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四）不同投标供应商的投标文件或部分投标文件相互混装；（五）不同投标供应商的投标文件内容存在非正常一致；（六）由同一单位工作人员为两家以上（含两家）供应商进行同一项投标活动的；（七）主管部门依照法律、法规认定的其他情形。</w:t>
      </w:r>
    </w:p>
    <w:p>
      <w:pPr>
        <w:keepNext w:val="0"/>
        <w:keepLines w:val="0"/>
        <w:pageBreakBefore w:val="0"/>
        <w:widowControl w:val="0"/>
        <w:kinsoku/>
        <w:wordWrap/>
        <w:overflowPunct/>
        <w:topLinePunct w:val="0"/>
        <w:autoSpaceDE/>
        <w:autoSpaceDN/>
        <w:bidi w:val="0"/>
        <w:spacing w:line="500" w:lineRule="exact"/>
        <w:ind w:firstLine="441" w:firstLineChars="200"/>
        <w:jc w:val="left"/>
        <w:textAlignment w:val="auto"/>
        <w:rPr>
          <w:rFonts w:ascii="宋体" w:hAnsi="宋体"/>
          <w:color w:val="FF0000"/>
          <w:sz w:val="22"/>
          <w:szCs w:val="22"/>
        </w:rPr>
      </w:pPr>
      <w:r>
        <w:rPr>
          <w:rFonts w:hint="eastAsia" w:ascii="宋体" w:hAnsi="宋体"/>
          <w:b/>
          <w:bCs/>
          <w:color w:val="FF0000"/>
          <w:sz w:val="22"/>
          <w:szCs w:val="22"/>
        </w:rPr>
        <w:t>三、《深圳经济特区政府采购条例实施细则》第七十七条</w:t>
      </w:r>
      <w:r>
        <w:rPr>
          <w:rFonts w:hint="eastAsia" w:ascii="宋体" w:hAnsi="宋体"/>
          <w:b/>
          <w:bCs/>
          <w:color w:val="FF0000"/>
          <w:sz w:val="22"/>
          <w:szCs w:val="22"/>
          <w:lang w:val="en-US" w:eastAsia="zh-CN"/>
        </w:rPr>
        <w:t xml:space="preserve"> </w:t>
      </w:r>
      <w:r>
        <w:rPr>
          <w:rFonts w:hint="eastAsia" w:ascii="宋体" w:hAnsi="宋体"/>
          <w:color w:val="FF0000"/>
          <w:sz w:val="22"/>
          <w:szCs w:val="22"/>
        </w:rPr>
        <w:t>供应商有下列情形之一的，属于隐瞒真实情况，提供虚假资料，按照采购条例第五十七的有关规定处理：（一）通过转让或者租借等方式从其他单位获取资格或者资质证书投标的；（二）由其他单位或者其他单位负责人在投标供应商编制的投标文件上加盖印章或者签字的；（三）项目负责人或者主要技术人员不是本单位人员的；（四）投标保证金不是从投标供应商基本账户转出的；（五）其他隐瞒真实情况、提供虚假资料的行为。</w:t>
      </w:r>
    </w:p>
    <w:p>
      <w:pPr>
        <w:keepNext w:val="0"/>
        <w:keepLines w:val="0"/>
        <w:pageBreakBefore w:val="0"/>
        <w:widowControl w:val="0"/>
        <w:kinsoku/>
        <w:wordWrap/>
        <w:overflowPunct/>
        <w:topLinePunct w:val="0"/>
        <w:autoSpaceDE/>
        <w:autoSpaceDN/>
        <w:bidi w:val="0"/>
        <w:spacing w:line="500" w:lineRule="exact"/>
        <w:ind w:firstLine="440" w:firstLineChars="200"/>
        <w:jc w:val="left"/>
        <w:textAlignment w:val="auto"/>
        <w:rPr>
          <w:rFonts w:ascii="宋体" w:hAnsi="宋体"/>
          <w:color w:val="FF0000"/>
          <w:sz w:val="22"/>
          <w:szCs w:val="22"/>
        </w:rPr>
      </w:pPr>
      <w:r>
        <w:rPr>
          <w:rFonts w:hint="eastAsia" w:ascii="宋体" w:hAnsi="宋体"/>
          <w:color w:val="FF0000"/>
          <w:sz w:val="22"/>
          <w:szCs w:val="22"/>
        </w:rPr>
        <w:t>投标供应商不能提供项目负责人或者主要技术人员的劳动合同、社会保险等劳动关系证明材料的，视为存在前款第（三）项规定的情形。</w:t>
      </w:r>
    </w:p>
    <w:p>
      <w:pPr>
        <w:keepNext w:val="0"/>
        <w:keepLines w:val="0"/>
        <w:pageBreakBefore w:val="0"/>
        <w:widowControl w:val="0"/>
        <w:kinsoku/>
        <w:wordWrap/>
        <w:overflowPunct/>
        <w:topLinePunct w:val="0"/>
        <w:autoSpaceDE/>
        <w:autoSpaceDN/>
        <w:bidi w:val="0"/>
        <w:spacing w:line="500" w:lineRule="exact"/>
        <w:ind w:firstLine="481" w:firstLineChars="200"/>
        <w:jc w:val="left"/>
        <w:textAlignment w:val="auto"/>
        <w:rPr>
          <w:rFonts w:ascii="宋体" w:hAnsi="宋体"/>
          <w:color w:val="FF0000"/>
          <w:sz w:val="22"/>
          <w:szCs w:val="22"/>
        </w:rPr>
      </w:pPr>
      <w:r>
        <w:rPr>
          <w:rFonts w:hint="eastAsia"/>
          <w:b/>
          <w:color w:val="FF0000"/>
          <w:sz w:val="24"/>
          <w:szCs w:val="24"/>
        </w:rPr>
        <w:t>四、投标供应商严格核实所提交检测报告的真实性，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处罚或处理。</w:t>
      </w:r>
    </w:p>
    <w:p>
      <w:pPr>
        <w:keepNext w:val="0"/>
        <w:keepLines w:val="0"/>
        <w:pageBreakBefore w:val="0"/>
        <w:widowControl w:val="0"/>
        <w:kinsoku/>
        <w:wordWrap/>
        <w:overflowPunct/>
        <w:topLinePunct w:val="0"/>
        <w:autoSpaceDE/>
        <w:autoSpaceDN/>
        <w:bidi w:val="0"/>
        <w:adjustRightInd w:val="0"/>
        <w:snapToGrid w:val="0"/>
        <w:spacing w:line="500" w:lineRule="exact"/>
        <w:ind w:firstLine="481" w:firstLineChars="200"/>
        <w:jc w:val="left"/>
        <w:textAlignment w:val="auto"/>
        <w:rPr>
          <w:color w:val="FF0000"/>
          <w:sz w:val="24"/>
          <w:szCs w:val="24"/>
        </w:rPr>
      </w:pPr>
      <w:r>
        <w:rPr>
          <w:rFonts w:hint="eastAsia"/>
          <w:b/>
          <w:color w:val="FF0000"/>
          <w:sz w:val="24"/>
          <w:szCs w:val="24"/>
          <w:highlight w:val="none"/>
        </w:rPr>
        <w:t>五、请投标供应商阅读《政府采购违法行为风险知悉确认书》</w:t>
      </w:r>
      <w:r>
        <w:rPr>
          <w:rFonts w:hint="eastAsia"/>
          <w:color w:val="FF0000"/>
          <w:sz w:val="24"/>
          <w:szCs w:val="24"/>
          <w:highlight w:val="none"/>
        </w:rPr>
        <w:t>（内容详见“第三章 投标格式”中“投标文件</w:t>
      </w:r>
      <w:r>
        <w:rPr>
          <w:color w:val="FF0000"/>
          <w:sz w:val="24"/>
          <w:szCs w:val="24"/>
          <w:highlight w:val="none"/>
        </w:rPr>
        <w:t>第一部分</w:t>
      </w:r>
      <w:r>
        <w:rPr>
          <w:rFonts w:hint="eastAsia"/>
          <w:color w:val="FF0000"/>
          <w:sz w:val="24"/>
          <w:szCs w:val="24"/>
          <w:highlight w:val="none"/>
        </w:rPr>
        <w:t>”），并经各投标供应商负责人或投标授权代表签字并加盖单位公章后，扫描上传至投标文件一并提交。</w:t>
      </w:r>
      <w:r>
        <w:rPr>
          <w:rFonts w:hint="eastAsia"/>
          <w:color w:val="FF0000"/>
          <w:sz w:val="24"/>
          <w:szCs w:val="24"/>
          <w:highlight w:val="yellow"/>
        </w:rPr>
        <w:br w:type="textWrapping"/>
      </w:r>
      <w:r>
        <w:rPr>
          <w:rFonts w:hint="eastAsia"/>
          <w:color w:val="FF0000"/>
          <w:sz w:val="24"/>
          <w:szCs w:val="24"/>
        </w:rPr>
        <w:t>注：该风险知悉确认书用于对供应商违法行为的警示，不作为供应商资格性审查及符合性审查条件。</w:t>
      </w:r>
    </w:p>
    <w:p>
      <w:pPr>
        <w:keepNext w:val="0"/>
        <w:keepLines w:val="0"/>
        <w:pageBreakBefore w:val="0"/>
        <w:widowControl w:val="0"/>
        <w:kinsoku/>
        <w:wordWrap/>
        <w:overflowPunct/>
        <w:topLinePunct w:val="0"/>
        <w:autoSpaceDE/>
        <w:autoSpaceDN/>
        <w:bidi w:val="0"/>
        <w:spacing w:line="500" w:lineRule="exact"/>
        <w:ind w:firstLine="400" w:firstLineChars="200"/>
        <w:jc w:val="left"/>
        <w:textAlignment w:val="auto"/>
        <w:rPr>
          <w:rFonts w:ascii="宋体" w:hAnsi="宋体"/>
          <w:color w:val="FF0000"/>
          <w:sz w:val="20"/>
          <w:szCs w:val="20"/>
        </w:rPr>
      </w:pPr>
    </w:p>
    <w:p>
      <w:pPr>
        <w:ind w:firstLine="400" w:firstLineChars="200"/>
        <w:rPr>
          <w:rFonts w:ascii="宋体" w:hAnsi="宋体"/>
          <w:color w:val="FF0000"/>
          <w:sz w:val="20"/>
          <w:szCs w:val="20"/>
        </w:rPr>
      </w:pPr>
    </w:p>
    <w:p>
      <w:pPr>
        <w:rPr>
          <w:rFonts w:ascii="宋体" w:hAnsi="宋体"/>
          <w:color w:val="FF0000"/>
          <w:sz w:val="20"/>
          <w:szCs w:val="20"/>
        </w:rPr>
      </w:pPr>
    </w:p>
    <w:bookmarkEnd w:id="0"/>
    <w:p>
      <w:pPr>
        <w:rPr>
          <w:rFonts w:hint="eastAsia" w:ascii="宋体" w:hAnsi="宋体" w:eastAsia="宋体" w:cs="Times New Roman"/>
          <w:b/>
          <w:color w:val="000000"/>
          <w:kern w:val="2"/>
          <w:sz w:val="90"/>
          <w:szCs w:val="21"/>
          <w:lang w:val="en-US" w:eastAsia="zh-CN" w:bidi="ar-SA"/>
        </w:rPr>
      </w:pPr>
      <w:bookmarkStart w:id="1" w:name="_Toc82421158"/>
      <w:bookmarkStart w:id="2" w:name="_Toc31326"/>
      <w:bookmarkStart w:id="3" w:name="_Toc82421265"/>
      <w:r>
        <w:rPr>
          <w:rFonts w:hint="eastAsia" w:ascii="宋体" w:hAnsi="宋体" w:eastAsia="宋体" w:cs="Times New Roman"/>
          <w:b/>
          <w:color w:val="000000"/>
          <w:kern w:val="2"/>
          <w:sz w:val="90"/>
          <w:szCs w:val="21"/>
          <w:lang w:val="en-US" w:eastAsia="zh-CN" w:bidi="ar-SA"/>
        </w:rPr>
        <w:br w:type="page"/>
      </w:r>
    </w:p>
    <w:p>
      <w:pPr>
        <w:pStyle w:val="2"/>
        <w:jc w:val="center"/>
        <w:rPr>
          <w:rFonts w:hint="eastAsia" w:ascii="宋体" w:hAnsi="宋体" w:eastAsia="宋体" w:cs="Times New Roman"/>
          <w:b/>
          <w:color w:val="000000"/>
          <w:kern w:val="2"/>
          <w:sz w:val="90"/>
          <w:szCs w:val="21"/>
          <w:lang w:val="en-US" w:eastAsia="zh-CN" w:bidi="ar-SA"/>
        </w:rPr>
      </w:pPr>
      <w:r>
        <w:rPr>
          <w:rFonts w:hint="eastAsia" w:ascii="宋体" w:hAnsi="宋体" w:eastAsia="宋体" w:cs="Times New Roman"/>
          <w:b/>
          <w:color w:val="000000"/>
          <w:kern w:val="2"/>
          <w:sz w:val="90"/>
          <w:szCs w:val="21"/>
          <w:lang w:val="en-US" w:eastAsia="zh-CN" w:bidi="ar-SA"/>
        </w:rPr>
        <w:t>关键信息</w:t>
      </w:r>
      <w:bookmarkEnd w:id="1"/>
      <w:bookmarkEnd w:id="2"/>
      <w:bookmarkEnd w:id="3"/>
    </w:p>
    <w:p/>
    <w:p>
      <w:pPr>
        <w:pStyle w:val="5"/>
        <w:rPr>
          <w:color w:val="auto"/>
          <w:sz w:val="36"/>
          <w:szCs w:val="36"/>
        </w:rPr>
      </w:pPr>
      <w:bookmarkStart w:id="4" w:name="_Toc82421159"/>
      <w:bookmarkStart w:id="5" w:name="_Toc2749"/>
      <w:bookmarkStart w:id="6" w:name="_Toc82421266"/>
      <w:r>
        <w:rPr>
          <w:rFonts w:hint="eastAsia"/>
          <w:color w:val="auto"/>
          <w:sz w:val="36"/>
          <w:szCs w:val="36"/>
        </w:rPr>
        <w:t>项目信息</w:t>
      </w:r>
      <w:bookmarkEnd w:id="4"/>
      <w:bookmarkEnd w:id="5"/>
      <w:bookmarkEnd w:id="6"/>
    </w:p>
    <w:p>
      <w:pPr>
        <w:ind w:left="2880" w:hanging="2880" w:hangingChars="900"/>
        <w:rPr>
          <w:rFonts w:hint="eastAsia" w:ascii="宋体" w:hAnsi="宋体" w:eastAsia="宋体"/>
          <w:color w:val="FF0000"/>
          <w:sz w:val="32"/>
          <w:lang w:eastAsia="zh-CN"/>
        </w:rPr>
      </w:pPr>
      <w:r>
        <w:rPr>
          <w:rFonts w:ascii="宋体" w:hAnsi="宋体"/>
          <w:color w:val="000000"/>
          <w:sz w:val="32"/>
        </w:rPr>
        <w:t xml:space="preserve">      项目名称：</w:t>
      </w:r>
      <w:r>
        <w:rPr>
          <w:rFonts w:hint="eastAsia" w:ascii="宋体" w:hAnsi="宋体"/>
          <w:color w:val="auto"/>
          <w:sz w:val="32"/>
          <w:lang w:eastAsia="zh-CN"/>
        </w:rPr>
        <w:t>碧海花园周边环境提升及人行路面修缮工程</w:t>
      </w:r>
    </w:p>
    <w:p>
      <w:pPr>
        <w:rPr>
          <w:rFonts w:ascii="宋体" w:hAnsi="宋体"/>
          <w:color w:val="000000"/>
          <w:sz w:val="32"/>
        </w:rPr>
      </w:pPr>
      <w:r>
        <w:rPr>
          <w:rFonts w:ascii="宋体" w:hAnsi="宋体"/>
          <w:color w:val="000000"/>
          <w:sz w:val="32"/>
        </w:rPr>
        <w:t xml:space="preserve">      项目类型：  </w:t>
      </w:r>
      <w:r>
        <w:rPr>
          <w:rFonts w:hint="eastAsia" w:ascii="宋体" w:hAnsi="宋体"/>
          <w:color w:val="000000"/>
          <w:sz w:val="32"/>
        </w:rPr>
        <w:t>工程</w:t>
      </w:r>
      <w:r>
        <w:rPr>
          <w:rFonts w:ascii="宋体" w:hAnsi="宋体"/>
          <w:color w:val="000000"/>
          <w:sz w:val="32"/>
        </w:rPr>
        <w:t>类</w:t>
      </w:r>
    </w:p>
    <w:p>
      <w:pPr>
        <w:rPr>
          <w:rFonts w:hint="eastAsia" w:ascii="宋体" w:hAnsi="宋体" w:eastAsia="宋体"/>
          <w:color w:val="000000"/>
          <w:sz w:val="32"/>
          <w:lang w:eastAsia="zh-CN"/>
        </w:rPr>
      </w:pPr>
      <w:r>
        <w:rPr>
          <w:rFonts w:ascii="宋体" w:hAnsi="宋体"/>
          <w:color w:val="000000"/>
          <w:sz w:val="32"/>
        </w:rPr>
        <w:t xml:space="preserve">      采购方式：  公开</w:t>
      </w:r>
      <w:r>
        <w:rPr>
          <w:rFonts w:hint="eastAsia" w:ascii="宋体" w:hAnsi="宋体"/>
          <w:color w:val="000000"/>
          <w:sz w:val="32"/>
          <w:lang w:eastAsia="zh-CN"/>
        </w:rPr>
        <w:t>征集</w:t>
      </w:r>
    </w:p>
    <w:p>
      <w:pPr>
        <w:rPr>
          <w:rFonts w:ascii="宋体" w:hAnsi="宋体"/>
          <w:color w:val="000000"/>
          <w:sz w:val="32"/>
        </w:rPr>
      </w:pPr>
      <w:r>
        <w:rPr>
          <w:rFonts w:ascii="宋体" w:hAnsi="宋体"/>
          <w:color w:val="000000"/>
          <w:sz w:val="32"/>
        </w:rPr>
        <w:t xml:space="preserve">      货币类型：  人民币</w:t>
      </w:r>
    </w:p>
    <w:p>
      <w:pPr>
        <w:pStyle w:val="15"/>
        <w:jc w:val="center"/>
        <w:outlineLvl w:val="1"/>
        <w:rPr>
          <w:rFonts w:hint="eastAsia" w:ascii="黑体" w:hAnsi="黑体" w:eastAsia="黑体"/>
          <w:color w:val="auto"/>
          <w:sz w:val="40"/>
          <w:szCs w:val="40"/>
          <w:highlight w:val="none"/>
        </w:rPr>
      </w:pPr>
    </w:p>
    <w:p>
      <w:pPr>
        <w:pStyle w:val="15"/>
        <w:jc w:val="center"/>
        <w:outlineLvl w:val="1"/>
        <w:rPr>
          <w:rFonts w:hint="eastAsia" w:ascii="黑体" w:hAnsi="黑体" w:eastAsia="黑体"/>
          <w:color w:val="auto"/>
          <w:sz w:val="40"/>
          <w:szCs w:val="40"/>
          <w:highlight w:val="none"/>
        </w:rPr>
      </w:pPr>
      <w:r>
        <w:rPr>
          <w:rFonts w:hint="eastAsia" w:ascii="黑体" w:hAnsi="黑体" w:eastAsia="黑体"/>
          <w:color w:val="auto"/>
          <w:sz w:val="40"/>
          <w:szCs w:val="40"/>
          <w:highlight w:val="none"/>
        </w:rPr>
        <w:t>资格性审查表</w:t>
      </w:r>
    </w:p>
    <w:p>
      <w:pPr>
        <w:jc w:val="center"/>
        <w:rPr>
          <w:rFonts w:hint="eastAsia" w:ascii="黑体" w:hAnsi="黑体" w:eastAsia="黑体"/>
          <w:color w:val="auto"/>
          <w:sz w:val="40"/>
          <w:szCs w:val="40"/>
          <w:highlight w:val="none"/>
          <w:lang w:val="en-US" w:eastAsia="zh-CN"/>
        </w:rPr>
      </w:pPr>
      <w:r>
        <w:rPr>
          <w:rFonts w:hint="eastAsia"/>
          <w:b/>
          <w:color w:val="FF0000"/>
        </w:rPr>
        <w:t>（凡有下列情形之一的，资格性检查不通过，投标无效）</w:t>
      </w:r>
    </w:p>
    <w:tbl>
      <w:tblPr>
        <w:tblStyle w:val="16"/>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pPr>
              <w:jc w:val="center"/>
              <w:rPr>
                <w:rFonts w:ascii="宋体" w:hAnsi="宋体" w:cs="宋体"/>
                <w:color w:val="auto"/>
                <w:sz w:val="28"/>
                <w:szCs w:val="28"/>
                <w:highlight w:val="none"/>
              </w:rPr>
            </w:pPr>
            <w:r>
              <w:rPr>
                <w:color w:val="auto"/>
                <w:sz w:val="28"/>
                <w:szCs w:val="28"/>
                <w:highlight w:val="none"/>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pPr>
              <w:jc w:val="center"/>
              <w:rPr>
                <w:rFonts w:ascii="宋体" w:hAnsi="宋体" w:cs="宋体"/>
                <w:color w:val="auto"/>
                <w:sz w:val="28"/>
                <w:szCs w:val="28"/>
                <w:highlight w:val="none"/>
              </w:rPr>
            </w:pPr>
            <w:r>
              <w:rPr>
                <w:color w:val="auto"/>
                <w:sz w:val="28"/>
                <w:szCs w:val="28"/>
                <w:highlight w:val="none"/>
              </w:rPr>
              <w:t>内容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jc w:val="center"/>
              <w:rPr>
                <w:rFonts w:ascii="宋体" w:hAnsi="宋体" w:cs="宋体"/>
                <w:color w:val="auto"/>
                <w:szCs w:val="21"/>
                <w:highlight w:val="none"/>
              </w:rPr>
            </w:pPr>
            <w:r>
              <w:rPr>
                <w:color w:val="auto"/>
                <w:szCs w:val="21"/>
                <w:highlight w:val="none"/>
              </w:rPr>
              <w:t>1</w:t>
            </w:r>
          </w:p>
        </w:tc>
        <w:tc>
          <w:tcPr>
            <w:tcW w:w="8278" w:type="dxa"/>
            <w:tcBorders>
              <w:top w:val="single" w:color="000000" w:sz="8" w:space="0"/>
              <w:left w:val="single" w:color="000000" w:sz="8" w:space="0"/>
              <w:bottom w:val="single" w:color="000000" w:sz="8" w:space="0"/>
              <w:right w:val="single" w:color="000000" w:sz="8" w:space="0"/>
            </w:tcBorders>
          </w:tcPr>
          <w:p>
            <w:pPr>
              <w:rPr>
                <w:color w:val="auto"/>
                <w:highlight w:val="none"/>
              </w:rPr>
            </w:pPr>
            <w:r>
              <w:rPr>
                <w:rFonts w:hint="eastAsia"/>
                <w:color w:val="auto"/>
                <w:highlight w:val="none"/>
              </w:rPr>
              <w:t>投标人不具备</w:t>
            </w:r>
            <w:r>
              <w:rPr>
                <w:rFonts w:hint="eastAsia"/>
                <w:color w:val="auto"/>
                <w:highlight w:val="none"/>
                <w:lang w:eastAsia="zh-CN"/>
              </w:rPr>
              <w:t>采购文件</w:t>
            </w:r>
            <w:r>
              <w:rPr>
                <w:rFonts w:hint="eastAsia"/>
                <w:color w:val="auto"/>
                <w:highlight w:val="none"/>
              </w:rPr>
              <w:t>所列的资格要求，或未提交相应的资格证明资料（详见</w:t>
            </w:r>
            <w:r>
              <w:rPr>
                <w:rFonts w:hint="eastAsia"/>
                <w:color w:val="auto"/>
                <w:highlight w:val="none"/>
                <w:lang w:eastAsia="zh-CN"/>
              </w:rPr>
              <w:t>自行采购公告</w:t>
            </w:r>
            <w:r>
              <w:rPr>
                <w:rFonts w:hint="eastAsia"/>
                <w:color w:val="auto"/>
                <w:highlight w:val="none"/>
              </w:rPr>
              <w:t>投标人资格要求）</w:t>
            </w:r>
          </w:p>
        </w:tc>
      </w:tr>
    </w:tbl>
    <w:p>
      <w:pPr>
        <w:pStyle w:val="15"/>
        <w:keepNext w:val="0"/>
        <w:keepLines w:val="0"/>
        <w:pageBreakBefore w:val="0"/>
        <w:widowControl w:val="0"/>
        <w:kinsoku/>
        <w:wordWrap/>
        <w:overflowPunct/>
        <w:topLinePunct w:val="0"/>
        <w:autoSpaceDE/>
        <w:autoSpaceDN/>
        <w:bidi w:val="0"/>
        <w:adjustRightInd/>
        <w:snapToGrid/>
        <w:spacing w:before="280" w:line="560" w:lineRule="exact"/>
        <w:jc w:val="center"/>
        <w:textAlignment w:val="auto"/>
        <w:outlineLvl w:val="1"/>
        <w:rPr>
          <w:rFonts w:hint="eastAsia" w:ascii="黑体" w:hAnsi="黑体" w:eastAsia="黑体"/>
          <w:color w:val="auto"/>
          <w:sz w:val="22"/>
          <w:szCs w:val="22"/>
          <w:highlight w:val="none"/>
        </w:rPr>
      </w:pPr>
    </w:p>
    <w:p>
      <w:pPr>
        <w:pStyle w:val="15"/>
        <w:keepNext w:val="0"/>
        <w:keepLines w:val="0"/>
        <w:pageBreakBefore w:val="0"/>
        <w:widowControl w:val="0"/>
        <w:kinsoku/>
        <w:wordWrap/>
        <w:overflowPunct/>
        <w:topLinePunct w:val="0"/>
        <w:autoSpaceDE/>
        <w:autoSpaceDN/>
        <w:bidi w:val="0"/>
        <w:adjustRightInd/>
        <w:snapToGrid/>
        <w:spacing w:before="280" w:line="560" w:lineRule="exact"/>
        <w:jc w:val="center"/>
        <w:textAlignment w:val="auto"/>
        <w:outlineLvl w:val="1"/>
        <w:rPr>
          <w:rFonts w:hint="eastAsia" w:ascii="黑体" w:hAnsi="黑体" w:eastAsia="黑体"/>
          <w:color w:val="auto"/>
          <w:sz w:val="40"/>
          <w:szCs w:val="40"/>
          <w:highlight w:val="none"/>
        </w:rPr>
      </w:pPr>
      <w:r>
        <w:rPr>
          <w:rFonts w:hint="eastAsia" w:ascii="黑体" w:hAnsi="黑体" w:eastAsia="黑体"/>
          <w:color w:val="auto"/>
          <w:sz w:val="40"/>
          <w:szCs w:val="40"/>
          <w:highlight w:val="none"/>
        </w:rPr>
        <w:t>符合性审查表</w:t>
      </w:r>
    </w:p>
    <w:p>
      <w:pPr>
        <w:jc w:val="center"/>
        <w:rPr>
          <w:rFonts w:hint="eastAsia" w:ascii="黑体" w:hAnsi="黑体" w:eastAsia="黑体"/>
          <w:color w:val="auto"/>
          <w:sz w:val="40"/>
          <w:szCs w:val="40"/>
          <w:highlight w:val="none"/>
        </w:rPr>
      </w:pPr>
      <w:r>
        <w:rPr>
          <w:rFonts w:hint="eastAsia"/>
          <w:b/>
          <w:color w:val="FF0000"/>
        </w:rPr>
        <w:t>（凡有下列情形之一的，符合性检查不通过，投标无效）</w:t>
      </w:r>
    </w:p>
    <w:tbl>
      <w:tblPr>
        <w:tblStyle w:val="16"/>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pPr>
              <w:jc w:val="center"/>
              <w:rPr>
                <w:rFonts w:ascii="宋体" w:hAnsi="宋体" w:cs="宋体"/>
                <w:color w:val="auto"/>
                <w:sz w:val="28"/>
                <w:szCs w:val="28"/>
                <w:highlight w:val="none"/>
              </w:rPr>
            </w:pPr>
            <w:r>
              <w:rPr>
                <w:color w:val="auto"/>
                <w:sz w:val="28"/>
                <w:szCs w:val="28"/>
                <w:highlight w:val="none"/>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pPr>
              <w:jc w:val="center"/>
              <w:rPr>
                <w:rFonts w:ascii="宋体" w:hAnsi="宋体" w:cs="宋体"/>
                <w:color w:val="auto"/>
                <w:sz w:val="28"/>
                <w:szCs w:val="28"/>
                <w:highlight w:val="none"/>
              </w:rPr>
            </w:pPr>
            <w:r>
              <w:rPr>
                <w:color w:val="auto"/>
                <w:sz w:val="28"/>
                <w:szCs w:val="28"/>
                <w:highlight w:val="none"/>
              </w:rPr>
              <w:t>内容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jc w:val="center"/>
              <w:rPr>
                <w:rFonts w:ascii="宋体" w:hAnsi="宋体" w:cs="宋体"/>
                <w:color w:val="auto"/>
                <w:szCs w:val="21"/>
                <w:highlight w:val="none"/>
              </w:rPr>
            </w:pPr>
            <w:r>
              <w:rPr>
                <w:color w:val="auto"/>
                <w:szCs w:val="21"/>
                <w:highlight w:val="none"/>
              </w:rPr>
              <w:t>1</w:t>
            </w:r>
          </w:p>
        </w:tc>
        <w:tc>
          <w:tcPr>
            <w:tcW w:w="8278" w:type="dxa"/>
            <w:tcBorders>
              <w:top w:val="single" w:color="000000" w:sz="8" w:space="0"/>
              <w:left w:val="single" w:color="000000" w:sz="8" w:space="0"/>
              <w:bottom w:val="single" w:color="000000" w:sz="8" w:space="0"/>
              <w:right w:val="single" w:color="000000" w:sz="8" w:space="0"/>
            </w:tcBorders>
            <w:vAlign w:val="center"/>
          </w:tcPr>
          <w:p>
            <w:pPr>
              <w:adjustRightInd w:val="0"/>
              <w:snapToGrid w:val="0"/>
              <w:jc w:val="left"/>
              <w:rPr>
                <w:rFonts w:ascii="宋体" w:hAnsi="宋体" w:cs="宋体"/>
                <w:color w:val="auto"/>
                <w:szCs w:val="21"/>
                <w:highlight w:val="none"/>
              </w:rPr>
            </w:pPr>
            <w:r>
              <w:t>将一个包或一个标段的内容拆开投标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jc w:val="center"/>
              <w:rPr>
                <w:rFonts w:ascii="宋体" w:hAnsi="宋体" w:cs="宋体"/>
                <w:color w:val="auto"/>
                <w:szCs w:val="21"/>
                <w:highlight w:val="none"/>
              </w:rPr>
            </w:pPr>
            <w:r>
              <w:rPr>
                <w:color w:val="auto"/>
                <w:szCs w:val="21"/>
                <w:highlight w:val="none"/>
              </w:rPr>
              <w:t>2</w:t>
            </w:r>
          </w:p>
        </w:tc>
        <w:tc>
          <w:tcPr>
            <w:tcW w:w="8278" w:type="dxa"/>
            <w:tcBorders>
              <w:top w:val="single" w:color="000000" w:sz="8" w:space="0"/>
              <w:left w:val="single" w:color="000000" w:sz="8" w:space="0"/>
              <w:bottom w:val="single" w:color="000000" w:sz="8" w:space="0"/>
              <w:right w:val="single" w:color="000000" w:sz="8" w:space="0"/>
            </w:tcBorders>
            <w:vAlign w:val="center"/>
          </w:tcPr>
          <w:p>
            <w:pPr>
              <w:adjustRightInd w:val="0"/>
              <w:snapToGrid w:val="0"/>
              <w:spacing w:line="360" w:lineRule="auto"/>
              <w:jc w:val="left"/>
              <w:rPr>
                <w:rFonts w:ascii="宋体" w:hAnsi="宋体" w:cs="宋体"/>
                <w:color w:val="auto"/>
                <w:szCs w:val="21"/>
                <w:highlight w:val="none"/>
              </w:rPr>
            </w:pPr>
            <w:r>
              <w:t>同一项目出现两个及以上报价，且按规定无法确定哪个是有效报价</w:t>
            </w:r>
            <w:r>
              <w:rPr>
                <w:highlight w:val="none"/>
              </w:rPr>
              <w:t>（见通用条款34.错误的修正）</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jc w:val="center"/>
        </w:trPr>
        <w:tc>
          <w:tcPr>
            <w:tcW w:w="794" w:type="dxa"/>
            <w:tcBorders>
              <w:top w:val="single" w:color="000000" w:sz="8" w:space="0"/>
              <w:left w:val="single" w:color="000000" w:sz="8" w:space="0"/>
              <w:bottom w:val="single" w:color="000000" w:sz="8" w:space="0"/>
              <w:right w:val="single" w:color="000000" w:sz="8" w:space="0"/>
            </w:tcBorders>
          </w:tcPr>
          <w:p>
            <w:pPr>
              <w:jc w:val="center"/>
              <w:rPr>
                <w:rFonts w:ascii="宋体" w:hAnsi="宋体" w:cs="宋体"/>
                <w:color w:val="auto"/>
                <w:szCs w:val="21"/>
                <w:highlight w:val="none"/>
              </w:rPr>
            </w:pPr>
            <w:r>
              <w:rPr>
                <w:color w:val="auto"/>
                <w:szCs w:val="21"/>
                <w:highlight w:val="none"/>
              </w:rPr>
              <w:t>3</w:t>
            </w:r>
          </w:p>
        </w:tc>
        <w:tc>
          <w:tcPr>
            <w:tcW w:w="8278" w:type="dxa"/>
            <w:tcBorders>
              <w:top w:val="single" w:color="000000" w:sz="8" w:space="0"/>
              <w:left w:val="single" w:color="000000" w:sz="8" w:space="0"/>
              <w:bottom w:val="single" w:color="000000" w:sz="8" w:space="0"/>
              <w:right w:val="single" w:color="000000" w:sz="8" w:space="0"/>
            </w:tcBorders>
            <w:vAlign w:val="center"/>
          </w:tcPr>
          <w:p>
            <w:pPr>
              <w:adjustRightInd w:val="0"/>
              <w:snapToGrid w:val="0"/>
              <w:jc w:val="left"/>
              <w:rPr>
                <w:rFonts w:ascii="宋体" w:hAnsi="宋体" w:cs="宋体"/>
                <w:color w:val="auto"/>
                <w:szCs w:val="21"/>
                <w:highlight w:val="none"/>
              </w:rPr>
            </w:pPr>
            <w:r>
              <w:t>投标报价高于预算限额或者最高投标限价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jc w:val="center"/>
              <w:rPr>
                <w:rFonts w:ascii="宋体" w:hAnsi="宋体" w:cs="宋体"/>
                <w:color w:val="auto"/>
                <w:szCs w:val="21"/>
                <w:highlight w:val="none"/>
              </w:rPr>
            </w:pPr>
            <w:r>
              <w:rPr>
                <w:color w:val="auto"/>
                <w:szCs w:val="21"/>
                <w:highlight w:val="none"/>
              </w:rPr>
              <w:t>4</w:t>
            </w:r>
          </w:p>
        </w:tc>
        <w:tc>
          <w:tcPr>
            <w:tcW w:w="8278" w:type="dxa"/>
            <w:tcBorders>
              <w:top w:val="single" w:color="000000" w:sz="8" w:space="0"/>
              <w:left w:val="single" w:color="000000" w:sz="8" w:space="0"/>
              <w:bottom w:val="single" w:color="000000" w:sz="8" w:space="0"/>
              <w:right w:val="single" w:color="000000" w:sz="8" w:space="0"/>
            </w:tcBorders>
            <w:vAlign w:val="center"/>
          </w:tcPr>
          <w:p>
            <w:pPr>
              <w:adjustRightInd w:val="0"/>
              <w:snapToGrid w:val="0"/>
              <w:jc w:val="left"/>
              <w:rPr>
                <w:rFonts w:ascii="宋体" w:hAnsi="宋体" w:cs="宋体"/>
                <w:color w:val="auto"/>
                <w:szCs w:val="21"/>
                <w:highlight w:val="none"/>
              </w:rPr>
            </w:pPr>
            <w:r>
              <w:t>对同一项目投标时，提供两套以上的投标方案（</w:t>
            </w:r>
            <w:r>
              <w:rPr>
                <w:rFonts w:hint="eastAsia"/>
                <w:lang w:eastAsia="zh-CN"/>
              </w:rPr>
              <w:t>采购文件</w:t>
            </w:r>
            <w:r>
              <w:t>另有规定的除外）</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jc w:val="center"/>
              <w:rPr>
                <w:rFonts w:ascii="宋体" w:hAnsi="宋体" w:cs="宋体"/>
                <w:color w:val="auto"/>
                <w:szCs w:val="21"/>
                <w:highlight w:val="none"/>
              </w:rPr>
            </w:pPr>
            <w:r>
              <w:rPr>
                <w:color w:val="auto"/>
                <w:szCs w:val="21"/>
                <w:highlight w:val="none"/>
              </w:rPr>
              <w:t>5</w:t>
            </w:r>
          </w:p>
        </w:tc>
        <w:tc>
          <w:tcPr>
            <w:tcW w:w="8278" w:type="dxa"/>
            <w:tcBorders>
              <w:top w:val="single" w:color="000000" w:sz="8" w:space="0"/>
              <w:left w:val="single" w:color="000000" w:sz="8" w:space="0"/>
              <w:bottom w:val="single" w:color="000000" w:sz="8" w:space="0"/>
              <w:right w:val="single" w:color="000000" w:sz="8" w:space="0"/>
            </w:tcBorders>
            <w:vAlign w:val="center"/>
          </w:tcPr>
          <w:p>
            <w:pPr>
              <w:adjustRightInd w:val="0"/>
              <w:snapToGrid w:val="0"/>
              <w:jc w:val="left"/>
              <w:rPr>
                <w:rFonts w:ascii="宋体" w:hAnsi="宋体" w:cs="宋体"/>
                <w:color w:val="auto"/>
                <w:szCs w:val="21"/>
                <w:highlight w:val="none"/>
              </w:rPr>
            </w:pPr>
            <w:r>
              <w:t>投标报价有缺漏项目</w:t>
            </w:r>
            <w:r>
              <w:rPr>
                <w:rFonts w:hint="eastAsia" w:eastAsia="宋体" w:cs="Times New Roman"/>
                <w:color w:val="auto"/>
                <w:highlight w:val="none"/>
              </w:rPr>
              <w:t>（货物清单中的内容未完全包含在投标报价中）</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jc w:val="center"/>
              <w:rPr>
                <w:rFonts w:ascii="宋体" w:hAnsi="宋体" w:cs="宋体"/>
                <w:color w:val="auto"/>
                <w:szCs w:val="21"/>
                <w:highlight w:val="none"/>
              </w:rPr>
            </w:pPr>
            <w:r>
              <w:rPr>
                <w:color w:val="auto"/>
                <w:szCs w:val="21"/>
                <w:highlight w:val="none"/>
              </w:rPr>
              <w:t>6</w:t>
            </w:r>
          </w:p>
        </w:tc>
        <w:tc>
          <w:tcPr>
            <w:tcW w:w="8278" w:type="dxa"/>
            <w:tcBorders>
              <w:top w:val="single" w:color="000000" w:sz="8" w:space="0"/>
              <w:left w:val="single" w:color="000000" w:sz="8" w:space="0"/>
              <w:bottom w:val="single" w:color="000000" w:sz="8" w:space="0"/>
              <w:right w:val="single" w:color="000000" w:sz="8" w:space="0"/>
            </w:tcBorders>
            <w:vAlign w:val="center"/>
          </w:tcPr>
          <w:p>
            <w:pPr>
              <w:adjustRightInd w:val="0"/>
              <w:snapToGrid w:val="0"/>
              <w:spacing w:line="360" w:lineRule="auto"/>
              <w:jc w:val="left"/>
            </w:pPr>
            <w:r>
              <w:t>评审中出现下列情形之一的，</w:t>
            </w:r>
            <w:r>
              <w:rPr>
                <w:rFonts w:hint="eastAsia"/>
                <w:lang w:eastAsia="zh-CN"/>
              </w:rPr>
              <w:t>采购评审小组</w:t>
            </w:r>
            <w:r>
              <w:t>应当启动异常低价投标（响应）审查程序：</w:t>
            </w:r>
          </w:p>
          <w:p>
            <w:pPr>
              <w:adjustRightInd w:val="0"/>
              <w:snapToGrid w:val="0"/>
              <w:spacing w:line="360" w:lineRule="auto"/>
              <w:jc w:val="left"/>
            </w:pPr>
            <w:r>
              <w:t>1.投标（响应）报价低于全部通过符合性审查供应商投标（响应）报价平均值50%的，即投标（响应）报价&lt;全部通过符合性审查供应商投标（响应）报价平均值×50%；</w:t>
            </w:r>
          </w:p>
          <w:p>
            <w:pPr>
              <w:adjustRightInd w:val="0"/>
              <w:snapToGrid w:val="0"/>
              <w:spacing w:line="360" w:lineRule="auto"/>
              <w:jc w:val="left"/>
            </w:pPr>
            <w:r>
              <w:t>2.投标（响应）报价低于通过符合性审查的次低报价供应商投标（响应）报价50%的，即投标（响应）报价&lt;通过符合性审查的次低报价供应商投标（响应）报价×50%；</w:t>
            </w:r>
          </w:p>
          <w:p>
            <w:pPr>
              <w:adjustRightInd w:val="0"/>
              <w:snapToGrid w:val="0"/>
              <w:spacing w:line="360" w:lineRule="auto"/>
              <w:jc w:val="left"/>
            </w:pPr>
            <w:r>
              <w:t>3.投标（响应）报价低于采购项目最高限价45%的，即投标（响应）报价&lt;采购项目最高限价×45%；</w:t>
            </w:r>
          </w:p>
          <w:p>
            <w:pPr>
              <w:adjustRightInd w:val="0"/>
              <w:snapToGrid w:val="0"/>
              <w:spacing w:line="360" w:lineRule="auto"/>
              <w:jc w:val="left"/>
            </w:pPr>
            <w:r>
              <w:t>4.</w:t>
            </w:r>
            <w:r>
              <w:rPr>
                <w:rFonts w:hint="eastAsia"/>
                <w:lang w:eastAsia="zh-CN"/>
              </w:rPr>
              <w:t>采购评审小组</w:t>
            </w:r>
            <w:r>
              <w:t>基于专业判断，认为供应商报价过低，有可能影响产品质量或者不能诚信履约的其他情形。</w:t>
            </w:r>
          </w:p>
          <w:p>
            <w:pPr>
              <w:adjustRightInd w:val="0"/>
              <w:snapToGrid w:val="0"/>
              <w:spacing w:line="360" w:lineRule="auto"/>
              <w:jc w:val="left"/>
            </w:pPr>
            <w:r>
              <w:rPr>
                <w:rFonts w:hint="eastAsia"/>
                <w:lang w:eastAsia="zh-CN"/>
              </w:rPr>
              <w:t>采购评审小组</w:t>
            </w:r>
            <w:r>
              <w:t>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adjustRightInd w:val="0"/>
              <w:snapToGrid w:val="0"/>
              <w:spacing w:line="360" w:lineRule="auto"/>
              <w:jc w:val="left"/>
              <w:rPr>
                <w:rFonts w:ascii="宋体" w:hAnsi="宋体" w:cs="宋体"/>
                <w:color w:val="auto"/>
                <w:szCs w:val="21"/>
                <w:highlight w:val="none"/>
              </w:rPr>
            </w:pPr>
            <w:r>
              <w:rPr>
                <w:rFonts w:hint="eastAsia"/>
                <w:lang w:eastAsia="zh-CN"/>
              </w:rPr>
              <w:t>采购评审小组</w:t>
            </w:r>
            <w:r>
              <w:t>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w:t>
            </w:r>
            <w:r>
              <w:rPr>
                <w:rFonts w:hint="eastAsia"/>
                <w:lang w:eastAsia="zh-CN"/>
              </w:rPr>
              <w:t>采购评审小组</w:t>
            </w:r>
            <w:r>
              <w:t>应当将其作为无效投标（响应）处理。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jc w:val="center"/>
        </w:trPr>
        <w:tc>
          <w:tcPr>
            <w:tcW w:w="794" w:type="dxa"/>
            <w:tcBorders>
              <w:top w:val="single" w:color="000000" w:sz="8" w:space="0"/>
              <w:left w:val="single" w:color="000000" w:sz="8" w:space="0"/>
              <w:bottom w:val="single" w:color="000000" w:sz="8" w:space="0"/>
              <w:right w:val="single" w:color="000000" w:sz="8" w:space="0"/>
            </w:tcBorders>
          </w:tcPr>
          <w:p>
            <w:pPr>
              <w:jc w:val="center"/>
              <w:rPr>
                <w:rFonts w:ascii="宋体" w:hAnsi="宋体" w:cs="宋体"/>
                <w:color w:val="auto"/>
                <w:szCs w:val="21"/>
                <w:highlight w:val="none"/>
              </w:rPr>
            </w:pPr>
            <w:r>
              <w:rPr>
                <w:color w:val="auto"/>
                <w:szCs w:val="21"/>
                <w:highlight w:val="none"/>
              </w:rPr>
              <w:t>7</w:t>
            </w:r>
          </w:p>
        </w:tc>
        <w:tc>
          <w:tcPr>
            <w:tcW w:w="8278" w:type="dxa"/>
            <w:tcBorders>
              <w:top w:val="single" w:color="000000" w:sz="8" w:space="0"/>
              <w:left w:val="single" w:color="000000" w:sz="8" w:space="0"/>
              <w:bottom w:val="single" w:color="000000" w:sz="8" w:space="0"/>
              <w:right w:val="single" w:color="000000" w:sz="8" w:space="0"/>
            </w:tcBorders>
            <w:vAlign w:val="center"/>
          </w:tcPr>
          <w:p>
            <w:pPr>
              <w:adjustRightInd w:val="0"/>
              <w:snapToGrid w:val="0"/>
              <w:spacing w:line="360" w:lineRule="auto"/>
              <w:jc w:val="left"/>
              <w:rPr>
                <w:rFonts w:ascii="宋体" w:hAnsi="宋体" w:cs="宋体"/>
                <w:color w:val="auto"/>
                <w:szCs w:val="21"/>
                <w:highlight w:val="none"/>
              </w:rPr>
            </w:pPr>
            <w:r>
              <w:t>所投产品、工程、服务在商务、技术等方面没有实质性满足</w:t>
            </w:r>
            <w:r>
              <w:rPr>
                <w:rFonts w:hint="eastAsia"/>
                <w:lang w:eastAsia="zh-CN"/>
              </w:rPr>
              <w:t>采购文件</w:t>
            </w:r>
            <w:r>
              <w:t>要求（是否实质性满足</w:t>
            </w:r>
            <w:r>
              <w:rPr>
                <w:rFonts w:hint="eastAsia"/>
                <w:lang w:eastAsia="zh-CN"/>
              </w:rPr>
              <w:t>采购文件</w:t>
            </w:r>
            <w:r>
              <w:t>要求，由</w:t>
            </w:r>
            <w:r>
              <w:rPr>
                <w:rFonts w:hint="eastAsia"/>
                <w:lang w:eastAsia="zh-CN"/>
              </w:rPr>
              <w:t>采购评审小组</w:t>
            </w:r>
            <w:r>
              <w:t>根据</w:t>
            </w:r>
            <w:r>
              <w:rPr>
                <w:rFonts w:hint="eastAsia"/>
                <w:lang w:eastAsia="zh-CN"/>
              </w:rPr>
              <w:t>采购文件</w:t>
            </w:r>
            <w:r>
              <w:t>中的实质性条款做出评判）</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jc w:val="center"/>
              <w:rPr>
                <w:rFonts w:ascii="宋体" w:hAnsi="宋体" w:cs="宋体"/>
                <w:color w:val="auto"/>
                <w:szCs w:val="21"/>
                <w:highlight w:val="none"/>
              </w:rPr>
            </w:pPr>
            <w:r>
              <w:rPr>
                <w:color w:val="auto"/>
                <w:szCs w:val="21"/>
                <w:highlight w:val="none"/>
              </w:rPr>
              <w:t>8</w:t>
            </w:r>
          </w:p>
        </w:tc>
        <w:tc>
          <w:tcPr>
            <w:tcW w:w="8278" w:type="dxa"/>
            <w:tcBorders>
              <w:top w:val="single" w:color="000000" w:sz="8" w:space="0"/>
              <w:left w:val="single" w:color="000000" w:sz="8" w:space="0"/>
              <w:bottom w:val="single" w:color="000000" w:sz="8" w:space="0"/>
              <w:right w:val="single" w:color="000000" w:sz="8" w:space="0"/>
            </w:tcBorders>
            <w:vAlign w:val="center"/>
          </w:tcPr>
          <w:p>
            <w:pPr>
              <w:adjustRightInd w:val="0"/>
              <w:snapToGrid w:val="0"/>
              <w:spacing w:line="360" w:lineRule="auto"/>
              <w:jc w:val="left"/>
              <w:rPr>
                <w:rFonts w:ascii="宋体" w:hAnsi="宋体" w:cs="宋体"/>
                <w:color w:val="auto"/>
                <w:szCs w:val="21"/>
                <w:highlight w:val="none"/>
              </w:rPr>
            </w:pPr>
            <w:r>
              <w:rPr>
                <w:highlight w:val="none"/>
              </w:rPr>
              <w:t>未按</w:t>
            </w:r>
            <w:r>
              <w:rPr>
                <w:rFonts w:hint="eastAsia"/>
                <w:highlight w:val="none"/>
                <w:lang w:eastAsia="zh-CN"/>
              </w:rPr>
              <w:t>采购文件</w:t>
            </w:r>
            <w:r>
              <w:rPr>
                <w:highlight w:val="none"/>
              </w:rPr>
              <w:t>所提供的样式填写《投标函》；未按</w:t>
            </w:r>
            <w:r>
              <w:rPr>
                <w:rFonts w:hint="eastAsia"/>
                <w:highlight w:val="none"/>
                <w:lang w:eastAsia="zh-CN"/>
              </w:rPr>
              <w:t>采购文件</w:t>
            </w:r>
            <w:r>
              <w:rPr>
                <w:highlight w:val="none"/>
              </w:rPr>
              <w:t>所提供的《投标及履约承诺函》进行承诺；未按</w:t>
            </w:r>
            <w:r>
              <w:rPr>
                <w:rFonts w:hint="eastAsia"/>
                <w:highlight w:val="none"/>
                <w:lang w:eastAsia="zh-CN"/>
              </w:rPr>
              <w:t>采购文件</w:t>
            </w:r>
            <w:r>
              <w:rPr>
                <w:highlight w:val="none"/>
              </w:rPr>
              <w:t>对投标文件组成的要求提供投标文件（投标文件组成不完整）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jc w:val="center"/>
              <w:rPr>
                <w:rFonts w:ascii="宋体" w:hAnsi="宋体" w:cs="宋体"/>
                <w:color w:val="auto"/>
                <w:szCs w:val="21"/>
                <w:highlight w:val="none"/>
              </w:rPr>
            </w:pPr>
            <w:r>
              <w:rPr>
                <w:color w:val="auto"/>
                <w:szCs w:val="21"/>
                <w:highlight w:val="none"/>
              </w:rPr>
              <w:t>9</w:t>
            </w:r>
          </w:p>
        </w:tc>
        <w:tc>
          <w:tcPr>
            <w:tcW w:w="8278" w:type="dxa"/>
            <w:tcBorders>
              <w:top w:val="single" w:color="000000" w:sz="8" w:space="0"/>
              <w:left w:val="single" w:color="000000" w:sz="8" w:space="0"/>
              <w:bottom w:val="single" w:color="000000" w:sz="8" w:space="0"/>
              <w:right w:val="single" w:color="000000" w:sz="8" w:space="0"/>
            </w:tcBorders>
            <w:vAlign w:val="center"/>
          </w:tcPr>
          <w:p>
            <w:pPr>
              <w:adjustRightInd w:val="0"/>
              <w:snapToGrid w:val="0"/>
              <w:jc w:val="left"/>
              <w:rPr>
                <w:rFonts w:ascii="宋体" w:hAnsi="宋体" w:cs="宋体"/>
                <w:b w:val="0"/>
                <w:bCs/>
                <w:color w:val="auto"/>
                <w:szCs w:val="21"/>
                <w:highlight w:val="none"/>
              </w:rPr>
            </w:pPr>
            <w:r>
              <w:rPr>
                <w:b w:val="0"/>
                <w:bCs/>
                <w:color w:val="auto"/>
              </w:rPr>
              <w:t>未按</w:t>
            </w:r>
            <w:r>
              <w:rPr>
                <w:rFonts w:hint="eastAsia"/>
                <w:b w:val="0"/>
                <w:bCs/>
                <w:color w:val="auto"/>
                <w:lang w:eastAsia="zh-CN"/>
              </w:rPr>
              <w:t>采购文件</w:t>
            </w:r>
            <w:r>
              <w:rPr>
                <w:b w:val="0"/>
                <w:bCs/>
                <w:color w:val="auto"/>
              </w:rPr>
              <w:t>要求详细填报所投产品（使用的材料）的品牌、型号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tcPr>
          <w:p>
            <w:pPr>
              <w:jc w:val="center"/>
              <w:rPr>
                <w:rFonts w:ascii="宋体" w:hAnsi="宋体" w:cs="宋体"/>
                <w:color w:val="auto"/>
                <w:szCs w:val="21"/>
                <w:highlight w:val="none"/>
              </w:rPr>
            </w:pPr>
            <w:r>
              <w:rPr>
                <w:color w:val="auto"/>
                <w:szCs w:val="21"/>
                <w:highlight w:val="none"/>
              </w:rPr>
              <w:t>10</w:t>
            </w:r>
          </w:p>
        </w:tc>
        <w:tc>
          <w:tcPr>
            <w:tcW w:w="8278" w:type="dxa"/>
            <w:tcBorders>
              <w:top w:val="single" w:color="000000" w:sz="8" w:space="0"/>
              <w:left w:val="single" w:color="000000" w:sz="8" w:space="0"/>
              <w:bottom w:val="single" w:color="000000" w:sz="8" w:space="0"/>
              <w:right w:val="single" w:color="000000" w:sz="8" w:space="0"/>
            </w:tcBorders>
            <w:vAlign w:val="center"/>
          </w:tcPr>
          <w:p>
            <w:pPr>
              <w:adjustRightInd w:val="0"/>
              <w:snapToGrid w:val="0"/>
              <w:jc w:val="left"/>
              <w:rPr>
                <w:rFonts w:ascii="宋体" w:hAnsi="宋体" w:cs="宋体"/>
                <w:b w:val="0"/>
                <w:bCs/>
                <w:color w:val="auto"/>
                <w:szCs w:val="21"/>
                <w:highlight w:val="none"/>
              </w:rPr>
            </w:pPr>
            <w:r>
              <w:rPr>
                <w:b w:val="0"/>
                <w:bCs/>
                <w:color w:val="auto"/>
              </w:rPr>
              <w:t>投标文件电子文档带病毒</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jc w:val="center"/>
        </w:trPr>
        <w:tc>
          <w:tcPr>
            <w:tcW w:w="794" w:type="dxa"/>
            <w:tcBorders>
              <w:top w:val="single" w:color="000000" w:sz="8" w:space="0"/>
              <w:left w:val="single" w:color="000000" w:sz="8" w:space="0"/>
              <w:bottom w:val="single" w:color="000000" w:sz="8" w:space="0"/>
              <w:right w:val="single" w:color="000000" w:sz="8" w:space="0"/>
            </w:tcBorders>
          </w:tcPr>
          <w:p>
            <w:pPr>
              <w:widowControl/>
              <w:jc w:val="center"/>
              <w:textAlignment w:val="top"/>
              <w:rPr>
                <w:rFonts w:ascii="宋体" w:hAnsi="宋体" w:cs="宋体"/>
                <w:color w:val="auto"/>
                <w:szCs w:val="21"/>
                <w:highlight w:val="none"/>
              </w:rPr>
            </w:pPr>
            <w:r>
              <w:rPr>
                <w:rFonts w:hint="eastAsia"/>
                <w:color w:val="auto"/>
                <w:highlight w:val="none"/>
              </w:rPr>
              <w:t>11</w:t>
            </w:r>
          </w:p>
        </w:tc>
        <w:tc>
          <w:tcPr>
            <w:tcW w:w="8278" w:type="dxa"/>
            <w:tcBorders>
              <w:top w:val="single" w:color="000000" w:sz="8" w:space="0"/>
              <w:left w:val="single" w:color="000000" w:sz="8" w:space="0"/>
              <w:bottom w:val="single" w:color="000000" w:sz="8" w:space="0"/>
              <w:right w:val="single" w:color="000000" w:sz="8" w:space="0"/>
            </w:tcBorders>
            <w:vAlign w:val="center"/>
          </w:tcPr>
          <w:p>
            <w:pPr>
              <w:adjustRightInd w:val="0"/>
              <w:snapToGrid w:val="0"/>
              <w:jc w:val="left"/>
              <w:rPr>
                <w:color w:val="auto"/>
                <w:highlight w:val="none"/>
              </w:rPr>
            </w:pPr>
            <w:r>
              <w:t>法律、法规规定的其他投标无效情形</w:t>
            </w:r>
          </w:p>
        </w:tc>
      </w:tr>
    </w:tbl>
    <w:p>
      <w:pPr>
        <w:pStyle w:val="15"/>
        <w:jc w:val="center"/>
        <w:outlineLvl w:val="1"/>
        <w:rPr>
          <w:rFonts w:hint="eastAsia" w:ascii="黑体" w:hAnsi="黑体" w:eastAsia="黑体"/>
          <w:color w:val="auto"/>
          <w:sz w:val="40"/>
          <w:szCs w:val="40"/>
          <w:highlight w:val="none"/>
        </w:rPr>
      </w:pPr>
    </w:p>
    <w:p>
      <w:pPr>
        <w:pStyle w:val="15"/>
        <w:jc w:val="center"/>
        <w:outlineLvl w:val="1"/>
        <w:rPr>
          <w:rFonts w:ascii="黑体" w:hAnsi="黑体" w:eastAsia="黑体"/>
          <w:color w:val="auto"/>
          <w:sz w:val="40"/>
          <w:szCs w:val="40"/>
          <w:highlight w:val="none"/>
        </w:rPr>
      </w:pPr>
      <w:r>
        <w:rPr>
          <w:rFonts w:hint="eastAsia" w:ascii="黑体" w:hAnsi="黑体" w:eastAsia="黑体"/>
          <w:color w:val="auto"/>
          <w:sz w:val="40"/>
          <w:szCs w:val="40"/>
          <w:highlight w:val="none"/>
          <w:lang w:eastAsia="zh-CN"/>
        </w:rPr>
        <w:t>评审</w:t>
      </w:r>
      <w:r>
        <w:rPr>
          <w:rFonts w:hint="eastAsia" w:ascii="黑体" w:hAnsi="黑体" w:eastAsia="黑体"/>
          <w:color w:val="auto"/>
          <w:sz w:val="40"/>
          <w:szCs w:val="40"/>
          <w:highlight w:val="none"/>
        </w:rPr>
        <w:t>信息</w:t>
      </w:r>
    </w:p>
    <w:p>
      <w:pPr>
        <w:adjustRightInd w:val="0"/>
        <w:snapToGrid w:val="0"/>
        <w:spacing w:line="276" w:lineRule="auto"/>
        <w:rPr>
          <w:b/>
        </w:rPr>
      </w:pPr>
      <w:r>
        <w:rPr>
          <w:rFonts w:hint="eastAsia"/>
          <w:b/>
        </w:rPr>
        <w:t>一</w:t>
      </w:r>
      <w:r>
        <w:rPr>
          <w:b/>
        </w:rPr>
        <w:t>、</w:t>
      </w:r>
      <w:r>
        <w:rPr>
          <w:rFonts w:hint="eastAsia"/>
          <w:b/>
          <w:lang w:eastAsia="zh-CN"/>
        </w:rPr>
        <w:t>评审</w:t>
      </w:r>
      <w:r>
        <w:rPr>
          <w:b/>
        </w:rPr>
        <w:t xml:space="preserve">方法： 综合评分法 </w:t>
      </w:r>
    </w:p>
    <w:p>
      <w:pPr>
        <w:adjustRightInd w:val="0"/>
        <w:snapToGrid w:val="0"/>
        <w:spacing w:line="360" w:lineRule="auto"/>
        <w:ind w:firstLine="420" w:firstLineChars="200"/>
        <w:jc w:val="left"/>
      </w:pPr>
      <w:r>
        <w:rPr>
          <w:rFonts w:hint="eastAsia"/>
        </w:rPr>
        <w:t>综合评分法，是指投标文件满足</w:t>
      </w:r>
      <w:r>
        <w:rPr>
          <w:rFonts w:hint="eastAsia"/>
          <w:lang w:eastAsia="zh-CN"/>
        </w:rPr>
        <w:t>采购文件</w:t>
      </w:r>
      <w:r>
        <w:rPr>
          <w:rFonts w:hint="eastAsia"/>
        </w:rPr>
        <w:t>全部实质性要求，且按照评审因素的量化指标评审得分最高的投标人为中标候选人的</w:t>
      </w:r>
      <w:r>
        <w:rPr>
          <w:rFonts w:hint="eastAsia"/>
          <w:lang w:eastAsia="zh-CN"/>
        </w:rPr>
        <w:t>评审</w:t>
      </w:r>
      <w:r>
        <w:rPr>
          <w:rFonts w:hint="eastAsia"/>
        </w:rPr>
        <w:t>方法。</w:t>
      </w:r>
    </w:p>
    <w:p>
      <w:pPr>
        <w:adjustRightInd w:val="0"/>
        <w:snapToGrid w:val="0"/>
        <w:spacing w:line="360" w:lineRule="auto"/>
        <w:ind w:firstLine="420" w:firstLineChars="200"/>
        <w:jc w:val="left"/>
      </w:pPr>
      <w:r>
        <w:rPr>
          <w:rFonts w:hint="eastAsia"/>
        </w:rPr>
        <w:t>评分方式：</w:t>
      </w:r>
      <w:r>
        <w:rPr>
          <w:rFonts w:hint="eastAsia"/>
          <w:lang w:eastAsia="zh-CN"/>
        </w:rPr>
        <w:t>采购评审小组成员</w:t>
      </w:r>
      <w:r>
        <w:rPr>
          <w:rFonts w:hint="eastAsia"/>
        </w:rPr>
        <w:t>打分。</w:t>
      </w:r>
    </w:p>
    <w:p>
      <w:pPr>
        <w:adjustRightInd w:val="0"/>
        <w:snapToGrid w:val="0"/>
        <w:spacing w:line="360" w:lineRule="auto"/>
        <w:ind w:firstLine="420" w:firstLineChars="200"/>
        <w:jc w:val="left"/>
      </w:pPr>
      <w:r>
        <w:rPr>
          <w:rFonts w:hint="eastAsia"/>
          <w:lang w:eastAsia="zh-CN"/>
        </w:rPr>
        <w:t>评审</w:t>
      </w:r>
      <w:r>
        <w:t>总得分＝F1×A1＋F2×A2＋……＋Fn×An</w:t>
      </w:r>
    </w:p>
    <w:p>
      <w:pPr>
        <w:adjustRightInd w:val="0"/>
        <w:snapToGrid w:val="0"/>
        <w:spacing w:line="360" w:lineRule="auto"/>
        <w:jc w:val="left"/>
      </w:pPr>
      <w:r>
        <w:rPr>
          <w:rFonts w:hint="eastAsia"/>
          <w:lang w:val="en-US" w:eastAsia="zh-CN"/>
        </w:rPr>
        <w:t xml:space="preserve">    </w:t>
      </w:r>
      <w:r>
        <w:t>F1、F2……Fn分别为各项评审因素的得分；</w:t>
      </w:r>
    </w:p>
    <w:p>
      <w:pPr>
        <w:adjustRightInd w:val="0"/>
        <w:snapToGrid w:val="0"/>
        <w:spacing w:line="360" w:lineRule="auto"/>
        <w:ind w:firstLine="420"/>
        <w:jc w:val="left"/>
      </w:pPr>
      <w:r>
        <w:t>A1、A2、……An 分别为各项评审因素所占的权重(</w:t>
      </w:r>
      <w:r>
        <w:rPr>
          <w:rFonts w:hint="eastAsia"/>
        </w:rPr>
        <w:t>权重为</w:t>
      </w:r>
      <w:r>
        <w:t>百分比，A1＋A2＋……＋An＝100%)。</w:t>
      </w:r>
    </w:p>
    <w:p>
      <w:pPr>
        <w:adjustRightInd w:val="0"/>
        <w:snapToGrid w:val="0"/>
        <w:spacing w:line="360" w:lineRule="auto"/>
        <w:ind w:firstLine="420"/>
        <w:jc w:val="left"/>
      </w:pPr>
      <w:r>
        <w:t>评</w:t>
      </w:r>
      <w:r>
        <w:rPr>
          <w:rFonts w:hint="eastAsia"/>
        </w:rPr>
        <w:t>审</w:t>
      </w:r>
      <w:r>
        <w:t>因素的得分是所有</w:t>
      </w:r>
      <w:r>
        <w:rPr>
          <w:rFonts w:hint="eastAsia"/>
          <w:lang w:eastAsia="zh-CN"/>
        </w:rPr>
        <w:t>小组成员</w:t>
      </w:r>
      <w:r>
        <w:t>打分的算数平均值（不得扣除最高分和最低分）。</w:t>
      </w:r>
    </w:p>
    <w:tbl>
      <w:tblPr>
        <w:tblStyle w:val="16"/>
        <w:tblW w:w="8541"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503"/>
        <w:gridCol w:w="1134"/>
        <w:gridCol w:w="6"/>
        <w:gridCol w:w="1688"/>
        <w:gridCol w:w="1178"/>
        <w:gridCol w:w="403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948" w:hRule="atLeast"/>
          <w:jc w:val="center"/>
        </w:trPr>
        <w:tc>
          <w:tcPr>
            <w:tcW w:w="503"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序号</w:t>
            </w:r>
          </w:p>
        </w:tc>
        <w:tc>
          <w:tcPr>
            <w:tcW w:w="4006" w:type="dxa"/>
            <w:gridSpan w:val="4"/>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评分项</w:t>
            </w:r>
          </w:p>
        </w:tc>
        <w:tc>
          <w:tcPr>
            <w:tcW w:w="403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权重（%）</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16" w:hRule="atLeast"/>
          <w:jc w:val="center"/>
        </w:trPr>
        <w:tc>
          <w:tcPr>
            <w:tcW w:w="503"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1</w:t>
            </w:r>
          </w:p>
        </w:tc>
        <w:tc>
          <w:tcPr>
            <w:tcW w:w="4006" w:type="dxa"/>
            <w:gridSpan w:val="4"/>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价格</w:t>
            </w:r>
          </w:p>
        </w:tc>
        <w:tc>
          <w:tcPr>
            <w:tcW w:w="403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40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36" w:hRule="atLeast"/>
          <w:jc w:val="center"/>
        </w:trPr>
        <w:tc>
          <w:tcPr>
            <w:tcW w:w="503" w:type="dxa"/>
            <w:vMerge w:val="restart"/>
            <w:tcBorders>
              <w:top w:val="single" w:color="auto" w:sz="8" w:space="0"/>
              <w:left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p>
        </w:tc>
        <w:tc>
          <w:tcPr>
            <w:tcW w:w="1134"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序号</w:t>
            </w:r>
          </w:p>
        </w:tc>
        <w:tc>
          <w:tcPr>
            <w:tcW w:w="1694" w:type="dxa"/>
            <w:gridSpan w:val="2"/>
            <w:tcBorders>
              <w:top w:val="single" w:color="auto" w:sz="8" w:space="0"/>
              <w:left w:val="nil"/>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评审因素</w:t>
            </w:r>
          </w:p>
        </w:tc>
        <w:tc>
          <w:tcPr>
            <w:tcW w:w="1178" w:type="dxa"/>
            <w:tcBorders>
              <w:top w:val="single" w:color="auto" w:sz="8" w:space="0"/>
              <w:left w:val="nil"/>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权重（%）</w:t>
            </w:r>
          </w:p>
        </w:tc>
        <w:tc>
          <w:tcPr>
            <w:tcW w:w="403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评分准则</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503" w:type="dxa"/>
            <w:vMerge w:val="continue"/>
            <w:tcBorders>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p>
        </w:tc>
        <w:tc>
          <w:tcPr>
            <w:tcW w:w="1134"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1</w:t>
            </w:r>
          </w:p>
        </w:tc>
        <w:tc>
          <w:tcPr>
            <w:tcW w:w="1694" w:type="dxa"/>
            <w:gridSpan w:val="2"/>
            <w:tcBorders>
              <w:top w:val="single" w:color="auto" w:sz="8" w:space="0"/>
              <w:left w:val="nil"/>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价格</w:t>
            </w:r>
          </w:p>
        </w:tc>
        <w:tc>
          <w:tcPr>
            <w:tcW w:w="1178" w:type="dxa"/>
            <w:tcBorders>
              <w:top w:val="single" w:color="auto" w:sz="8" w:space="0"/>
              <w:left w:val="nil"/>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40</w:t>
            </w:r>
          </w:p>
        </w:tc>
        <w:tc>
          <w:tcPr>
            <w:tcW w:w="403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szCs w:val="21"/>
              </w:rPr>
            </w:pPr>
            <w:r>
              <w:rPr>
                <w:color w:val="000000"/>
                <w:szCs w:val="21"/>
              </w:rPr>
              <w:t>采用低价优先法计算，即满足</w:t>
            </w:r>
            <w:r>
              <w:rPr>
                <w:rFonts w:hint="eastAsia"/>
                <w:color w:val="000000"/>
                <w:szCs w:val="21"/>
                <w:lang w:eastAsia="zh-CN"/>
              </w:rPr>
              <w:t>采购文件</w:t>
            </w:r>
            <w:r>
              <w:rPr>
                <w:color w:val="000000"/>
                <w:szCs w:val="21"/>
              </w:rPr>
              <w:t>要求且投标价格最低的投标报价为</w:t>
            </w:r>
            <w:r>
              <w:rPr>
                <w:rFonts w:hint="eastAsia"/>
                <w:color w:val="000000"/>
                <w:szCs w:val="21"/>
                <w:lang w:eastAsia="zh-CN"/>
              </w:rPr>
              <w:t>评审</w:t>
            </w:r>
            <w:r>
              <w:rPr>
                <w:color w:val="000000"/>
                <w:szCs w:val="21"/>
              </w:rPr>
              <w:t>基准价，其价格分为满分。其他投标人的价格分统一按照下列公式计算：</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Style w:val="19"/>
                <w:color w:val="000000"/>
                <w:kern w:val="0"/>
              </w:rPr>
            </w:pPr>
            <w:r>
              <w:rPr>
                <w:color w:val="000000"/>
                <w:szCs w:val="21"/>
              </w:rPr>
              <w:t>投标报价得分=(</w:t>
            </w:r>
            <w:r>
              <w:rPr>
                <w:rFonts w:hint="eastAsia"/>
                <w:color w:val="000000"/>
                <w:szCs w:val="21"/>
                <w:lang w:eastAsia="zh-CN"/>
              </w:rPr>
              <w:t>评审</w:t>
            </w:r>
            <w:r>
              <w:rPr>
                <w:color w:val="000000"/>
                <w:szCs w:val="21"/>
              </w:rPr>
              <w:t>基准价／投标报价)×100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503"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2</w:t>
            </w:r>
          </w:p>
        </w:tc>
        <w:tc>
          <w:tcPr>
            <w:tcW w:w="4006" w:type="dxa"/>
            <w:gridSpan w:val="4"/>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技术部分</w:t>
            </w:r>
          </w:p>
        </w:tc>
        <w:tc>
          <w:tcPr>
            <w:tcW w:w="403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rFonts w:hint="eastAsia"/>
                <w:color w:val="000000"/>
                <w:kern w:val="0"/>
                <w:szCs w:val="21"/>
              </w:rPr>
              <w:t>38</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503" w:type="dxa"/>
            <w:vMerge w:val="restart"/>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p>
        </w:tc>
        <w:tc>
          <w:tcPr>
            <w:tcW w:w="1140"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序号</w:t>
            </w:r>
          </w:p>
        </w:tc>
        <w:tc>
          <w:tcPr>
            <w:tcW w:w="168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评审因素</w:t>
            </w:r>
          </w:p>
        </w:tc>
        <w:tc>
          <w:tcPr>
            <w:tcW w:w="117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权重（%）</w:t>
            </w:r>
          </w:p>
        </w:tc>
        <w:tc>
          <w:tcPr>
            <w:tcW w:w="4032"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评分准则</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503" w:type="dxa"/>
            <w:vMerge w:val="continue"/>
            <w:tcBorders>
              <w:top w:val="nil"/>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p>
        </w:tc>
        <w:tc>
          <w:tcPr>
            <w:tcW w:w="1140"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1</w:t>
            </w:r>
          </w:p>
        </w:tc>
        <w:tc>
          <w:tcPr>
            <w:tcW w:w="168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项目总体概述及理解</w:t>
            </w:r>
          </w:p>
        </w:tc>
        <w:tc>
          <w:tcPr>
            <w:tcW w:w="117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rFonts w:hint="eastAsia"/>
                <w:color w:val="000000"/>
                <w:szCs w:val="21"/>
              </w:rPr>
              <w:t>3</w:t>
            </w:r>
          </w:p>
        </w:tc>
        <w:tc>
          <w:tcPr>
            <w:tcW w:w="4032"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（一）评分内容：</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对投标人提供的项目总体概述及理解进行评价，包括但不限于以下内容：</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（1）本项目总体工程内容的概述及理解；</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（2）技术方案的优化选择；</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（3）施工现场管理保障措施。</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（二）评分标准：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内容满足以上三项要求的，得60分；内容满足以上任意两项要求的，得40分；内容满足以上任意一项要求的，得20分；未满足不得分。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在此基础上，</w:t>
            </w:r>
            <w:r>
              <w:rPr>
                <w:rFonts w:hint="eastAsia"/>
                <w:color w:val="000000"/>
                <w:kern w:val="0"/>
                <w:szCs w:val="21"/>
                <w:lang w:eastAsia="zh-CN"/>
              </w:rPr>
              <w:t>采购评审小组</w:t>
            </w:r>
            <w:r>
              <w:rPr>
                <w:rFonts w:hint="eastAsia"/>
                <w:color w:val="000000"/>
                <w:kern w:val="0"/>
                <w:szCs w:val="21"/>
              </w:rPr>
              <w:t>根据各投标人的具体响应情况按照以下评审标准进一步评审：</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（1）投标文件响应内容详实具体；</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（2）投标文件响应内容贴合实际情况；</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（3）投标文件响应内容针对性强；</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（4）投标文件响应内容科学合理；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（5）投标文件响应内容可操作性强，能有效保障本项目实施。</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满足以上五项要求的评价为优</w:t>
            </w:r>
            <w:r>
              <w:rPr>
                <w:rFonts w:hint="eastAsia"/>
                <w:color w:val="000000"/>
                <w:kern w:val="0"/>
                <w:szCs w:val="21"/>
                <w:lang w:eastAsia="zh-CN"/>
              </w:rPr>
              <w:t>，</w:t>
            </w:r>
            <w:r>
              <w:rPr>
                <w:rFonts w:hint="eastAsia"/>
                <w:color w:val="000000"/>
                <w:kern w:val="0"/>
                <w:szCs w:val="21"/>
              </w:rPr>
              <w:t>加40分；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满足以上四项要求的评价为良</w:t>
            </w:r>
            <w:r>
              <w:rPr>
                <w:rFonts w:hint="eastAsia"/>
                <w:color w:val="000000"/>
                <w:kern w:val="0"/>
                <w:szCs w:val="21"/>
                <w:lang w:eastAsia="zh-CN"/>
              </w:rPr>
              <w:t>，</w:t>
            </w:r>
            <w:r>
              <w:rPr>
                <w:rFonts w:hint="eastAsia"/>
                <w:color w:val="000000"/>
                <w:kern w:val="0"/>
                <w:szCs w:val="21"/>
              </w:rPr>
              <w:t>加20分；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满足以上三项要求的评价为中</w:t>
            </w:r>
            <w:r>
              <w:rPr>
                <w:rFonts w:hint="eastAsia"/>
                <w:color w:val="000000"/>
                <w:kern w:val="0"/>
                <w:szCs w:val="21"/>
                <w:lang w:eastAsia="zh-CN"/>
              </w:rPr>
              <w:t>，</w:t>
            </w:r>
            <w:r>
              <w:rPr>
                <w:rFonts w:hint="eastAsia"/>
                <w:color w:val="000000"/>
                <w:kern w:val="0"/>
                <w:szCs w:val="21"/>
              </w:rPr>
              <w:t>加10分；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其他情况评价为差</w:t>
            </w:r>
            <w:r>
              <w:rPr>
                <w:rFonts w:hint="eastAsia"/>
                <w:color w:val="000000"/>
                <w:kern w:val="0"/>
                <w:szCs w:val="21"/>
                <w:lang w:eastAsia="zh-CN"/>
              </w:rPr>
              <w:t>，</w:t>
            </w:r>
            <w:r>
              <w:rPr>
                <w:rFonts w:hint="eastAsia"/>
                <w:color w:val="000000"/>
                <w:kern w:val="0"/>
                <w:szCs w:val="21"/>
              </w:rPr>
              <w:t>不加分。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503" w:type="dxa"/>
            <w:vMerge w:val="continue"/>
            <w:tcBorders>
              <w:top w:val="nil"/>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p>
        </w:tc>
        <w:tc>
          <w:tcPr>
            <w:tcW w:w="1140"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2</w:t>
            </w:r>
          </w:p>
        </w:tc>
        <w:tc>
          <w:tcPr>
            <w:tcW w:w="168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施工组织计划、施工技术、施工工艺及</w:t>
            </w:r>
            <w:r>
              <w:rPr>
                <w:rFonts w:hint="eastAsia"/>
                <w:color w:val="000000"/>
                <w:kern w:val="0"/>
                <w:szCs w:val="21"/>
              </w:rPr>
              <w:t>对施工材料的理解</w:t>
            </w:r>
          </w:p>
        </w:tc>
        <w:tc>
          <w:tcPr>
            <w:tcW w:w="117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rFonts w:hint="eastAsia"/>
                <w:color w:val="000000"/>
                <w:szCs w:val="21"/>
              </w:rPr>
              <w:t>10</w:t>
            </w:r>
          </w:p>
        </w:tc>
        <w:tc>
          <w:tcPr>
            <w:tcW w:w="4032"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（一）评分内容：</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对投标人提供的施工组织计划、施工技术、施工工艺及相关的合理化建议进行评价，包括但不限于以下内容：</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（1）施工组织计划；</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（2）施工技术；</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（3）施工工艺；</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（4）对施工材料的理解。</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（二）评分标准：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内容满足以上四项要求的，得60分；内容满足以上任意三项要求的，得45分；内容满足以上任意两项要求的，得30分；内容满足以上任意一项要求的，得15分；未满足不得分。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在此基础上，</w:t>
            </w:r>
            <w:r>
              <w:rPr>
                <w:rFonts w:hint="eastAsia"/>
                <w:color w:val="000000"/>
                <w:kern w:val="0"/>
                <w:szCs w:val="21"/>
                <w:lang w:eastAsia="zh-CN"/>
              </w:rPr>
              <w:t>采购评审小组</w:t>
            </w:r>
            <w:r>
              <w:rPr>
                <w:rFonts w:hint="eastAsia"/>
                <w:color w:val="000000"/>
                <w:kern w:val="0"/>
                <w:szCs w:val="21"/>
              </w:rPr>
              <w:t>根据各投标人的具体响应情况按照以下评审标准进一步评审：</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（1）施工组织计划完整、合理，有具体、详细的时间节点和步骤；</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（2）施工技术、施工工艺以及对施工材料的理解与本工程实施内容完全相符；</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（3）有具体、详细的人员安排及明确的分工；</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（4）施工技术可操作性强，能有效保障本项目实施。</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满足以上四项要求的评价为优</w:t>
            </w:r>
            <w:r>
              <w:rPr>
                <w:rFonts w:hint="eastAsia"/>
                <w:color w:val="000000"/>
                <w:kern w:val="0"/>
                <w:szCs w:val="21"/>
                <w:lang w:eastAsia="zh-CN"/>
              </w:rPr>
              <w:t>，</w:t>
            </w:r>
            <w:r>
              <w:rPr>
                <w:rFonts w:hint="eastAsia"/>
                <w:color w:val="000000"/>
                <w:kern w:val="0"/>
                <w:szCs w:val="21"/>
              </w:rPr>
              <w:t>加40分；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满足以上三项要求的评价为良</w:t>
            </w:r>
            <w:r>
              <w:rPr>
                <w:rFonts w:hint="eastAsia"/>
                <w:color w:val="000000"/>
                <w:kern w:val="0"/>
                <w:szCs w:val="21"/>
                <w:lang w:eastAsia="zh-CN"/>
              </w:rPr>
              <w:t>，</w:t>
            </w:r>
            <w:r>
              <w:rPr>
                <w:rFonts w:hint="eastAsia"/>
                <w:color w:val="000000"/>
                <w:kern w:val="0"/>
                <w:szCs w:val="21"/>
              </w:rPr>
              <w:t>加20分；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满足以上两项要求的评价为中</w:t>
            </w:r>
            <w:r>
              <w:rPr>
                <w:rFonts w:hint="eastAsia"/>
                <w:color w:val="000000"/>
                <w:kern w:val="0"/>
                <w:szCs w:val="21"/>
                <w:lang w:eastAsia="zh-CN"/>
              </w:rPr>
              <w:t>，</w:t>
            </w:r>
            <w:r>
              <w:rPr>
                <w:rFonts w:hint="eastAsia"/>
                <w:color w:val="000000"/>
                <w:kern w:val="0"/>
                <w:szCs w:val="21"/>
              </w:rPr>
              <w:t>加10分；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其他情况评价为差</w:t>
            </w:r>
            <w:r>
              <w:rPr>
                <w:rFonts w:hint="eastAsia"/>
                <w:color w:val="000000"/>
                <w:kern w:val="0"/>
                <w:szCs w:val="21"/>
                <w:lang w:eastAsia="zh-CN"/>
              </w:rPr>
              <w:t>，</w:t>
            </w:r>
            <w:r>
              <w:rPr>
                <w:rFonts w:hint="eastAsia"/>
                <w:color w:val="000000"/>
                <w:kern w:val="0"/>
                <w:szCs w:val="21"/>
              </w:rPr>
              <w:t>不加分。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503" w:type="dxa"/>
            <w:vMerge w:val="continue"/>
            <w:tcBorders>
              <w:top w:val="nil"/>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p>
        </w:tc>
        <w:tc>
          <w:tcPr>
            <w:tcW w:w="1140"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3</w:t>
            </w:r>
          </w:p>
        </w:tc>
        <w:tc>
          <w:tcPr>
            <w:tcW w:w="168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项目实施关键施工技术（重点难点）分析及解决方案</w:t>
            </w:r>
          </w:p>
        </w:tc>
        <w:tc>
          <w:tcPr>
            <w:tcW w:w="117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rFonts w:hint="eastAsia"/>
                <w:color w:val="000000"/>
                <w:szCs w:val="21"/>
              </w:rPr>
              <w:t>8</w:t>
            </w:r>
          </w:p>
        </w:tc>
        <w:tc>
          <w:tcPr>
            <w:tcW w:w="4032"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（一）评分内容：</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对投标人的项目实施关键施工技术（重点难点）分析及解决方案进行评价，包括但不限于以下内容：</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（1）整体施工方案；</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（2）</w:t>
            </w:r>
            <w:r>
              <w:rPr>
                <w:rFonts w:hint="eastAsia"/>
                <w:color w:val="000000"/>
                <w:kern w:val="0"/>
                <w:szCs w:val="21"/>
                <w:highlight w:val="yellow"/>
                <w:lang w:eastAsia="zh-CN"/>
              </w:rPr>
              <w:t>人行道拆除铺设</w:t>
            </w:r>
            <w:r>
              <w:rPr>
                <w:rFonts w:hint="eastAsia"/>
                <w:color w:val="000000"/>
                <w:kern w:val="0"/>
                <w:szCs w:val="21"/>
              </w:rPr>
              <w:t>的重点难点分析及解决方案；</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w:t>
            </w:r>
            <w:r>
              <w:rPr>
                <w:rFonts w:hint="eastAsia"/>
                <w:color w:val="000000"/>
                <w:kern w:val="0"/>
                <w:szCs w:val="21"/>
                <w:lang w:val="en-US" w:eastAsia="zh-CN"/>
              </w:rPr>
              <w:t>3</w:t>
            </w:r>
            <w:r>
              <w:rPr>
                <w:rFonts w:hint="eastAsia"/>
                <w:color w:val="000000"/>
                <w:kern w:val="0"/>
                <w:szCs w:val="21"/>
              </w:rPr>
              <w:t>）针对工期要求作出重点难点分析及解决方案（含施工进度计划横道图）。</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highlight w:val="none"/>
              </w:rPr>
            </w:pPr>
            <w:r>
              <w:rPr>
                <w:rFonts w:hint="eastAsia"/>
                <w:color w:val="000000"/>
                <w:kern w:val="0"/>
                <w:szCs w:val="21"/>
                <w:highlight w:val="none"/>
              </w:rPr>
              <w:t>（二）评分标准：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highlight w:val="none"/>
              </w:rPr>
            </w:pPr>
            <w:r>
              <w:rPr>
                <w:rFonts w:hint="eastAsia"/>
                <w:color w:val="000000"/>
                <w:kern w:val="0"/>
                <w:szCs w:val="21"/>
                <w:highlight w:val="none"/>
              </w:rPr>
              <w:t>内容满足以上</w:t>
            </w:r>
            <w:r>
              <w:rPr>
                <w:rFonts w:hint="eastAsia"/>
                <w:color w:val="000000"/>
                <w:kern w:val="0"/>
                <w:szCs w:val="21"/>
                <w:highlight w:val="none"/>
                <w:lang w:eastAsia="zh-CN"/>
              </w:rPr>
              <w:t>三</w:t>
            </w:r>
            <w:r>
              <w:rPr>
                <w:rFonts w:hint="eastAsia"/>
                <w:color w:val="000000"/>
                <w:kern w:val="0"/>
                <w:szCs w:val="21"/>
                <w:highlight w:val="none"/>
              </w:rPr>
              <w:t>项要求的，得60分；内容满足以上任意</w:t>
            </w:r>
            <w:r>
              <w:rPr>
                <w:rFonts w:hint="eastAsia"/>
                <w:color w:val="000000"/>
                <w:kern w:val="0"/>
                <w:szCs w:val="21"/>
                <w:highlight w:val="none"/>
                <w:lang w:eastAsia="zh-CN"/>
              </w:rPr>
              <w:t>两</w:t>
            </w:r>
            <w:r>
              <w:rPr>
                <w:rFonts w:hint="eastAsia"/>
                <w:color w:val="000000"/>
                <w:kern w:val="0"/>
                <w:szCs w:val="21"/>
                <w:highlight w:val="none"/>
              </w:rPr>
              <w:t>项要求的，得</w:t>
            </w:r>
            <w:r>
              <w:rPr>
                <w:rFonts w:hint="eastAsia"/>
                <w:color w:val="000000"/>
                <w:kern w:val="0"/>
                <w:szCs w:val="21"/>
                <w:highlight w:val="none"/>
                <w:lang w:val="en-US" w:eastAsia="zh-CN"/>
              </w:rPr>
              <w:t>30</w:t>
            </w:r>
            <w:r>
              <w:rPr>
                <w:rFonts w:hint="eastAsia"/>
                <w:color w:val="000000"/>
                <w:kern w:val="0"/>
                <w:szCs w:val="21"/>
                <w:highlight w:val="none"/>
              </w:rPr>
              <w:t>分；内容满足以上任意一项要求的，得15分；未满足不得分。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highlight w:val="none"/>
              </w:rPr>
            </w:pPr>
            <w:r>
              <w:rPr>
                <w:rFonts w:hint="eastAsia"/>
                <w:color w:val="000000"/>
                <w:kern w:val="0"/>
                <w:szCs w:val="21"/>
                <w:highlight w:val="none"/>
              </w:rPr>
              <w:t>在此基础上，</w:t>
            </w:r>
            <w:r>
              <w:rPr>
                <w:rFonts w:hint="eastAsia"/>
                <w:color w:val="000000"/>
                <w:kern w:val="0"/>
                <w:szCs w:val="21"/>
                <w:highlight w:val="none"/>
                <w:lang w:eastAsia="zh-CN"/>
              </w:rPr>
              <w:t>采购评审小组</w:t>
            </w:r>
            <w:r>
              <w:rPr>
                <w:rFonts w:hint="eastAsia"/>
                <w:color w:val="000000"/>
                <w:kern w:val="0"/>
                <w:szCs w:val="21"/>
                <w:highlight w:val="none"/>
              </w:rPr>
              <w:t>根据各投标人的具体响应情况按照以下评审标准进一步评审：</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highlight w:val="none"/>
              </w:rPr>
            </w:pPr>
            <w:r>
              <w:rPr>
                <w:rFonts w:hint="eastAsia"/>
                <w:color w:val="000000"/>
                <w:kern w:val="0"/>
                <w:szCs w:val="21"/>
                <w:highlight w:val="none"/>
              </w:rPr>
              <w:t>（1）项目的重点难点问题把握内容全面；</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highlight w:val="none"/>
              </w:rPr>
            </w:pPr>
            <w:r>
              <w:rPr>
                <w:rFonts w:hint="eastAsia"/>
                <w:color w:val="000000"/>
                <w:kern w:val="0"/>
                <w:szCs w:val="21"/>
                <w:highlight w:val="none"/>
              </w:rPr>
              <w:t>（2）针对项目重点难点提出具体可行的合理化建议，能有效保障本项目重点难点工作实施；</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highlight w:val="none"/>
              </w:rPr>
            </w:pPr>
            <w:r>
              <w:rPr>
                <w:rFonts w:hint="eastAsia"/>
                <w:color w:val="000000"/>
                <w:kern w:val="0"/>
                <w:szCs w:val="21"/>
                <w:highlight w:val="none"/>
              </w:rPr>
              <w:t>（3）提出的方案和指引多角度、有针对性；</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highlight w:val="none"/>
              </w:rPr>
            </w:pPr>
            <w:r>
              <w:rPr>
                <w:rFonts w:hint="eastAsia"/>
                <w:color w:val="000000"/>
                <w:kern w:val="0"/>
                <w:szCs w:val="21"/>
                <w:highlight w:val="none"/>
              </w:rPr>
              <w:t>（4）针对各项工程的工期保障方案科学合理；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highlight w:val="none"/>
              </w:rPr>
            </w:pPr>
            <w:r>
              <w:rPr>
                <w:rFonts w:hint="eastAsia"/>
                <w:color w:val="000000"/>
                <w:kern w:val="0"/>
                <w:szCs w:val="21"/>
                <w:highlight w:val="none"/>
              </w:rPr>
              <w:t>满足以上四项要求的</w:t>
            </w:r>
            <w:r>
              <w:rPr>
                <w:rFonts w:hint="eastAsia"/>
                <w:color w:val="000000"/>
                <w:kern w:val="0"/>
                <w:szCs w:val="21"/>
                <w:highlight w:val="none"/>
                <w:lang w:eastAsia="zh-CN"/>
              </w:rPr>
              <w:t>，</w:t>
            </w:r>
            <w:r>
              <w:rPr>
                <w:rFonts w:hint="eastAsia"/>
                <w:color w:val="000000"/>
                <w:kern w:val="0"/>
                <w:szCs w:val="21"/>
                <w:highlight w:val="none"/>
              </w:rPr>
              <w:t>加40分；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highlight w:val="none"/>
              </w:rPr>
            </w:pPr>
            <w:r>
              <w:rPr>
                <w:rFonts w:hint="eastAsia"/>
                <w:color w:val="000000"/>
                <w:kern w:val="0"/>
                <w:szCs w:val="21"/>
                <w:highlight w:val="none"/>
              </w:rPr>
              <w:t>满足以上三项要求的</w:t>
            </w:r>
            <w:r>
              <w:rPr>
                <w:rFonts w:hint="eastAsia"/>
                <w:color w:val="000000"/>
                <w:kern w:val="0"/>
                <w:szCs w:val="21"/>
                <w:highlight w:val="none"/>
                <w:lang w:eastAsia="zh-CN"/>
              </w:rPr>
              <w:t>，</w:t>
            </w:r>
            <w:r>
              <w:rPr>
                <w:rFonts w:hint="eastAsia"/>
                <w:color w:val="000000"/>
                <w:kern w:val="0"/>
                <w:szCs w:val="21"/>
                <w:highlight w:val="none"/>
              </w:rPr>
              <w:t>加30分；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highlight w:val="none"/>
              </w:rPr>
            </w:pPr>
            <w:r>
              <w:rPr>
                <w:rFonts w:hint="eastAsia"/>
                <w:color w:val="000000"/>
                <w:kern w:val="0"/>
                <w:szCs w:val="21"/>
                <w:highlight w:val="none"/>
              </w:rPr>
              <w:t>满足以上两项要求的</w:t>
            </w:r>
            <w:r>
              <w:rPr>
                <w:rFonts w:hint="eastAsia"/>
                <w:color w:val="000000"/>
                <w:kern w:val="0"/>
                <w:szCs w:val="21"/>
                <w:highlight w:val="none"/>
                <w:lang w:eastAsia="zh-CN"/>
              </w:rPr>
              <w:t>，</w:t>
            </w:r>
            <w:r>
              <w:rPr>
                <w:rFonts w:hint="eastAsia"/>
                <w:color w:val="000000"/>
                <w:kern w:val="0"/>
                <w:szCs w:val="21"/>
                <w:highlight w:val="none"/>
              </w:rPr>
              <w:t>加20分；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highlight w:val="none"/>
              </w:rPr>
              <w:t>其他情况评价为差</w:t>
            </w:r>
            <w:r>
              <w:rPr>
                <w:rFonts w:hint="eastAsia"/>
                <w:color w:val="000000"/>
                <w:kern w:val="0"/>
                <w:szCs w:val="21"/>
                <w:highlight w:val="none"/>
                <w:lang w:eastAsia="zh-CN"/>
              </w:rPr>
              <w:t>，</w:t>
            </w:r>
            <w:r>
              <w:rPr>
                <w:rFonts w:hint="eastAsia"/>
                <w:color w:val="000000"/>
                <w:kern w:val="0"/>
                <w:szCs w:val="21"/>
                <w:highlight w:val="none"/>
              </w:rPr>
              <w:t>不加分。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503" w:type="dxa"/>
            <w:vMerge w:val="continue"/>
            <w:tcBorders>
              <w:top w:val="nil"/>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p>
        </w:tc>
        <w:tc>
          <w:tcPr>
            <w:tcW w:w="1140"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4</w:t>
            </w:r>
          </w:p>
        </w:tc>
        <w:tc>
          <w:tcPr>
            <w:tcW w:w="168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拟采用设备（材料）的性能（节能环保情况）、档次及质量可靠性</w:t>
            </w:r>
          </w:p>
        </w:tc>
        <w:tc>
          <w:tcPr>
            <w:tcW w:w="117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rFonts w:hint="eastAsia"/>
                <w:color w:val="000000"/>
                <w:kern w:val="0"/>
                <w:szCs w:val="21"/>
              </w:rPr>
              <w:t>11</w:t>
            </w:r>
          </w:p>
        </w:tc>
        <w:tc>
          <w:tcPr>
            <w:tcW w:w="4032"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（一）评分内容：</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对投标人的拟采用设备（材料）的性能（节能环保情况）、档次及质量可靠性进行评价，包括但不限于以下内容：</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（1）拟采用设备、材料的工艺、性能、制造水平说明；</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（2）拟采用设备、材料的节能环保情况说明；</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（3）拟采用设备、材料的质量可靠性说明。</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（二）评分标准：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内容满足以上三项要求的，得60分；内容满足以上任意两项要求的，得40分；内容满足以上任意一项要求的，得20分；未满足不得分。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在此基础上，</w:t>
            </w:r>
            <w:r>
              <w:rPr>
                <w:rFonts w:hint="eastAsia"/>
                <w:color w:val="000000"/>
                <w:kern w:val="0"/>
                <w:szCs w:val="21"/>
                <w:lang w:eastAsia="zh-CN"/>
              </w:rPr>
              <w:t>采购评审小组</w:t>
            </w:r>
            <w:r>
              <w:rPr>
                <w:rFonts w:hint="eastAsia"/>
                <w:color w:val="000000"/>
                <w:kern w:val="0"/>
                <w:szCs w:val="21"/>
              </w:rPr>
              <w:t>根据各投标人的具体响应情况按照以下评审标准进一步评审：</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（1）对本工程的质量目标、项目特点，从拟采用设备（材料）的性能（节能环保情况）、档次及质量可靠性提出完善的质量保证措施，有效保障本项目实施；</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(2)针对项目具体情况有全面分析、细致响应，有利于实现服务效果；</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满足以上两项要求的，加40分；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满足以上任意一项要求的，加20分；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未满足不得分。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503" w:type="dxa"/>
            <w:vMerge w:val="continue"/>
            <w:tcBorders>
              <w:top w:val="nil"/>
              <w:left w:val="single" w:color="auto" w:sz="8" w:space="0"/>
              <w:bottom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p>
        </w:tc>
        <w:tc>
          <w:tcPr>
            <w:tcW w:w="1140"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5</w:t>
            </w:r>
          </w:p>
        </w:tc>
        <w:tc>
          <w:tcPr>
            <w:tcW w:w="168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施工质量（安全、环保、工期）保障措施及相关的</w:t>
            </w:r>
            <w:r>
              <w:rPr>
                <w:rFonts w:hint="eastAsia"/>
                <w:color w:val="000000"/>
                <w:kern w:val="0"/>
                <w:szCs w:val="21"/>
              </w:rPr>
              <w:t>履</w:t>
            </w:r>
            <w:r>
              <w:rPr>
                <w:color w:val="000000"/>
                <w:kern w:val="0"/>
                <w:szCs w:val="21"/>
              </w:rPr>
              <w:t>约承诺</w:t>
            </w:r>
          </w:p>
        </w:tc>
        <w:tc>
          <w:tcPr>
            <w:tcW w:w="117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szCs w:val="21"/>
              </w:rPr>
              <w:t>6</w:t>
            </w:r>
          </w:p>
        </w:tc>
        <w:tc>
          <w:tcPr>
            <w:tcW w:w="4032"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（一）评分内容：</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对投标人的施工质量（安全、环保、工期）保障措施进行评价，包括但不限于以下内容：</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（1）施工安全保障措施；</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（2）施工环保保障措施；</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（3）施工工期保障措施。</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（二）评分标准：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内容满足以上三项要求的，得60分；内容满足以上任意两项要求的，得40分；内容满足以上任意一项要求的，得20分；未满足不得分。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在此基础上，</w:t>
            </w:r>
            <w:r>
              <w:rPr>
                <w:rFonts w:hint="eastAsia"/>
                <w:color w:val="000000"/>
                <w:kern w:val="0"/>
                <w:szCs w:val="21"/>
                <w:lang w:eastAsia="zh-CN"/>
              </w:rPr>
              <w:t>采购评审小组</w:t>
            </w:r>
            <w:r>
              <w:rPr>
                <w:rFonts w:hint="eastAsia"/>
                <w:color w:val="000000"/>
                <w:kern w:val="0"/>
                <w:szCs w:val="21"/>
              </w:rPr>
              <w:t>根据各投标人的具体响应内容按照量化的评审因素指标进一步评审：</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（1）施工质量障措施内容完善全面；</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（2）施工质量障措施内容具体；</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（3）施工质量障措施内容针对性强；</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（4）施工质量障措施内容科学合理；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（5）施工质量障措施内容可操作性强。</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满足以上五项要求的，加40分；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满足以上四项要求的，加30分；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满足以上三项要求的，加20分；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满足以上两项要求的，加10分；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color w:val="000000"/>
                <w:kern w:val="0"/>
                <w:szCs w:val="21"/>
              </w:rPr>
              <w:t>其他情况评价为差，不加分。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503"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3</w:t>
            </w:r>
          </w:p>
        </w:tc>
        <w:tc>
          <w:tcPr>
            <w:tcW w:w="4006" w:type="dxa"/>
            <w:gridSpan w:val="4"/>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综合实力部分</w:t>
            </w:r>
          </w:p>
        </w:tc>
        <w:tc>
          <w:tcPr>
            <w:tcW w:w="4032"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rFonts w:hint="eastAsia"/>
                <w:color w:val="000000"/>
                <w:szCs w:val="21"/>
              </w:rPr>
              <w:t>17</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503" w:type="dxa"/>
            <w:vMerge w:val="restart"/>
            <w:tcBorders>
              <w:top w:val="single" w:color="auto" w:sz="8" w:space="0"/>
              <w:left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p>
        </w:tc>
        <w:tc>
          <w:tcPr>
            <w:tcW w:w="1140" w:type="dxa"/>
            <w:gridSpan w:val="2"/>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序号</w:t>
            </w:r>
          </w:p>
        </w:tc>
        <w:tc>
          <w:tcPr>
            <w:tcW w:w="168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评分准则</w:t>
            </w:r>
          </w:p>
        </w:tc>
        <w:tc>
          <w:tcPr>
            <w:tcW w:w="117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权重（%）</w:t>
            </w:r>
          </w:p>
        </w:tc>
        <w:tc>
          <w:tcPr>
            <w:tcW w:w="403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评分准则</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503"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p>
        </w:tc>
        <w:tc>
          <w:tcPr>
            <w:tcW w:w="1140" w:type="dxa"/>
            <w:gridSpan w:val="2"/>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1</w:t>
            </w:r>
          </w:p>
        </w:tc>
        <w:tc>
          <w:tcPr>
            <w:tcW w:w="168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投标人通过相关认证情况</w:t>
            </w:r>
          </w:p>
        </w:tc>
        <w:tc>
          <w:tcPr>
            <w:tcW w:w="117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rFonts w:hint="eastAsia"/>
                <w:color w:val="000000"/>
                <w:szCs w:val="21"/>
              </w:rPr>
              <w:t>3</w:t>
            </w:r>
          </w:p>
        </w:tc>
        <w:tc>
          <w:tcPr>
            <w:tcW w:w="403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ascii="宋体" w:hAnsi="宋体" w:cs="宋体"/>
                <w:kern w:val="0"/>
                <w:szCs w:val="21"/>
              </w:rPr>
            </w:pPr>
            <w:r>
              <w:rPr>
                <w:rFonts w:hint="eastAsia" w:ascii="宋体" w:hAnsi="宋体" w:cs="宋体"/>
                <w:kern w:val="0"/>
                <w:szCs w:val="21"/>
              </w:rPr>
              <w:t>（一）评分内容：</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ascii="宋体" w:hAnsi="宋体" w:cs="宋体"/>
                <w:kern w:val="0"/>
                <w:szCs w:val="21"/>
              </w:rPr>
            </w:pPr>
            <w:r>
              <w:rPr>
                <w:rFonts w:hint="eastAsia" w:ascii="宋体" w:hAnsi="宋体" w:cs="宋体"/>
                <w:kern w:val="0"/>
                <w:szCs w:val="21"/>
              </w:rPr>
              <w:t>（1）投标人具有质量管理体系认证证书，得35分；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ascii="宋体" w:hAnsi="宋体" w:cs="宋体"/>
                <w:kern w:val="0"/>
                <w:szCs w:val="21"/>
              </w:rPr>
            </w:pPr>
            <w:r>
              <w:rPr>
                <w:rFonts w:hint="eastAsia" w:ascii="宋体" w:hAnsi="宋体" w:cs="宋体"/>
                <w:kern w:val="0"/>
                <w:szCs w:val="21"/>
              </w:rPr>
              <w:t>（2）投标人具有职业健康安全管理体系认证证书，得35分；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ascii="宋体" w:hAnsi="宋体" w:cs="宋体"/>
                <w:kern w:val="0"/>
                <w:szCs w:val="21"/>
              </w:rPr>
            </w:pPr>
            <w:r>
              <w:rPr>
                <w:rFonts w:hint="eastAsia" w:ascii="宋体" w:hAnsi="宋体" w:cs="宋体"/>
                <w:kern w:val="0"/>
                <w:szCs w:val="21"/>
              </w:rPr>
              <w:t>（3）投标人具有环境管理体系认证证书，得30分。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ascii="宋体" w:hAnsi="宋体" w:cs="宋体"/>
                <w:kern w:val="0"/>
                <w:szCs w:val="21"/>
              </w:rPr>
            </w:pPr>
            <w:r>
              <w:rPr>
                <w:rFonts w:hint="eastAsia" w:ascii="宋体" w:hAnsi="宋体" w:cs="宋体"/>
                <w:kern w:val="0"/>
                <w:szCs w:val="21"/>
              </w:rPr>
              <w:t>以上证书认证范围需与建筑装修装饰工程相关，各项得分累计，满分100分。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ascii="宋体" w:hAnsi="宋体" w:cs="宋体"/>
                <w:kern w:val="0"/>
                <w:szCs w:val="21"/>
              </w:rPr>
            </w:pPr>
            <w:r>
              <w:rPr>
                <w:rFonts w:hint="eastAsia" w:ascii="宋体" w:hAnsi="宋体" w:cs="宋体"/>
                <w:kern w:val="0"/>
                <w:szCs w:val="21"/>
              </w:rPr>
              <w:t>（二）评分依据：</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ascii="宋体" w:hAnsi="宋体" w:cs="宋体"/>
                <w:kern w:val="0"/>
                <w:szCs w:val="21"/>
              </w:rPr>
            </w:pPr>
            <w:r>
              <w:rPr>
                <w:rFonts w:hint="eastAsia" w:ascii="宋体" w:hAnsi="宋体" w:cs="宋体"/>
                <w:kern w:val="0"/>
                <w:szCs w:val="21"/>
              </w:rPr>
              <w:t>1.要求提供以上有效认证证书复印件加盖公章作为得分依据。</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ascii="宋体" w:hAnsi="宋体" w:cs="宋体"/>
                <w:kern w:val="0"/>
                <w:szCs w:val="21"/>
              </w:rPr>
            </w:pPr>
            <w:r>
              <w:rPr>
                <w:rFonts w:hint="eastAsia" w:ascii="宋体" w:hAnsi="宋体" w:cs="宋体"/>
                <w:kern w:val="0"/>
                <w:szCs w:val="21"/>
              </w:rPr>
              <w:t>2.同时要求提供国家认证认可监督管理委员会网站（http://www.cnca.gov.cn/）的认证信息查询截图（截图需显示证书状态为“有效”），评分中出现无证明资料或</w:t>
            </w:r>
            <w:r>
              <w:rPr>
                <w:rFonts w:hint="eastAsia" w:ascii="宋体" w:hAnsi="宋体" w:cs="宋体"/>
                <w:kern w:val="0"/>
                <w:szCs w:val="21"/>
                <w:lang w:eastAsia="zh-CN"/>
              </w:rPr>
              <w:t>小组成员</w:t>
            </w:r>
            <w:r>
              <w:rPr>
                <w:rFonts w:hint="eastAsia" w:ascii="宋体" w:hAnsi="宋体" w:cs="宋体"/>
                <w:kern w:val="0"/>
                <w:szCs w:val="21"/>
              </w:rPr>
              <w:t>无法凭所提供资料判断是否得分的情况，一律作不得分处理。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hint="eastAsia" w:ascii="宋体" w:hAnsi="宋体" w:cs="宋体"/>
                <w:kern w:val="0"/>
                <w:szCs w:val="21"/>
              </w:rPr>
              <w:t>3.如投标人为新成立企业且成立时间不足三个月，或投标人处于该证书申请阶段尚未过试运行的，提供加盖投标人公章的情况说明视为满足要求，给予对应分值。</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503" w:type="dxa"/>
            <w:vMerge w:val="continue"/>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p>
        </w:tc>
        <w:tc>
          <w:tcPr>
            <w:tcW w:w="1140" w:type="dxa"/>
            <w:gridSpan w:val="2"/>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2</w:t>
            </w:r>
          </w:p>
        </w:tc>
        <w:tc>
          <w:tcPr>
            <w:tcW w:w="168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投标人同类项目业绩情况</w:t>
            </w:r>
          </w:p>
        </w:tc>
        <w:tc>
          <w:tcPr>
            <w:tcW w:w="117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rFonts w:hint="eastAsia" w:eastAsia="宋体"/>
                <w:color w:val="000000"/>
                <w:kern w:val="0"/>
                <w:szCs w:val="21"/>
                <w:lang w:eastAsia="zh-CN"/>
              </w:rPr>
            </w:pPr>
            <w:r>
              <w:rPr>
                <w:rFonts w:hint="eastAsia"/>
                <w:color w:val="000000"/>
                <w:szCs w:val="21"/>
                <w:lang w:val="en-US" w:eastAsia="zh-CN"/>
              </w:rPr>
              <w:t>5</w:t>
            </w:r>
          </w:p>
        </w:tc>
        <w:tc>
          <w:tcPr>
            <w:tcW w:w="403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rFonts w:eastAsia="宋体"/>
                <w:color w:val="000000"/>
                <w:szCs w:val="21"/>
              </w:rPr>
              <w:t>考察投标人近三年（202</w:t>
            </w:r>
            <w:r>
              <w:rPr>
                <w:rFonts w:hint="eastAsia" w:eastAsia="宋体"/>
                <w:color w:val="000000"/>
                <w:szCs w:val="21"/>
              </w:rPr>
              <w:t>3</w:t>
            </w:r>
            <w:r>
              <w:rPr>
                <w:rFonts w:eastAsia="宋体"/>
                <w:color w:val="000000"/>
                <w:szCs w:val="21"/>
              </w:rPr>
              <w:t>年</w:t>
            </w:r>
            <w:r>
              <w:rPr>
                <w:rFonts w:hint="eastAsia" w:eastAsia="宋体"/>
                <w:color w:val="000000"/>
                <w:szCs w:val="21"/>
                <w:lang w:val="en-US" w:eastAsia="zh-CN"/>
              </w:rPr>
              <w:t>1</w:t>
            </w:r>
            <w:r>
              <w:rPr>
                <w:rFonts w:eastAsia="宋体"/>
                <w:color w:val="000000"/>
                <w:szCs w:val="21"/>
              </w:rPr>
              <w:t>月1日至本项目投标截止之日，以项目验收或履约评价时间为准）同类项目[同类项目专指施工内容涉及</w:t>
            </w:r>
            <w:r>
              <w:rPr>
                <w:rFonts w:hint="eastAsia" w:eastAsia="宋体"/>
                <w:color w:val="000000"/>
                <w:szCs w:val="21"/>
                <w:lang w:eastAsia="zh-CN"/>
              </w:rPr>
              <w:t>人行道路</w:t>
            </w:r>
            <w:r>
              <w:rPr>
                <w:rFonts w:hint="eastAsia" w:eastAsia="宋体"/>
                <w:color w:val="000000"/>
                <w:szCs w:val="21"/>
              </w:rPr>
              <w:t>工程</w:t>
            </w:r>
            <w:r>
              <w:rPr>
                <w:rFonts w:eastAsia="宋体"/>
                <w:color w:val="000000"/>
                <w:szCs w:val="21"/>
              </w:rPr>
              <w:t>的项目]业绩情况：有3个的，得100分</w:t>
            </w:r>
            <w:r>
              <w:rPr>
                <w:rFonts w:hint="eastAsia" w:eastAsia="宋体"/>
                <w:color w:val="000000"/>
                <w:szCs w:val="21"/>
              </w:rPr>
              <w:t>；</w:t>
            </w:r>
            <w:r>
              <w:rPr>
                <w:rFonts w:eastAsia="宋体"/>
                <w:color w:val="000000"/>
                <w:szCs w:val="21"/>
              </w:rPr>
              <w:t>2个的，</w:t>
            </w:r>
            <w:r>
              <w:rPr>
                <w:color w:val="000000"/>
                <w:kern w:val="0"/>
                <w:szCs w:val="21"/>
              </w:rPr>
              <w:t>得60分</w:t>
            </w:r>
            <w:r>
              <w:rPr>
                <w:rFonts w:hint="eastAsia"/>
                <w:color w:val="000000"/>
                <w:kern w:val="0"/>
                <w:szCs w:val="21"/>
              </w:rPr>
              <w:t>；</w:t>
            </w:r>
            <w:r>
              <w:rPr>
                <w:color w:val="000000"/>
                <w:kern w:val="0"/>
                <w:szCs w:val="21"/>
              </w:rPr>
              <w:t>1个的，</w:t>
            </w:r>
            <w:r>
              <w:rPr>
                <w:rFonts w:hint="eastAsia"/>
                <w:color w:val="000000"/>
                <w:kern w:val="0"/>
                <w:szCs w:val="21"/>
              </w:rPr>
              <w:t>得</w:t>
            </w:r>
            <w:r>
              <w:rPr>
                <w:color w:val="000000"/>
                <w:kern w:val="0"/>
                <w:szCs w:val="21"/>
              </w:rPr>
              <w:t>30分；没有的不得分。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szCs w:val="21"/>
              </w:rPr>
            </w:pPr>
            <w:r>
              <w:rPr>
                <w:color w:val="000000"/>
                <w:szCs w:val="21"/>
              </w:rPr>
              <w:t>评分依据：</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szCs w:val="21"/>
              </w:rPr>
            </w:pPr>
            <w:r>
              <w:rPr>
                <w:color w:val="000000"/>
                <w:szCs w:val="21"/>
              </w:rPr>
              <w:t>1.要求同时提供合同关键信息</w:t>
            </w:r>
            <w:r>
              <w:rPr>
                <w:rFonts w:hint="eastAsia" w:ascii="宋体" w:hAnsi="宋体" w:cs="宋体"/>
                <w:szCs w:val="21"/>
              </w:rPr>
              <w:t>（合同首页、工程内容规模、甲乙双方盖章）</w:t>
            </w:r>
            <w:r>
              <w:rPr>
                <w:color w:val="000000"/>
                <w:szCs w:val="21"/>
              </w:rPr>
              <w:t>和项目验收合格评价证明文件作为得分依据，项目验收合格评价证明文件需加盖合同甲方公章（或甲方业务章）。</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szCs w:val="21"/>
              </w:rPr>
            </w:pPr>
            <w:r>
              <w:rPr>
                <w:color w:val="000000"/>
                <w:szCs w:val="21"/>
              </w:rPr>
              <w:t>2.通过合同关键信息无法判断是否得分的，还须同时提供能证明得分的其它证明资料，如项目报告或合同甲方出具的证明文件等。</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rPr>
            </w:pPr>
            <w:r>
              <w:rPr>
                <w:color w:val="000000"/>
                <w:szCs w:val="21"/>
              </w:rPr>
              <w:t>3.以上资料均要求提供扫描件，原件备查。评分中出现无证明资料或</w:t>
            </w:r>
            <w:r>
              <w:rPr>
                <w:rFonts w:hint="eastAsia"/>
                <w:color w:val="000000"/>
                <w:szCs w:val="21"/>
                <w:lang w:eastAsia="zh-CN"/>
              </w:rPr>
              <w:t>小组成员</w:t>
            </w:r>
            <w:r>
              <w:rPr>
                <w:color w:val="000000"/>
                <w:szCs w:val="21"/>
              </w:rPr>
              <w:t>无法凭所提供资料判断是否得分的情况，一律作不得分处理。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503" w:type="dxa"/>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p>
        </w:tc>
        <w:tc>
          <w:tcPr>
            <w:tcW w:w="1140" w:type="dxa"/>
            <w:gridSpan w:val="2"/>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rFonts w:hint="eastAsia" w:eastAsia="宋体"/>
                <w:color w:val="000000"/>
                <w:kern w:val="0"/>
                <w:szCs w:val="21"/>
                <w:lang w:val="en-US" w:eastAsia="zh-CN"/>
              </w:rPr>
            </w:pPr>
            <w:r>
              <w:rPr>
                <w:rFonts w:hint="eastAsia"/>
                <w:color w:val="000000"/>
                <w:kern w:val="0"/>
                <w:szCs w:val="21"/>
                <w:lang w:val="en-US" w:eastAsia="zh-CN"/>
              </w:rPr>
              <w:t>3</w:t>
            </w:r>
          </w:p>
        </w:tc>
        <w:tc>
          <w:tcPr>
            <w:tcW w:w="168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szCs w:val="21"/>
              </w:rPr>
            </w:pPr>
            <w:r>
              <w:rPr>
                <w:rFonts w:hint="eastAsia"/>
                <w:color w:val="000000"/>
                <w:szCs w:val="21"/>
              </w:rPr>
              <w:t>拟安排的项目经理情况（仅限一人）</w:t>
            </w:r>
          </w:p>
        </w:tc>
        <w:tc>
          <w:tcPr>
            <w:tcW w:w="117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szCs w:val="21"/>
              </w:rPr>
            </w:pPr>
            <w:r>
              <w:rPr>
                <w:rFonts w:hint="eastAsia"/>
                <w:color w:val="000000"/>
                <w:szCs w:val="21"/>
              </w:rPr>
              <w:t>4</w:t>
            </w:r>
          </w:p>
        </w:tc>
        <w:tc>
          <w:tcPr>
            <w:tcW w:w="403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ascii="宋体" w:hAnsi="宋体" w:cs="宋体"/>
                <w:szCs w:val="21"/>
              </w:rPr>
            </w:pPr>
            <w:r>
              <w:rPr>
                <w:rFonts w:hint="eastAsia" w:ascii="宋体" w:hAnsi="宋体" w:cs="宋体"/>
                <w:szCs w:val="21"/>
              </w:rPr>
              <w:t>（一）评分内容：</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ascii="宋体" w:hAnsi="宋体" w:cs="宋体"/>
                <w:szCs w:val="21"/>
              </w:rPr>
            </w:pPr>
            <w:r>
              <w:rPr>
                <w:rFonts w:hint="eastAsia" w:ascii="宋体" w:hAnsi="宋体" w:cs="宋体"/>
                <w:szCs w:val="21"/>
              </w:rPr>
              <w:t>拟安排的项目经理（仅限1人）需为投标人自有员工，否则本项不得分。在此基础上：</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eastAsia="宋体"/>
                <w:color w:val="000000"/>
                <w:szCs w:val="21"/>
              </w:rPr>
            </w:pPr>
            <w:r>
              <w:rPr>
                <w:rFonts w:hint="eastAsia" w:ascii="宋体" w:hAnsi="宋体" w:cs="宋体"/>
                <w:szCs w:val="21"/>
              </w:rPr>
              <w:t>1.具</w:t>
            </w:r>
            <w:r>
              <w:rPr>
                <w:rFonts w:hint="eastAsia" w:eastAsia="宋体"/>
                <w:color w:val="000000"/>
                <w:szCs w:val="21"/>
              </w:rPr>
              <w:t>有（工程相关专业）本科（或以上）学历的，</w:t>
            </w:r>
            <w:r>
              <w:rPr>
                <w:rFonts w:hint="eastAsia" w:eastAsia="宋体"/>
                <w:color w:val="000000"/>
                <w:szCs w:val="21"/>
                <w:lang w:eastAsia="zh-CN"/>
              </w:rPr>
              <w:t>得</w:t>
            </w:r>
            <w:r>
              <w:rPr>
                <w:rFonts w:hint="eastAsia" w:eastAsia="宋体"/>
                <w:color w:val="000000"/>
                <w:szCs w:val="21"/>
                <w:lang w:val="en-US" w:eastAsia="zh-CN"/>
              </w:rPr>
              <w:t>30</w:t>
            </w:r>
            <w:r>
              <w:rPr>
                <w:rFonts w:hint="eastAsia" w:eastAsia="宋体"/>
                <w:color w:val="000000"/>
                <w:szCs w:val="21"/>
                <w:lang w:eastAsia="zh-CN"/>
              </w:rPr>
              <w:t>分</w:t>
            </w:r>
            <w:r>
              <w:rPr>
                <w:rFonts w:hint="eastAsia" w:eastAsia="宋体"/>
                <w:color w:val="000000"/>
                <w:szCs w:val="21"/>
              </w:rPr>
              <w:t>；</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hint="eastAsia" w:eastAsia="宋体"/>
                <w:color w:val="000000"/>
                <w:szCs w:val="21"/>
              </w:rPr>
            </w:pPr>
            <w:r>
              <w:rPr>
                <w:rFonts w:hint="eastAsia" w:eastAsia="宋体"/>
                <w:color w:val="000000"/>
                <w:szCs w:val="21"/>
              </w:rPr>
              <w:t>2.具有</w:t>
            </w:r>
            <w:r>
              <w:rPr>
                <w:rFonts w:hint="eastAsia" w:eastAsia="宋体"/>
                <w:color w:val="000000"/>
                <w:szCs w:val="21"/>
                <w:lang w:eastAsia="zh-CN"/>
              </w:rPr>
              <w:t>中</w:t>
            </w:r>
            <w:r>
              <w:rPr>
                <w:rFonts w:hint="eastAsia" w:eastAsia="宋体"/>
                <w:color w:val="000000"/>
                <w:szCs w:val="21"/>
              </w:rPr>
              <w:t>级或以上工程师职称证书（工程相关专业）的，</w:t>
            </w:r>
            <w:r>
              <w:rPr>
                <w:rFonts w:hint="eastAsia" w:eastAsia="宋体"/>
                <w:color w:val="000000"/>
                <w:szCs w:val="21"/>
                <w:lang w:eastAsia="zh-CN"/>
              </w:rPr>
              <w:t>得</w:t>
            </w:r>
            <w:r>
              <w:rPr>
                <w:rFonts w:hint="eastAsia" w:eastAsia="宋体"/>
                <w:color w:val="000000"/>
                <w:szCs w:val="21"/>
                <w:lang w:val="en-US" w:eastAsia="zh-CN"/>
              </w:rPr>
              <w:t>30</w:t>
            </w:r>
            <w:r>
              <w:rPr>
                <w:rFonts w:hint="eastAsia" w:eastAsia="宋体"/>
                <w:color w:val="000000"/>
                <w:szCs w:val="21"/>
                <w:lang w:eastAsia="zh-CN"/>
              </w:rPr>
              <w:t>分</w:t>
            </w:r>
            <w:r>
              <w:rPr>
                <w:rFonts w:hint="eastAsia" w:eastAsia="宋体"/>
                <w:color w:val="000000"/>
                <w:szCs w:val="21"/>
              </w:rPr>
              <w:t>。</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hint="default" w:eastAsia="宋体"/>
                <w:color w:val="000000"/>
                <w:szCs w:val="21"/>
                <w:lang w:val="en-US" w:eastAsia="zh-CN"/>
              </w:rPr>
            </w:pPr>
            <w:r>
              <w:rPr>
                <w:rFonts w:hint="eastAsia" w:eastAsia="宋体"/>
                <w:color w:val="000000"/>
                <w:szCs w:val="21"/>
                <w:lang w:val="en-US" w:eastAsia="zh-CN"/>
              </w:rPr>
              <w:t>3.</w:t>
            </w:r>
            <w:r>
              <w:rPr>
                <w:rFonts w:hint="eastAsia" w:eastAsia="宋体"/>
                <w:color w:val="000000"/>
                <w:szCs w:val="21"/>
              </w:rPr>
              <w:t>近三年（2023年</w:t>
            </w:r>
            <w:r>
              <w:rPr>
                <w:rFonts w:hint="eastAsia" w:eastAsia="宋体"/>
                <w:color w:val="000000"/>
                <w:szCs w:val="21"/>
                <w:lang w:val="en-US" w:eastAsia="zh-CN"/>
              </w:rPr>
              <w:t>1</w:t>
            </w:r>
            <w:r>
              <w:rPr>
                <w:rFonts w:hint="eastAsia" w:eastAsia="宋体"/>
                <w:color w:val="000000"/>
                <w:szCs w:val="21"/>
              </w:rPr>
              <w:t>月1日至本项目投标截止之日，以项目验收或履约评价时间为准）同类项目[同类项目专指施工内容涉及</w:t>
            </w:r>
            <w:r>
              <w:rPr>
                <w:rFonts w:hint="eastAsia" w:eastAsia="宋体"/>
                <w:color w:val="000000"/>
                <w:szCs w:val="21"/>
                <w:lang w:eastAsia="zh-CN"/>
              </w:rPr>
              <w:t>人行道路</w:t>
            </w:r>
            <w:r>
              <w:rPr>
                <w:rFonts w:hint="eastAsia" w:eastAsia="宋体"/>
                <w:color w:val="000000"/>
                <w:szCs w:val="21"/>
              </w:rPr>
              <w:t>工程的项目]业绩情况</w:t>
            </w:r>
            <w:r>
              <w:rPr>
                <w:rFonts w:hint="eastAsia" w:eastAsia="宋体"/>
                <w:color w:val="000000"/>
                <w:szCs w:val="21"/>
                <w:lang w:eastAsia="zh-CN"/>
              </w:rPr>
              <w:t>，提供</w:t>
            </w:r>
            <w:r>
              <w:rPr>
                <w:rFonts w:hint="eastAsia" w:eastAsia="宋体"/>
                <w:color w:val="000000"/>
                <w:szCs w:val="21"/>
                <w:lang w:val="en-US" w:eastAsia="zh-CN"/>
              </w:rPr>
              <w:t>1个得40分，未提供的不得分。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ascii="宋体" w:hAnsi="宋体" w:cs="宋体"/>
                <w:szCs w:val="21"/>
              </w:rPr>
            </w:pPr>
            <w:r>
              <w:rPr>
                <w:rFonts w:hint="eastAsia" w:ascii="宋体" w:hAnsi="宋体" w:cs="宋体"/>
                <w:szCs w:val="21"/>
              </w:rPr>
              <w:t>（二）评分依据:</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ascii="宋体" w:hAnsi="宋体" w:cs="宋体"/>
                <w:szCs w:val="21"/>
              </w:rPr>
            </w:pPr>
            <w:r>
              <w:rPr>
                <w:rFonts w:hint="eastAsia" w:ascii="宋体" w:hAnsi="宋体" w:cs="宋体"/>
                <w:szCs w:val="21"/>
              </w:rPr>
              <w:t>1.要求提供有效的相关证明资料（职称证书、学历证书资料、社保证明）作为得分依据。</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ascii="宋体" w:hAnsi="宋体" w:cs="宋体"/>
                <w:szCs w:val="21"/>
              </w:rPr>
            </w:pPr>
            <w:r>
              <w:rPr>
                <w:rFonts w:hint="eastAsia" w:ascii="宋体" w:hAnsi="宋体" w:cs="宋体"/>
                <w:szCs w:val="21"/>
              </w:rPr>
              <w:t>2</w:t>
            </w:r>
            <w:r>
              <w:rPr>
                <w:rFonts w:hint="default" w:ascii="宋体" w:hAnsi="宋体" w:cs="宋体"/>
                <w:szCs w:val="21"/>
                <w:lang w:val="en-US"/>
              </w:rPr>
              <w:t>.</w:t>
            </w:r>
            <w:r>
              <w:rPr>
                <w:rFonts w:hint="eastAsia" w:ascii="宋体" w:hAnsi="宋体" w:cs="宋体"/>
                <w:szCs w:val="21"/>
              </w:rPr>
              <w:t>要求提供学历证书的，投标人需提供证书扫描件以及学信网查询记录（官方网站截图，需体现网址栏）。对于较早颁发的学历证书，学信网无法查询的，除提供证书扫描件外，还需提供毕业院校、人社部门等颁发机构或监管机构等单位出具的证明作为得分的依据。留学归国人员如无法提供学信网查询记录截图，提供国（境）外学历证书扫描件和教育部留学服务中心出具的国外学历学位认证书扫描件【或教育部留学服务中心网站（http://zwfw.cscse.edu.cn/）在线查询截图，网站截图需体现网址栏】也予以认可。</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ascii="宋体" w:hAnsi="宋体" w:cs="宋体"/>
                <w:szCs w:val="21"/>
              </w:rPr>
            </w:pPr>
            <w:r>
              <w:rPr>
                <w:rFonts w:hint="eastAsia" w:ascii="宋体" w:hAnsi="宋体" w:cs="宋体"/>
                <w:szCs w:val="21"/>
              </w:rPr>
              <w:t>3.社保证明资料：通过投标人缴纳的近一个月的社保证明作为本单位员工的证明依据，如供应商成立不足一个月的，提供情况说明函（格式自拟），无需提供相关人员社保，亦可得分。如依法不需要缴纳社会保险的，提供相应文件证明亦视为符合要求；如因社保部门原因无法提供社保证明的，提供劳动合同及社保部门官方通知证明（或官网公告截图）亦视为符合要求。</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ascii="宋体" w:hAnsi="宋体" w:cs="宋体"/>
                <w:szCs w:val="21"/>
              </w:rPr>
            </w:pPr>
            <w:r>
              <w:rPr>
                <w:rFonts w:hint="eastAsia" w:ascii="宋体" w:hAnsi="宋体" w:cs="宋体"/>
                <w:szCs w:val="21"/>
              </w:rPr>
              <w:t>4.职称证明：（1）如为人社部门颁发的职称，需提供人员职称证书扫描件及全国人力资源和社会保障政务服务平台（查询网址：https://www.12333.gov.cn/）或提供发证当地人力资源和社会保障部门官网查询截图（截图需体现网址栏）作为得分依据。对于较早颁发的职称证书，在上述渠道中无法查询的，除提供证书扫描件外，需同时提供其他佐证材料（如人力资源和社会保障部或发证部门官网查询截图或出具的相关证明，网站截图需体现网址栏）作为得分依据。</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ascii="宋体" w:hAnsi="宋体" w:cs="宋体"/>
                <w:szCs w:val="21"/>
              </w:rPr>
            </w:pPr>
            <w:r>
              <w:rPr>
                <w:rFonts w:hint="eastAsia" w:ascii="宋体" w:hAnsi="宋体" w:cs="宋体"/>
                <w:szCs w:val="21"/>
              </w:rPr>
              <w:t>（2）如为建设行政主管部门颁发的职称，需同时提供人员职称证书扫描件及建设工程职称评审信息平台（查询网址：https://zc.mochr.com:8080/f?id=1）查询截图作为得分依据。</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hint="eastAsia" w:ascii="宋体" w:hAnsi="宋体" w:cs="宋体"/>
                <w:szCs w:val="21"/>
              </w:rPr>
            </w:pPr>
            <w:r>
              <w:rPr>
                <w:rFonts w:hint="eastAsia" w:ascii="宋体" w:hAnsi="宋体" w:cs="宋体"/>
                <w:szCs w:val="21"/>
              </w:rPr>
              <w:t>（3）对于非人社部门颁发的职称且非建设行政主管部门颁发的职称，投标人需同时提供职称证书扫描件及该职称的颁发单位或机构已在人社部门核准备案的证明材料，人社部门核准备案的证明材料可提供以下任意一种：①主管部门授予该颁发单位（或机构）职称评定权限的授权证明文件扫描件；②需同时提供人社部门颁发的《</w:t>
            </w:r>
            <w:r>
              <w:rPr>
                <w:rFonts w:hint="default" w:ascii="宋体" w:hAnsi="宋体" w:cs="宋体"/>
                <w:szCs w:val="21"/>
                <w:lang w:val="en-US"/>
              </w:rPr>
              <w:t>职称评审委员会目录</w:t>
            </w:r>
            <w:r>
              <w:rPr>
                <w:rFonts w:hint="eastAsia" w:ascii="宋体" w:hAnsi="宋体" w:cs="宋体"/>
                <w:szCs w:val="21"/>
              </w:rPr>
              <w:t>》和《职称自主评审单位目录》以及相关通知官方网站截图(需体现网址栏)。中标后，采购人有权进行复核，一经查实虚假应标将导致中标无效并报</w:t>
            </w:r>
            <w:r>
              <w:rPr>
                <w:rFonts w:hint="eastAsia" w:ascii="宋体" w:hAnsi="宋体" w:cs="宋体"/>
                <w:szCs w:val="21"/>
                <w:lang w:eastAsia="zh-CN"/>
              </w:rPr>
              <w:t>有关</w:t>
            </w:r>
            <w:r>
              <w:rPr>
                <w:rFonts w:hint="eastAsia" w:ascii="宋体" w:hAnsi="宋体" w:cs="宋体"/>
                <w:szCs w:val="21"/>
              </w:rPr>
              <w:t>部门依法处理。</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szCs w:val="21"/>
                <w:lang w:val="en-US" w:eastAsia="zh-CN"/>
              </w:rPr>
            </w:pPr>
            <w:r>
              <w:rPr>
                <w:rFonts w:hint="eastAsia" w:ascii="宋体" w:hAnsi="宋体" w:cs="宋体"/>
                <w:b w:val="0"/>
                <w:bCs w:val="0"/>
                <w:color w:val="auto"/>
                <w:szCs w:val="21"/>
                <w:lang w:eastAsia="zh-CN"/>
              </w:rPr>
              <w:t>（</w:t>
            </w:r>
            <w:r>
              <w:rPr>
                <w:rFonts w:hint="eastAsia" w:ascii="宋体" w:hAnsi="宋体" w:cs="宋体"/>
                <w:b w:val="0"/>
                <w:bCs w:val="0"/>
                <w:color w:val="auto"/>
                <w:szCs w:val="21"/>
                <w:lang w:val="en-US" w:eastAsia="zh-CN"/>
              </w:rPr>
              <w:t>4）业绩证明材料</w:t>
            </w:r>
            <w:r>
              <w:rPr>
                <w:rFonts w:hint="eastAsia"/>
                <w:b w:val="0"/>
                <w:bCs w:val="0"/>
                <w:color w:val="auto"/>
              </w:rPr>
              <w:t>，提供项目</w:t>
            </w:r>
            <w:r>
              <w:rPr>
                <w:rFonts w:hint="eastAsia"/>
                <w:b w:val="0"/>
                <w:bCs w:val="0"/>
                <w:color w:val="auto"/>
                <w:lang w:eastAsia="zh-CN"/>
              </w:rPr>
              <w:t>业绩</w:t>
            </w:r>
            <w:r>
              <w:rPr>
                <w:rFonts w:hint="eastAsia"/>
                <w:b w:val="0"/>
                <w:bCs w:val="0"/>
                <w:color w:val="auto"/>
              </w:rPr>
              <w:t>合同关键页（包括但不限于首页、内容页以及签字盖章页）</w:t>
            </w:r>
            <w:r>
              <w:rPr>
                <w:rFonts w:hint="eastAsia"/>
                <w:b w:val="0"/>
                <w:bCs w:val="0"/>
                <w:color w:val="auto"/>
                <w:lang w:eastAsia="zh-CN"/>
              </w:rPr>
              <w:t>及竣工验收证明材料</w:t>
            </w:r>
            <w:r>
              <w:rPr>
                <w:rFonts w:hint="eastAsia"/>
                <w:b w:val="0"/>
                <w:bCs w:val="0"/>
                <w:color w:val="auto"/>
              </w:rPr>
              <w:t>扫描件</w:t>
            </w:r>
            <w:r>
              <w:rPr>
                <w:rFonts w:hint="eastAsia"/>
                <w:b w:val="0"/>
                <w:bCs w:val="0"/>
                <w:color w:val="auto"/>
                <w:lang w:eastAsia="zh-CN"/>
              </w:rPr>
              <w:t>，提供的证明材料需能体现项目负责人姓名，否则不得分。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503" w:type="dxa"/>
            <w:tcBorders>
              <w:left w:val="single" w:color="auto" w:sz="8"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p>
        </w:tc>
        <w:tc>
          <w:tcPr>
            <w:tcW w:w="1140" w:type="dxa"/>
            <w:gridSpan w:val="2"/>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rFonts w:hint="default"/>
                <w:color w:val="000000"/>
                <w:kern w:val="0"/>
                <w:szCs w:val="21"/>
                <w:lang w:val="en-US"/>
              </w:rPr>
            </w:pPr>
            <w:r>
              <w:rPr>
                <w:rFonts w:hint="default"/>
                <w:color w:val="000000"/>
                <w:kern w:val="0"/>
                <w:szCs w:val="21"/>
                <w:lang w:val="en-US"/>
              </w:rPr>
              <w:t>4</w:t>
            </w:r>
          </w:p>
        </w:tc>
        <w:tc>
          <w:tcPr>
            <w:tcW w:w="168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rFonts w:hint="eastAsia"/>
                <w:color w:val="000000"/>
                <w:kern w:val="0"/>
                <w:szCs w:val="21"/>
              </w:rPr>
              <w:t>拟安排的项目主要团队成员（主要技术人员）情况（项目经理除外）</w:t>
            </w:r>
          </w:p>
        </w:tc>
        <w:tc>
          <w:tcPr>
            <w:tcW w:w="117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rFonts w:hint="eastAsia"/>
                <w:color w:val="000000"/>
                <w:szCs w:val="21"/>
              </w:rPr>
              <w:t>5</w:t>
            </w:r>
          </w:p>
        </w:tc>
        <w:tc>
          <w:tcPr>
            <w:tcW w:w="403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b w:val="0"/>
                <w:bCs w:val="0"/>
                <w:color w:val="auto"/>
                <w:szCs w:val="21"/>
              </w:rPr>
            </w:pPr>
            <w:r>
              <w:rPr>
                <w:rFonts w:hint="eastAsia"/>
                <w:b w:val="0"/>
                <w:bCs w:val="0"/>
                <w:color w:val="auto"/>
                <w:szCs w:val="21"/>
              </w:rPr>
              <w:t>（一）评审内容：</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b w:val="0"/>
                <w:bCs w:val="0"/>
                <w:color w:val="auto"/>
                <w:szCs w:val="21"/>
              </w:rPr>
            </w:pPr>
            <w:r>
              <w:rPr>
                <w:rFonts w:hint="eastAsia"/>
                <w:b w:val="0"/>
                <w:bCs w:val="0"/>
                <w:color w:val="auto"/>
                <w:szCs w:val="21"/>
              </w:rPr>
              <w:t>拟派项目团队（项目经理除外）需为投标人自有员工，否则本项不得分。在此基础上：</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b w:val="0"/>
                <w:bCs w:val="0"/>
                <w:color w:val="auto"/>
                <w:szCs w:val="21"/>
              </w:rPr>
            </w:pPr>
            <w:r>
              <w:rPr>
                <w:rFonts w:hint="eastAsia"/>
                <w:b w:val="0"/>
                <w:bCs w:val="0"/>
                <w:color w:val="auto"/>
                <w:szCs w:val="21"/>
              </w:rPr>
              <w:t>1、技术负责人（仅限一人）：</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b w:val="0"/>
                <w:bCs w:val="0"/>
                <w:color w:val="auto"/>
                <w:szCs w:val="21"/>
              </w:rPr>
            </w:pPr>
            <w:r>
              <w:rPr>
                <w:rFonts w:hint="eastAsia"/>
                <w:b w:val="0"/>
                <w:bCs w:val="0"/>
                <w:color w:val="auto"/>
                <w:szCs w:val="21"/>
              </w:rPr>
              <w:t>①具有（工程相关专业）本科（或以上）学历的，得</w:t>
            </w:r>
            <w:r>
              <w:rPr>
                <w:rFonts w:hint="eastAsia" w:eastAsia="宋体" w:cs="Times New Roman"/>
                <w:b w:val="0"/>
                <w:bCs w:val="0"/>
                <w:color w:val="auto"/>
                <w:lang w:val="en-US" w:eastAsia="zh-CN"/>
              </w:rPr>
              <w:t>30</w:t>
            </w:r>
            <w:r>
              <w:rPr>
                <w:rFonts w:hint="eastAsia" w:eastAsia="宋体" w:cs="Times New Roman"/>
                <w:b w:val="0"/>
                <w:bCs w:val="0"/>
                <w:color w:val="auto"/>
              </w:rPr>
              <w:t>分</w:t>
            </w:r>
            <w:r>
              <w:rPr>
                <w:rFonts w:hint="eastAsia"/>
                <w:b w:val="0"/>
                <w:bCs w:val="0"/>
                <w:color w:val="auto"/>
                <w:szCs w:val="21"/>
              </w:rPr>
              <w:t>；</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b w:val="0"/>
                <w:bCs w:val="0"/>
                <w:color w:val="auto"/>
                <w:szCs w:val="21"/>
              </w:rPr>
            </w:pPr>
            <w:r>
              <w:rPr>
                <w:rFonts w:hint="eastAsia"/>
                <w:b w:val="0"/>
                <w:bCs w:val="0"/>
                <w:color w:val="auto"/>
                <w:szCs w:val="21"/>
              </w:rPr>
              <w:t>②具有中级或以上（工程相关专业）工程师职称的，</w:t>
            </w:r>
            <w:r>
              <w:rPr>
                <w:rFonts w:hint="eastAsia" w:eastAsia="宋体" w:cs="Times New Roman"/>
                <w:b w:val="0"/>
                <w:bCs w:val="0"/>
                <w:color w:val="auto"/>
              </w:rPr>
              <w:t>得</w:t>
            </w:r>
            <w:r>
              <w:rPr>
                <w:rFonts w:hint="eastAsia" w:eastAsia="宋体" w:cs="Times New Roman"/>
                <w:b w:val="0"/>
                <w:bCs w:val="0"/>
                <w:color w:val="auto"/>
                <w:lang w:val="en-US" w:eastAsia="zh-CN"/>
              </w:rPr>
              <w:t>40</w:t>
            </w:r>
            <w:r>
              <w:rPr>
                <w:rFonts w:hint="eastAsia" w:eastAsia="宋体" w:cs="Times New Roman"/>
                <w:b w:val="0"/>
                <w:bCs w:val="0"/>
                <w:color w:val="auto"/>
              </w:rPr>
              <w:t>分</w:t>
            </w:r>
            <w:r>
              <w:rPr>
                <w:rFonts w:hint="eastAsia"/>
                <w:b w:val="0"/>
                <w:bCs w:val="0"/>
                <w:color w:val="auto"/>
                <w:szCs w:val="21"/>
              </w:rPr>
              <w:t>；</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b w:val="0"/>
                <w:bCs w:val="0"/>
                <w:color w:val="auto"/>
                <w:szCs w:val="21"/>
              </w:rPr>
            </w:pPr>
            <w:r>
              <w:rPr>
                <w:rFonts w:hint="eastAsia"/>
                <w:b w:val="0"/>
                <w:bCs w:val="0"/>
                <w:color w:val="auto"/>
                <w:szCs w:val="21"/>
              </w:rPr>
              <w:t>以上①、②两项累计得分，最高得</w:t>
            </w:r>
            <w:r>
              <w:rPr>
                <w:rFonts w:hint="eastAsia" w:eastAsia="宋体" w:cs="Times New Roman"/>
                <w:b w:val="0"/>
                <w:bCs w:val="0"/>
                <w:color w:val="auto"/>
                <w:lang w:val="en-US" w:eastAsia="zh-CN"/>
              </w:rPr>
              <w:t>7</w:t>
            </w:r>
            <w:r>
              <w:rPr>
                <w:rFonts w:hint="eastAsia" w:eastAsia="宋体" w:cs="Times New Roman"/>
                <w:b w:val="0"/>
                <w:bCs w:val="0"/>
                <w:color w:val="auto"/>
              </w:rPr>
              <w:t>0分</w:t>
            </w:r>
            <w:r>
              <w:rPr>
                <w:rFonts w:hint="eastAsia"/>
                <w:b w:val="0"/>
                <w:bCs w:val="0"/>
                <w:color w:val="auto"/>
                <w:szCs w:val="21"/>
              </w:rPr>
              <w:t>。</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b w:val="0"/>
                <w:bCs w:val="0"/>
                <w:color w:val="auto"/>
                <w:szCs w:val="21"/>
              </w:rPr>
            </w:pPr>
            <w:r>
              <w:rPr>
                <w:rFonts w:hint="eastAsia"/>
                <w:b w:val="0"/>
                <w:bCs w:val="0"/>
                <w:color w:val="auto"/>
                <w:szCs w:val="21"/>
              </w:rPr>
              <w:t>2、主要团队成员（项目经理、技术负责人除外）：</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b w:val="0"/>
                <w:bCs w:val="0"/>
                <w:color w:val="auto"/>
                <w:szCs w:val="21"/>
              </w:rPr>
            </w:pPr>
            <w:r>
              <w:rPr>
                <w:rFonts w:hint="eastAsia"/>
                <w:b w:val="0"/>
                <w:bCs w:val="0"/>
                <w:color w:val="auto"/>
                <w:szCs w:val="21"/>
              </w:rPr>
              <w:t>③</w:t>
            </w:r>
            <w:r>
              <w:rPr>
                <w:rFonts w:hint="eastAsia"/>
                <w:b w:val="0"/>
                <w:bCs w:val="0"/>
                <w:color w:val="auto"/>
                <w:lang w:val="en-US" w:eastAsia="zh-CN"/>
              </w:rPr>
              <w:t>五大员</w:t>
            </w:r>
            <w:r>
              <w:rPr>
                <w:rFonts w:hint="eastAsia" w:ascii="Calibri" w:eastAsia="宋体"/>
                <w:b w:val="0"/>
                <w:bCs w:val="0"/>
                <w:color w:val="auto"/>
                <w:lang w:val="en-US" w:eastAsia="zh-CN"/>
              </w:rPr>
              <w:t>：</w:t>
            </w:r>
            <w:r>
              <w:rPr>
                <w:rFonts w:hint="eastAsia"/>
                <w:b w:val="0"/>
                <w:bCs w:val="0"/>
                <w:color w:val="auto"/>
              </w:rPr>
              <w:t>施工</w:t>
            </w:r>
            <w:r>
              <w:rPr>
                <w:rFonts w:hint="eastAsia" w:ascii="Times New Roman" w:eastAsia="宋体"/>
                <w:b w:val="0"/>
                <w:bCs w:val="0"/>
                <w:color w:val="auto"/>
                <w:lang w:val="en-US" w:eastAsia="zh-CN"/>
              </w:rPr>
              <w:t>员</w:t>
            </w:r>
            <w:r>
              <w:rPr>
                <w:rFonts w:hint="eastAsia"/>
                <w:b w:val="0"/>
                <w:bCs w:val="0"/>
                <w:color w:val="auto"/>
              </w:rPr>
              <w:t>、质量员、</w:t>
            </w:r>
            <w:r>
              <w:rPr>
                <w:rFonts w:hint="eastAsia" w:ascii="Times New Roman" w:eastAsia="宋体"/>
                <w:b w:val="0"/>
                <w:bCs w:val="0"/>
                <w:color w:val="auto"/>
                <w:lang w:val="en-US" w:eastAsia="zh-CN"/>
              </w:rPr>
              <w:t>安全员、</w:t>
            </w:r>
            <w:r>
              <w:rPr>
                <w:rFonts w:hint="eastAsia"/>
                <w:b w:val="0"/>
                <w:bCs w:val="0"/>
                <w:color w:val="auto"/>
              </w:rPr>
              <w:t>材料员</w:t>
            </w:r>
            <w:r>
              <w:rPr>
                <w:rFonts w:hint="eastAsia" w:eastAsia="宋体"/>
                <w:b w:val="0"/>
                <w:bCs w:val="0"/>
                <w:color w:val="auto"/>
                <w:lang w:eastAsia="zh-CN"/>
              </w:rPr>
              <w:t>、</w:t>
            </w:r>
            <w:r>
              <w:rPr>
                <w:rFonts w:hint="eastAsia" w:ascii="Times New Roman" w:eastAsia="宋体"/>
                <w:b w:val="0"/>
                <w:bCs w:val="0"/>
                <w:color w:val="auto"/>
                <w:lang w:val="en-US" w:eastAsia="zh-CN"/>
              </w:rPr>
              <w:t>资料员等</w:t>
            </w:r>
            <w:r>
              <w:rPr>
                <w:rFonts w:hint="eastAsia"/>
                <w:b w:val="0"/>
                <w:bCs w:val="0"/>
                <w:color w:val="auto"/>
              </w:rPr>
              <w:t>配备齐全</w:t>
            </w:r>
            <w:r>
              <w:rPr>
                <w:rFonts w:hint="eastAsia"/>
                <w:b w:val="0"/>
                <w:bCs w:val="0"/>
                <w:color w:val="auto"/>
                <w:lang w:eastAsia="zh-CN"/>
              </w:rPr>
              <w:t>得</w:t>
            </w:r>
            <w:r>
              <w:rPr>
                <w:rFonts w:hint="eastAsia"/>
                <w:b w:val="0"/>
                <w:bCs w:val="0"/>
                <w:color w:val="auto"/>
                <w:lang w:val="en-US" w:eastAsia="zh-CN"/>
              </w:rPr>
              <w:t>30分</w:t>
            </w:r>
            <w:r>
              <w:rPr>
                <w:rFonts w:hint="eastAsia" w:eastAsia="宋体"/>
                <w:b w:val="0"/>
                <w:bCs w:val="0"/>
                <w:color w:val="auto"/>
                <w:lang w:eastAsia="zh-CN"/>
              </w:rPr>
              <w:t>，缺少任何</w:t>
            </w:r>
            <w:r>
              <w:rPr>
                <w:rFonts w:hint="eastAsia" w:eastAsia="宋体"/>
                <w:b w:val="0"/>
                <w:bCs w:val="0"/>
                <w:color w:val="auto"/>
                <w:lang w:val="en-US" w:eastAsia="zh-CN"/>
              </w:rPr>
              <w:t>1个</w:t>
            </w:r>
            <w:r>
              <w:rPr>
                <w:rFonts w:hint="eastAsia" w:ascii="Calibri" w:eastAsia="宋体"/>
                <w:b w:val="0"/>
                <w:bCs w:val="0"/>
                <w:color w:val="auto"/>
                <w:lang w:val="en-US" w:eastAsia="zh-CN"/>
              </w:rPr>
              <w:t>不得分</w:t>
            </w:r>
            <w:r>
              <w:rPr>
                <w:rFonts w:hint="eastAsia" w:eastAsia="宋体"/>
                <w:b w:val="0"/>
                <w:bCs w:val="0"/>
                <w:color w:val="auto"/>
                <w:lang w:val="en-US" w:eastAsia="zh-CN"/>
              </w:rPr>
              <w:t>，最高得30分</w:t>
            </w:r>
            <w:r>
              <w:rPr>
                <w:rFonts w:hint="eastAsia" w:eastAsia="宋体"/>
                <w:b w:val="0"/>
                <w:bCs w:val="0"/>
                <w:color w:val="auto"/>
                <w:lang w:eastAsia="zh-CN"/>
              </w:rPr>
              <w:t>；</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szCs w:val="21"/>
              </w:rPr>
            </w:pPr>
            <w:r>
              <w:rPr>
                <w:rFonts w:hint="eastAsia"/>
                <w:color w:val="000000"/>
                <w:szCs w:val="21"/>
              </w:rPr>
              <w:t>（二）评分依据：</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szCs w:val="21"/>
              </w:rPr>
            </w:pPr>
            <w:r>
              <w:rPr>
                <w:rFonts w:hint="eastAsia"/>
                <w:color w:val="000000"/>
                <w:szCs w:val="21"/>
              </w:rPr>
              <w:t>1.要求提供相关证明资料（职称证书、学历证书资料、社保证明）作为得分依据。</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szCs w:val="21"/>
              </w:rPr>
            </w:pPr>
            <w:r>
              <w:rPr>
                <w:rFonts w:hint="eastAsia"/>
                <w:color w:val="000000"/>
                <w:szCs w:val="21"/>
              </w:rPr>
              <w:t>2.要求提供学历证书的，投标人需提供证书扫描件以及学信网查询记录（官方网站截图，需体现网址栏）。对于较早颁发的学历证书，学信网无法查询的，除提供证书扫描件外，还需提供毕业院校、人社部门等颁发机构或监管机构等单位出具的证明作为得分的依据。留学归国人员如无法提供学信网查询记录截图，提供国（境）外学历证书扫描件和教育部留学服务中心出具的国外学历学位认证书扫描件【或教育部留学服务中心网站（http://zwfw.cscse.edu.cn/）在线查询截图，网站截图需体现网址栏】也予以认可。</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szCs w:val="21"/>
              </w:rPr>
            </w:pPr>
            <w:r>
              <w:rPr>
                <w:rFonts w:hint="eastAsia"/>
                <w:color w:val="000000"/>
                <w:szCs w:val="21"/>
              </w:rPr>
              <w:t>3.社保证明资料：通过投标人缴纳的近一个月的社保证明作为本单位员工的证明依据，如供应商成立不足一个月的，提供情况说明函（格式自拟），无需提供相关人员社保，亦可得分。如依法不需要缴纳社会保险的，提供相应文件证明亦视为符合要求；如因社保部门原因无法提供社保证明的，提供劳动合同及社保部门官方通知证明（或官网公告截图）亦视为符合要求。</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szCs w:val="21"/>
              </w:rPr>
            </w:pPr>
            <w:r>
              <w:rPr>
                <w:rFonts w:hint="eastAsia"/>
                <w:color w:val="000000"/>
                <w:szCs w:val="21"/>
              </w:rPr>
              <w:t>4.职称证明：（1）如为人社部门颁发的职称，需提供人员职称证书扫描件及全国人力资源和社会保障政务服务平台（查询网址：https://www.12333.gov.cn/）或提供发证当地人力资源和社会保障部门官网查询截图（截图需体现网址栏）作为得分依据。对于较早颁发的职称证书，在上述渠道中无法查询的，除提供证书扫描件外，需同时提供其他佐证材料（如人力资源和社会保障部或发证部门官网查询截图或出具的相关证明，网站截图需体现网址栏）作为得分依据。</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szCs w:val="21"/>
              </w:rPr>
            </w:pPr>
            <w:r>
              <w:rPr>
                <w:rFonts w:hint="eastAsia"/>
                <w:color w:val="000000"/>
                <w:szCs w:val="21"/>
              </w:rPr>
              <w:t>（2）如为建设行政主管部门颁发的职称，需同时提供人员职称证书扫描件及建设工程职称评审信息平台（查询网址：https://zc.mochr.com:8080/f?id=1）查询截图作为得分依据。</w:t>
            </w:r>
          </w:p>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szCs w:val="21"/>
              </w:rPr>
            </w:pPr>
            <w:r>
              <w:rPr>
                <w:rFonts w:hint="eastAsia"/>
                <w:color w:val="000000"/>
                <w:szCs w:val="21"/>
              </w:rPr>
              <w:t>（3）对于非人社部门颁发的职称且非建设行政主管部门颁发的职称，投标人需同时提供职称证书扫描件及该职称的颁发单位或机构已在人社部门核准备案的证明材料，人社部门核准备案的证明材料可提供以下任意一种：①主管部门授予该颁发单位（或机构）职称评定权限的授权证明文件扫描件；②需同时提供人社部门颁发的《</w:t>
            </w:r>
            <w:r>
              <w:rPr>
                <w:rFonts w:hint="default"/>
                <w:color w:val="000000"/>
                <w:szCs w:val="21"/>
                <w:lang w:val="en-US"/>
              </w:rPr>
              <w:t>职称评审委员会目录</w:t>
            </w:r>
            <w:r>
              <w:rPr>
                <w:rFonts w:hint="eastAsia"/>
                <w:color w:val="000000"/>
                <w:szCs w:val="21"/>
              </w:rPr>
              <w:t>》和《职称自主评审单位目录》以及相关通知官方网站截图(需体现网址栏)。中标后，采购人有权进行复核，一经查实虚假应标将导致中标无效并报主管部门依法处理。</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503"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4</w:t>
            </w:r>
          </w:p>
        </w:tc>
        <w:tc>
          <w:tcPr>
            <w:tcW w:w="4006" w:type="dxa"/>
            <w:gridSpan w:val="4"/>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诚信部分</w:t>
            </w:r>
          </w:p>
        </w:tc>
        <w:tc>
          <w:tcPr>
            <w:tcW w:w="4032"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rFonts w:hint="eastAsia"/>
                <w:color w:val="000000"/>
                <w:szCs w:val="21"/>
              </w:rPr>
              <w:t>5</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503" w:type="dxa"/>
            <w:vMerge w:val="restart"/>
            <w:tcBorders>
              <w:top w:val="single" w:color="auto" w:sz="8" w:space="0"/>
              <w:left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p>
        </w:tc>
        <w:tc>
          <w:tcPr>
            <w:tcW w:w="1140" w:type="dxa"/>
            <w:gridSpan w:val="2"/>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序号</w:t>
            </w:r>
          </w:p>
        </w:tc>
        <w:tc>
          <w:tcPr>
            <w:tcW w:w="1688" w:type="dxa"/>
            <w:tcBorders>
              <w:top w:val="single" w:color="auto" w:sz="8" w:space="0"/>
              <w:left w:val="nil"/>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评审因素</w:t>
            </w:r>
          </w:p>
        </w:tc>
        <w:tc>
          <w:tcPr>
            <w:tcW w:w="1178" w:type="dxa"/>
            <w:tcBorders>
              <w:top w:val="single" w:color="auto" w:sz="8" w:space="0"/>
              <w:left w:val="nil"/>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权重（%）</w:t>
            </w:r>
          </w:p>
        </w:tc>
        <w:tc>
          <w:tcPr>
            <w:tcW w:w="4032" w:type="dxa"/>
            <w:tcBorders>
              <w:top w:val="single" w:color="auto" w:sz="8" w:space="0"/>
              <w:left w:val="nil"/>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评分准则</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503" w:type="dxa"/>
            <w:vMerge w:val="continue"/>
            <w:tcBorders>
              <w:left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p>
        </w:tc>
        <w:tc>
          <w:tcPr>
            <w:tcW w:w="1140" w:type="dxa"/>
            <w:gridSpan w:val="2"/>
            <w:tcBorders>
              <w:top w:val="single" w:color="auto" w:sz="8" w:space="0"/>
              <w:left w:val="nil"/>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1</w:t>
            </w:r>
          </w:p>
        </w:tc>
        <w:tc>
          <w:tcPr>
            <w:tcW w:w="1688" w:type="dxa"/>
            <w:tcBorders>
              <w:top w:val="single" w:color="auto" w:sz="8" w:space="0"/>
              <w:left w:val="nil"/>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color w:val="000000"/>
                <w:kern w:val="0"/>
                <w:szCs w:val="21"/>
              </w:rPr>
              <w:t>诚信</w:t>
            </w:r>
          </w:p>
        </w:tc>
        <w:tc>
          <w:tcPr>
            <w:tcW w:w="1178" w:type="dxa"/>
            <w:tcBorders>
              <w:top w:val="single" w:color="auto" w:sz="8" w:space="0"/>
              <w:left w:val="nil"/>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400" w:lineRule="exact"/>
              <w:jc w:val="center"/>
              <w:textAlignment w:val="auto"/>
              <w:rPr>
                <w:color w:val="000000"/>
                <w:kern w:val="0"/>
                <w:szCs w:val="21"/>
              </w:rPr>
            </w:pPr>
            <w:r>
              <w:rPr>
                <w:rFonts w:hint="eastAsia"/>
                <w:color w:val="000000"/>
                <w:szCs w:val="21"/>
              </w:rPr>
              <w:t>5</w:t>
            </w:r>
          </w:p>
        </w:tc>
        <w:tc>
          <w:tcPr>
            <w:tcW w:w="4032" w:type="dxa"/>
            <w:tcBorders>
              <w:top w:val="single" w:color="auto" w:sz="8" w:space="0"/>
              <w:left w:val="nil"/>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val="0"/>
              <w:snapToGrid w:val="0"/>
              <w:spacing w:line="400" w:lineRule="exact"/>
              <w:jc w:val="both"/>
              <w:textAlignment w:val="auto"/>
              <w:rPr>
                <w:color w:val="000000"/>
                <w:kern w:val="0"/>
                <w:szCs w:val="21"/>
                <w:highlight w:val="yellow"/>
              </w:rPr>
            </w:pPr>
            <w:r>
              <w:rPr>
                <w:color w:val="000000"/>
                <w:szCs w:val="21"/>
                <w:highlight w:val="none"/>
              </w:rPr>
              <w:t>投标人在参与采购活动中存在诚信相关问题且在</w:t>
            </w:r>
            <w:r>
              <w:rPr>
                <w:rFonts w:hint="eastAsia"/>
                <w:color w:val="000000"/>
                <w:szCs w:val="21"/>
                <w:highlight w:val="none"/>
                <w:lang w:eastAsia="zh-CN"/>
              </w:rPr>
              <w:t>有关</w:t>
            </w:r>
            <w:r>
              <w:rPr>
                <w:color w:val="000000"/>
                <w:szCs w:val="21"/>
                <w:highlight w:val="none"/>
              </w:rPr>
              <w:t>部门相关处理措施实施期限内的，本项不得分，否则得满分。投标人无需提供任何证明材料，由工作人员向</w:t>
            </w:r>
            <w:r>
              <w:rPr>
                <w:rFonts w:hint="eastAsia"/>
                <w:color w:val="000000"/>
                <w:szCs w:val="21"/>
                <w:highlight w:val="none"/>
                <w:lang w:eastAsia="zh-CN"/>
              </w:rPr>
              <w:t>采购评审小组</w:t>
            </w:r>
            <w:r>
              <w:rPr>
                <w:color w:val="000000"/>
                <w:szCs w:val="21"/>
                <w:highlight w:val="none"/>
              </w:rPr>
              <w:t>提供相关信息。</w:t>
            </w:r>
            <w:r>
              <w:rPr>
                <w:rFonts w:hint="eastAsia" w:ascii="宋体" w:hAnsi="宋体" w:cs="宋体"/>
                <w:color w:val="auto"/>
                <w:szCs w:val="21"/>
                <w:highlight w:val="none"/>
              </w:rPr>
              <w:t>查询渠道：通过“信用中国”（www.creditchina.gov.cn，</w:t>
            </w:r>
            <w:r>
              <w:rPr>
                <w:rFonts w:hint="eastAsia" w:ascii="宋体" w:hAnsi="宋体" w:cs="宋体"/>
                <w:color w:val="auto"/>
                <w:kern w:val="0"/>
                <w:szCs w:val="21"/>
                <w:highlight w:val="none"/>
                <w:lang w:bidi="ar"/>
              </w:rPr>
              <w:t>或者</w:t>
            </w:r>
            <w:r>
              <w:rPr>
                <w:rFonts w:hint="eastAsia" w:ascii="宋体" w:hAnsi="宋体" w:cs="宋体"/>
                <w:color w:val="auto"/>
                <w:szCs w:val="21"/>
                <w:highlight w:val="none"/>
              </w:rPr>
              <w:t>下载信用信息报告）、“中国政府采购网”（www.ccgp.gov.cn）、以及“深圳市政府采购监管网”（http://zfcg.sz.gov.cn）查询供应商信用信息，信用信息以开标当日的查询结果为准。</w:t>
            </w:r>
          </w:p>
        </w:tc>
      </w:tr>
    </w:tbl>
    <w:p>
      <w:pPr>
        <w:pStyle w:val="15"/>
        <w:jc w:val="center"/>
        <w:outlineLvl w:val="1"/>
        <w:rPr>
          <w:rFonts w:hint="eastAsia" w:ascii="黑体" w:hAnsi="黑体" w:eastAsia="黑体" w:cs="Times New Roman"/>
          <w:color w:val="auto"/>
          <w:sz w:val="40"/>
          <w:szCs w:val="40"/>
          <w:highlight w:val="none"/>
        </w:rPr>
      </w:pPr>
      <w:bookmarkStart w:id="103" w:name="_GoBack"/>
      <w:bookmarkEnd w:id="103"/>
    </w:p>
    <w:p>
      <w:pPr>
        <w:pStyle w:val="15"/>
        <w:jc w:val="center"/>
        <w:outlineLvl w:val="1"/>
        <w:rPr>
          <w:rFonts w:hint="default" w:ascii="黑体" w:hAnsi="黑体" w:eastAsia="黑体" w:cs="Times New Roman"/>
          <w:color w:val="auto"/>
          <w:sz w:val="40"/>
          <w:szCs w:val="40"/>
          <w:highlight w:val="none"/>
          <w:lang w:val="en-US" w:eastAsia="zh-CN"/>
        </w:rPr>
      </w:pPr>
      <w:r>
        <w:rPr>
          <w:rFonts w:hint="eastAsia" w:ascii="黑体" w:hAnsi="黑体" w:eastAsia="黑体" w:cs="Times New Roman"/>
          <w:color w:val="auto"/>
          <w:sz w:val="40"/>
          <w:szCs w:val="40"/>
          <w:highlight w:val="none"/>
          <w:lang w:eastAsia="zh-CN"/>
        </w:rPr>
        <w:t>其他关键信息</w:t>
      </w:r>
    </w:p>
    <w:p>
      <w:pPr>
        <w:pStyle w:val="15"/>
        <w:spacing w:line="360" w:lineRule="auto"/>
        <w:jc w:val="both"/>
        <w:outlineLvl w:val="1"/>
        <w:rPr>
          <w:rFonts w:hint="eastAsia" w:ascii="Calibri" w:hAnsi="Calibri" w:eastAsia="宋体" w:cs="Times New Roman"/>
          <w:b/>
          <w:kern w:val="2"/>
          <w:sz w:val="21"/>
          <w:szCs w:val="21"/>
          <w:lang w:val="en-US" w:eastAsia="zh-CN" w:bidi="ar-SA"/>
        </w:rPr>
      </w:pPr>
      <w:r>
        <w:rPr>
          <w:rFonts w:hint="eastAsia" w:ascii="Calibri" w:hAnsi="Calibri" w:eastAsia="宋体" w:cs="Times New Roman"/>
          <w:b/>
          <w:kern w:val="2"/>
          <w:sz w:val="21"/>
          <w:szCs w:val="21"/>
          <w:lang w:val="en-US" w:eastAsia="zh-CN" w:bidi="ar-SA"/>
        </w:rPr>
        <w:t>（一）定标方法</w:t>
      </w:r>
    </w:p>
    <w:p>
      <w:pPr>
        <w:adjustRightInd w:val="0"/>
        <w:snapToGrid w:val="0"/>
        <w:spacing w:line="360" w:lineRule="auto"/>
        <w:ind w:firstLine="420" w:firstLineChars="200"/>
        <w:jc w:val="left"/>
        <w:rPr>
          <w:rFonts w:hint="eastAsia" w:eastAsia="宋体" w:cs="Times New Roman"/>
        </w:rPr>
      </w:pPr>
      <w:r>
        <w:rPr>
          <w:rFonts w:hint="eastAsia" w:eastAsia="宋体" w:cs="Times New Roman"/>
          <w:lang w:eastAsia="zh-CN"/>
        </w:rPr>
        <w:t>评审</w:t>
      </w:r>
      <w:r>
        <w:rPr>
          <w:rFonts w:hint="eastAsia" w:eastAsia="宋体" w:cs="Times New Roman"/>
        </w:rPr>
        <w:t>结果按评审后得分由高到低顺序排列。得分相同的，按投标报价由低到高顺序排列。得分且投标报价相同的并列。投标文件满足</w:t>
      </w:r>
      <w:r>
        <w:rPr>
          <w:rFonts w:hint="eastAsia" w:eastAsia="宋体" w:cs="Times New Roman"/>
          <w:lang w:eastAsia="zh-CN"/>
        </w:rPr>
        <w:t>采购文件</w:t>
      </w:r>
      <w:r>
        <w:rPr>
          <w:rFonts w:hint="eastAsia" w:eastAsia="宋体" w:cs="Times New Roman"/>
        </w:rPr>
        <w:t>全部实质性要求，且按照评审因素的量化指标评审得分最高的投标人为排名第一的中标候选人（排名第二的投标人为第一递补中标候选人、排名第三的投标人为第二递补中标候选人）。中标候选人并列的，采取随机抽取的方式确定，具体操作办法及流程由</w:t>
      </w:r>
      <w:r>
        <w:rPr>
          <w:rFonts w:hint="eastAsia" w:cs="Times New Roman"/>
          <w:lang w:eastAsia="zh-CN"/>
        </w:rPr>
        <w:t>采购评审小组</w:t>
      </w:r>
      <w:r>
        <w:rPr>
          <w:rFonts w:hint="eastAsia" w:eastAsia="宋体" w:cs="Times New Roman"/>
        </w:rPr>
        <w:t>确定。如排名第一的中标候选人被认定投标或中标无效，符合法定情形时，依法顺次替补；合格供应商不符合法定数量时，应当重新开展采购活动。</w:t>
      </w:r>
    </w:p>
    <w:p>
      <w:pPr>
        <w:spacing w:line="360" w:lineRule="auto"/>
        <w:jc w:val="left"/>
        <w:rPr>
          <w:rFonts w:ascii="宋体" w:hAnsi="宋体" w:cs="宋体"/>
          <w:sz w:val="22"/>
        </w:rPr>
      </w:pPr>
      <w:r>
        <w:rPr>
          <w:rFonts w:hint="eastAsia"/>
          <w:b/>
        </w:rPr>
        <w:t>（二）关于享受优惠政策的主体及价格扣除比例</w:t>
      </w:r>
    </w:p>
    <w:p>
      <w:pPr>
        <w:adjustRightInd w:val="0"/>
        <w:snapToGrid w:val="0"/>
        <w:spacing w:line="360" w:lineRule="auto"/>
        <w:ind w:firstLine="420" w:firstLineChars="200"/>
        <w:jc w:val="left"/>
        <w:rPr>
          <w:szCs w:val="21"/>
        </w:rPr>
      </w:pPr>
      <w:r>
        <w:rPr>
          <w:szCs w:val="21"/>
        </w:rPr>
        <w:t>（1）投标人提供的工程全部均由优惠主体承建，则对其投标总价给予</w:t>
      </w:r>
      <w:r>
        <w:rPr>
          <w:b/>
          <w:bCs/>
          <w:szCs w:val="21"/>
          <w:u w:val="single"/>
        </w:rPr>
        <w:t xml:space="preserve"> 5 %</w:t>
      </w:r>
      <w:r>
        <w:rPr>
          <w:szCs w:val="21"/>
        </w:rPr>
        <w:t>的扣除，用扣除后的价格参与评审。满足多项优惠政策的企业，不重复享受多项价格扣除政策。</w:t>
      </w:r>
    </w:p>
    <w:p>
      <w:pPr>
        <w:adjustRightInd w:val="0"/>
        <w:snapToGrid w:val="0"/>
        <w:spacing w:line="360" w:lineRule="auto"/>
        <w:ind w:firstLine="420" w:firstLineChars="200"/>
        <w:jc w:val="left"/>
        <w:rPr>
          <w:szCs w:val="21"/>
        </w:rPr>
      </w:pPr>
      <w:r>
        <w:rPr>
          <w:szCs w:val="21"/>
        </w:rPr>
        <w:t>备注：（a）优惠主体包括小型企业、微型企业、监狱企业、残疾人福利性单位；中小企业是指在中华人民共和国境内依法设立，依据国务院批准的中小企业划分标准确定的中型企业、小型企业、微型企业，但与大企业的负责人为同一人，或者与大企业存在直接控股、管理关系的除外；符合中小企业划分标准的个体工商户，在政府采购活动中视同中小企业；(b)优惠主体承建工程施工单位为中小企业。</w:t>
      </w:r>
    </w:p>
    <w:p>
      <w:pPr>
        <w:adjustRightInd w:val="0"/>
        <w:snapToGrid w:val="0"/>
        <w:spacing w:line="360" w:lineRule="auto"/>
        <w:ind w:firstLine="420" w:firstLineChars="200"/>
        <w:jc w:val="left"/>
        <w:rPr>
          <w:szCs w:val="21"/>
        </w:rPr>
      </w:pPr>
      <w:r>
        <w:rPr>
          <w:szCs w:val="21"/>
        </w:rPr>
        <w:t>（2）根据《工业和信息化部、国家统计局、国家发展和改革委员会、财政部关于印发中小企业划型标准规定的通知》（工信部联企业〔2011〕300 号），本项目采购标的（服务需求）对应的中小企业划分标准所属行业为</w:t>
      </w:r>
      <w:r>
        <w:rPr>
          <w:b/>
          <w:bCs/>
          <w:szCs w:val="21"/>
          <w:u w:val="single"/>
        </w:rPr>
        <w:t>建筑业</w:t>
      </w:r>
      <w:r>
        <w:rPr>
          <w:szCs w:val="21"/>
        </w:rPr>
        <w:t>。</w:t>
      </w:r>
    </w:p>
    <w:p>
      <w:pPr>
        <w:adjustRightInd w:val="0"/>
        <w:snapToGrid w:val="0"/>
        <w:spacing w:line="360" w:lineRule="auto"/>
        <w:ind w:firstLine="420" w:firstLineChars="200"/>
        <w:jc w:val="left"/>
        <w:rPr>
          <w:szCs w:val="21"/>
        </w:rPr>
      </w:pPr>
      <w:r>
        <w:rPr>
          <w:szCs w:val="21"/>
        </w:rPr>
        <w:t>（3）小型企业、微型企业、残疾人福利性单位作为优惠主体的认定资料为《中小企业声明函》、《残疾人福利性单位声明函》；监狱企业作为优惠主体的认定资料为省级以上监狱管理局、戒毒管理局出具的监狱企业证明文件。</w:t>
      </w:r>
      <w:r>
        <w:rPr>
          <w:szCs w:val="21"/>
          <w:highlight w:val="none"/>
        </w:rPr>
        <w:t>声明函样式见本</w:t>
      </w:r>
      <w:r>
        <w:rPr>
          <w:rFonts w:hint="eastAsia"/>
          <w:szCs w:val="21"/>
          <w:highlight w:val="none"/>
          <w:lang w:eastAsia="zh-CN"/>
        </w:rPr>
        <w:t>采购文件</w:t>
      </w:r>
      <w:r>
        <w:rPr>
          <w:szCs w:val="21"/>
          <w:highlight w:val="none"/>
        </w:rPr>
        <w:t>第一册第</w:t>
      </w:r>
      <w:r>
        <w:rPr>
          <w:rFonts w:hint="eastAsia"/>
          <w:szCs w:val="21"/>
          <w:highlight w:val="none"/>
          <w:lang w:eastAsia="zh-CN"/>
        </w:rPr>
        <w:t>三</w:t>
      </w:r>
      <w:r>
        <w:rPr>
          <w:szCs w:val="21"/>
          <w:highlight w:val="none"/>
        </w:rPr>
        <w:t>章“投标文件格式”中“六、投标人情况介绍及相关资质材料”）。</w:t>
      </w:r>
      <w:r>
        <w:rPr>
          <w:szCs w:val="21"/>
        </w:rPr>
        <w:t>监狱企业或者代理提供监狱企业货物的供应商如须享受优惠政策，除上述资料外，还须提供省级以上监狱管理局、戒毒管理局出具的监狱企业证明文件。</w:t>
      </w:r>
    </w:p>
    <w:p>
      <w:pPr>
        <w:adjustRightInd w:val="0"/>
        <w:snapToGrid w:val="0"/>
        <w:spacing w:line="360" w:lineRule="auto"/>
        <w:ind w:firstLine="420" w:firstLineChars="200"/>
        <w:jc w:val="left"/>
        <w:rPr>
          <w:szCs w:val="21"/>
        </w:rPr>
      </w:pPr>
      <w:r>
        <w:rPr>
          <w:szCs w:val="21"/>
        </w:rPr>
        <w:t>（4）享受价格扣除获得政府采购合同的，小微企业不得将合同分包给大中型企业。</w:t>
      </w:r>
    </w:p>
    <w:p>
      <w:pPr>
        <w:rPr>
          <w:szCs w:val="21"/>
        </w:rPr>
      </w:pPr>
      <w:r>
        <w:rPr>
          <w:szCs w:val="21"/>
        </w:rPr>
        <w:br w:type="page"/>
      </w:r>
    </w:p>
    <w:p>
      <w:pPr>
        <w:pStyle w:val="2"/>
        <w:keepNext w:val="0"/>
        <w:keepLines w:val="0"/>
        <w:pageBreakBefore/>
        <w:spacing w:line="360" w:lineRule="auto"/>
        <w:jc w:val="center"/>
        <w:rPr>
          <w:rFonts w:hint="eastAsia" w:ascii="黑体" w:hAnsi="黑体" w:eastAsia="黑体" w:cs="Times New Roman"/>
          <w:b w:val="0"/>
          <w:bCs w:val="0"/>
          <w:color w:val="auto"/>
          <w:kern w:val="2"/>
          <w:sz w:val="44"/>
          <w:szCs w:val="44"/>
          <w:lang w:val="en-US" w:eastAsia="zh-CN" w:bidi="ar-SA"/>
        </w:rPr>
      </w:pPr>
      <w:bookmarkStart w:id="7" w:name="_Toc82421163"/>
      <w:bookmarkStart w:id="8" w:name="_Toc22085"/>
      <w:bookmarkStart w:id="9" w:name="_Toc82421270"/>
      <w:bookmarkStart w:id="10" w:name="PO_mulu"/>
      <w:r>
        <w:rPr>
          <w:rFonts w:hint="eastAsia" w:ascii="黑体" w:hAnsi="黑体" w:eastAsia="黑体" w:cs="Times New Roman"/>
          <w:b w:val="0"/>
          <w:bCs w:val="0"/>
          <w:color w:val="auto"/>
          <w:kern w:val="2"/>
          <w:sz w:val="44"/>
          <w:szCs w:val="44"/>
          <w:lang w:val="en-US" w:eastAsia="zh-CN" w:bidi="ar-SA"/>
        </w:rPr>
        <w:t>目   录</w:t>
      </w:r>
      <w:bookmarkEnd w:id="7"/>
      <w:bookmarkEnd w:id="8"/>
      <w:bookmarkEnd w:id="9"/>
    </w:p>
    <w:p>
      <w:pPr>
        <w:spacing w:line="360" w:lineRule="auto"/>
        <w:rPr>
          <w:b/>
          <w:color w:val="000000"/>
          <w:sz w:val="24"/>
        </w:rPr>
      </w:pPr>
      <w:r>
        <w:rPr>
          <w:rFonts w:hint="eastAsia"/>
          <w:b/>
          <w:color w:val="000000"/>
          <w:sz w:val="24"/>
        </w:rPr>
        <w:t>第一册  专用条款</w:t>
      </w:r>
    </w:p>
    <w:p>
      <w:pPr>
        <w:spacing w:line="360" w:lineRule="auto"/>
        <w:rPr>
          <w:sz w:val="24"/>
        </w:rPr>
      </w:pPr>
      <w:r>
        <w:rPr>
          <w:rFonts w:hint="eastAsia"/>
          <w:color w:val="FF0000"/>
          <w:sz w:val="24"/>
        </w:rPr>
        <w:t xml:space="preserve">         </w:t>
      </w:r>
      <w:r>
        <w:rPr>
          <w:rFonts w:hint="eastAsia"/>
          <w:sz w:val="24"/>
        </w:rPr>
        <w:t>关键信息</w:t>
      </w:r>
    </w:p>
    <w:p>
      <w:pPr>
        <w:spacing w:line="360" w:lineRule="auto"/>
        <w:ind w:left="630" w:leftChars="300" w:firstLine="504" w:firstLineChars="240"/>
        <w:rPr>
          <w:rFonts w:ascii="宋体" w:hAnsi="宋体"/>
          <w:szCs w:val="21"/>
        </w:rPr>
      </w:pPr>
      <w:r>
        <w:rPr>
          <w:rFonts w:hint="eastAsia" w:ascii="宋体" w:hAnsi="宋体"/>
          <w:szCs w:val="21"/>
        </w:rPr>
        <w:t xml:space="preserve">第一章  </w:t>
      </w:r>
      <w:r>
        <w:rPr>
          <w:rFonts w:hint="eastAsia" w:ascii="宋体" w:hAnsi="宋体"/>
          <w:szCs w:val="21"/>
          <w:lang w:eastAsia="zh-CN"/>
        </w:rPr>
        <w:t>自行采购</w:t>
      </w:r>
      <w:r>
        <w:rPr>
          <w:rFonts w:hint="eastAsia" w:ascii="宋体" w:hAnsi="宋体"/>
          <w:szCs w:val="21"/>
        </w:rPr>
        <w:t>公告</w:t>
      </w:r>
    </w:p>
    <w:p>
      <w:pPr>
        <w:spacing w:line="360" w:lineRule="auto"/>
        <w:ind w:left="630" w:leftChars="300" w:firstLine="504" w:firstLineChars="240"/>
        <w:rPr>
          <w:rFonts w:ascii="宋体" w:hAnsi="宋体"/>
          <w:szCs w:val="21"/>
        </w:rPr>
      </w:pPr>
      <w:r>
        <w:rPr>
          <w:rFonts w:hint="eastAsia" w:ascii="宋体" w:hAnsi="宋体"/>
          <w:szCs w:val="21"/>
        </w:rPr>
        <w:t>第二章  招标项目需求</w:t>
      </w:r>
    </w:p>
    <w:p>
      <w:pPr>
        <w:spacing w:line="360" w:lineRule="auto"/>
        <w:ind w:left="630" w:leftChars="300" w:firstLine="504" w:firstLineChars="240"/>
        <w:rPr>
          <w:rFonts w:hint="eastAsia" w:ascii="宋体" w:hAnsi="宋体"/>
          <w:szCs w:val="21"/>
        </w:rPr>
      </w:pPr>
      <w:r>
        <w:rPr>
          <w:rFonts w:hint="eastAsia" w:ascii="宋体" w:hAnsi="宋体"/>
          <w:szCs w:val="21"/>
        </w:rPr>
        <w:t xml:space="preserve">第三章  </w:t>
      </w:r>
      <w:r>
        <w:rPr>
          <w:rFonts w:hint="eastAsia" w:ascii="宋体" w:hAnsi="宋体"/>
          <w:szCs w:val="21"/>
          <w:lang w:eastAsia="zh-CN"/>
        </w:rPr>
        <w:t>合同</w:t>
      </w:r>
      <w:r>
        <w:rPr>
          <w:rFonts w:hint="eastAsia" w:ascii="宋体" w:hAnsi="宋体"/>
          <w:szCs w:val="21"/>
        </w:rPr>
        <w:t>格式</w:t>
      </w:r>
    </w:p>
    <w:p>
      <w:pPr>
        <w:spacing w:line="360" w:lineRule="auto"/>
        <w:ind w:left="630" w:leftChars="300" w:firstLine="504" w:firstLineChars="240"/>
        <w:rPr>
          <w:rFonts w:hint="eastAsia" w:ascii="宋体" w:hAnsi="宋体"/>
          <w:szCs w:val="21"/>
        </w:rPr>
      </w:pPr>
      <w:r>
        <w:rPr>
          <w:rFonts w:hint="eastAsia" w:ascii="宋体" w:hAnsi="宋体"/>
          <w:szCs w:val="21"/>
        </w:rPr>
        <w:t>第</w:t>
      </w:r>
      <w:r>
        <w:rPr>
          <w:rFonts w:hint="eastAsia" w:ascii="宋体" w:hAnsi="宋体"/>
          <w:szCs w:val="21"/>
          <w:lang w:eastAsia="zh-CN"/>
        </w:rPr>
        <w:t>四</w:t>
      </w:r>
      <w:r>
        <w:rPr>
          <w:rFonts w:hint="eastAsia" w:ascii="宋体" w:hAnsi="宋体"/>
          <w:szCs w:val="21"/>
        </w:rPr>
        <w:t>章  投标文件格式</w:t>
      </w:r>
    </w:p>
    <w:p>
      <w:pPr>
        <w:spacing w:line="360" w:lineRule="auto"/>
        <w:rPr>
          <w:b/>
          <w:color w:val="000000"/>
          <w:sz w:val="24"/>
        </w:rPr>
      </w:pPr>
    </w:p>
    <w:p>
      <w:pPr>
        <w:spacing w:line="360" w:lineRule="auto"/>
        <w:rPr>
          <w:b/>
          <w:color w:val="000000"/>
          <w:sz w:val="24"/>
        </w:rPr>
      </w:pPr>
      <w:r>
        <w:rPr>
          <w:rFonts w:hint="eastAsia"/>
          <w:b/>
          <w:color w:val="000000"/>
          <w:sz w:val="24"/>
        </w:rPr>
        <w:t>第二册  通用条款</w:t>
      </w:r>
    </w:p>
    <w:p>
      <w:pPr>
        <w:numPr>
          <w:ilvl w:val="1"/>
          <w:numId w:val="0"/>
        </w:numPr>
        <w:tabs>
          <w:tab w:val="left" w:pos="360"/>
        </w:tabs>
        <w:spacing w:line="360" w:lineRule="auto"/>
        <w:ind w:firstLine="1079" w:firstLineChars="514"/>
        <w:rPr>
          <w:szCs w:val="21"/>
        </w:rPr>
      </w:pPr>
      <w:r>
        <w:rPr>
          <w:rFonts w:hint="eastAsia"/>
          <w:szCs w:val="21"/>
        </w:rPr>
        <w:t>第一章  总则</w:t>
      </w:r>
    </w:p>
    <w:p>
      <w:pPr>
        <w:numPr>
          <w:ilvl w:val="1"/>
          <w:numId w:val="0"/>
        </w:numPr>
        <w:tabs>
          <w:tab w:val="left" w:pos="360"/>
        </w:tabs>
        <w:spacing w:line="360" w:lineRule="auto"/>
        <w:ind w:firstLine="1079" w:firstLineChars="514"/>
        <w:rPr>
          <w:rFonts w:hint="eastAsia" w:eastAsia="宋体"/>
          <w:szCs w:val="21"/>
          <w:lang w:eastAsia="zh-CN"/>
        </w:rPr>
      </w:pPr>
      <w:r>
        <w:rPr>
          <w:rFonts w:hint="eastAsia"/>
          <w:szCs w:val="21"/>
        </w:rPr>
        <w:t xml:space="preserve">第二章  </w:t>
      </w:r>
      <w:r>
        <w:rPr>
          <w:rFonts w:hint="eastAsia"/>
          <w:szCs w:val="21"/>
          <w:lang w:eastAsia="zh-CN"/>
        </w:rPr>
        <w:t>采购文件</w:t>
      </w:r>
    </w:p>
    <w:p>
      <w:pPr>
        <w:numPr>
          <w:ilvl w:val="1"/>
          <w:numId w:val="0"/>
        </w:numPr>
        <w:tabs>
          <w:tab w:val="left" w:pos="360"/>
        </w:tabs>
        <w:spacing w:line="360" w:lineRule="auto"/>
        <w:ind w:firstLine="1079" w:firstLineChars="514"/>
        <w:rPr>
          <w:szCs w:val="21"/>
        </w:rPr>
      </w:pPr>
      <w:r>
        <w:rPr>
          <w:rFonts w:hint="eastAsia"/>
          <w:szCs w:val="21"/>
        </w:rPr>
        <w:t>第三章  投标文件的编制</w:t>
      </w:r>
    </w:p>
    <w:p>
      <w:pPr>
        <w:numPr>
          <w:ilvl w:val="1"/>
          <w:numId w:val="0"/>
        </w:numPr>
        <w:tabs>
          <w:tab w:val="left" w:pos="360"/>
        </w:tabs>
        <w:spacing w:line="360" w:lineRule="auto"/>
        <w:ind w:firstLine="1079" w:firstLineChars="514"/>
        <w:rPr>
          <w:szCs w:val="21"/>
        </w:rPr>
      </w:pPr>
      <w:r>
        <w:rPr>
          <w:rFonts w:hint="eastAsia"/>
          <w:szCs w:val="21"/>
        </w:rPr>
        <w:t>第四章  投标文件的递交</w:t>
      </w:r>
    </w:p>
    <w:p>
      <w:pPr>
        <w:numPr>
          <w:ilvl w:val="1"/>
          <w:numId w:val="0"/>
        </w:numPr>
        <w:tabs>
          <w:tab w:val="left" w:pos="360"/>
        </w:tabs>
        <w:spacing w:line="360" w:lineRule="auto"/>
        <w:ind w:firstLine="1079" w:firstLineChars="514"/>
        <w:rPr>
          <w:szCs w:val="21"/>
        </w:rPr>
      </w:pPr>
      <w:r>
        <w:rPr>
          <w:rFonts w:hint="eastAsia"/>
          <w:szCs w:val="21"/>
        </w:rPr>
        <w:t>第五章  开标</w:t>
      </w:r>
    </w:p>
    <w:p>
      <w:pPr>
        <w:numPr>
          <w:ilvl w:val="1"/>
          <w:numId w:val="0"/>
        </w:numPr>
        <w:tabs>
          <w:tab w:val="left" w:pos="360"/>
        </w:tabs>
        <w:spacing w:line="360" w:lineRule="auto"/>
        <w:ind w:firstLine="1079" w:firstLineChars="514"/>
        <w:rPr>
          <w:szCs w:val="21"/>
        </w:rPr>
      </w:pPr>
      <w:r>
        <w:rPr>
          <w:rFonts w:hint="eastAsia"/>
          <w:szCs w:val="21"/>
        </w:rPr>
        <w:t xml:space="preserve">第六章  </w:t>
      </w:r>
      <w:r>
        <w:rPr>
          <w:rFonts w:hint="eastAsia"/>
          <w:szCs w:val="21"/>
          <w:lang w:eastAsia="zh-CN"/>
        </w:rPr>
        <w:t>评审</w:t>
      </w:r>
      <w:r>
        <w:rPr>
          <w:rFonts w:hint="eastAsia"/>
          <w:szCs w:val="21"/>
        </w:rPr>
        <w:t>要求</w:t>
      </w:r>
    </w:p>
    <w:p>
      <w:pPr>
        <w:numPr>
          <w:ilvl w:val="1"/>
          <w:numId w:val="0"/>
        </w:numPr>
        <w:tabs>
          <w:tab w:val="left" w:pos="360"/>
        </w:tabs>
        <w:spacing w:line="360" w:lineRule="auto"/>
        <w:ind w:firstLine="1079" w:firstLineChars="514"/>
        <w:rPr>
          <w:szCs w:val="21"/>
        </w:rPr>
      </w:pPr>
      <w:r>
        <w:rPr>
          <w:rFonts w:hint="eastAsia"/>
          <w:szCs w:val="21"/>
        </w:rPr>
        <w:t xml:space="preserve">第七章  </w:t>
      </w:r>
      <w:r>
        <w:rPr>
          <w:rFonts w:hint="eastAsia"/>
          <w:szCs w:val="21"/>
          <w:lang w:eastAsia="zh-CN"/>
        </w:rPr>
        <w:t>评审</w:t>
      </w:r>
      <w:r>
        <w:rPr>
          <w:rFonts w:hint="eastAsia"/>
          <w:szCs w:val="21"/>
        </w:rPr>
        <w:t>程序及</w:t>
      </w:r>
      <w:r>
        <w:rPr>
          <w:rFonts w:hint="eastAsia"/>
          <w:szCs w:val="21"/>
          <w:lang w:eastAsia="zh-CN"/>
        </w:rPr>
        <w:t>评审</w:t>
      </w:r>
      <w:r>
        <w:rPr>
          <w:rFonts w:hint="eastAsia"/>
          <w:szCs w:val="21"/>
        </w:rPr>
        <w:t>方法</w:t>
      </w:r>
    </w:p>
    <w:p>
      <w:pPr>
        <w:numPr>
          <w:ilvl w:val="1"/>
          <w:numId w:val="0"/>
        </w:numPr>
        <w:tabs>
          <w:tab w:val="left" w:pos="360"/>
        </w:tabs>
        <w:spacing w:line="360" w:lineRule="auto"/>
        <w:ind w:firstLine="1079" w:firstLineChars="514"/>
        <w:rPr>
          <w:szCs w:val="21"/>
        </w:rPr>
      </w:pPr>
      <w:r>
        <w:rPr>
          <w:rFonts w:hint="eastAsia"/>
          <w:szCs w:val="21"/>
        </w:rPr>
        <w:t>第八章  定标及公示</w:t>
      </w:r>
    </w:p>
    <w:p>
      <w:pPr>
        <w:numPr>
          <w:ilvl w:val="1"/>
          <w:numId w:val="0"/>
        </w:numPr>
        <w:tabs>
          <w:tab w:val="left" w:pos="360"/>
        </w:tabs>
        <w:spacing w:line="360" w:lineRule="auto"/>
        <w:ind w:firstLine="1079" w:firstLineChars="514"/>
        <w:rPr>
          <w:szCs w:val="21"/>
        </w:rPr>
      </w:pPr>
      <w:r>
        <w:rPr>
          <w:rFonts w:hint="eastAsia"/>
          <w:szCs w:val="21"/>
        </w:rPr>
        <w:t>第九章  合同的授予与备案</w:t>
      </w:r>
    </w:p>
    <w:p>
      <w:pPr>
        <w:numPr>
          <w:ilvl w:val="1"/>
          <w:numId w:val="0"/>
        </w:numPr>
        <w:tabs>
          <w:tab w:val="left" w:pos="360"/>
        </w:tabs>
        <w:spacing w:line="360" w:lineRule="auto"/>
        <w:ind w:firstLine="1079" w:firstLineChars="514"/>
        <w:rPr>
          <w:szCs w:val="21"/>
        </w:rPr>
      </w:pPr>
      <w:r>
        <w:rPr>
          <w:rFonts w:hint="eastAsia"/>
          <w:szCs w:val="21"/>
        </w:rPr>
        <w:t>第十章  质疑处理</w:t>
      </w:r>
    </w:p>
    <w:bookmarkEnd w:id="10"/>
    <w:p>
      <w:pPr>
        <w:adjustRightInd w:val="0"/>
        <w:snapToGrid w:val="0"/>
        <w:spacing w:line="360" w:lineRule="auto"/>
        <w:ind w:firstLine="420" w:firstLineChars="200"/>
        <w:jc w:val="left"/>
        <w:rPr>
          <w:szCs w:val="21"/>
        </w:rPr>
      </w:pPr>
    </w:p>
    <w:p>
      <w:pPr>
        <w:rPr>
          <w:rFonts w:hint="eastAsia" w:ascii="黑体" w:hAnsi="黑体" w:eastAsia="黑体" w:cs="Times New Roman"/>
          <w:bCs w:val="0"/>
          <w:kern w:val="2"/>
          <w:sz w:val="32"/>
          <w:szCs w:val="32"/>
          <w:lang w:val="en-US" w:eastAsia="zh-CN" w:bidi="ar-SA"/>
        </w:rPr>
      </w:pPr>
    </w:p>
    <w:p>
      <w:pPr>
        <w:pStyle w:val="2"/>
        <w:keepNext w:val="0"/>
        <w:keepLines w:val="0"/>
        <w:pageBreakBefore/>
        <w:spacing w:line="360" w:lineRule="auto"/>
        <w:jc w:val="center"/>
        <w:rPr>
          <w:rFonts w:hint="eastAsia" w:ascii="黑体" w:hAnsi="黑体" w:eastAsia="黑体" w:cs="Times New Roman"/>
          <w:b w:val="0"/>
          <w:bCs w:val="0"/>
          <w:color w:val="auto"/>
          <w:kern w:val="2"/>
          <w:sz w:val="44"/>
          <w:szCs w:val="44"/>
          <w:lang w:val="en-US" w:eastAsia="zh-CN" w:bidi="ar-SA"/>
        </w:rPr>
      </w:pPr>
      <w:r>
        <w:rPr>
          <w:rFonts w:hint="eastAsia" w:ascii="黑体" w:hAnsi="黑体" w:eastAsia="黑体" w:cs="Times New Roman"/>
          <w:b w:val="0"/>
          <w:bCs w:val="0"/>
          <w:color w:val="auto"/>
          <w:kern w:val="2"/>
          <w:sz w:val="44"/>
          <w:szCs w:val="44"/>
          <w:lang w:val="en-US" w:eastAsia="zh-CN" w:bidi="ar-SA"/>
        </w:rPr>
        <w:t>第一册  专用条款</w:t>
      </w:r>
    </w:p>
    <w:p>
      <w:pPr>
        <w:pStyle w:val="5"/>
        <w:spacing w:before="231" w:beforeLines="50" w:after="231" w:afterLines="50"/>
        <w:rPr>
          <w:rFonts w:hint="eastAsia" w:ascii="方正小标宋简体" w:hAnsi="方正小标宋简体" w:eastAsia="方正小标宋简体" w:cs="方正小标宋简体"/>
          <w:b w:val="0"/>
          <w:bCs/>
          <w:kern w:val="2"/>
          <w:sz w:val="32"/>
          <w:szCs w:val="32"/>
          <w:u w:val="none"/>
          <w:lang w:val="en-US" w:eastAsia="zh-CN" w:bidi="ar-SA"/>
        </w:rPr>
      </w:pPr>
      <w:r>
        <w:rPr>
          <w:rFonts w:hint="eastAsia" w:ascii="方正小标宋简体" w:hAnsi="方正小标宋简体" w:eastAsia="方正小标宋简体" w:cs="方正小标宋简体"/>
          <w:b w:val="0"/>
          <w:bCs/>
          <w:kern w:val="2"/>
          <w:sz w:val="32"/>
          <w:szCs w:val="32"/>
          <w:u w:val="none"/>
          <w:lang w:val="en-US" w:eastAsia="zh-CN" w:bidi="ar-SA"/>
        </w:rPr>
        <w:t>第一章  自行采购公告</w:t>
      </w:r>
    </w:p>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jc w:val="left"/>
        <w:textAlignment w:val="auto"/>
        <w:rPr>
          <w:rFonts w:hint="eastAsia" w:ascii="黑体" w:hAnsi="黑体" w:eastAsia="黑体"/>
          <w:sz w:val="28"/>
          <w:szCs w:val="28"/>
        </w:rPr>
      </w:pPr>
      <w:r>
        <w:rPr>
          <w:rFonts w:hint="eastAsia" w:ascii="仿宋_GB2312" w:hAnsi="仿宋_GB2312" w:eastAsia="仿宋_GB2312" w:cs="仿宋_GB2312"/>
          <w:sz w:val="28"/>
          <w:szCs w:val="28"/>
          <w:lang w:val="en-US" w:eastAsia="zh-CN"/>
        </w:rPr>
        <w:t>根据</w:t>
      </w:r>
      <w:r>
        <w:rPr>
          <w:rFonts w:hint="default" w:ascii="仿宋_GB2312" w:hAnsi="仿宋" w:eastAsia="仿宋_GB2312"/>
          <w:sz w:val="28"/>
          <w:szCs w:val="28"/>
          <w:lang w:val="en-US" w:eastAsia="zh-CN"/>
        </w:rPr>
        <w:t>《深圳市盐田区中英街管理局政府采购管理办法》</w:t>
      </w:r>
      <w:r>
        <w:rPr>
          <w:rFonts w:hint="eastAsia" w:ascii="仿宋_GB2312" w:hAnsi="仿宋_GB2312" w:eastAsia="仿宋_GB2312" w:cs="仿宋_GB2312"/>
          <w:sz w:val="28"/>
          <w:szCs w:val="28"/>
          <w:lang w:val="en-US" w:eastAsia="zh-CN"/>
        </w:rPr>
        <w:t>规定，</w:t>
      </w:r>
      <w:r>
        <w:rPr>
          <w:rFonts w:hint="default" w:ascii="仿宋_GB2312" w:hAnsi="仿宋" w:eastAsia="仿宋_GB2312"/>
          <w:sz w:val="28"/>
          <w:szCs w:val="28"/>
          <w:lang w:val="en-US" w:eastAsia="zh-CN"/>
        </w:rPr>
        <w:t>深圳市盐田区中英街管理局</w:t>
      </w:r>
      <w:r>
        <w:rPr>
          <w:rFonts w:hint="eastAsia" w:ascii="仿宋_GB2312" w:hAnsi="仿宋_GB2312" w:eastAsia="仿宋_GB2312" w:cs="仿宋_GB2312"/>
          <w:sz w:val="28"/>
          <w:szCs w:val="28"/>
          <w:lang w:val="en-US" w:eastAsia="zh-CN"/>
        </w:rPr>
        <w:t>就</w:t>
      </w:r>
      <w:r>
        <w:rPr>
          <w:rFonts w:hint="default" w:ascii="仿宋_GB2312" w:hAnsi="仿宋" w:eastAsia="仿宋_GB2312"/>
          <w:sz w:val="28"/>
          <w:szCs w:val="28"/>
          <w:lang w:val="en-US" w:eastAsia="zh-CN"/>
        </w:rPr>
        <w:t>碧海花园周边环境提升及人行路面修缮工程</w:t>
      </w:r>
      <w:r>
        <w:rPr>
          <w:rFonts w:hint="eastAsia" w:ascii="仿宋_GB2312" w:hAnsi="仿宋_GB2312" w:eastAsia="仿宋_GB2312" w:cs="仿宋_GB2312"/>
          <w:sz w:val="28"/>
          <w:szCs w:val="28"/>
          <w:lang w:val="en-US" w:eastAsia="zh-CN"/>
        </w:rPr>
        <w:t>进行公开征集，欢迎符合资格的供应商参加投标。</w:t>
      </w:r>
    </w:p>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jc w:val="left"/>
        <w:textAlignment w:val="auto"/>
        <w:rPr>
          <w:rFonts w:ascii="黑体" w:hAnsi="黑体" w:eastAsia="黑体"/>
          <w:sz w:val="28"/>
          <w:szCs w:val="28"/>
        </w:rPr>
      </w:pPr>
      <w:r>
        <w:rPr>
          <w:rFonts w:hint="eastAsia" w:ascii="黑体" w:hAnsi="黑体" w:eastAsia="黑体"/>
          <w:sz w:val="28"/>
          <w:szCs w:val="28"/>
        </w:rPr>
        <w:t>一、项目基本情况</w:t>
      </w:r>
    </w:p>
    <w:p>
      <w:pPr>
        <w:keepNext w:val="0"/>
        <w:keepLines w:val="0"/>
        <w:pageBreakBefore w:val="0"/>
        <w:kinsoku/>
        <w:wordWrap/>
        <w:overflowPunct/>
        <w:topLinePunct w:val="0"/>
        <w:autoSpaceDE w:val="0"/>
        <w:autoSpaceDN/>
        <w:bidi w:val="0"/>
        <w:adjustRightInd/>
        <w:snapToGrid/>
        <w:spacing w:line="500" w:lineRule="exact"/>
        <w:ind w:firstLine="560" w:firstLineChars="200"/>
        <w:jc w:val="left"/>
        <w:textAlignment w:val="auto"/>
        <w:rPr>
          <w:rFonts w:ascii="仿宋" w:hAnsi="仿宋" w:eastAsia="仿宋"/>
          <w:sz w:val="28"/>
          <w:szCs w:val="28"/>
        </w:rPr>
      </w:pPr>
      <w:r>
        <w:rPr>
          <w:rFonts w:hint="eastAsia" w:ascii="楷体" w:hAnsi="楷体" w:eastAsia="楷体" w:cs="楷体"/>
          <w:sz w:val="28"/>
          <w:szCs w:val="28"/>
          <w:lang w:eastAsia="zh-CN"/>
        </w:rPr>
        <w:t>（一）</w:t>
      </w:r>
      <w:r>
        <w:rPr>
          <w:rFonts w:hint="eastAsia" w:ascii="楷体" w:hAnsi="楷体" w:eastAsia="楷体" w:cs="楷体"/>
          <w:sz w:val="28"/>
          <w:szCs w:val="28"/>
        </w:rPr>
        <w:t>项目名称：</w:t>
      </w:r>
      <w:r>
        <w:rPr>
          <w:rFonts w:hint="eastAsia" w:ascii="仿宋_GB2312" w:hAnsi="仿宋_GB2312" w:eastAsia="仿宋_GB2312" w:cs="仿宋_GB2312"/>
          <w:sz w:val="28"/>
          <w:szCs w:val="28"/>
        </w:rPr>
        <w:t>碧海花园周边环境提升及人行路面修缮工程</w:t>
      </w:r>
    </w:p>
    <w:p>
      <w:pPr>
        <w:keepNext w:val="0"/>
        <w:keepLines w:val="0"/>
        <w:pageBreakBefore w:val="0"/>
        <w:kinsoku/>
        <w:wordWrap/>
        <w:overflowPunct/>
        <w:topLinePunct w:val="0"/>
        <w:autoSpaceDE w:val="0"/>
        <w:autoSpaceDN/>
        <w:bidi w:val="0"/>
        <w:adjustRightInd/>
        <w:snapToGrid/>
        <w:spacing w:line="500" w:lineRule="exact"/>
        <w:ind w:firstLine="560" w:firstLineChars="200"/>
        <w:jc w:val="left"/>
        <w:textAlignment w:val="auto"/>
        <w:rPr>
          <w:rFonts w:ascii="仿宋_GB2312" w:hAnsi="仿宋_GB2312" w:eastAsia="仿宋_GB2312" w:cs="仿宋_GB2312"/>
          <w:sz w:val="28"/>
          <w:szCs w:val="28"/>
        </w:rPr>
      </w:pPr>
      <w:r>
        <w:rPr>
          <w:rFonts w:hint="eastAsia" w:ascii="楷体" w:hAnsi="楷体" w:eastAsia="楷体" w:cs="楷体"/>
          <w:sz w:val="28"/>
          <w:szCs w:val="28"/>
          <w:lang w:eastAsia="zh-CN"/>
        </w:rPr>
        <w:t>（二）投标最高限额</w:t>
      </w:r>
      <w:r>
        <w:rPr>
          <w:rFonts w:hint="eastAsia" w:ascii="楷体" w:hAnsi="楷体" w:eastAsia="楷体" w:cs="楷体"/>
          <w:sz w:val="28"/>
          <w:szCs w:val="28"/>
          <w:lang w:val="en-US" w:eastAsia="zh-CN"/>
        </w:rPr>
        <w:t>：</w:t>
      </w:r>
      <w:r>
        <w:rPr>
          <w:rFonts w:hint="eastAsia" w:ascii="仿宋_GB2312" w:hAnsi="仿宋_GB2312" w:eastAsia="仿宋_GB2312" w:cs="仿宋_GB2312"/>
          <w:sz w:val="28"/>
          <w:szCs w:val="28"/>
          <w:lang w:val="en-US" w:eastAsia="zh-CN"/>
        </w:rPr>
        <w:t>合计人民币337036.95元。</w:t>
      </w:r>
    </w:p>
    <w:p>
      <w:pPr>
        <w:keepNext w:val="0"/>
        <w:keepLines w:val="0"/>
        <w:pageBreakBefore w:val="0"/>
        <w:kinsoku/>
        <w:wordWrap/>
        <w:overflowPunct/>
        <w:topLinePunct w:val="0"/>
        <w:autoSpaceDE w:val="0"/>
        <w:autoSpaceDN/>
        <w:bidi w:val="0"/>
        <w:adjustRightInd/>
        <w:snapToGrid/>
        <w:spacing w:line="500" w:lineRule="exact"/>
        <w:ind w:firstLine="560" w:firstLineChars="200"/>
        <w:jc w:val="left"/>
        <w:textAlignment w:val="auto"/>
        <w:rPr>
          <w:rFonts w:ascii="楷体_GB2312" w:hAnsi="方正楷体_GBK" w:eastAsia="楷体_GB2312" w:cs="方正楷体_GBK"/>
          <w:sz w:val="28"/>
          <w:szCs w:val="28"/>
        </w:rPr>
      </w:pPr>
      <w:r>
        <w:rPr>
          <w:rFonts w:hint="eastAsia" w:ascii="楷体" w:hAnsi="楷体" w:eastAsia="楷体" w:cs="楷体"/>
          <w:sz w:val="28"/>
          <w:szCs w:val="28"/>
          <w:lang w:eastAsia="zh-CN"/>
        </w:rPr>
        <w:t>（三）服务内容</w:t>
      </w:r>
      <w:r>
        <w:rPr>
          <w:rFonts w:hint="eastAsia" w:ascii="楷体" w:hAnsi="楷体" w:eastAsia="楷体" w:cs="楷体"/>
          <w:sz w:val="28"/>
          <w:szCs w:val="28"/>
        </w:rPr>
        <w:t>：</w:t>
      </w:r>
    </w:p>
    <w:p>
      <w:pPr>
        <w:keepNext w:val="0"/>
        <w:keepLines w:val="0"/>
        <w:pageBreakBefore w:val="0"/>
        <w:kinsoku/>
        <w:wordWrap/>
        <w:overflowPunct/>
        <w:topLinePunct w:val="0"/>
        <w:autoSpaceDE/>
        <w:autoSpaceDN/>
        <w:bidi w:val="0"/>
        <w:adjustRightInd/>
        <w:snapToGrid/>
        <w:spacing w:beforeAutospacing="0" w:afterAutospacing="0" w:line="500" w:lineRule="exact"/>
        <w:ind w:firstLine="560" w:firstLineChars="200"/>
        <w:jc w:val="left"/>
        <w:textAlignment w:val="auto"/>
        <w:rPr>
          <w:rFonts w:hint="default" w:ascii="仿宋_GB2312" w:hAnsi="仿宋" w:eastAsia="仿宋_GB2312" w:cs="Times New Roman"/>
          <w:kern w:val="2"/>
          <w:sz w:val="28"/>
          <w:szCs w:val="28"/>
          <w:lang w:val="en-US" w:eastAsia="zh-CN" w:bidi="ar-SA"/>
        </w:rPr>
      </w:pPr>
      <w:r>
        <w:rPr>
          <w:rFonts w:hint="eastAsia" w:ascii="仿宋_GB2312" w:hAnsi="仿宋" w:eastAsia="仿宋_GB2312" w:cs="Times New Roman"/>
          <w:kern w:val="2"/>
          <w:sz w:val="28"/>
          <w:szCs w:val="28"/>
          <w:lang w:val="en-US" w:eastAsia="zh-CN" w:bidi="ar-SA"/>
        </w:rPr>
        <w:t>1.主要建设内容：拆除原有破损塌陷混凝土地面，新做混凝土地面，墙面做乳胶漆，原护栏破损重新安装原有路缘石及人行道拆除新做路缘石和人行道等。具体详见采购文件。</w:t>
      </w:r>
    </w:p>
    <w:p>
      <w:pPr>
        <w:keepNext w:val="0"/>
        <w:keepLines w:val="0"/>
        <w:pageBreakBefore w:val="0"/>
        <w:numPr>
          <w:ilvl w:val="0"/>
          <w:numId w:val="0"/>
        </w:numPr>
        <w:kinsoku/>
        <w:wordWrap/>
        <w:overflowPunct/>
        <w:topLinePunct w:val="0"/>
        <w:autoSpaceDE w:val="0"/>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工期要求：总工期为</w:t>
      </w:r>
      <w:r>
        <w:rPr>
          <w:rFonts w:hint="eastAsia" w:ascii="仿宋_GB2312" w:hAnsi="仿宋_GB2312" w:eastAsia="仿宋_GB2312" w:cs="仿宋_GB2312"/>
          <w:sz w:val="28"/>
          <w:szCs w:val="28"/>
          <w:lang w:val="en-US" w:eastAsia="zh-CN"/>
        </w:rPr>
        <w:t>90</w:t>
      </w:r>
      <w:r>
        <w:rPr>
          <w:rFonts w:hint="eastAsia" w:ascii="仿宋_GB2312" w:hAnsi="仿宋_GB2312" w:eastAsia="仿宋_GB2312" w:cs="仿宋_GB2312"/>
          <w:sz w:val="28"/>
          <w:szCs w:val="28"/>
          <w:lang w:eastAsia="zh-CN"/>
        </w:rPr>
        <w:t>天（日历日）以内，具体开工时间以建设方通知为准</w:t>
      </w:r>
      <w:r>
        <w:rPr>
          <w:rFonts w:hint="eastAsia" w:ascii="仿宋_GB2312" w:hAnsi="仿宋_GB2312" w:eastAsia="仿宋_GB2312" w:cs="仿宋_GB2312"/>
          <w:sz w:val="28"/>
          <w:szCs w:val="28"/>
        </w:rPr>
        <w:t>。</w:t>
      </w:r>
    </w:p>
    <w:p>
      <w:pPr>
        <w:pStyle w:val="6"/>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sz w:val="20"/>
          <w:szCs w:val="22"/>
          <w:lang w:val="en-US" w:eastAsia="zh-CN"/>
        </w:rPr>
      </w:pPr>
      <w:r>
        <w:rPr>
          <w:rFonts w:hint="eastAsia" w:ascii="楷体" w:hAnsi="楷体" w:eastAsia="楷体" w:cs="楷体"/>
          <w:color w:val="auto"/>
          <w:kern w:val="2"/>
          <w:sz w:val="28"/>
          <w:szCs w:val="36"/>
          <w:lang w:val="en-US" w:eastAsia="zh-CN" w:bidi="ar-SA"/>
        </w:rPr>
        <w:t>（四）评定方式：</w:t>
      </w:r>
      <w:r>
        <w:rPr>
          <w:rFonts w:hint="eastAsia" w:ascii="仿宋_GB2312" w:hAnsi="仿宋_GB2312" w:eastAsia="仿宋_GB2312" w:cs="仿宋_GB2312"/>
          <w:color w:val="auto"/>
          <w:sz w:val="28"/>
          <w:szCs w:val="36"/>
          <w:lang w:val="en-US" w:eastAsia="zh-CN"/>
        </w:rPr>
        <w:t>综合评分法。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color w:val="auto"/>
          <w:kern w:val="2"/>
          <w:sz w:val="28"/>
          <w:szCs w:val="36"/>
          <w:highlight w:val="none"/>
          <w:lang w:val="en-US" w:eastAsia="zh-CN" w:bidi="ar-SA"/>
        </w:rPr>
      </w:pPr>
      <w:r>
        <w:rPr>
          <w:rFonts w:hint="eastAsia" w:ascii="楷体" w:hAnsi="楷体" w:eastAsia="楷体" w:cs="楷体"/>
          <w:color w:val="auto"/>
          <w:sz w:val="28"/>
          <w:szCs w:val="36"/>
          <w:highlight w:val="none"/>
          <w:lang w:val="en-US" w:eastAsia="zh-CN"/>
        </w:rPr>
        <w:t>（五）供应商资格审查：</w:t>
      </w:r>
      <w:r>
        <w:rPr>
          <w:rFonts w:hint="eastAsia" w:ascii="仿宋_GB2312" w:hAnsi="仿宋_GB2312" w:eastAsia="仿宋_GB2312" w:cs="仿宋_GB2312"/>
          <w:color w:val="auto"/>
          <w:kern w:val="2"/>
          <w:sz w:val="28"/>
          <w:szCs w:val="36"/>
          <w:lang w:val="en-US" w:eastAsia="zh-CN" w:bidi="ar-SA"/>
        </w:rPr>
        <w:t>采购评审小组将按照法律法规以及采购文件的要求对项目投标（响应）供应商资格审查。审查内容包括但不限于：投标（响应）供应商是否符合项目资质要求，投标报价是否超预算上限，是否存在因违法行为而被禁止参加政府采购活动情形，不同投标供应商的法定代表人、主要经营负责人、投标授权代表人、项目负责人、主要技术人员是否为同一人、属同一单位或者在同一单位缴纳社会保险，不同投标供应商是否存在直接控股、管理关系。如存在上述情形，供应商资格审查不通过，不得参与本次自行采购活动。</w:t>
      </w:r>
    </w:p>
    <w:p>
      <w:pPr>
        <w:keepNext w:val="0"/>
        <w:keepLines w:val="0"/>
        <w:pageBreakBefore w:val="0"/>
        <w:widowControl w:val="0"/>
        <w:kinsoku/>
        <w:wordWrap/>
        <w:overflowPunct/>
        <w:topLinePunct w:val="0"/>
        <w:autoSpaceDE w:val="0"/>
        <w:autoSpaceDN/>
        <w:bidi w:val="0"/>
        <w:adjustRightInd/>
        <w:snapToGrid/>
        <w:spacing w:line="500" w:lineRule="exact"/>
        <w:ind w:firstLine="560" w:firstLineChars="200"/>
        <w:jc w:val="left"/>
        <w:textAlignment w:val="auto"/>
        <w:rPr>
          <w:rFonts w:hint="eastAsia" w:ascii="黑体" w:hAnsi="黑体" w:eastAsia="黑体"/>
          <w:sz w:val="28"/>
          <w:szCs w:val="28"/>
          <w:lang w:val="en-US" w:eastAsia="zh-CN"/>
        </w:rPr>
      </w:pPr>
      <w:r>
        <w:rPr>
          <w:rFonts w:hint="eastAsia" w:ascii="黑体" w:hAnsi="黑体" w:eastAsia="黑体"/>
          <w:sz w:val="28"/>
          <w:szCs w:val="28"/>
          <w:lang w:val="en-US" w:eastAsia="zh-CN"/>
        </w:rPr>
        <w:t>二、供应商资格要求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color w:val="auto"/>
          <w:kern w:val="2"/>
          <w:sz w:val="28"/>
          <w:szCs w:val="36"/>
          <w:lang w:val="en-US" w:eastAsia="zh-CN" w:bidi="ar-SA"/>
        </w:rPr>
      </w:pPr>
      <w:r>
        <w:rPr>
          <w:rFonts w:hint="eastAsia" w:ascii="仿宋_GB2312" w:hAnsi="仿宋_GB2312" w:eastAsia="仿宋_GB2312" w:cs="仿宋_GB2312"/>
          <w:color w:val="auto"/>
          <w:kern w:val="2"/>
          <w:sz w:val="28"/>
          <w:szCs w:val="36"/>
          <w:lang w:val="en-US" w:eastAsia="zh-CN" w:bidi="ar-SA"/>
        </w:rPr>
        <w:t>1.具有独立法人资格或具有独立承担民事责任的能力的其它组织</w:t>
      </w:r>
      <w:r>
        <w:rPr>
          <w:rFonts w:hint="eastAsia" w:ascii="仿宋_GB2312" w:hAnsi="仿宋_GB2312" w:eastAsia="仿宋_GB2312" w:cs="仿宋_GB2312"/>
          <w:color w:val="FF0000"/>
          <w:kern w:val="2"/>
          <w:sz w:val="28"/>
          <w:szCs w:val="36"/>
          <w:lang w:val="en-US" w:eastAsia="zh-CN" w:bidi="ar-SA"/>
        </w:rPr>
        <w:t>（提供营业执照或事业单位法人证等法人证明扫描件，原件备查）</w:t>
      </w:r>
      <w:r>
        <w:rPr>
          <w:rFonts w:hint="eastAsia" w:ascii="仿宋_GB2312" w:hAnsi="仿宋_GB2312" w:eastAsia="仿宋_GB2312" w:cs="仿宋_GB2312"/>
          <w:color w:val="auto"/>
          <w:kern w:val="2"/>
          <w:sz w:val="28"/>
          <w:szCs w:val="36"/>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color w:val="auto"/>
          <w:kern w:val="2"/>
          <w:sz w:val="28"/>
          <w:szCs w:val="36"/>
          <w:lang w:val="en-US" w:eastAsia="zh-CN" w:bidi="ar-SA"/>
        </w:rPr>
      </w:pPr>
      <w:r>
        <w:rPr>
          <w:rFonts w:hint="eastAsia" w:ascii="仿宋_GB2312" w:hAnsi="仿宋_GB2312" w:eastAsia="仿宋_GB2312" w:cs="仿宋_GB2312"/>
          <w:color w:val="auto"/>
          <w:kern w:val="2"/>
          <w:sz w:val="28"/>
          <w:szCs w:val="36"/>
          <w:lang w:val="en-US" w:eastAsia="zh-CN" w:bidi="ar-SA"/>
        </w:rPr>
        <w:t>2.具有建设行政主管部门颁发的有效期内的建筑装修装饰工程专业承包</w:t>
      </w:r>
      <w:r>
        <w:rPr>
          <w:rFonts w:hint="eastAsia" w:ascii="仿宋_GB2312" w:hAnsi="仿宋_GB2312" w:eastAsia="仿宋_GB2312" w:cs="仿宋_GB2312"/>
          <w:color w:val="auto"/>
          <w:kern w:val="2"/>
          <w:sz w:val="28"/>
          <w:szCs w:val="36"/>
          <w:highlight w:val="none"/>
          <w:lang w:val="en-US" w:eastAsia="zh-CN" w:bidi="ar-SA"/>
        </w:rPr>
        <w:t>二级</w:t>
      </w:r>
      <w:r>
        <w:rPr>
          <w:rFonts w:hint="eastAsia" w:ascii="仿宋_GB2312" w:hAnsi="仿宋_GB2312" w:eastAsia="仿宋_GB2312" w:cs="仿宋_GB2312"/>
          <w:color w:val="auto"/>
          <w:kern w:val="2"/>
          <w:sz w:val="28"/>
          <w:szCs w:val="36"/>
          <w:lang w:val="en-US" w:eastAsia="zh-CN" w:bidi="ar-SA"/>
        </w:rPr>
        <w:t>‌及以上资质</w:t>
      </w:r>
      <w:r>
        <w:rPr>
          <w:rFonts w:hint="eastAsia" w:ascii="仿宋_GB2312" w:hAnsi="仿宋_GB2312" w:eastAsia="仿宋_GB2312" w:cs="仿宋_GB2312"/>
          <w:color w:val="FF0000"/>
          <w:kern w:val="2"/>
          <w:sz w:val="28"/>
          <w:szCs w:val="36"/>
          <w:lang w:val="en-US" w:eastAsia="zh-CN" w:bidi="ar-SA"/>
        </w:rPr>
        <w:t>(提供有效的资质证书扫描件加盖投标人公章，原件备查)</w:t>
      </w:r>
      <w:r>
        <w:rPr>
          <w:rFonts w:hint="eastAsia" w:ascii="仿宋_GB2312" w:hAnsi="仿宋_GB2312" w:eastAsia="仿宋_GB2312" w:cs="仿宋_GB2312"/>
          <w:color w:val="auto"/>
          <w:kern w:val="2"/>
          <w:sz w:val="28"/>
          <w:szCs w:val="36"/>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color w:val="auto"/>
          <w:kern w:val="2"/>
          <w:sz w:val="28"/>
          <w:szCs w:val="36"/>
          <w:lang w:val="en-US" w:eastAsia="zh-CN" w:bidi="ar-SA"/>
        </w:rPr>
      </w:pPr>
      <w:r>
        <w:rPr>
          <w:rFonts w:hint="eastAsia" w:ascii="仿宋_GB2312" w:hAnsi="仿宋_GB2312" w:eastAsia="仿宋_GB2312" w:cs="仿宋_GB2312"/>
          <w:color w:val="auto"/>
          <w:kern w:val="2"/>
          <w:sz w:val="28"/>
          <w:szCs w:val="36"/>
          <w:lang w:val="en-US" w:eastAsia="zh-CN" w:bidi="ar-SA"/>
        </w:rPr>
        <w:t>3.具有建设行政主管部门颁发的有效期内的《安全生产许可证》</w:t>
      </w:r>
      <w:r>
        <w:rPr>
          <w:rFonts w:hint="eastAsia" w:ascii="仿宋_GB2312" w:hAnsi="仿宋_GB2312" w:eastAsia="仿宋_GB2312" w:cs="仿宋_GB2312"/>
          <w:color w:val="FF0000"/>
          <w:kern w:val="2"/>
          <w:sz w:val="28"/>
          <w:szCs w:val="36"/>
          <w:lang w:val="en-US" w:eastAsia="zh-CN" w:bidi="ar-SA"/>
        </w:rPr>
        <w:t>(提供有效的证书扫描件加盖投标人公章，原件备查)</w:t>
      </w:r>
      <w:r>
        <w:rPr>
          <w:rFonts w:hint="eastAsia" w:ascii="仿宋_GB2312" w:hAnsi="仿宋_GB2312" w:eastAsia="仿宋_GB2312" w:cs="仿宋_GB2312"/>
          <w:color w:val="auto"/>
          <w:kern w:val="2"/>
          <w:sz w:val="28"/>
          <w:szCs w:val="36"/>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color w:val="auto"/>
          <w:kern w:val="2"/>
          <w:sz w:val="28"/>
          <w:szCs w:val="36"/>
          <w:lang w:val="en-US" w:eastAsia="zh-CN" w:bidi="ar-SA"/>
        </w:rPr>
      </w:pPr>
      <w:r>
        <w:rPr>
          <w:rFonts w:hint="eastAsia" w:ascii="仿宋_GB2312" w:hAnsi="仿宋_GB2312" w:eastAsia="仿宋_GB2312" w:cs="仿宋_GB2312"/>
          <w:color w:val="auto"/>
          <w:kern w:val="2"/>
          <w:sz w:val="28"/>
          <w:szCs w:val="36"/>
          <w:lang w:val="en-US" w:eastAsia="zh-CN" w:bidi="ar-SA"/>
        </w:rPr>
        <w:t>4.参与本项目投标前三年内，在经营活动中没有重大违法记录</w:t>
      </w:r>
      <w:r>
        <w:rPr>
          <w:rFonts w:hint="eastAsia" w:ascii="仿宋_GB2312" w:hAnsi="仿宋_GB2312" w:eastAsia="仿宋_GB2312" w:cs="仿宋_GB2312"/>
          <w:color w:val="FF0000"/>
          <w:kern w:val="2"/>
          <w:sz w:val="28"/>
          <w:szCs w:val="36"/>
          <w:lang w:val="en-US" w:eastAsia="zh-CN" w:bidi="ar-SA"/>
        </w:rPr>
        <w:t>（由供应商在《投标及履约承诺函》中作出声明）</w:t>
      </w:r>
      <w:r>
        <w:rPr>
          <w:rFonts w:hint="eastAsia" w:ascii="仿宋_GB2312" w:hAnsi="仿宋_GB2312" w:eastAsia="仿宋_GB2312" w:cs="仿宋_GB2312"/>
          <w:color w:val="auto"/>
          <w:kern w:val="2"/>
          <w:sz w:val="28"/>
          <w:szCs w:val="36"/>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color w:val="auto"/>
          <w:kern w:val="2"/>
          <w:sz w:val="28"/>
          <w:szCs w:val="36"/>
          <w:lang w:val="en-US" w:eastAsia="zh-CN" w:bidi="ar-SA"/>
        </w:rPr>
      </w:pPr>
      <w:r>
        <w:rPr>
          <w:rFonts w:hint="eastAsia" w:ascii="仿宋_GB2312" w:hAnsi="仿宋_GB2312" w:eastAsia="仿宋_GB2312" w:cs="仿宋_GB2312"/>
          <w:color w:val="auto"/>
          <w:kern w:val="2"/>
          <w:sz w:val="28"/>
          <w:szCs w:val="36"/>
          <w:lang w:val="en-US" w:eastAsia="zh-CN" w:bidi="ar-SA"/>
        </w:rPr>
        <w:t>5.参与本项目采购活动时不存在被有关部门禁止参与政府采购活动且在有效期内的情况</w:t>
      </w:r>
      <w:r>
        <w:rPr>
          <w:rFonts w:hint="eastAsia" w:ascii="仿宋_GB2312" w:hAnsi="仿宋_GB2312" w:eastAsia="仿宋_GB2312" w:cs="仿宋_GB2312"/>
          <w:color w:val="FF0000"/>
          <w:kern w:val="2"/>
          <w:sz w:val="28"/>
          <w:szCs w:val="36"/>
          <w:lang w:val="en-US" w:eastAsia="zh-CN" w:bidi="ar-SA"/>
        </w:rPr>
        <w:t>（由供应商在《投标及履约承诺函》中作出声明）</w:t>
      </w:r>
      <w:r>
        <w:rPr>
          <w:rFonts w:hint="eastAsia" w:ascii="仿宋_GB2312" w:hAnsi="仿宋_GB2312" w:eastAsia="仿宋_GB2312" w:cs="仿宋_GB2312"/>
          <w:color w:val="auto"/>
          <w:kern w:val="2"/>
          <w:sz w:val="28"/>
          <w:szCs w:val="36"/>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color w:val="auto"/>
          <w:kern w:val="2"/>
          <w:sz w:val="28"/>
          <w:szCs w:val="36"/>
          <w:lang w:val="en-US" w:eastAsia="zh-CN" w:bidi="ar-SA"/>
        </w:rPr>
      </w:pPr>
      <w:r>
        <w:rPr>
          <w:rFonts w:hint="eastAsia" w:ascii="仿宋_GB2312" w:hAnsi="仿宋_GB2312" w:eastAsia="仿宋_GB2312" w:cs="仿宋_GB2312"/>
          <w:color w:val="auto"/>
          <w:kern w:val="2"/>
          <w:sz w:val="28"/>
          <w:szCs w:val="36"/>
          <w:lang w:val="en-US" w:eastAsia="zh-CN" w:bidi="ar-SA"/>
        </w:rPr>
        <w:t>6.参与本采购项目投标的供应商未被列入失信被执行人、重大税收违法失信主体、政府采购严重违法失信行为记录名单、不存在《深圳市财政局政府采购供应商信用信息管理办法》（深财规〔2023）3号）列明的严重违法失信行为</w:t>
      </w:r>
      <w:r>
        <w:rPr>
          <w:rFonts w:hint="eastAsia" w:ascii="仿宋_GB2312" w:hAnsi="仿宋_GB2312" w:eastAsia="仿宋_GB2312" w:cs="仿宋_GB2312"/>
          <w:color w:val="FF0000"/>
          <w:kern w:val="2"/>
          <w:sz w:val="28"/>
          <w:szCs w:val="36"/>
          <w:lang w:val="en-US" w:eastAsia="zh-CN" w:bidi="ar-SA"/>
        </w:rPr>
        <w:t>（由供应商在《投标及履约承诺函》中作出声明）</w:t>
      </w:r>
      <w:r>
        <w:rPr>
          <w:rFonts w:hint="eastAsia" w:ascii="仿宋_GB2312" w:hAnsi="仿宋_GB2312" w:eastAsia="仿宋_GB2312" w:cs="仿宋_GB2312"/>
          <w:color w:val="auto"/>
          <w:kern w:val="2"/>
          <w:sz w:val="28"/>
          <w:szCs w:val="36"/>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1" w:firstLineChars="200"/>
        <w:jc w:val="left"/>
        <w:textAlignment w:val="auto"/>
        <w:rPr>
          <w:rFonts w:hint="eastAsia" w:ascii="仿宋_GB2312" w:hAnsi="仿宋_GB2312" w:eastAsia="仿宋_GB2312" w:cs="仿宋_GB2312"/>
          <w:b/>
          <w:bCs/>
          <w:color w:val="auto"/>
          <w:kern w:val="2"/>
          <w:sz w:val="24"/>
          <w:szCs w:val="32"/>
          <w:lang w:val="en-US" w:eastAsia="zh-CN" w:bidi="ar-SA"/>
        </w:rPr>
      </w:pPr>
      <w:r>
        <w:rPr>
          <w:rFonts w:hint="eastAsia" w:ascii="仿宋_GB2312" w:hAnsi="仿宋_GB2312" w:eastAsia="仿宋_GB2312" w:cs="仿宋_GB2312"/>
          <w:b/>
          <w:bCs/>
          <w:color w:val="auto"/>
          <w:kern w:val="2"/>
          <w:sz w:val="24"/>
          <w:szCs w:val="32"/>
          <w:lang w:val="en-US" w:eastAsia="zh-CN" w:bidi="ar-SA"/>
        </w:rPr>
        <w:t>注：“信用中国”、“中国政府采购网”以及“深圳市政府采购监管网”为供应商信用信息的查询渠道，相关信息以开标当日的查询结果为准。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color w:val="auto"/>
          <w:kern w:val="2"/>
          <w:sz w:val="28"/>
          <w:szCs w:val="36"/>
          <w:lang w:val="en-US" w:eastAsia="zh-CN" w:bidi="ar-SA"/>
        </w:rPr>
      </w:pPr>
      <w:r>
        <w:rPr>
          <w:rFonts w:hint="eastAsia" w:ascii="仿宋_GB2312" w:hAnsi="仿宋_GB2312" w:eastAsia="仿宋_GB2312" w:cs="仿宋_GB2312"/>
          <w:color w:val="auto"/>
          <w:kern w:val="2"/>
          <w:sz w:val="28"/>
          <w:szCs w:val="36"/>
          <w:lang w:val="en-US" w:eastAsia="zh-CN" w:bidi="ar-SA"/>
        </w:rPr>
        <w:t>7.单位负责人为同一人或者存在直接控股、管理关系的不同供应商，不得参加同一合同项下的政府采购活动；为采购项目提供整体设计、规范编制或者项目管理、监理、检测等服务的供应商，不得再参加该采购项目的其他采购活动</w:t>
      </w:r>
      <w:r>
        <w:rPr>
          <w:rFonts w:hint="eastAsia" w:ascii="仿宋_GB2312" w:hAnsi="仿宋_GB2312" w:eastAsia="仿宋_GB2312" w:cs="仿宋_GB2312"/>
          <w:color w:val="FF0000"/>
          <w:kern w:val="2"/>
          <w:sz w:val="28"/>
          <w:szCs w:val="36"/>
          <w:lang w:val="en-US" w:eastAsia="zh-CN" w:bidi="ar-SA"/>
        </w:rPr>
        <w:t>（由供应商在《投标及履约承诺函》中作出声明并填写附表《供应商基本情况表》）</w:t>
      </w:r>
      <w:r>
        <w:rPr>
          <w:rFonts w:hint="eastAsia" w:ascii="仿宋_GB2312" w:hAnsi="仿宋_GB2312" w:eastAsia="仿宋_GB2312" w:cs="仿宋_GB2312"/>
          <w:color w:val="auto"/>
          <w:kern w:val="2"/>
          <w:sz w:val="28"/>
          <w:szCs w:val="36"/>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color w:val="auto"/>
          <w:kern w:val="2"/>
          <w:sz w:val="28"/>
          <w:szCs w:val="36"/>
          <w:lang w:val="en-US" w:eastAsia="zh-CN" w:bidi="ar-SA"/>
        </w:rPr>
      </w:pPr>
      <w:r>
        <w:rPr>
          <w:rFonts w:hint="eastAsia" w:ascii="仿宋_GB2312" w:hAnsi="仿宋_GB2312" w:eastAsia="仿宋_GB2312" w:cs="仿宋_GB2312"/>
          <w:color w:val="auto"/>
          <w:kern w:val="2"/>
          <w:sz w:val="28"/>
          <w:szCs w:val="36"/>
          <w:lang w:val="en-US" w:eastAsia="zh-CN" w:bidi="ar-SA"/>
        </w:rPr>
        <w:t>8.本项目不接受联合体投标。</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ascii="黑体" w:hAnsi="黑体" w:eastAsia="黑体"/>
          <w:sz w:val="28"/>
          <w:szCs w:val="28"/>
        </w:rPr>
      </w:pPr>
      <w:r>
        <w:rPr>
          <w:rFonts w:hint="eastAsia" w:ascii="黑体" w:hAnsi="黑体" w:eastAsia="黑体"/>
          <w:sz w:val="28"/>
          <w:szCs w:val="28"/>
          <w:lang w:eastAsia="zh-CN"/>
        </w:rPr>
        <w:t>三</w:t>
      </w:r>
      <w:r>
        <w:rPr>
          <w:rFonts w:hint="eastAsia" w:ascii="黑体" w:hAnsi="黑体" w:eastAsia="黑体"/>
          <w:sz w:val="28"/>
          <w:szCs w:val="28"/>
        </w:rPr>
        <w:t>、投标与开标注意事项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b w:val="0"/>
          <w:color w:val="auto"/>
          <w:sz w:val="28"/>
          <w:szCs w:val="28"/>
          <w:lang w:eastAsia="zh-CN"/>
        </w:rPr>
      </w:pPr>
      <w:r>
        <w:rPr>
          <w:rFonts w:hint="eastAsia" w:ascii="楷体" w:hAnsi="楷体" w:eastAsia="楷体" w:cs="楷体"/>
          <w:sz w:val="28"/>
          <w:szCs w:val="28"/>
          <w:lang w:eastAsia="zh-CN"/>
        </w:rPr>
        <w:t>（一）采购文件获取方式</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供应商可于2026年6月22日起至2026年6月25日18时</w:t>
      </w:r>
      <w:r>
        <w:rPr>
          <w:rFonts w:hint="eastAsia" w:ascii="仿宋_GB2312" w:hAnsi="仿宋_GB2312" w:eastAsia="仿宋_GB2312" w:cs="仿宋_GB2312"/>
          <w:sz w:val="28"/>
          <w:szCs w:val="28"/>
        </w:rPr>
        <w:t>整（北京时间）</w:t>
      </w:r>
      <w:r>
        <w:rPr>
          <w:rFonts w:hint="eastAsia" w:ascii="仿宋_GB2312" w:hAnsi="仿宋_GB2312" w:eastAsia="仿宋_GB2312" w:cs="仿宋_GB2312"/>
          <w:sz w:val="28"/>
          <w:szCs w:val="28"/>
          <w:lang w:val="en-US" w:eastAsia="zh-CN"/>
        </w:rPr>
        <w:t>期间，登录深圳盐田政府在线网站（http://www.yantian.gov.cn/）免费下载采购文件。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楷体"/>
          <w:sz w:val="28"/>
          <w:szCs w:val="28"/>
          <w:lang w:eastAsia="zh-CN"/>
        </w:rPr>
      </w:pPr>
      <w:r>
        <w:rPr>
          <w:rFonts w:hint="eastAsia" w:ascii="楷体" w:hAnsi="楷体" w:eastAsia="楷体" w:cs="楷体"/>
          <w:sz w:val="28"/>
          <w:szCs w:val="28"/>
          <w:lang w:val="en-US" w:eastAsia="zh-CN"/>
        </w:rPr>
        <w:t>（二）</w:t>
      </w:r>
      <w:r>
        <w:rPr>
          <w:rFonts w:hint="eastAsia" w:ascii="楷体" w:hAnsi="楷体" w:eastAsia="楷体" w:cs="楷体"/>
          <w:sz w:val="28"/>
          <w:szCs w:val="28"/>
          <w:lang w:eastAsia="zh-CN"/>
        </w:rPr>
        <w:t>现场踏勘</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本项目不安排现场踏勘。</w:t>
      </w:r>
    </w:p>
    <w:p>
      <w:pPr>
        <w:keepNext w:val="0"/>
        <w:keepLines w:val="0"/>
        <w:pageBreakBefore w:val="0"/>
        <w:kinsoku/>
        <w:wordWrap/>
        <w:overflowPunct/>
        <w:topLinePunct w:val="0"/>
        <w:autoSpaceDE w:val="0"/>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lang w:val="en-US" w:eastAsia="zh-CN"/>
        </w:rPr>
      </w:pPr>
      <w:r>
        <w:rPr>
          <w:rFonts w:hint="eastAsia" w:ascii="楷体" w:hAnsi="楷体" w:eastAsia="楷体" w:cs="楷体"/>
          <w:sz w:val="28"/>
          <w:szCs w:val="28"/>
          <w:lang w:val="en-US" w:eastAsia="zh-CN"/>
        </w:rPr>
        <w:t>（三）投标截止时间、开标时间和地点</w:t>
      </w:r>
    </w:p>
    <w:p>
      <w:pPr>
        <w:keepNext w:val="0"/>
        <w:keepLines w:val="0"/>
        <w:pageBreakBefore w:val="0"/>
        <w:widowControl/>
        <w:kinsoku/>
        <w:wordWrap/>
        <w:overflowPunct/>
        <w:topLinePunct w:val="0"/>
        <w:autoSpaceDE w:val="0"/>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1.提交</w:t>
      </w:r>
      <w:r>
        <w:rPr>
          <w:rFonts w:hint="eastAsia" w:ascii="仿宋_GB2312" w:hAnsi="仿宋_GB2312" w:eastAsia="仿宋_GB2312" w:cs="仿宋_GB2312"/>
          <w:sz w:val="28"/>
          <w:szCs w:val="28"/>
          <w:lang w:eastAsia="zh-CN"/>
        </w:rPr>
        <w:t>投标</w:t>
      </w:r>
      <w:r>
        <w:rPr>
          <w:rFonts w:hint="eastAsia" w:ascii="仿宋_GB2312" w:hAnsi="仿宋_GB2312" w:eastAsia="仿宋_GB2312" w:cs="仿宋_GB2312"/>
          <w:sz w:val="28"/>
          <w:szCs w:val="28"/>
        </w:rPr>
        <w:t>文件截止时间：202</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25</w:t>
      </w:r>
      <w:r>
        <w:rPr>
          <w:rFonts w:hint="eastAsia" w:ascii="仿宋_GB2312" w:hAnsi="仿宋_GB2312" w:eastAsia="仿宋_GB2312" w:cs="仿宋_GB2312"/>
          <w:sz w:val="28"/>
          <w:szCs w:val="28"/>
        </w:rPr>
        <w:t>日18点整（北京时间）</w:t>
      </w:r>
      <w:r>
        <w:rPr>
          <w:rFonts w:hint="eastAsia" w:ascii="仿宋_GB2312" w:hAnsi="仿宋_GB2312" w:eastAsia="仿宋_GB2312" w:cs="仿宋_GB2312"/>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CN"/>
        </w:rPr>
        <w:t>投标</w:t>
      </w:r>
      <w:r>
        <w:rPr>
          <w:rFonts w:hint="eastAsia" w:ascii="仿宋_GB2312" w:hAnsi="仿宋_GB2312" w:eastAsia="仿宋_GB2312" w:cs="仿宋_GB2312"/>
          <w:sz w:val="28"/>
          <w:szCs w:val="28"/>
        </w:rPr>
        <w:t>文件提交方式：</w:t>
      </w:r>
      <w:r>
        <w:rPr>
          <w:rFonts w:hint="eastAsia" w:ascii="仿宋_GB2312" w:hAnsi="仿宋_GB2312" w:eastAsia="仿宋_GB2312" w:cs="仿宋_GB2312"/>
          <w:sz w:val="28"/>
          <w:szCs w:val="28"/>
          <w:lang w:eastAsia="zh-CN"/>
        </w:rPr>
        <w:t>投标</w:t>
      </w:r>
      <w:r>
        <w:rPr>
          <w:rFonts w:hint="eastAsia" w:ascii="仿宋_GB2312" w:hAnsi="仿宋_GB2312" w:eastAsia="仿宋_GB2312" w:cs="仿宋_GB2312"/>
          <w:sz w:val="28"/>
          <w:szCs w:val="28"/>
        </w:rPr>
        <w:t>文件一律密封并移交采购联系人，未作密封的视为无效标。</w:t>
      </w:r>
      <w:r>
        <w:rPr>
          <w:rFonts w:hint="eastAsia" w:ascii="仿宋_GB2312" w:hAnsi="仿宋_GB2312" w:eastAsia="仿宋_GB2312" w:cs="仿宋_GB2312"/>
          <w:sz w:val="28"/>
          <w:szCs w:val="28"/>
          <w:lang w:val="en-US" w:eastAsia="zh-CN"/>
        </w:rPr>
        <w:t>投标文件应于投标截止时间之前递交，逾期递交的投标文件恕不接受。</w:t>
      </w:r>
    </w:p>
    <w:p>
      <w:pPr>
        <w:keepNext w:val="0"/>
        <w:keepLines w:val="0"/>
        <w:pageBreakBefore w:val="0"/>
        <w:widowControl/>
        <w:kinsoku/>
        <w:wordWrap/>
        <w:overflowPunct/>
        <w:topLinePunct w:val="0"/>
        <w:autoSpaceDE w:val="0"/>
        <w:autoSpaceDN/>
        <w:bidi w:val="0"/>
        <w:adjustRightInd/>
        <w:snapToGrid/>
        <w:spacing w:line="500" w:lineRule="exact"/>
        <w:ind w:firstLine="560" w:firstLineChars="200"/>
        <w:jc w:val="left"/>
        <w:textAlignment w:val="auto"/>
        <w:rPr>
          <w:rFonts w:ascii="仿宋" w:hAnsi="仿宋" w:eastAsia="仿宋"/>
          <w:sz w:val="28"/>
          <w:szCs w:val="28"/>
        </w:rPr>
      </w:pPr>
      <w:r>
        <w:rPr>
          <w:rFonts w:hint="eastAsia" w:ascii="仿宋_GB2312" w:hAnsi="仿宋_GB2312" w:eastAsia="仿宋_GB2312" w:cs="仿宋_GB2312"/>
          <w:sz w:val="28"/>
          <w:szCs w:val="28"/>
        </w:rPr>
        <w:t>3.采购评审时间和地点：定于202</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26</w:t>
      </w:r>
      <w:r>
        <w:rPr>
          <w:rFonts w:hint="eastAsia" w:ascii="仿宋_GB2312" w:hAnsi="仿宋_GB2312" w:eastAsia="仿宋_GB2312" w:cs="仿宋_GB2312"/>
          <w:sz w:val="28"/>
          <w:szCs w:val="28"/>
        </w:rPr>
        <w:t>日10点30分（北京时间）在</w:t>
      </w:r>
      <w:r>
        <w:rPr>
          <w:rFonts w:hint="eastAsia" w:ascii="仿宋_GB2312" w:hAnsi="仿宋_GB2312" w:eastAsia="仿宋_GB2312" w:cs="仿宋_GB2312"/>
          <w:sz w:val="28"/>
          <w:szCs w:val="28"/>
          <w:lang w:val="en-US" w:eastAsia="zh-CN"/>
        </w:rPr>
        <w:t>中英街社区党群服务中心3楼</w:t>
      </w:r>
      <w:r>
        <w:rPr>
          <w:rFonts w:hint="eastAsia" w:ascii="仿宋_GB2312" w:hAnsi="仿宋_GB2312" w:eastAsia="仿宋_GB2312" w:cs="仿宋_GB2312"/>
          <w:sz w:val="28"/>
          <w:szCs w:val="28"/>
        </w:rPr>
        <w:t>会议室进行项目评审。</w:t>
      </w:r>
    </w:p>
    <w:p>
      <w:pPr>
        <w:keepNext w:val="0"/>
        <w:keepLines w:val="0"/>
        <w:pageBreakBefore w:val="0"/>
        <w:kinsoku/>
        <w:wordWrap/>
        <w:overflowPunct/>
        <w:topLinePunct w:val="0"/>
        <w:autoSpaceDE w:val="0"/>
        <w:autoSpaceDN/>
        <w:bidi w:val="0"/>
        <w:adjustRightInd/>
        <w:snapToGrid/>
        <w:spacing w:line="500" w:lineRule="exact"/>
        <w:ind w:firstLine="560" w:firstLineChars="200"/>
        <w:jc w:val="left"/>
        <w:textAlignment w:val="auto"/>
        <w:rPr>
          <w:rFonts w:ascii="黑体" w:hAnsi="黑体" w:eastAsia="黑体"/>
          <w:sz w:val="28"/>
          <w:szCs w:val="28"/>
        </w:rPr>
      </w:pPr>
      <w:r>
        <w:rPr>
          <w:rFonts w:hint="eastAsia" w:ascii="黑体" w:hAnsi="黑体" w:eastAsia="黑体"/>
          <w:sz w:val="28"/>
          <w:szCs w:val="28"/>
          <w:lang w:eastAsia="zh-CN"/>
        </w:rPr>
        <w:t>四</w:t>
      </w:r>
      <w:r>
        <w:rPr>
          <w:rFonts w:hint="eastAsia" w:ascii="黑体" w:hAnsi="黑体" w:eastAsia="黑体"/>
          <w:sz w:val="28"/>
          <w:szCs w:val="28"/>
        </w:rPr>
        <w:t>、公告期限</w:t>
      </w:r>
    </w:p>
    <w:p>
      <w:pPr>
        <w:keepNext w:val="0"/>
        <w:keepLines w:val="0"/>
        <w:pageBreakBefore w:val="0"/>
        <w:kinsoku/>
        <w:wordWrap/>
        <w:overflowPunct/>
        <w:topLinePunct w:val="0"/>
        <w:autoSpaceDE w:val="0"/>
        <w:autoSpaceDN/>
        <w:bidi w:val="0"/>
        <w:adjustRightInd/>
        <w:snapToGrid/>
        <w:spacing w:line="50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自本公告发布之日起</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个工作日。</w:t>
      </w:r>
    </w:p>
    <w:p>
      <w:pPr>
        <w:keepNext w:val="0"/>
        <w:keepLines w:val="0"/>
        <w:pageBreakBefore w:val="0"/>
        <w:kinsoku/>
        <w:wordWrap/>
        <w:overflowPunct/>
        <w:topLinePunct w:val="0"/>
        <w:autoSpaceDE w:val="0"/>
        <w:autoSpaceDN/>
        <w:bidi w:val="0"/>
        <w:adjustRightInd/>
        <w:snapToGrid/>
        <w:spacing w:line="500" w:lineRule="exact"/>
        <w:ind w:firstLine="560" w:firstLineChars="200"/>
        <w:jc w:val="left"/>
        <w:textAlignment w:val="auto"/>
        <w:rPr>
          <w:rFonts w:ascii="黑体" w:hAnsi="黑体" w:eastAsia="黑体"/>
          <w:sz w:val="28"/>
          <w:szCs w:val="28"/>
        </w:rPr>
      </w:pPr>
      <w:r>
        <w:rPr>
          <w:rFonts w:hint="eastAsia" w:ascii="黑体" w:hAnsi="黑体" w:eastAsia="黑体"/>
          <w:sz w:val="28"/>
          <w:szCs w:val="28"/>
          <w:lang w:eastAsia="zh-CN"/>
        </w:rPr>
        <w:t>五</w:t>
      </w:r>
      <w:r>
        <w:rPr>
          <w:rFonts w:hint="eastAsia" w:ascii="黑体" w:hAnsi="黑体" w:eastAsia="黑体"/>
          <w:sz w:val="28"/>
          <w:szCs w:val="28"/>
        </w:rPr>
        <w:t>、本单位负责对项目的询问、质疑和投诉进行处理。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供应商认为采购文件的内容损害其权益的，应在采购文件公布之日起3个工作日内以书面形式向我局提出，逾期不予受理。</w:t>
      </w:r>
    </w:p>
    <w:p>
      <w:pPr>
        <w:keepNext w:val="0"/>
        <w:keepLines w:val="0"/>
        <w:pageBreakBefore w:val="0"/>
        <w:widowControl/>
        <w:kinsoku/>
        <w:wordWrap/>
        <w:overflowPunct/>
        <w:topLinePunct w:val="0"/>
        <w:autoSpaceDE w:val="0"/>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联</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系</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人：</w:t>
      </w:r>
      <w:r>
        <w:rPr>
          <w:rFonts w:hint="eastAsia" w:ascii="仿宋_GB2312" w:hAnsi="仿宋_GB2312" w:eastAsia="仿宋_GB2312" w:cs="仿宋_GB2312"/>
          <w:sz w:val="28"/>
          <w:szCs w:val="28"/>
          <w:lang w:val="en-US" w:eastAsia="zh-CN"/>
        </w:rPr>
        <w:t>陈良玉</w:t>
      </w:r>
    </w:p>
    <w:p>
      <w:pPr>
        <w:keepNext w:val="0"/>
        <w:keepLines w:val="0"/>
        <w:pageBreakBefore w:val="0"/>
        <w:widowControl/>
        <w:kinsoku/>
        <w:wordWrap/>
        <w:overflowPunct/>
        <w:topLinePunct w:val="0"/>
        <w:autoSpaceDE w:val="0"/>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联系方式：0755-25551748</w:t>
      </w:r>
    </w:p>
    <w:p>
      <w:pPr>
        <w:keepNext w:val="0"/>
        <w:keepLines w:val="0"/>
        <w:pageBreakBefore w:val="0"/>
        <w:widowControl/>
        <w:kinsoku/>
        <w:wordWrap/>
        <w:overflowPunct/>
        <w:topLinePunct w:val="0"/>
        <w:autoSpaceDE w:val="0"/>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 xml:space="preserve">地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址：中英街</w:t>
      </w:r>
      <w:r>
        <w:rPr>
          <w:rFonts w:hint="eastAsia" w:ascii="仿宋_GB2312" w:hAnsi="仿宋_GB2312" w:eastAsia="仿宋_GB2312" w:cs="仿宋_GB2312"/>
          <w:sz w:val="28"/>
          <w:szCs w:val="28"/>
          <w:lang w:val="en-US" w:eastAsia="zh-CN"/>
        </w:rPr>
        <w:t>环城路12</w:t>
      </w:r>
      <w:r>
        <w:rPr>
          <w:rFonts w:hint="eastAsia" w:ascii="仿宋_GB2312" w:hAnsi="仿宋_GB2312" w:eastAsia="仿宋_GB2312" w:cs="仿宋_GB2312"/>
          <w:sz w:val="28"/>
          <w:szCs w:val="28"/>
        </w:rPr>
        <w:t>号社区党群服务中心3楼</w:t>
      </w:r>
    </w:p>
    <w:p>
      <w:pPr>
        <w:keepNext w:val="0"/>
        <w:keepLines w:val="0"/>
        <w:pageBreakBefore w:val="0"/>
        <w:kinsoku/>
        <w:wordWrap/>
        <w:overflowPunct/>
        <w:topLinePunct w:val="0"/>
        <w:autoSpaceDE w:val="0"/>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rPr>
      </w:pPr>
    </w:p>
    <w:p>
      <w:pPr>
        <w:keepNext w:val="0"/>
        <w:keepLines w:val="0"/>
        <w:pageBreakBefore w:val="0"/>
        <w:kinsoku/>
        <w:wordWrap/>
        <w:overflowPunct/>
        <w:topLinePunct w:val="0"/>
        <w:autoSpaceDE w:val="0"/>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rPr>
      </w:pPr>
    </w:p>
    <w:p>
      <w:pPr>
        <w:keepNext w:val="0"/>
        <w:keepLines w:val="0"/>
        <w:pageBreakBefore w:val="0"/>
        <w:kinsoku/>
        <w:wordWrap/>
        <w:overflowPunct/>
        <w:topLinePunct w:val="0"/>
        <w:autoSpaceDE w:val="0"/>
        <w:autoSpaceDN/>
        <w:bidi w:val="0"/>
        <w:adjustRightInd/>
        <w:snapToGrid/>
        <w:spacing w:line="500" w:lineRule="exact"/>
        <w:ind w:firstLine="4480" w:firstLineChars="1600"/>
        <w:jc w:val="left"/>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深圳市盐田区中英街管理局</w:t>
      </w:r>
    </w:p>
    <w:p>
      <w:pPr>
        <w:keepNext w:val="0"/>
        <w:keepLines w:val="0"/>
        <w:pageBreakBefore w:val="0"/>
        <w:kinsoku/>
        <w:wordWrap/>
        <w:overflowPunct/>
        <w:topLinePunct w:val="0"/>
        <w:autoSpaceDE w:val="0"/>
        <w:autoSpaceDN/>
        <w:bidi w:val="0"/>
        <w:adjustRightInd/>
        <w:snapToGrid/>
        <w:spacing w:line="500" w:lineRule="exact"/>
        <w:ind w:firstLine="5320" w:firstLineChars="1900"/>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2026年6月22日</w:t>
      </w:r>
    </w:p>
    <w:p>
      <w:pPr>
        <w:keepNext w:val="0"/>
        <w:keepLines w:val="0"/>
        <w:pageBreakBefore w:val="0"/>
        <w:kinsoku/>
        <w:wordWrap/>
        <w:overflowPunct/>
        <w:topLinePunct w:val="0"/>
        <w:autoSpaceDN/>
        <w:bidi w:val="0"/>
        <w:adjustRightInd/>
        <w:snapToGrid/>
        <w:spacing w:line="500" w:lineRule="exact"/>
        <w:jc w:val="left"/>
        <w:textAlignment w:val="auto"/>
        <w:rPr>
          <w:rFonts w:hint="eastAsia" w:ascii="黑体" w:hAnsi="黑体" w:eastAsia="黑体" w:cs="Times New Roman"/>
          <w:b w:val="0"/>
          <w:bCs w:val="0"/>
          <w:color w:val="auto"/>
          <w:kern w:val="2"/>
          <w:sz w:val="44"/>
          <w:szCs w:val="44"/>
          <w:lang w:val="en-US" w:eastAsia="zh-CN" w:bidi="ar-SA"/>
        </w:rPr>
      </w:pPr>
      <w:bookmarkStart w:id="11" w:name="_Toc82421166"/>
      <w:bookmarkStart w:id="12" w:name="_Toc82421273"/>
      <w:bookmarkStart w:id="13" w:name="_Toc10028"/>
      <w:r>
        <w:rPr>
          <w:rFonts w:hint="eastAsia" w:ascii="黑体" w:hAnsi="黑体" w:eastAsia="黑体" w:cs="Times New Roman"/>
          <w:b w:val="0"/>
          <w:bCs w:val="0"/>
          <w:color w:val="auto"/>
          <w:kern w:val="2"/>
          <w:sz w:val="44"/>
          <w:szCs w:val="44"/>
          <w:lang w:val="en-US" w:eastAsia="zh-CN" w:bidi="ar-SA"/>
        </w:rPr>
        <w:br w:type="page"/>
      </w:r>
    </w:p>
    <w:p>
      <w:pPr>
        <w:pStyle w:val="5"/>
        <w:spacing w:before="231" w:beforeLines="50" w:after="231" w:afterLines="50"/>
        <w:rPr>
          <w:rFonts w:hint="eastAsia" w:ascii="方正小标宋简体" w:hAnsi="方正小标宋简体" w:eastAsia="方正小标宋简体" w:cs="方正小标宋简体"/>
          <w:b w:val="0"/>
          <w:bCs/>
          <w:kern w:val="2"/>
          <w:sz w:val="32"/>
          <w:szCs w:val="32"/>
          <w:u w:val="none"/>
          <w:lang w:val="en-US" w:eastAsia="zh-CN" w:bidi="ar-SA"/>
        </w:rPr>
      </w:pPr>
      <w:r>
        <w:rPr>
          <w:rFonts w:hint="eastAsia" w:ascii="方正小标宋简体" w:hAnsi="方正小标宋简体" w:eastAsia="方正小标宋简体" w:cs="方正小标宋简体"/>
          <w:b w:val="0"/>
          <w:bCs/>
          <w:kern w:val="2"/>
          <w:sz w:val="32"/>
          <w:szCs w:val="32"/>
          <w:u w:val="none"/>
          <w:lang w:val="en-US" w:eastAsia="zh-CN" w:bidi="ar-SA"/>
        </w:rPr>
        <w:t>第二章  招标项目需求</w:t>
      </w:r>
      <w:bookmarkEnd w:id="11"/>
      <w:bookmarkEnd w:id="12"/>
      <w:bookmarkEnd w:id="13"/>
    </w:p>
    <w:p>
      <w:pPr>
        <w:pStyle w:val="5"/>
        <w:spacing w:before="231" w:beforeLines="50" w:after="231" w:afterLines="50"/>
        <w:ind w:firstLine="560" w:firstLineChars="200"/>
        <w:jc w:val="both"/>
        <w:rPr>
          <w:rFonts w:hint="eastAsia" w:ascii="黑体" w:hAnsi="黑体" w:eastAsia="黑体" w:cs="Times New Roman"/>
          <w:b w:val="0"/>
          <w:bCs/>
          <w:kern w:val="2"/>
          <w:sz w:val="28"/>
          <w:szCs w:val="28"/>
          <w:lang w:val="en-US" w:eastAsia="zh-CN" w:bidi="ar-SA"/>
        </w:rPr>
      </w:pPr>
      <w:bookmarkStart w:id="14" w:name="_Toc82421167"/>
      <w:bookmarkStart w:id="15" w:name="_Toc24069"/>
      <w:bookmarkStart w:id="16" w:name="_Toc82421274"/>
      <w:bookmarkStart w:id="17" w:name="_Toc73517639"/>
      <w:bookmarkStart w:id="18" w:name="_Toc60560625"/>
      <w:bookmarkStart w:id="19" w:name="_Toc73518117"/>
      <w:bookmarkStart w:id="20" w:name="_Toc100052364"/>
      <w:bookmarkStart w:id="21" w:name="_Toc73521635"/>
      <w:bookmarkStart w:id="22" w:name="_Toc101074876"/>
      <w:bookmarkStart w:id="23" w:name="_Toc60631620"/>
      <w:bookmarkStart w:id="24" w:name="_Toc73521547"/>
      <w:r>
        <w:rPr>
          <w:rFonts w:hint="eastAsia" w:ascii="黑体" w:hAnsi="黑体" w:eastAsia="黑体" w:cs="Times New Roman"/>
          <w:b w:val="0"/>
          <w:bCs/>
          <w:kern w:val="2"/>
          <w:sz w:val="28"/>
          <w:szCs w:val="28"/>
          <w:lang w:val="en-US" w:eastAsia="zh-CN" w:bidi="ar-SA"/>
        </w:rPr>
        <w:t>一、对通用条款的补充内容</w:t>
      </w:r>
      <w:bookmarkEnd w:id="14"/>
      <w:bookmarkEnd w:id="15"/>
      <w:bookmarkEnd w:id="16"/>
    </w:p>
    <w:bookmarkEnd w:id="17"/>
    <w:bookmarkEnd w:id="18"/>
    <w:bookmarkEnd w:id="19"/>
    <w:bookmarkEnd w:id="20"/>
    <w:bookmarkEnd w:id="21"/>
    <w:bookmarkEnd w:id="22"/>
    <w:bookmarkEnd w:id="23"/>
    <w:bookmarkEnd w:id="24"/>
    <w:tbl>
      <w:tblPr>
        <w:tblStyle w:val="16"/>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94"/>
        <w:gridCol w:w="2316"/>
        <w:gridCol w:w="5538"/>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794" w:type="dxa"/>
            <w:noWrap w:val="0"/>
            <w:vAlign w:val="center"/>
          </w:tcPr>
          <w:p>
            <w:pPr>
              <w:adjustRightInd w:val="0"/>
              <w:snapToGrid w:val="0"/>
              <w:jc w:val="center"/>
              <w:rPr>
                <w:b/>
                <w:bCs/>
              </w:rPr>
            </w:pPr>
            <w:r>
              <w:rPr>
                <w:b/>
                <w:bCs/>
              </w:rPr>
              <w:t>序号</w:t>
            </w:r>
          </w:p>
        </w:tc>
        <w:tc>
          <w:tcPr>
            <w:tcW w:w="2316" w:type="dxa"/>
            <w:noWrap w:val="0"/>
            <w:vAlign w:val="center"/>
          </w:tcPr>
          <w:p>
            <w:pPr>
              <w:adjustRightInd w:val="0"/>
              <w:snapToGrid w:val="0"/>
              <w:jc w:val="center"/>
              <w:rPr>
                <w:b/>
                <w:bCs/>
              </w:rPr>
            </w:pPr>
            <w:r>
              <w:rPr>
                <w:b/>
                <w:bCs/>
              </w:rPr>
              <w:t>内   容</w:t>
            </w:r>
          </w:p>
        </w:tc>
        <w:tc>
          <w:tcPr>
            <w:tcW w:w="5538" w:type="dxa"/>
            <w:noWrap w:val="0"/>
            <w:vAlign w:val="center"/>
          </w:tcPr>
          <w:p>
            <w:pPr>
              <w:adjustRightInd w:val="0"/>
              <w:snapToGrid w:val="0"/>
              <w:jc w:val="center"/>
              <w:rPr>
                <w:b/>
                <w:bCs/>
              </w:rPr>
            </w:pPr>
            <w:r>
              <w:rPr>
                <w:b/>
                <w:bCs/>
              </w:rPr>
              <w:t>规      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794" w:type="dxa"/>
            <w:noWrap w:val="0"/>
            <w:vAlign w:val="center"/>
          </w:tcPr>
          <w:p>
            <w:pPr>
              <w:adjustRightInd w:val="0"/>
              <w:snapToGrid w:val="0"/>
              <w:jc w:val="center"/>
            </w:pPr>
            <w:r>
              <w:t>1</w:t>
            </w:r>
          </w:p>
        </w:tc>
        <w:tc>
          <w:tcPr>
            <w:tcW w:w="2316" w:type="dxa"/>
            <w:noWrap w:val="0"/>
            <w:vAlign w:val="center"/>
          </w:tcPr>
          <w:p>
            <w:pPr>
              <w:adjustRightInd w:val="0"/>
              <w:snapToGrid w:val="0"/>
              <w:jc w:val="center"/>
            </w:pPr>
            <w:r>
              <w:t>联合体投标</w:t>
            </w:r>
          </w:p>
        </w:tc>
        <w:tc>
          <w:tcPr>
            <w:tcW w:w="5538" w:type="dxa"/>
            <w:noWrap w:val="0"/>
            <w:vAlign w:val="center"/>
          </w:tcPr>
          <w:p>
            <w:pPr>
              <w:adjustRightInd w:val="0"/>
              <w:snapToGrid w:val="0"/>
              <w:rPr>
                <w:snapToGrid w:val="0"/>
                <w:kern w:val="0"/>
                <w:szCs w:val="32"/>
                <w:lang w:val="zh-CN"/>
              </w:rPr>
            </w:pPr>
            <w:r>
              <w:rPr>
                <w:snapToGrid w:val="0"/>
                <w:kern w:val="0"/>
                <w:szCs w:val="32"/>
                <w:lang w:val="zh-CN"/>
              </w:rPr>
              <w:t>见《</w:t>
            </w:r>
            <w:r>
              <w:rPr>
                <w:rFonts w:hint="eastAsia"/>
                <w:snapToGrid w:val="0"/>
                <w:kern w:val="0"/>
                <w:szCs w:val="32"/>
                <w:lang w:val="zh-CN"/>
              </w:rPr>
              <w:t>自行采购</w:t>
            </w:r>
            <w:r>
              <w:rPr>
                <w:snapToGrid w:val="0"/>
                <w:kern w:val="0"/>
                <w:szCs w:val="32"/>
                <w:lang w:val="zh-CN"/>
              </w:rPr>
              <w:t>公告》中“投标人资格要求”部分的相关内容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794" w:type="dxa"/>
            <w:noWrap w:val="0"/>
            <w:vAlign w:val="center"/>
          </w:tcPr>
          <w:p>
            <w:pPr>
              <w:adjustRightInd w:val="0"/>
              <w:snapToGrid w:val="0"/>
              <w:jc w:val="center"/>
            </w:pPr>
            <w:r>
              <w:t>2</w:t>
            </w:r>
          </w:p>
        </w:tc>
        <w:tc>
          <w:tcPr>
            <w:tcW w:w="2316" w:type="dxa"/>
            <w:noWrap w:val="0"/>
            <w:vAlign w:val="center"/>
          </w:tcPr>
          <w:p>
            <w:pPr>
              <w:adjustRightInd w:val="0"/>
              <w:snapToGrid w:val="0"/>
              <w:jc w:val="center"/>
            </w:pPr>
            <w:r>
              <w:t>投标有效期</w:t>
            </w:r>
          </w:p>
        </w:tc>
        <w:tc>
          <w:tcPr>
            <w:tcW w:w="5538" w:type="dxa"/>
            <w:noWrap w:val="0"/>
            <w:vAlign w:val="center"/>
          </w:tcPr>
          <w:p>
            <w:pPr>
              <w:adjustRightInd w:val="0"/>
              <w:snapToGrid w:val="0"/>
            </w:pPr>
            <w:r>
              <w:rPr>
                <w:rFonts w:hint="eastAsia"/>
                <w:u w:val="single"/>
                <w:lang w:val="en-US" w:eastAsia="zh-CN"/>
              </w:rPr>
              <w:t>60</w:t>
            </w:r>
            <w:r>
              <w:rPr>
                <w:u w:val="single"/>
              </w:rPr>
              <w:t>日历天</w:t>
            </w:r>
            <w:r>
              <w:t>（从投标截止之日算起）</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794" w:type="dxa"/>
            <w:tcBorders>
              <w:top w:val="single" w:color="auto" w:sz="6" w:space="0"/>
              <w:left w:val="double" w:color="auto" w:sz="4" w:space="0"/>
              <w:bottom w:val="single" w:color="auto" w:sz="6" w:space="0"/>
              <w:right w:val="single" w:color="auto" w:sz="6" w:space="0"/>
            </w:tcBorders>
            <w:noWrap w:val="0"/>
            <w:vAlign w:val="center"/>
          </w:tcPr>
          <w:p>
            <w:pPr>
              <w:adjustRightInd w:val="0"/>
              <w:snapToGrid w:val="0"/>
              <w:jc w:val="center"/>
            </w:pPr>
            <w:r>
              <w:t>3</w:t>
            </w:r>
          </w:p>
        </w:tc>
        <w:tc>
          <w:tcPr>
            <w:tcW w:w="2316"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pPr>
            <w:r>
              <w:rPr>
                <w:szCs w:val="21"/>
              </w:rPr>
              <w:t>投标文件的编制及递交</w:t>
            </w:r>
          </w:p>
        </w:tc>
        <w:tc>
          <w:tcPr>
            <w:tcW w:w="5538" w:type="dxa"/>
            <w:tcBorders>
              <w:top w:val="single" w:color="auto" w:sz="6" w:space="0"/>
              <w:left w:val="single" w:color="auto" w:sz="6" w:space="0"/>
              <w:bottom w:val="single" w:color="auto" w:sz="6" w:space="0"/>
              <w:right w:val="double" w:color="auto" w:sz="4" w:space="0"/>
            </w:tcBorders>
            <w:noWrap w:val="0"/>
            <w:vAlign w:val="center"/>
          </w:tcPr>
          <w:p>
            <w:pPr>
              <w:adjustRightInd w:val="0"/>
              <w:snapToGrid w:val="0"/>
              <w:spacing w:line="360" w:lineRule="auto"/>
            </w:pPr>
            <w:r>
              <w:rPr>
                <w:rFonts w:eastAsia="宋体" w:cs="Times New Roman"/>
              </w:rPr>
              <w:t>投标文件的编制、提交和开标的要求详见</w:t>
            </w:r>
            <w:r>
              <w:rPr>
                <w:rFonts w:hint="eastAsia" w:eastAsia="宋体" w:cs="Times New Roman"/>
                <w:lang w:eastAsia="zh-CN"/>
              </w:rPr>
              <w:t>采购文件</w:t>
            </w:r>
            <w:r>
              <w:rPr>
                <w:rFonts w:eastAsia="宋体" w:cs="Times New Roman"/>
              </w:rPr>
              <w:t xml:space="preserve"> 第二册 通用条款 第三章、第四章和第五章的相关规定。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794" w:type="dxa"/>
            <w:tcBorders>
              <w:top w:val="single" w:color="auto" w:sz="6" w:space="0"/>
              <w:left w:val="double" w:color="auto" w:sz="4" w:space="0"/>
              <w:bottom w:val="single" w:color="auto" w:sz="6" w:space="0"/>
              <w:right w:val="single" w:color="auto" w:sz="6" w:space="0"/>
            </w:tcBorders>
            <w:noWrap w:val="0"/>
            <w:vAlign w:val="center"/>
          </w:tcPr>
          <w:p>
            <w:pPr>
              <w:adjustRightInd w:val="0"/>
              <w:snapToGrid w:val="0"/>
              <w:jc w:val="center"/>
            </w:pPr>
            <w:r>
              <w:t>4</w:t>
            </w:r>
          </w:p>
        </w:tc>
        <w:tc>
          <w:tcPr>
            <w:tcW w:w="2316"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pPr>
            <w:r>
              <w:rPr>
                <w:szCs w:val="21"/>
              </w:rPr>
              <w:t>投标人的替代方案</w:t>
            </w:r>
          </w:p>
        </w:tc>
        <w:tc>
          <w:tcPr>
            <w:tcW w:w="5538" w:type="dxa"/>
            <w:tcBorders>
              <w:top w:val="single" w:color="auto" w:sz="6" w:space="0"/>
              <w:left w:val="single" w:color="auto" w:sz="6" w:space="0"/>
              <w:bottom w:val="single" w:color="auto" w:sz="6" w:space="0"/>
              <w:right w:val="double" w:color="auto" w:sz="4" w:space="0"/>
            </w:tcBorders>
            <w:noWrap w:val="0"/>
            <w:vAlign w:val="center"/>
          </w:tcPr>
          <w:p>
            <w:pPr>
              <w:adjustRightInd w:val="0"/>
              <w:snapToGrid w:val="0"/>
            </w:pPr>
            <w:r>
              <w:rPr>
                <w:b/>
                <w:color w:val="FF0000"/>
                <w:szCs w:val="21"/>
              </w:rPr>
              <w:t>不允许</w:t>
            </w:r>
          </w:p>
        </w:tc>
      </w:tr>
    </w:tbl>
    <w:p>
      <w:pPr>
        <w:rPr>
          <w:rFonts w:hint="eastAsia" w:ascii="黑体" w:hAnsi="黑体" w:eastAsia="黑体" w:cs="Times New Roman"/>
          <w:b w:val="0"/>
          <w:bCs/>
          <w:kern w:val="2"/>
          <w:sz w:val="28"/>
          <w:szCs w:val="28"/>
          <w:lang w:val="en-US" w:eastAsia="zh-CN" w:bidi="ar-SA"/>
        </w:rPr>
      </w:pPr>
      <w:r>
        <w:rPr>
          <w:rFonts w:hint="eastAsia"/>
          <w:szCs w:val="21"/>
        </w:rPr>
        <w:t>备注：本表为通用条款相关内容的补充和明确，如与通用条款相冲突的以本表为准。</w:t>
      </w:r>
      <w:bookmarkStart w:id="25" w:name="_Toc21442"/>
      <w:bookmarkStart w:id="26" w:name="_Toc82421275"/>
      <w:bookmarkStart w:id="27" w:name="_Toc128884461"/>
      <w:bookmarkStart w:id="28" w:name="_Toc82421168"/>
    </w:p>
    <w:p>
      <w:pPr>
        <w:pStyle w:val="5"/>
        <w:keepNext/>
        <w:keepLines/>
        <w:pageBreakBefore w:val="0"/>
        <w:widowControl w:val="0"/>
        <w:kinsoku/>
        <w:wordWrap/>
        <w:overflowPunct/>
        <w:topLinePunct w:val="0"/>
        <w:autoSpaceDE/>
        <w:autoSpaceDN/>
        <w:bidi w:val="0"/>
        <w:adjustRightInd w:val="0"/>
        <w:snapToGrid/>
        <w:spacing w:before="157" w:beforeLines="50" w:after="0" w:line="500" w:lineRule="exact"/>
        <w:ind w:firstLine="560" w:firstLineChars="200"/>
        <w:jc w:val="left"/>
        <w:textAlignment w:val="baseline"/>
        <w:rPr>
          <w:rFonts w:hint="eastAsia" w:ascii="黑体" w:hAnsi="黑体" w:eastAsia="黑体" w:cs="Times New Roman"/>
          <w:b w:val="0"/>
          <w:bCs/>
          <w:kern w:val="2"/>
          <w:sz w:val="28"/>
          <w:szCs w:val="28"/>
          <w:lang w:val="en-US" w:eastAsia="zh-CN" w:bidi="ar-SA"/>
        </w:rPr>
      </w:pPr>
      <w:r>
        <w:rPr>
          <w:rFonts w:hint="eastAsia" w:ascii="黑体" w:hAnsi="黑体" w:eastAsia="黑体" w:cs="Times New Roman"/>
          <w:b w:val="0"/>
          <w:bCs/>
          <w:kern w:val="2"/>
          <w:sz w:val="28"/>
          <w:szCs w:val="28"/>
          <w:lang w:val="en-US" w:eastAsia="zh-CN" w:bidi="ar-SA"/>
        </w:rPr>
        <w:t>二、项目概况</w:t>
      </w:r>
      <w:bookmarkEnd w:id="25"/>
      <w:bookmarkEnd w:id="26"/>
      <w:bookmarkEnd w:id="27"/>
      <w:bookmarkEnd w:id="28"/>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1.项目概况：本工程拟对中英街社区碧海花园周边及人行路面进行修缮及环境提升。</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设计单位名称：</w:t>
      </w:r>
      <w:r>
        <w:rPr>
          <w:rFonts w:hint="eastAsia" w:ascii="仿宋_GB2312" w:hAnsi="仿宋_GB2312" w:eastAsia="仿宋_GB2312" w:cs="仿宋_GB2312"/>
          <w:sz w:val="28"/>
          <w:szCs w:val="28"/>
          <w:lang w:val="en-US" w:eastAsia="zh-CN"/>
        </w:rPr>
        <w:t>深圳市博深工程技术有限公司</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造价单位名称</w:t>
      </w:r>
      <w:r>
        <w:rPr>
          <w:rFonts w:hint="eastAsia" w:ascii="仿宋_GB2312" w:hAnsi="仿宋_GB2312" w:eastAsia="仿宋_GB2312" w:cs="仿宋_GB2312"/>
          <w:sz w:val="28"/>
          <w:szCs w:val="28"/>
          <w:lang w:val="en-US" w:eastAsia="zh-CN"/>
        </w:rPr>
        <w:t>：深圳市博信盛项目管理有限公司</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监理单位名称</w:t>
      </w:r>
      <w:r>
        <w:rPr>
          <w:rFonts w:hint="eastAsia" w:ascii="仿宋_GB2312" w:hAnsi="仿宋_GB2312" w:eastAsia="仿宋_GB2312" w:cs="仿宋_GB2312"/>
          <w:sz w:val="28"/>
          <w:szCs w:val="28"/>
          <w:lang w:val="en-US" w:eastAsia="zh-CN"/>
        </w:rPr>
        <w:t>：深圳市远昇项目管理有限公司</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2.采购人：深圳市盐田区中英街管理局</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3.工期要求：总工期为90天（日历日）以内，具体开工时间以建设方通知为准。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lang w:val="en-US" w:eastAsia="zh-CN"/>
        </w:rPr>
        <w:t>4.预算金额：</w:t>
      </w:r>
      <w:r>
        <w:rPr>
          <w:rFonts w:hint="eastAsia" w:ascii="仿宋_GB2312" w:hAnsi="仿宋_GB2312" w:eastAsia="仿宋_GB2312" w:cs="仿宋_GB2312"/>
          <w:sz w:val="28"/>
          <w:szCs w:val="28"/>
          <w:highlight w:val="none"/>
          <w:lang w:val="en-US" w:eastAsia="zh-CN"/>
        </w:rPr>
        <w:t>本项目最高限价：人民币337036.95元，投标总价超过项目最高限价的按无效投标处理。其中安全文明施工费(此费用为不可竞争费用）合计为人民币31361.64元</w:t>
      </w:r>
      <w:r>
        <w:rPr>
          <w:rFonts w:hint="default"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lang w:val="en-US" w:eastAsia="zh-CN"/>
        </w:rPr>
        <w:t>投标人报价应包含此部分费用且不可变动，不按此安全文明施工费填报的投标人按无效投标处理；招标清单中的增值税应纳税额税（费）率以9%计算，需严格按照此税（费）率计算单位工程费。不按此要求填报的投标人按无效投标处理。另外，最终合同价以中标金额除安全文明施工措施费以外执行5%的下浮率为准，最终结算数以造价单位结算审核造价为准。</w:t>
      </w:r>
      <w:bookmarkStart w:id="29" w:name="_Toc32025"/>
      <w:bookmarkStart w:id="30" w:name="_Toc82421169"/>
      <w:bookmarkStart w:id="31" w:name="_Toc82421276"/>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5.合同方式：固定单价合同，工程结算时，项目单价不做调整，按实际完成的工程量结算。</w:t>
      </w:r>
    </w:p>
    <w:p>
      <w:pPr>
        <w:keepNext w:val="0"/>
        <w:keepLines w:val="0"/>
        <w:pageBreakBefore w:val="0"/>
        <w:widowControl w:val="0"/>
        <w:kinsoku/>
        <w:wordWrap/>
        <w:overflowPunct/>
        <w:topLinePunct w:val="0"/>
        <w:autoSpaceDE/>
        <w:autoSpaceDN/>
        <w:bidi w:val="0"/>
        <w:adjustRightInd/>
        <w:snapToGrid/>
        <w:spacing w:before="157" w:beforeLines="50" w:line="500" w:lineRule="exact"/>
        <w:ind w:firstLine="560" w:firstLineChars="200"/>
        <w:jc w:val="left"/>
        <w:textAlignment w:val="auto"/>
        <w:rPr>
          <w:rFonts w:hint="eastAsia" w:ascii="黑体" w:hAnsi="黑体" w:eastAsia="黑体" w:cs="Times New Roman"/>
          <w:bCs w:val="0"/>
          <w:kern w:val="2"/>
          <w:sz w:val="28"/>
          <w:szCs w:val="28"/>
          <w:lang w:val="en-US" w:eastAsia="zh-CN" w:bidi="ar-SA"/>
        </w:rPr>
      </w:pPr>
      <w:r>
        <w:rPr>
          <w:rFonts w:hint="eastAsia" w:ascii="黑体" w:hAnsi="黑体" w:eastAsia="黑体" w:cs="Times New Roman"/>
          <w:bCs w:val="0"/>
          <w:kern w:val="2"/>
          <w:sz w:val="28"/>
          <w:szCs w:val="28"/>
          <w:lang w:val="en-US" w:eastAsia="zh-CN" w:bidi="ar-SA"/>
        </w:rPr>
        <w:t>三、项目技术要求</w:t>
      </w:r>
      <w:bookmarkEnd w:id="29"/>
      <w:bookmarkEnd w:id="30"/>
      <w:bookmarkEnd w:id="31"/>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_GB2312" w:hAnsi="仿宋_GB2312" w:eastAsia="仿宋_GB2312" w:cs="仿宋_GB2312"/>
          <w:sz w:val="28"/>
          <w:szCs w:val="28"/>
          <w:lang w:val="en-US" w:eastAsia="zh-CN"/>
        </w:rPr>
      </w:pPr>
      <w:r>
        <w:rPr>
          <w:rFonts w:hint="eastAsia" w:ascii="楷体" w:hAnsi="楷体" w:eastAsia="楷体" w:cs="楷体"/>
          <w:sz w:val="28"/>
          <w:szCs w:val="28"/>
          <w:lang w:val="en-US" w:eastAsia="zh-CN"/>
        </w:rPr>
        <w:t>（一）主要工作：</w:t>
      </w:r>
      <w:r>
        <w:rPr>
          <w:rFonts w:hint="eastAsia" w:ascii="仿宋_GB2312" w:hAnsi="仿宋_GB2312" w:eastAsia="仿宋_GB2312" w:cs="仿宋_GB2312"/>
          <w:sz w:val="28"/>
          <w:szCs w:val="28"/>
          <w:lang w:val="en-US" w:eastAsia="zh-CN"/>
        </w:rPr>
        <w:t>拆除原有破损塌陷混凝土地面，新做混凝土地面，墙面做乳胶漆，原护栏破损重新安装原有路缘石及人行道拆除新做路缘石和人行道等。详见图纸及工程量清单。</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楷体" w:hAnsi="楷体" w:eastAsia="楷体" w:cs="楷体"/>
          <w:sz w:val="28"/>
          <w:szCs w:val="28"/>
          <w:highlight w:val="none"/>
          <w:lang w:val="en-US" w:eastAsia="zh-CN"/>
        </w:rPr>
      </w:pPr>
      <w:r>
        <w:rPr>
          <w:rFonts w:hint="eastAsia" w:ascii="楷体" w:hAnsi="楷体" w:eastAsia="楷体" w:cs="楷体"/>
          <w:sz w:val="28"/>
          <w:szCs w:val="28"/>
          <w:highlight w:val="none"/>
          <w:lang w:val="en-US" w:eastAsia="zh-CN"/>
        </w:rPr>
        <w:t>（二）工程主要材料清单如下：</w:t>
      </w:r>
    </w:p>
    <w:tbl>
      <w:tblPr>
        <w:tblStyle w:val="16"/>
        <w:tblW w:w="0" w:type="auto"/>
        <w:tblInd w:w="93" w:type="dxa"/>
        <w:tblLayout w:type="fixed"/>
        <w:tblCellMar>
          <w:top w:w="0" w:type="dxa"/>
          <w:left w:w="108" w:type="dxa"/>
          <w:bottom w:w="0" w:type="dxa"/>
          <w:right w:w="108" w:type="dxa"/>
        </w:tblCellMar>
      </w:tblPr>
      <w:tblGrid>
        <w:gridCol w:w="1252"/>
        <w:gridCol w:w="7587"/>
      </w:tblGrid>
      <w:tr>
        <w:tblPrEx>
          <w:tblCellMar>
            <w:top w:w="0" w:type="dxa"/>
            <w:left w:w="108" w:type="dxa"/>
            <w:bottom w:w="0" w:type="dxa"/>
            <w:right w:w="108" w:type="dxa"/>
          </w:tblCellMar>
        </w:tblPrEx>
        <w:trPr>
          <w:trHeight w:val="442" w:hRule="atLeast"/>
        </w:trPr>
        <w:tc>
          <w:tcPr>
            <w:tcW w:w="1252" w:type="dxa"/>
            <w:tcBorders>
              <w:top w:val="single" w:color="auto" w:sz="8" w:space="0"/>
              <w:left w:val="single" w:color="auto" w:sz="8" w:space="0"/>
              <w:bottom w:val="single" w:color="auto" w:sz="4" w:space="0"/>
              <w:right w:val="single" w:color="auto" w:sz="4" w:space="0"/>
            </w:tcBorders>
            <w:noWrap w:val="0"/>
            <w:vAlign w:val="center"/>
          </w:tcPr>
          <w:p>
            <w:pPr>
              <w:widowControl/>
              <w:jc w:val="center"/>
              <w:rPr>
                <w:b/>
                <w:bCs/>
                <w:kern w:val="0"/>
                <w:szCs w:val="21"/>
              </w:rPr>
            </w:pPr>
            <w:r>
              <w:rPr>
                <w:b/>
                <w:bCs/>
                <w:kern w:val="0"/>
                <w:szCs w:val="21"/>
              </w:rPr>
              <w:t>序号</w:t>
            </w:r>
          </w:p>
        </w:tc>
        <w:tc>
          <w:tcPr>
            <w:tcW w:w="7587" w:type="dxa"/>
            <w:tcBorders>
              <w:top w:val="single" w:color="auto" w:sz="8" w:space="0"/>
              <w:left w:val="nil"/>
              <w:bottom w:val="single" w:color="auto" w:sz="4" w:space="0"/>
              <w:right w:val="single" w:color="auto" w:sz="4" w:space="0"/>
            </w:tcBorders>
            <w:noWrap w:val="0"/>
            <w:vAlign w:val="center"/>
          </w:tcPr>
          <w:p>
            <w:pPr>
              <w:widowControl/>
              <w:jc w:val="center"/>
              <w:rPr>
                <w:b/>
                <w:bCs/>
                <w:kern w:val="0"/>
                <w:szCs w:val="21"/>
              </w:rPr>
            </w:pPr>
            <w:r>
              <w:rPr>
                <w:b/>
                <w:bCs/>
                <w:kern w:val="0"/>
                <w:szCs w:val="21"/>
              </w:rPr>
              <w:t>名称</w:t>
            </w:r>
          </w:p>
        </w:tc>
      </w:tr>
      <w:tr>
        <w:tblPrEx>
          <w:tblCellMar>
            <w:top w:w="0" w:type="dxa"/>
            <w:left w:w="108" w:type="dxa"/>
            <w:bottom w:w="0" w:type="dxa"/>
            <w:right w:w="108" w:type="dxa"/>
          </w:tblCellMar>
        </w:tblPrEx>
        <w:trPr>
          <w:trHeight w:val="433" w:hRule="atLeast"/>
        </w:trPr>
        <w:tc>
          <w:tcPr>
            <w:tcW w:w="1252" w:type="dxa"/>
            <w:tcBorders>
              <w:top w:val="nil"/>
              <w:left w:val="single" w:color="auto" w:sz="8" w:space="0"/>
              <w:bottom w:val="single" w:color="auto" w:sz="4" w:space="0"/>
              <w:right w:val="single" w:color="auto" w:sz="4" w:space="0"/>
            </w:tcBorders>
            <w:noWrap w:val="0"/>
            <w:vAlign w:val="top"/>
          </w:tcPr>
          <w:p>
            <w:pPr>
              <w:autoSpaceDE w:val="0"/>
              <w:autoSpaceDN w:val="0"/>
              <w:jc w:val="center"/>
              <w:rPr>
                <w:szCs w:val="21"/>
              </w:rPr>
            </w:pPr>
            <w:r>
              <w:rPr>
                <w:szCs w:val="21"/>
              </w:rPr>
              <w:t>1</w:t>
            </w:r>
          </w:p>
        </w:tc>
        <w:tc>
          <w:tcPr>
            <w:tcW w:w="7587" w:type="dxa"/>
            <w:tcBorders>
              <w:top w:val="nil"/>
              <w:left w:val="nil"/>
              <w:bottom w:val="single" w:color="auto" w:sz="4" w:space="0"/>
              <w:right w:val="single" w:color="auto" w:sz="4" w:space="0"/>
            </w:tcBorders>
            <w:noWrap w:val="0"/>
            <w:vAlign w:val="center"/>
          </w:tcPr>
          <w:p>
            <w:pPr>
              <w:autoSpaceDE w:val="0"/>
              <w:autoSpaceDN w:val="0"/>
              <w:jc w:val="center"/>
              <w:rPr>
                <w:rFonts w:hint="eastAsia" w:eastAsia="宋体"/>
                <w:szCs w:val="21"/>
                <w:lang w:eastAsia="zh-CN"/>
              </w:rPr>
            </w:pPr>
            <w:r>
              <w:rPr>
                <w:rFonts w:hint="eastAsia"/>
                <w:szCs w:val="21"/>
              </w:rPr>
              <w:t>金属面油漆</w:t>
            </w:r>
          </w:p>
        </w:tc>
      </w:tr>
      <w:tr>
        <w:tblPrEx>
          <w:tblCellMar>
            <w:top w:w="0" w:type="dxa"/>
            <w:left w:w="108" w:type="dxa"/>
            <w:bottom w:w="0" w:type="dxa"/>
            <w:right w:w="108" w:type="dxa"/>
          </w:tblCellMar>
        </w:tblPrEx>
        <w:trPr>
          <w:trHeight w:val="433" w:hRule="atLeast"/>
        </w:trPr>
        <w:tc>
          <w:tcPr>
            <w:tcW w:w="1252" w:type="dxa"/>
            <w:tcBorders>
              <w:top w:val="single" w:color="auto" w:sz="4" w:space="0"/>
              <w:left w:val="single" w:color="auto" w:sz="8" w:space="0"/>
              <w:bottom w:val="single" w:color="auto" w:sz="4" w:space="0"/>
              <w:right w:val="single" w:color="auto" w:sz="4" w:space="0"/>
            </w:tcBorders>
            <w:noWrap w:val="0"/>
            <w:vAlign w:val="top"/>
          </w:tcPr>
          <w:p>
            <w:pPr>
              <w:autoSpaceDE w:val="0"/>
              <w:autoSpaceDN w:val="0"/>
              <w:jc w:val="center"/>
              <w:rPr>
                <w:szCs w:val="21"/>
              </w:rPr>
            </w:pPr>
            <w:r>
              <w:rPr>
                <w:szCs w:val="21"/>
              </w:rPr>
              <w:t>2</w:t>
            </w:r>
          </w:p>
        </w:tc>
        <w:tc>
          <w:tcPr>
            <w:tcW w:w="7587" w:type="dxa"/>
            <w:tcBorders>
              <w:top w:val="single" w:color="auto" w:sz="4" w:space="0"/>
              <w:left w:val="nil"/>
              <w:bottom w:val="single" w:color="auto" w:sz="4" w:space="0"/>
              <w:right w:val="single" w:color="auto" w:sz="4" w:space="0"/>
            </w:tcBorders>
            <w:noWrap w:val="0"/>
            <w:vAlign w:val="center"/>
          </w:tcPr>
          <w:p>
            <w:pPr>
              <w:autoSpaceDE w:val="0"/>
              <w:autoSpaceDN w:val="0"/>
              <w:jc w:val="center"/>
              <w:rPr>
                <w:szCs w:val="21"/>
              </w:rPr>
            </w:pPr>
            <w:r>
              <w:rPr>
                <w:rFonts w:hint="eastAsia"/>
                <w:szCs w:val="21"/>
              </w:rPr>
              <w:t>成品不锈钢栏杆</w:t>
            </w:r>
          </w:p>
        </w:tc>
      </w:tr>
      <w:tr>
        <w:tblPrEx>
          <w:tblCellMar>
            <w:top w:w="0" w:type="dxa"/>
            <w:left w:w="108" w:type="dxa"/>
            <w:bottom w:w="0" w:type="dxa"/>
            <w:right w:w="108" w:type="dxa"/>
          </w:tblCellMar>
        </w:tblPrEx>
        <w:trPr>
          <w:trHeight w:val="433" w:hRule="atLeast"/>
        </w:trPr>
        <w:tc>
          <w:tcPr>
            <w:tcW w:w="1252"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jc w:val="center"/>
              <w:rPr>
                <w:szCs w:val="21"/>
              </w:rPr>
            </w:pPr>
            <w:r>
              <w:rPr>
                <w:szCs w:val="21"/>
              </w:rPr>
              <w:t>3</w:t>
            </w:r>
          </w:p>
        </w:tc>
        <w:tc>
          <w:tcPr>
            <w:tcW w:w="758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eastAsia="宋体"/>
                <w:szCs w:val="21"/>
                <w:lang w:eastAsia="zh-CN"/>
              </w:rPr>
            </w:pPr>
            <w:r>
              <w:rPr>
                <w:rFonts w:hint="eastAsia"/>
                <w:szCs w:val="21"/>
                <w:lang w:eastAsia="zh-CN"/>
              </w:rPr>
              <w:t>停车棚不锈钢装饰板</w:t>
            </w:r>
          </w:p>
        </w:tc>
      </w:tr>
      <w:tr>
        <w:tblPrEx>
          <w:tblCellMar>
            <w:top w:w="0" w:type="dxa"/>
            <w:left w:w="108" w:type="dxa"/>
            <w:bottom w:w="0" w:type="dxa"/>
            <w:right w:w="108" w:type="dxa"/>
          </w:tblCellMar>
        </w:tblPrEx>
        <w:trPr>
          <w:trHeight w:val="433" w:hRule="atLeast"/>
        </w:trPr>
        <w:tc>
          <w:tcPr>
            <w:tcW w:w="1252"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jc w:val="center"/>
              <w:rPr>
                <w:rFonts w:ascii="Calibri" w:hAnsi="Calibri" w:eastAsia="宋体" w:cs="Times New Roman"/>
                <w:kern w:val="2"/>
                <w:sz w:val="21"/>
                <w:szCs w:val="21"/>
                <w:lang w:val="en-US" w:eastAsia="zh-CN" w:bidi="ar-SA"/>
              </w:rPr>
            </w:pPr>
            <w:r>
              <w:rPr>
                <w:szCs w:val="21"/>
              </w:rPr>
              <w:t>4</w:t>
            </w:r>
          </w:p>
        </w:tc>
        <w:tc>
          <w:tcPr>
            <w:tcW w:w="758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szCs w:val="21"/>
              </w:rPr>
            </w:pPr>
            <w:r>
              <w:rPr>
                <w:rFonts w:hint="eastAsia"/>
                <w:szCs w:val="21"/>
                <w:lang w:eastAsia="zh-CN"/>
              </w:rPr>
              <w:t>停车棚不锈钢钢骨架</w:t>
            </w:r>
          </w:p>
        </w:tc>
      </w:tr>
      <w:tr>
        <w:tblPrEx>
          <w:tblCellMar>
            <w:top w:w="0" w:type="dxa"/>
            <w:left w:w="108" w:type="dxa"/>
            <w:bottom w:w="0" w:type="dxa"/>
            <w:right w:w="108" w:type="dxa"/>
          </w:tblCellMar>
        </w:tblPrEx>
        <w:trPr>
          <w:trHeight w:val="433" w:hRule="atLeast"/>
        </w:trPr>
        <w:tc>
          <w:tcPr>
            <w:tcW w:w="1252"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jc w:val="center"/>
              <w:rPr>
                <w:rFonts w:ascii="Calibri" w:hAnsi="Calibri" w:eastAsia="宋体" w:cs="Times New Roman"/>
                <w:kern w:val="2"/>
                <w:sz w:val="21"/>
                <w:szCs w:val="21"/>
                <w:lang w:val="en-US" w:eastAsia="zh-CN" w:bidi="ar-SA"/>
              </w:rPr>
            </w:pPr>
            <w:r>
              <w:rPr>
                <w:szCs w:val="21"/>
              </w:rPr>
              <w:t>5</w:t>
            </w:r>
          </w:p>
        </w:tc>
        <w:tc>
          <w:tcPr>
            <w:tcW w:w="758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eastAsia="宋体"/>
                <w:szCs w:val="21"/>
                <w:lang w:eastAsia="zh-CN"/>
              </w:rPr>
            </w:pPr>
            <w:r>
              <w:rPr>
                <w:rFonts w:hint="eastAsia"/>
                <w:szCs w:val="21"/>
              </w:rPr>
              <w:t>水泥</w:t>
            </w:r>
          </w:p>
        </w:tc>
      </w:tr>
      <w:tr>
        <w:tblPrEx>
          <w:tblCellMar>
            <w:top w:w="0" w:type="dxa"/>
            <w:left w:w="108" w:type="dxa"/>
            <w:bottom w:w="0" w:type="dxa"/>
            <w:right w:w="108" w:type="dxa"/>
          </w:tblCellMar>
        </w:tblPrEx>
        <w:trPr>
          <w:trHeight w:val="433" w:hRule="atLeast"/>
        </w:trPr>
        <w:tc>
          <w:tcPr>
            <w:tcW w:w="1252"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jc w:val="center"/>
              <w:rPr>
                <w:rFonts w:ascii="Calibri" w:hAnsi="Calibri" w:eastAsia="宋体" w:cs="Times New Roman"/>
                <w:kern w:val="2"/>
                <w:sz w:val="21"/>
                <w:szCs w:val="21"/>
                <w:lang w:val="en-US" w:eastAsia="zh-CN" w:bidi="ar-SA"/>
              </w:rPr>
            </w:pPr>
            <w:r>
              <w:rPr>
                <w:rFonts w:hint="eastAsia"/>
                <w:szCs w:val="21"/>
              </w:rPr>
              <w:t>6</w:t>
            </w:r>
          </w:p>
        </w:tc>
        <w:tc>
          <w:tcPr>
            <w:tcW w:w="758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eastAsia="宋体"/>
                <w:szCs w:val="21"/>
                <w:lang w:val="en-US" w:eastAsia="zh-CN"/>
              </w:rPr>
            </w:pPr>
            <w:r>
              <w:rPr>
                <w:rFonts w:hint="eastAsia"/>
                <w:szCs w:val="21"/>
              </w:rPr>
              <w:t>防水</w:t>
            </w:r>
            <w:r>
              <w:rPr>
                <w:rFonts w:hint="eastAsia"/>
                <w:szCs w:val="21"/>
                <w:lang w:eastAsia="zh-CN"/>
              </w:rPr>
              <w:t>涂料</w:t>
            </w:r>
          </w:p>
        </w:tc>
      </w:tr>
      <w:tr>
        <w:tblPrEx>
          <w:tblCellMar>
            <w:top w:w="0" w:type="dxa"/>
            <w:left w:w="108" w:type="dxa"/>
            <w:bottom w:w="0" w:type="dxa"/>
            <w:right w:w="108" w:type="dxa"/>
          </w:tblCellMar>
        </w:tblPrEx>
        <w:trPr>
          <w:trHeight w:val="433" w:hRule="atLeast"/>
        </w:trPr>
        <w:tc>
          <w:tcPr>
            <w:tcW w:w="1252"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jc w:val="center"/>
              <w:rPr>
                <w:rFonts w:ascii="Calibri" w:hAnsi="Calibri" w:eastAsia="宋体" w:cs="Times New Roman"/>
                <w:kern w:val="2"/>
                <w:sz w:val="21"/>
                <w:szCs w:val="21"/>
                <w:lang w:val="en-US" w:eastAsia="zh-CN" w:bidi="ar-SA"/>
              </w:rPr>
            </w:pPr>
            <w:r>
              <w:rPr>
                <w:rFonts w:hint="eastAsia"/>
                <w:szCs w:val="21"/>
              </w:rPr>
              <w:t>7</w:t>
            </w:r>
          </w:p>
        </w:tc>
        <w:tc>
          <w:tcPr>
            <w:tcW w:w="758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szCs w:val="21"/>
              </w:rPr>
            </w:pPr>
            <w:r>
              <w:rPr>
                <w:rFonts w:hint="eastAsia"/>
                <w:szCs w:val="21"/>
                <w:lang w:eastAsia="zh-CN"/>
              </w:rPr>
              <w:t>外</w:t>
            </w:r>
            <w:r>
              <w:rPr>
                <w:rFonts w:hint="eastAsia"/>
                <w:szCs w:val="21"/>
              </w:rPr>
              <w:t>墙涂料</w:t>
            </w:r>
          </w:p>
        </w:tc>
      </w:tr>
      <w:tr>
        <w:tblPrEx>
          <w:tblCellMar>
            <w:top w:w="0" w:type="dxa"/>
            <w:left w:w="108" w:type="dxa"/>
            <w:bottom w:w="0" w:type="dxa"/>
            <w:right w:w="108" w:type="dxa"/>
          </w:tblCellMar>
        </w:tblPrEx>
        <w:trPr>
          <w:trHeight w:val="433" w:hRule="atLeast"/>
        </w:trPr>
        <w:tc>
          <w:tcPr>
            <w:tcW w:w="1252"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jc w:val="center"/>
              <w:rPr>
                <w:rFonts w:hint="eastAsia" w:ascii="Calibri" w:hAnsi="Calibri" w:eastAsia="宋体" w:cs="Times New Roman"/>
                <w:kern w:val="2"/>
                <w:sz w:val="21"/>
                <w:szCs w:val="21"/>
                <w:lang w:val="en-US" w:eastAsia="zh-CN" w:bidi="ar-SA"/>
              </w:rPr>
            </w:pPr>
            <w:r>
              <w:rPr>
                <w:rFonts w:hint="eastAsia"/>
                <w:szCs w:val="21"/>
                <w:lang w:val="en-US" w:eastAsia="zh-CN"/>
              </w:rPr>
              <w:t>8</w:t>
            </w:r>
          </w:p>
        </w:tc>
        <w:tc>
          <w:tcPr>
            <w:tcW w:w="758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eastAsia="宋体"/>
                <w:szCs w:val="21"/>
                <w:lang w:eastAsia="zh-CN"/>
              </w:rPr>
            </w:pPr>
            <w:r>
              <w:rPr>
                <w:rFonts w:hint="eastAsia"/>
                <w:szCs w:val="21"/>
                <w:lang w:eastAsia="zh-CN"/>
              </w:rPr>
              <w:t>瓷砖背胶</w:t>
            </w:r>
          </w:p>
        </w:tc>
      </w:tr>
      <w:tr>
        <w:tblPrEx>
          <w:tblCellMar>
            <w:top w:w="0" w:type="dxa"/>
            <w:left w:w="108" w:type="dxa"/>
            <w:bottom w:w="0" w:type="dxa"/>
            <w:right w:w="108" w:type="dxa"/>
          </w:tblCellMar>
        </w:tblPrEx>
        <w:trPr>
          <w:trHeight w:val="433" w:hRule="atLeast"/>
        </w:trPr>
        <w:tc>
          <w:tcPr>
            <w:tcW w:w="1252"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jc w:val="center"/>
              <w:rPr>
                <w:rFonts w:hint="eastAsia" w:ascii="Calibri" w:hAnsi="Calibri" w:eastAsia="宋体" w:cs="Times New Roman"/>
                <w:kern w:val="2"/>
                <w:sz w:val="21"/>
                <w:szCs w:val="21"/>
                <w:lang w:val="en-US" w:eastAsia="zh-CN" w:bidi="ar-SA"/>
              </w:rPr>
            </w:pPr>
            <w:r>
              <w:rPr>
                <w:rFonts w:hint="eastAsia"/>
                <w:szCs w:val="21"/>
                <w:lang w:val="en-US" w:eastAsia="zh-CN"/>
              </w:rPr>
              <w:t>9</w:t>
            </w:r>
          </w:p>
        </w:tc>
        <w:tc>
          <w:tcPr>
            <w:tcW w:w="758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eastAsia="宋体"/>
                <w:szCs w:val="21"/>
                <w:lang w:eastAsia="zh-CN"/>
              </w:rPr>
            </w:pPr>
            <w:r>
              <w:rPr>
                <w:rFonts w:hint="eastAsia"/>
                <w:szCs w:val="21"/>
                <w:lang w:eastAsia="zh-CN"/>
              </w:rPr>
              <w:t>热熔涂料</w:t>
            </w:r>
          </w:p>
        </w:tc>
      </w:tr>
      <w:tr>
        <w:tblPrEx>
          <w:tblCellMar>
            <w:top w:w="0" w:type="dxa"/>
            <w:left w:w="108" w:type="dxa"/>
            <w:bottom w:w="0" w:type="dxa"/>
            <w:right w:w="108" w:type="dxa"/>
          </w:tblCellMar>
        </w:tblPrEx>
        <w:trPr>
          <w:trHeight w:val="442" w:hRule="atLeast"/>
        </w:trPr>
        <w:tc>
          <w:tcPr>
            <w:tcW w:w="1252"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jc w:val="center"/>
              <w:rPr>
                <w:rFonts w:hint="default" w:eastAsia="宋体"/>
                <w:szCs w:val="21"/>
                <w:lang w:val="en-US" w:eastAsia="zh-CN"/>
              </w:rPr>
            </w:pPr>
            <w:r>
              <w:rPr>
                <w:rFonts w:hint="eastAsia"/>
                <w:szCs w:val="21"/>
                <w:lang w:val="en-US" w:eastAsia="zh-CN"/>
              </w:rPr>
              <w:t>10</w:t>
            </w:r>
          </w:p>
        </w:tc>
        <w:tc>
          <w:tcPr>
            <w:tcW w:w="758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eastAsia="宋体"/>
                <w:szCs w:val="21"/>
                <w:lang w:eastAsia="zh-CN"/>
              </w:rPr>
            </w:pPr>
            <w:r>
              <w:rPr>
                <w:rFonts w:hint="eastAsia"/>
                <w:szCs w:val="21"/>
                <w:lang w:eastAsia="zh-CN"/>
              </w:rPr>
              <w:t>透水砖</w:t>
            </w:r>
          </w:p>
        </w:tc>
      </w:tr>
    </w:tbl>
    <w:p>
      <w:pPr>
        <w:pStyle w:val="23"/>
        <w:keepNext w:val="0"/>
        <w:keepLines w:val="0"/>
        <w:pageBreakBefore w:val="0"/>
        <w:widowControl w:val="0"/>
        <w:tabs>
          <w:tab w:val="left" w:pos="720"/>
        </w:tabs>
        <w:kinsoku/>
        <w:wordWrap/>
        <w:overflowPunct/>
        <w:topLinePunct w:val="0"/>
        <w:autoSpaceDE/>
        <w:autoSpaceDN/>
        <w:bidi w:val="0"/>
        <w:adjustRightInd w:val="0"/>
        <w:snapToGrid w:val="0"/>
        <w:spacing w:line="500" w:lineRule="exact"/>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投标人需按采购文件格式附表《拟采用材料品牌表》详细填报表中各类材料对应的品牌分别填写一个。投标人若有认为重要的材料名称需补充，可按格式补充填写在表中。备注栏可不填写。如投标人存在各类材料对应的品牌分别填写多个、缺填、漏填的，即为不满足实质性条款要求，作投标无效处理。</w:t>
      </w:r>
    </w:p>
    <w:p>
      <w:pPr>
        <w:pStyle w:val="10"/>
        <w:keepNext w:val="0"/>
        <w:keepLines w:val="0"/>
        <w:pageBreakBefore w:val="0"/>
        <w:widowControl w:val="0"/>
        <w:numPr>
          <w:ilvl w:val="0"/>
          <w:numId w:val="0"/>
        </w:numPr>
        <w:tabs>
          <w:tab w:val="left" w:pos="540"/>
        </w:tabs>
        <w:kinsoku/>
        <w:wordWrap/>
        <w:overflowPunct/>
        <w:topLinePunct w:val="0"/>
        <w:autoSpaceDE/>
        <w:autoSpaceDN/>
        <w:bidi w:val="0"/>
        <w:spacing w:line="500" w:lineRule="exact"/>
        <w:ind w:firstLine="560" w:firstLineChars="200"/>
        <w:jc w:val="left"/>
        <w:textAlignment w:val="auto"/>
        <w:rPr>
          <w:rFonts w:hint="eastAsia" w:ascii="楷体" w:hAnsi="楷体" w:eastAsia="楷体" w:cs="楷体"/>
          <w:kern w:val="2"/>
          <w:sz w:val="28"/>
          <w:szCs w:val="28"/>
          <w:lang w:val="en-US" w:eastAsia="zh-CN" w:bidi="ar-SA"/>
        </w:rPr>
      </w:pPr>
      <w:r>
        <w:rPr>
          <w:rFonts w:hint="eastAsia" w:ascii="楷体" w:hAnsi="楷体" w:eastAsia="楷体" w:cs="楷体"/>
          <w:kern w:val="2"/>
          <w:sz w:val="28"/>
          <w:szCs w:val="28"/>
          <w:lang w:val="en-US" w:eastAsia="zh-CN" w:bidi="ar-SA"/>
        </w:rPr>
        <w:t>（三）人员要求</w:t>
      </w:r>
    </w:p>
    <w:p>
      <w:pPr>
        <w:pStyle w:val="23"/>
        <w:keepNext w:val="0"/>
        <w:keepLines w:val="0"/>
        <w:pageBreakBefore w:val="0"/>
        <w:widowControl w:val="0"/>
        <w:tabs>
          <w:tab w:val="left" w:pos="720"/>
        </w:tabs>
        <w:kinsoku/>
        <w:wordWrap/>
        <w:overflowPunct/>
        <w:topLinePunct w:val="0"/>
        <w:autoSpaceDE/>
        <w:autoSpaceDN/>
        <w:bidi w:val="0"/>
        <w:adjustRightInd w:val="0"/>
        <w:snapToGrid w:val="0"/>
        <w:spacing w:line="500" w:lineRule="exact"/>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投标人应自行核查项目经理未同时担任其他工程项目施工项目负责人，如果中标时其负责的工程项目不满足《注册建造师执业管理办法》(建市(2008)48号)第九条的例外情形的，中标人须在中标后3个工作日内主动提交更换项目经理的资料供采购人审核。更换的项目负责人条件须不低于原投标文件中拟派的项目负责人，如无法按时提交更换项目经理的资料给采购人，视为中标人自动放弃中标资格。</w:t>
      </w:r>
    </w:p>
    <w:p>
      <w:pPr>
        <w:pStyle w:val="23"/>
        <w:keepNext w:val="0"/>
        <w:keepLines w:val="0"/>
        <w:pageBreakBefore w:val="0"/>
        <w:widowControl w:val="0"/>
        <w:tabs>
          <w:tab w:val="left" w:pos="720"/>
        </w:tabs>
        <w:kinsoku/>
        <w:wordWrap/>
        <w:overflowPunct/>
        <w:topLinePunct w:val="0"/>
        <w:autoSpaceDE/>
        <w:autoSpaceDN/>
        <w:bidi w:val="0"/>
        <w:adjustRightInd w:val="0"/>
        <w:snapToGrid w:val="0"/>
        <w:spacing w:line="500" w:lineRule="exact"/>
        <w:jc w:val="left"/>
        <w:textAlignment w:val="auto"/>
        <w:rPr>
          <w:rFonts w:hint="eastAsia" w:ascii="仿宋_GB2312" w:hAnsi="仿宋_GB2312" w:eastAsia="仿宋_GB2312" w:cs="仿宋_GB2312"/>
          <w:kern w:val="2"/>
          <w:sz w:val="28"/>
          <w:szCs w:val="28"/>
          <w:highlight w:val="none"/>
          <w:lang w:val="en-US" w:eastAsia="zh-CN" w:bidi="ar-SA"/>
        </w:rPr>
      </w:pPr>
      <w:r>
        <w:rPr>
          <w:rFonts w:hint="eastAsia" w:ascii="仿宋_GB2312" w:hAnsi="仿宋_GB2312" w:eastAsia="仿宋_GB2312" w:cs="仿宋_GB2312"/>
          <w:kern w:val="2"/>
          <w:sz w:val="28"/>
          <w:szCs w:val="28"/>
          <w:highlight w:val="none"/>
          <w:lang w:val="en-US" w:eastAsia="zh-CN" w:bidi="ar-SA"/>
        </w:rPr>
        <w:t>本项目拟投入的项目经理须具备二级或以上建造师执业资格（建筑工程专业）和持有项目负责人安全生产考核合格证(B类)（或建筑施工企业项目负责人安全生产考核合格证书）。</w:t>
      </w:r>
      <w:r>
        <w:rPr>
          <w:rFonts w:hint="eastAsia" w:ascii="仿宋_GB2312" w:hAnsi="仿宋_GB2312" w:eastAsia="仿宋_GB2312" w:cs="仿宋_GB2312"/>
          <w:color w:val="FF0000"/>
          <w:kern w:val="2"/>
          <w:sz w:val="28"/>
          <w:szCs w:val="28"/>
          <w:highlight w:val="none"/>
          <w:lang w:val="en-US" w:eastAsia="zh-CN" w:bidi="ar-SA"/>
        </w:rPr>
        <w:t>（提供有效的证书扫描件，中标后原件备查）</w:t>
      </w:r>
    </w:p>
    <w:p>
      <w:pPr>
        <w:pStyle w:val="23"/>
        <w:keepNext w:val="0"/>
        <w:keepLines w:val="0"/>
        <w:pageBreakBefore w:val="0"/>
        <w:widowControl w:val="0"/>
        <w:tabs>
          <w:tab w:val="left" w:pos="720"/>
        </w:tabs>
        <w:kinsoku/>
        <w:wordWrap/>
        <w:overflowPunct/>
        <w:topLinePunct w:val="0"/>
        <w:autoSpaceDE/>
        <w:autoSpaceDN/>
        <w:bidi w:val="0"/>
        <w:adjustRightInd w:val="0"/>
        <w:snapToGrid w:val="0"/>
        <w:spacing w:line="500" w:lineRule="exact"/>
        <w:jc w:val="left"/>
        <w:textAlignment w:val="auto"/>
        <w:rPr>
          <w:rFonts w:hint="eastAsia" w:ascii="仿宋_GB2312" w:hAnsi="仿宋_GB2312" w:eastAsia="仿宋_GB2312" w:cs="仿宋_GB2312"/>
          <w:kern w:val="2"/>
          <w:sz w:val="28"/>
          <w:szCs w:val="28"/>
          <w:highlight w:val="yellow"/>
          <w:lang w:val="en-US" w:eastAsia="zh-CN" w:bidi="ar-SA"/>
        </w:rPr>
      </w:pPr>
      <w:r>
        <w:rPr>
          <w:rFonts w:hint="eastAsia" w:ascii="仿宋_GB2312" w:hAnsi="仿宋_GB2312" w:eastAsia="仿宋_GB2312" w:cs="仿宋_GB2312"/>
          <w:kern w:val="2"/>
          <w:sz w:val="28"/>
          <w:szCs w:val="28"/>
          <w:highlight w:val="none"/>
          <w:lang w:val="en-US" w:eastAsia="zh-CN" w:bidi="ar-SA"/>
        </w:rPr>
        <w:t>本项目拟投入的专职安全员须具有安全生产考核合格证（C1或C2或C3）</w:t>
      </w:r>
      <w:r>
        <w:rPr>
          <w:rFonts w:hint="eastAsia" w:ascii="仿宋_GB2312" w:hAnsi="仿宋_GB2312" w:eastAsia="仿宋_GB2312" w:cs="仿宋_GB2312"/>
          <w:color w:val="FF0000"/>
          <w:kern w:val="2"/>
          <w:sz w:val="28"/>
          <w:szCs w:val="28"/>
          <w:highlight w:val="none"/>
          <w:lang w:val="en-US" w:eastAsia="zh-CN" w:bidi="ar-SA"/>
        </w:rPr>
        <w:t>（提供有效的证书扫描件，中标后原件备查）</w:t>
      </w:r>
      <w:r>
        <w:rPr>
          <w:rFonts w:hint="eastAsia" w:ascii="仿宋_GB2312" w:hAnsi="仿宋_GB2312" w:eastAsia="仿宋_GB2312" w:cs="仿宋_GB2312"/>
          <w:kern w:val="2"/>
          <w:sz w:val="28"/>
          <w:szCs w:val="28"/>
          <w:highlight w:val="none"/>
          <w:lang w:val="en-US" w:eastAsia="zh-CN" w:bidi="ar-SA"/>
        </w:rPr>
        <w:t>。</w:t>
      </w:r>
    </w:p>
    <w:p>
      <w:pPr>
        <w:pStyle w:val="23"/>
        <w:keepNext w:val="0"/>
        <w:keepLines w:val="0"/>
        <w:pageBreakBefore w:val="0"/>
        <w:widowControl w:val="0"/>
        <w:tabs>
          <w:tab w:val="left" w:pos="720"/>
        </w:tabs>
        <w:kinsoku/>
        <w:wordWrap/>
        <w:overflowPunct/>
        <w:topLinePunct w:val="0"/>
        <w:autoSpaceDE/>
        <w:autoSpaceDN/>
        <w:bidi w:val="0"/>
        <w:adjustRightInd w:val="0"/>
        <w:snapToGrid w:val="0"/>
        <w:spacing w:line="500" w:lineRule="exact"/>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中标人应指派满足本采购文件要求、满足项目工作需求的合格的施工人员进场工作，同时指派经验丰富的专业人员协调解决与施工有关问题。</w:t>
      </w:r>
    </w:p>
    <w:p>
      <w:pPr>
        <w:pStyle w:val="10"/>
        <w:keepNext w:val="0"/>
        <w:keepLines w:val="0"/>
        <w:pageBreakBefore w:val="0"/>
        <w:widowControl w:val="0"/>
        <w:numPr>
          <w:ilvl w:val="0"/>
          <w:numId w:val="0"/>
        </w:numPr>
        <w:tabs>
          <w:tab w:val="left" w:pos="540"/>
        </w:tabs>
        <w:kinsoku/>
        <w:wordWrap/>
        <w:overflowPunct/>
        <w:topLinePunct w:val="0"/>
        <w:autoSpaceDE/>
        <w:autoSpaceDN/>
        <w:bidi w:val="0"/>
        <w:adjustRightInd/>
        <w:snapToGrid/>
        <w:spacing w:before="157" w:beforeLines="50" w:line="500" w:lineRule="exact"/>
        <w:ind w:firstLine="560" w:firstLineChars="200"/>
        <w:jc w:val="left"/>
        <w:textAlignment w:val="auto"/>
        <w:rPr>
          <w:rFonts w:hint="eastAsia" w:ascii="黑体" w:hAnsi="黑体" w:eastAsia="黑体" w:cs="Times New Roman"/>
          <w:bCs w:val="0"/>
          <w:kern w:val="2"/>
          <w:sz w:val="28"/>
          <w:szCs w:val="28"/>
          <w:lang w:val="en-US" w:eastAsia="zh-CN" w:bidi="ar-SA"/>
        </w:rPr>
      </w:pPr>
      <w:bookmarkStart w:id="32" w:name="_Toc82421170"/>
      <w:bookmarkStart w:id="33" w:name="_Toc22949"/>
      <w:bookmarkStart w:id="34" w:name="_Toc82421277"/>
      <w:r>
        <w:rPr>
          <w:rFonts w:hint="eastAsia" w:ascii="黑体" w:hAnsi="黑体" w:eastAsia="黑体" w:cs="Times New Roman"/>
          <w:bCs w:val="0"/>
          <w:kern w:val="2"/>
          <w:sz w:val="28"/>
          <w:szCs w:val="28"/>
          <w:lang w:val="en-US" w:eastAsia="zh-CN" w:bidi="ar-SA"/>
        </w:rPr>
        <w:t>四、项目商务要求</w:t>
      </w:r>
      <w:bookmarkEnd w:id="32"/>
      <w:bookmarkEnd w:id="33"/>
      <w:bookmarkEnd w:id="34"/>
    </w:p>
    <w:p>
      <w:pPr>
        <w:pStyle w:val="6"/>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楷体" w:hAnsi="楷体" w:eastAsia="楷体" w:cs="楷体"/>
          <w:kern w:val="2"/>
          <w:sz w:val="28"/>
          <w:szCs w:val="28"/>
          <w:lang w:val="en-US" w:eastAsia="zh-CN" w:bidi="ar-SA"/>
        </w:rPr>
      </w:pPr>
      <w:r>
        <w:rPr>
          <w:rFonts w:hint="eastAsia" w:ascii="楷体" w:hAnsi="楷体" w:eastAsia="楷体" w:cs="楷体"/>
          <w:kern w:val="2"/>
          <w:sz w:val="28"/>
          <w:szCs w:val="28"/>
          <w:lang w:val="en-US" w:eastAsia="zh-CN" w:bidi="ar-SA"/>
        </w:rPr>
        <w:t>（一）付款方式</w:t>
      </w:r>
    </w:p>
    <w:p>
      <w:pPr>
        <w:pStyle w:val="6"/>
        <w:keepNext w:val="0"/>
        <w:keepLines w:val="0"/>
        <w:pageBreakBefore w:val="0"/>
        <w:widowControl w:val="0"/>
        <w:kinsoku/>
        <w:wordWrap/>
        <w:overflowPunct/>
        <w:topLinePunct w:val="0"/>
        <w:autoSpaceDE/>
        <w:autoSpaceDN/>
        <w:bidi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1.付款原则：工程进度款根据监督、监理情况分期支付。</w:t>
      </w:r>
    </w:p>
    <w:p>
      <w:pPr>
        <w:pStyle w:val="23"/>
        <w:keepNext w:val="0"/>
        <w:keepLines w:val="0"/>
        <w:pageBreakBefore w:val="0"/>
        <w:widowControl w:val="0"/>
        <w:tabs>
          <w:tab w:val="left" w:pos="720"/>
        </w:tabs>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本工程不支付预付款，当工程施工完成50%时，采购人按合同价款支付50%给中标人；当工程完工并通过竣工验收，中标人提交结算资料且资料审核完毕后，采购人一次性付清剩余尾款。各付款阶段采购人付款前中标人须提供合法有效的等额发票，采购人在收到发票后支付，采购人在收到发票及相关支付申请文件后10个工作日内将资金支付到合同约定的中标人账户，若非采购人原因导致（包括但不限于不可抗力）到账时间延迟，采购人不承担相应责任。</w:t>
      </w:r>
    </w:p>
    <w:p>
      <w:pPr>
        <w:pStyle w:val="23"/>
        <w:keepNext w:val="0"/>
        <w:keepLines w:val="0"/>
        <w:pageBreakBefore w:val="0"/>
        <w:widowControl w:val="0"/>
        <w:tabs>
          <w:tab w:val="left" w:pos="720"/>
        </w:tabs>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3.中标人应当自行保证收款信息的真实性、准确性和合法有效性，如有违反导致中标人无法收到采购人支付款项的，采购人不承担任何责任，由中标人自行承担。</w:t>
      </w:r>
    </w:p>
    <w:p>
      <w:pPr>
        <w:pStyle w:val="6"/>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both"/>
        <w:textAlignment w:val="auto"/>
        <w:rPr>
          <w:rFonts w:hint="eastAsia" w:ascii="楷体" w:hAnsi="楷体" w:eastAsia="楷体" w:cs="楷体"/>
          <w:kern w:val="2"/>
          <w:sz w:val="28"/>
          <w:szCs w:val="28"/>
          <w:lang w:val="en-US" w:eastAsia="zh-CN" w:bidi="ar-SA"/>
        </w:rPr>
      </w:pPr>
      <w:r>
        <w:rPr>
          <w:rFonts w:hint="eastAsia" w:ascii="楷体" w:hAnsi="楷体" w:eastAsia="楷体" w:cs="楷体"/>
          <w:kern w:val="2"/>
          <w:sz w:val="28"/>
          <w:szCs w:val="28"/>
          <w:lang w:val="en-US" w:eastAsia="zh-CN" w:bidi="ar-SA"/>
        </w:rPr>
        <w:t>（二）质量考核验收标准及违约金</w:t>
      </w:r>
    </w:p>
    <w:p>
      <w:pPr>
        <w:pStyle w:val="23"/>
        <w:keepNext w:val="0"/>
        <w:keepLines w:val="0"/>
        <w:pageBreakBefore w:val="0"/>
        <w:widowControl w:val="0"/>
        <w:tabs>
          <w:tab w:val="left" w:pos="720"/>
        </w:tabs>
        <w:kinsoku/>
        <w:wordWrap/>
        <w:overflowPunct/>
        <w:topLinePunct w:val="0"/>
        <w:autoSpaceDE/>
        <w:autoSpaceDN/>
        <w:bidi w:val="0"/>
        <w:adjustRightInd w:val="0"/>
        <w:snapToGrid w:val="0"/>
        <w:spacing w:line="500" w:lineRule="exact"/>
        <w:ind w:left="0" w:leftChars="0" w:firstLine="560" w:firstLineChars="200"/>
        <w:jc w:val="both"/>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本工程质量应达到国家质量评定合格标准：《建筑装饰装修工程质量验收标准》(GB50210-2018)、《建筑工程施工质量验收统一标准》(GB50300-2013)等国家制定的现行有效施工及验收规范作为本工程质量评定验收标准（如规范、标准更新，则以最新版本为准）；同时也应该达到深圳市相关工程质量验收标准。当国家和深圳市的验收标准不一致时，以较严的标准为准。施工前主要材料、设备、施工样板必须经采购人、监理人及设计单位确认后才能施工</w:t>
      </w:r>
      <w:r>
        <w:rPr>
          <w:rFonts w:hint="default" w:ascii="仿宋_GB2312" w:hAnsi="仿宋_GB2312" w:eastAsia="仿宋_GB2312" w:cs="仿宋_GB2312"/>
          <w:kern w:val="2"/>
          <w:sz w:val="28"/>
          <w:szCs w:val="28"/>
          <w:lang w:val="en-US" w:eastAsia="zh-CN" w:bidi="ar-SA"/>
        </w:rPr>
        <w:t>，</w:t>
      </w:r>
      <w:r>
        <w:rPr>
          <w:rFonts w:hint="eastAsia" w:ascii="仿宋_GB2312" w:hAnsi="仿宋_GB2312" w:eastAsia="仿宋_GB2312" w:cs="仿宋_GB2312"/>
          <w:kern w:val="2"/>
          <w:sz w:val="28"/>
          <w:szCs w:val="28"/>
          <w:lang w:val="en-US" w:eastAsia="zh-CN" w:bidi="ar-SA"/>
        </w:rPr>
        <w:t>否则相关损失和责任由中标人自行承担。</w:t>
      </w:r>
    </w:p>
    <w:p>
      <w:pPr>
        <w:pStyle w:val="23"/>
        <w:keepNext w:val="0"/>
        <w:keepLines w:val="0"/>
        <w:pageBreakBefore w:val="0"/>
        <w:widowControl w:val="0"/>
        <w:tabs>
          <w:tab w:val="left" w:pos="720"/>
        </w:tabs>
        <w:kinsoku/>
        <w:wordWrap/>
        <w:overflowPunct/>
        <w:topLinePunct w:val="0"/>
        <w:autoSpaceDE/>
        <w:autoSpaceDN/>
        <w:bidi w:val="0"/>
        <w:adjustRightInd w:val="0"/>
        <w:snapToGrid w:val="0"/>
        <w:spacing w:line="500" w:lineRule="exact"/>
        <w:ind w:left="0" w:leftChars="0" w:firstLine="560" w:firstLineChars="200"/>
        <w:jc w:val="both"/>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工程具备隐蔽条件或中间验收时，中标人须于正式隐蔽或中间验收前48小时以书面形式通知采购人和监理验收，通知包括隐蔽和中间验收的内容、验收时间和地点。中标人进行验收记录，验收合格，采购人和监理在验收记录上签字后，中标人可进行隐蔽和继续施工；验收不合格，中标人在采购人限定的时间内修改后按照前述流程重新组织验收。由此造成的工期延误责任及使采购人遭受经济损失的均由中标人自行承担。</w:t>
      </w:r>
    </w:p>
    <w:p>
      <w:pPr>
        <w:pStyle w:val="23"/>
        <w:keepNext w:val="0"/>
        <w:keepLines w:val="0"/>
        <w:pageBreakBefore w:val="0"/>
        <w:widowControl w:val="0"/>
        <w:tabs>
          <w:tab w:val="left" w:pos="720"/>
        </w:tabs>
        <w:kinsoku/>
        <w:wordWrap/>
        <w:overflowPunct/>
        <w:topLinePunct w:val="0"/>
        <w:autoSpaceDE/>
        <w:autoSpaceDN/>
        <w:bidi w:val="0"/>
        <w:adjustRightInd w:val="0"/>
        <w:snapToGrid w:val="0"/>
        <w:spacing w:line="500" w:lineRule="exact"/>
        <w:ind w:left="0" w:leftChars="0" w:firstLine="560" w:firstLineChars="200"/>
        <w:jc w:val="both"/>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3.由于中标人原因造成质量事故，其返工费用由中标人承担，工期不予顺延。同时，中标人还应赔偿因此给采购人造成的损失。</w:t>
      </w:r>
    </w:p>
    <w:p>
      <w:pPr>
        <w:pStyle w:val="23"/>
        <w:keepNext w:val="0"/>
        <w:keepLines w:val="0"/>
        <w:pageBreakBefore w:val="0"/>
        <w:widowControl w:val="0"/>
        <w:tabs>
          <w:tab w:val="left" w:pos="720"/>
        </w:tabs>
        <w:kinsoku/>
        <w:wordWrap/>
        <w:overflowPunct/>
        <w:topLinePunct w:val="0"/>
        <w:autoSpaceDE/>
        <w:autoSpaceDN/>
        <w:bidi w:val="0"/>
        <w:adjustRightInd w:val="0"/>
        <w:snapToGrid w:val="0"/>
        <w:spacing w:line="500" w:lineRule="exact"/>
        <w:ind w:left="0" w:leftChars="0" w:firstLine="560" w:firstLineChars="200"/>
        <w:jc w:val="both"/>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4.本工程具备竣工验收条件后</w:t>
      </w:r>
      <w:r>
        <w:rPr>
          <w:rFonts w:hint="eastAsia" w:ascii="仿宋_GB2312" w:hAnsi="仿宋_GB2312" w:eastAsia="仿宋_GB2312" w:cs="仿宋_GB2312"/>
          <w:b/>
          <w:bCs/>
          <w:kern w:val="2"/>
          <w:sz w:val="28"/>
          <w:szCs w:val="28"/>
          <w:u w:val="single"/>
          <w:lang w:val="en-US" w:eastAsia="zh-CN" w:bidi="ar-SA"/>
        </w:rPr>
        <w:t xml:space="preserve"> 7 </w:t>
      </w:r>
      <w:r>
        <w:rPr>
          <w:rFonts w:hint="eastAsia" w:ascii="仿宋_GB2312" w:hAnsi="仿宋_GB2312" w:eastAsia="仿宋_GB2312" w:cs="仿宋_GB2312"/>
          <w:b w:val="0"/>
          <w:bCs w:val="0"/>
          <w:kern w:val="2"/>
          <w:sz w:val="28"/>
          <w:szCs w:val="28"/>
          <w:u w:val="none"/>
          <w:lang w:val="en-US" w:eastAsia="zh-CN" w:bidi="ar-SA"/>
        </w:rPr>
        <w:t>天</w:t>
      </w:r>
      <w:r>
        <w:rPr>
          <w:rFonts w:hint="eastAsia" w:ascii="仿宋_GB2312" w:hAnsi="仿宋_GB2312" w:eastAsia="仿宋_GB2312" w:cs="仿宋_GB2312"/>
          <w:kern w:val="2"/>
          <w:sz w:val="28"/>
          <w:szCs w:val="28"/>
          <w:lang w:val="en-US" w:eastAsia="zh-CN" w:bidi="ar-SA"/>
        </w:rPr>
        <w:t>内，中标人应按国家住房和城乡建设部、广东省及深圳市的有关规定和采购人的要求编制工程竣工验收资料，向采购人委派的监理单位提供完整竣工验收资料</w:t>
      </w:r>
      <w:r>
        <w:rPr>
          <w:rFonts w:hint="eastAsia" w:ascii="仿宋_GB2312" w:hAnsi="仿宋_GB2312" w:eastAsia="仿宋_GB2312" w:cs="仿宋_GB2312"/>
          <w:b/>
          <w:bCs/>
          <w:kern w:val="2"/>
          <w:sz w:val="28"/>
          <w:szCs w:val="28"/>
          <w:u w:val="single"/>
          <w:lang w:val="en-US" w:eastAsia="zh-CN" w:bidi="ar-SA"/>
        </w:rPr>
        <w:t xml:space="preserve"> 3 </w:t>
      </w:r>
      <w:r>
        <w:rPr>
          <w:rFonts w:hint="eastAsia" w:ascii="仿宋_GB2312" w:hAnsi="仿宋_GB2312" w:eastAsia="仿宋_GB2312" w:cs="仿宋_GB2312"/>
          <w:kern w:val="2"/>
          <w:sz w:val="28"/>
          <w:szCs w:val="28"/>
          <w:lang w:val="en-US" w:eastAsia="zh-CN" w:bidi="ar-SA"/>
        </w:rPr>
        <w:t>套。监理单位收到竣工验收资料后，应在</w:t>
      </w:r>
      <w:r>
        <w:rPr>
          <w:rFonts w:hint="eastAsia" w:ascii="仿宋_GB2312" w:hAnsi="仿宋_GB2312" w:eastAsia="仿宋_GB2312" w:cs="仿宋_GB2312"/>
          <w:b/>
          <w:bCs/>
          <w:kern w:val="2"/>
          <w:sz w:val="28"/>
          <w:szCs w:val="28"/>
          <w:u w:val="single"/>
          <w:lang w:val="en-US" w:eastAsia="zh-CN" w:bidi="ar-SA"/>
        </w:rPr>
        <w:t xml:space="preserve"> 5 </w:t>
      </w:r>
      <w:r>
        <w:rPr>
          <w:rFonts w:hint="eastAsia" w:ascii="仿宋_GB2312" w:hAnsi="仿宋_GB2312" w:eastAsia="仿宋_GB2312" w:cs="仿宋_GB2312"/>
          <w:kern w:val="2"/>
          <w:sz w:val="28"/>
          <w:szCs w:val="28"/>
          <w:lang w:val="en-US" w:eastAsia="zh-CN" w:bidi="ar-SA"/>
        </w:rPr>
        <w:t>天内审核，若不符合要求，监理单位可提出修改意见。中标人按要求修改合格后报监理单位，监理单位在收到中标人的竣工验收报告后3天内应组织有关单位进行初步验收，并在5天内对工程质量予以认可或提出修改意见。中标人按要求修改，并承担由其自身原因造成的修改费用。竣工验收由采购人主持，并成立竣工验收小组组织竣工验收工作。编制竣工图、竣工资料的费用均已包含在本项目投标报价中。</w:t>
      </w:r>
    </w:p>
    <w:p>
      <w:pPr>
        <w:pStyle w:val="23"/>
        <w:keepNext w:val="0"/>
        <w:keepLines w:val="0"/>
        <w:pageBreakBefore w:val="0"/>
        <w:widowControl w:val="0"/>
        <w:tabs>
          <w:tab w:val="left" w:pos="720"/>
        </w:tabs>
        <w:kinsoku/>
        <w:wordWrap/>
        <w:overflowPunct/>
        <w:topLinePunct w:val="0"/>
        <w:autoSpaceDE/>
        <w:autoSpaceDN/>
        <w:bidi w:val="0"/>
        <w:adjustRightInd w:val="0"/>
        <w:snapToGrid w:val="0"/>
        <w:spacing w:line="500" w:lineRule="exact"/>
        <w:ind w:left="0" w:leftChars="0" w:firstLine="560" w:firstLineChars="200"/>
        <w:jc w:val="both"/>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5.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人办理相关验收手续，包括但不限于组织和参加相关的会议、竣工资料的重新整理编制、提供服务等，费用均已包含在本项目投标报价中。</w:t>
      </w:r>
    </w:p>
    <w:p>
      <w:pPr>
        <w:pStyle w:val="23"/>
        <w:keepNext w:val="0"/>
        <w:keepLines w:val="0"/>
        <w:pageBreakBefore w:val="0"/>
        <w:widowControl w:val="0"/>
        <w:tabs>
          <w:tab w:val="left" w:pos="720"/>
        </w:tabs>
        <w:kinsoku/>
        <w:wordWrap/>
        <w:overflowPunct/>
        <w:topLinePunct w:val="0"/>
        <w:autoSpaceDE/>
        <w:autoSpaceDN/>
        <w:bidi w:val="0"/>
        <w:adjustRightInd w:val="0"/>
        <w:snapToGrid w:val="0"/>
        <w:spacing w:line="500" w:lineRule="exact"/>
        <w:ind w:left="0" w:leftChars="0" w:firstLine="560" w:firstLineChars="200"/>
        <w:jc w:val="both"/>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6.工程竣工验收合格后，中标人应在</w:t>
      </w:r>
      <w:r>
        <w:rPr>
          <w:rFonts w:hint="eastAsia" w:ascii="仿宋_GB2312" w:hAnsi="仿宋_GB2312" w:eastAsia="仿宋_GB2312" w:cs="仿宋_GB2312"/>
          <w:kern w:val="2"/>
          <w:sz w:val="28"/>
          <w:szCs w:val="28"/>
          <w:u w:val="single"/>
          <w:lang w:val="en-US" w:eastAsia="zh-CN" w:bidi="ar-SA"/>
        </w:rPr>
        <w:t xml:space="preserve"> </w:t>
      </w:r>
      <w:r>
        <w:rPr>
          <w:rFonts w:hint="eastAsia" w:ascii="仿宋_GB2312" w:hAnsi="仿宋_GB2312" w:eastAsia="仿宋_GB2312" w:cs="仿宋_GB2312"/>
          <w:b/>
          <w:bCs/>
          <w:kern w:val="2"/>
          <w:sz w:val="28"/>
          <w:szCs w:val="28"/>
          <w:u w:val="single"/>
          <w:lang w:val="en-US" w:eastAsia="zh-CN" w:bidi="ar-SA"/>
        </w:rPr>
        <w:t xml:space="preserve">3 </w:t>
      </w:r>
      <w:r>
        <w:rPr>
          <w:rFonts w:hint="eastAsia" w:ascii="仿宋_GB2312" w:hAnsi="仿宋_GB2312" w:eastAsia="仿宋_GB2312" w:cs="仿宋_GB2312"/>
          <w:kern w:val="2"/>
          <w:sz w:val="28"/>
          <w:szCs w:val="28"/>
          <w:lang w:val="en-US" w:eastAsia="zh-CN" w:bidi="ar-SA"/>
        </w:rPr>
        <w:t>天内进行场地的移交。中标人不按时向采购人移交本工程的，每延迟一天，中标人向采购人支付违约金5000元。</w:t>
      </w:r>
    </w:p>
    <w:p>
      <w:pPr>
        <w:pStyle w:val="23"/>
        <w:keepNext w:val="0"/>
        <w:keepLines w:val="0"/>
        <w:pageBreakBefore w:val="0"/>
        <w:widowControl w:val="0"/>
        <w:tabs>
          <w:tab w:val="left" w:pos="720"/>
        </w:tabs>
        <w:kinsoku/>
        <w:wordWrap/>
        <w:overflowPunct/>
        <w:topLinePunct w:val="0"/>
        <w:autoSpaceDE/>
        <w:autoSpaceDN/>
        <w:bidi w:val="0"/>
        <w:adjustRightInd w:val="0"/>
        <w:snapToGrid w:val="0"/>
        <w:spacing w:line="500" w:lineRule="exact"/>
        <w:ind w:left="0" w:leftChars="0" w:firstLine="560" w:firstLineChars="200"/>
        <w:jc w:val="both"/>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7.项目经理、工程有关管理人员与投标文件承诺不一致或未及时到位，采购人将按照下列方式对中标人收取违约金：</w:t>
      </w:r>
    </w:p>
    <w:p>
      <w:pPr>
        <w:pStyle w:val="23"/>
        <w:keepNext w:val="0"/>
        <w:keepLines w:val="0"/>
        <w:pageBreakBefore w:val="0"/>
        <w:widowControl w:val="0"/>
        <w:tabs>
          <w:tab w:val="left" w:pos="720"/>
        </w:tabs>
        <w:kinsoku/>
        <w:wordWrap/>
        <w:overflowPunct/>
        <w:topLinePunct w:val="0"/>
        <w:autoSpaceDE/>
        <w:autoSpaceDN/>
        <w:bidi w:val="0"/>
        <w:adjustRightInd w:val="0"/>
        <w:snapToGrid w:val="0"/>
        <w:spacing w:line="500" w:lineRule="exact"/>
        <w:ind w:left="0" w:leftChars="0" w:firstLine="560" w:firstLineChars="200"/>
        <w:jc w:val="both"/>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中标人不得随意变更项目经理（除非有不可抗力的原因），如更换项目经理需取得采购人书面同意，未经采购人书面同意变更一次应向采购人支付违约金10000元人民币。同时采购人有权单方面终止合同，由此造成的违约责任由中标人承担。</w:t>
      </w:r>
    </w:p>
    <w:p>
      <w:pPr>
        <w:pStyle w:val="23"/>
        <w:keepNext w:val="0"/>
        <w:keepLines w:val="0"/>
        <w:pageBreakBefore w:val="0"/>
        <w:widowControl w:val="0"/>
        <w:tabs>
          <w:tab w:val="left" w:pos="720"/>
        </w:tabs>
        <w:kinsoku/>
        <w:wordWrap/>
        <w:overflowPunct/>
        <w:topLinePunct w:val="0"/>
        <w:autoSpaceDE/>
        <w:autoSpaceDN/>
        <w:bidi w:val="0"/>
        <w:adjustRightInd w:val="0"/>
        <w:snapToGrid w:val="0"/>
        <w:spacing w:line="500" w:lineRule="exact"/>
        <w:ind w:left="0" w:leftChars="0" w:firstLine="560" w:firstLineChars="200"/>
        <w:jc w:val="both"/>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（2）采购人对项目经理不满意，认为其无法胜任本工程的，有权要求中标人更换不称职的项目经理，中标人必须服从，并且必须在7天内更换符合资质及项目要求的项目经理。</w:t>
      </w:r>
    </w:p>
    <w:p>
      <w:pPr>
        <w:pStyle w:val="23"/>
        <w:keepNext w:val="0"/>
        <w:keepLines w:val="0"/>
        <w:pageBreakBefore w:val="0"/>
        <w:widowControl w:val="0"/>
        <w:tabs>
          <w:tab w:val="left" w:pos="720"/>
        </w:tabs>
        <w:kinsoku/>
        <w:wordWrap/>
        <w:overflowPunct/>
        <w:topLinePunct w:val="0"/>
        <w:autoSpaceDE/>
        <w:autoSpaceDN/>
        <w:bidi w:val="0"/>
        <w:adjustRightInd w:val="0"/>
        <w:snapToGrid w:val="0"/>
        <w:spacing w:line="500" w:lineRule="exact"/>
        <w:ind w:left="0" w:leftChars="0" w:firstLine="560" w:firstLineChars="200"/>
        <w:jc w:val="both"/>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8.在工程实施全过程中，若有工人前往中英街管理局讨薪、闹事等事件发生，每发生一次，中标人须向采购人支付违约金10000元。</w:t>
      </w:r>
    </w:p>
    <w:p>
      <w:pPr>
        <w:pStyle w:val="23"/>
        <w:keepNext w:val="0"/>
        <w:keepLines w:val="0"/>
        <w:pageBreakBefore w:val="0"/>
        <w:widowControl w:val="0"/>
        <w:tabs>
          <w:tab w:val="left" w:pos="720"/>
        </w:tabs>
        <w:kinsoku/>
        <w:wordWrap/>
        <w:overflowPunct/>
        <w:topLinePunct w:val="0"/>
        <w:autoSpaceDE/>
        <w:autoSpaceDN/>
        <w:bidi w:val="0"/>
        <w:adjustRightInd w:val="0"/>
        <w:snapToGrid w:val="0"/>
        <w:spacing w:line="500" w:lineRule="exact"/>
        <w:ind w:left="0" w:leftChars="0" w:firstLine="560" w:firstLineChars="200"/>
        <w:jc w:val="both"/>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9.当有中标人应支付的违约金时，中标人应在采购人发出书面通知之日起7个日历日内完成支付，若中标人未及时支付，采购人有权在未支付款项中直接扣除。</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left"/>
        <w:textAlignment w:val="auto"/>
        <w:rPr>
          <w:rFonts w:hint="eastAsia" w:ascii="楷体" w:hAnsi="楷体" w:eastAsia="楷体" w:cs="楷体"/>
          <w:kern w:val="2"/>
          <w:sz w:val="28"/>
          <w:szCs w:val="28"/>
          <w:lang w:val="en-US" w:eastAsia="zh-CN" w:bidi="ar-SA"/>
        </w:rPr>
      </w:pPr>
      <w:r>
        <w:rPr>
          <w:rFonts w:hint="eastAsia" w:ascii="楷体" w:hAnsi="楷体" w:eastAsia="楷体" w:cs="楷体"/>
          <w:kern w:val="2"/>
          <w:sz w:val="28"/>
          <w:szCs w:val="28"/>
          <w:lang w:val="en-US" w:eastAsia="zh-CN" w:bidi="ar-SA"/>
        </w:rPr>
        <w:t>（三）</w:t>
      </w:r>
      <w:bookmarkStart w:id="35" w:name="OLE_LINK1"/>
      <w:bookmarkStart w:id="36" w:name="OLE_LINK2"/>
      <w:r>
        <w:rPr>
          <w:rFonts w:hint="eastAsia" w:ascii="楷体" w:hAnsi="楷体" w:eastAsia="楷体" w:cs="楷体"/>
          <w:kern w:val="2"/>
          <w:sz w:val="28"/>
          <w:szCs w:val="28"/>
          <w:lang w:val="en-US" w:eastAsia="zh-CN" w:bidi="ar-SA"/>
        </w:rPr>
        <w:t>项目管理要求</w:t>
      </w:r>
      <w:bookmarkEnd w:id="35"/>
      <w:bookmarkEnd w:id="36"/>
    </w:p>
    <w:p>
      <w:pPr>
        <w:pStyle w:val="23"/>
        <w:keepNext w:val="0"/>
        <w:keepLines w:val="0"/>
        <w:pageBreakBefore w:val="0"/>
        <w:widowControl w:val="0"/>
        <w:tabs>
          <w:tab w:val="left" w:pos="0"/>
          <w:tab w:val="left" w:pos="720"/>
        </w:tabs>
        <w:kinsoku/>
        <w:wordWrap/>
        <w:overflowPunct/>
        <w:topLinePunct w:val="0"/>
        <w:autoSpaceDE/>
        <w:autoSpaceDN/>
        <w:bidi w:val="0"/>
        <w:adjustRightInd w:val="0"/>
        <w:snapToGrid w:val="0"/>
        <w:spacing w:line="500" w:lineRule="exact"/>
        <w:ind w:left="0" w:leftChars="0"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1.中标人必须作好施工记录、隐蔽工程记录、施工资料的整理、竣工资料的编制等工作。中标人需协助采购人办理一切与本工程施工有关的工作，包括与有关单位的联系、安排、协调工作。</w:t>
      </w:r>
    </w:p>
    <w:p>
      <w:pPr>
        <w:pStyle w:val="6"/>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2.中标人必须在施工现场显眼位置设置正规施工警示牌、工程概况牌。</w:t>
      </w:r>
    </w:p>
    <w:p>
      <w:pPr>
        <w:pStyle w:val="6"/>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中标人施工必须达到有关部门规定的安全文明施工标准，服从采购人各项管理规定要求，认真做好施工现场防护、防火、噪音、用电等安全文明施工各项管理工作，承担相应一切责任，确保施工场地区域道路通畅，保持施工现场整洁，做到工完场清，达到国家卫生城市标准。</w:t>
      </w:r>
    </w:p>
    <w:p>
      <w:pPr>
        <w:pStyle w:val="6"/>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4.中标人必须在施工过程中注意自身及周边安全，做好现场及周边安全设施搭设，遵守有关安全保护规程，负责施工过程中的所有事故处理和费用。</w:t>
      </w:r>
      <w:bookmarkStart w:id="37" w:name="_Toc191"/>
    </w:p>
    <w:p>
      <w:pPr>
        <w:pStyle w:val="6"/>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5.中标人必须服从采购人、监理公司的监督、指导并积极主动配合上述管理机构的工作。</w:t>
      </w:r>
    </w:p>
    <w:p>
      <w:pPr>
        <w:pStyle w:val="6"/>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6.中标人施工时使用的材料需经采购人最终确认后，方可进场使用，中标人所提供的材料或厂家应符合设计图纸要求及采购人确认要求，如中标人不能提供的可由采购人根据市场考察情况确认并实施。</w:t>
      </w:r>
    </w:p>
    <w:p>
      <w:pPr>
        <w:pStyle w:val="6"/>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jc w:val="left"/>
        <w:textAlignment w:val="auto"/>
        <w:rPr>
          <w:rFonts w:hint="eastAsia" w:ascii="黑体" w:hAnsi="黑体" w:eastAsia="黑体" w:cs="Times New Roman"/>
          <w:bCs w:val="0"/>
          <w:kern w:val="2"/>
          <w:sz w:val="28"/>
          <w:szCs w:val="28"/>
          <w:lang w:val="en-US" w:eastAsia="zh-CN" w:bidi="ar-SA"/>
        </w:rPr>
      </w:pPr>
      <w:r>
        <w:rPr>
          <w:rFonts w:hint="eastAsia" w:ascii="黑体" w:hAnsi="黑体" w:eastAsia="黑体" w:cs="Times New Roman"/>
          <w:bCs w:val="0"/>
          <w:kern w:val="2"/>
          <w:sz w:val="28"/>
          <w:szCs w:val="28"/>
          <w:lang w:val="en-US" w:eastAsia="zh-CN" w:bidi="ar-SA"/>
        </w:rPr>
        <w:t>五、补充条款</w:t>
      </w:r>
      <w:bookmarkEnd w:id="37"/>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全部工程造价按下列约定计算：</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1.工程量以采购文件中的工程量清单为准，如有增减，以采购人、中标人及监理三方共同现场签证为准。</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2.工程量如有增减，对于提交了“投标文件”并按照投标文件评审后中标的中标人，有投标报价的按照投标报价计取，没有投标报价的项目综合单价按照2026年第3月定额价乘以中标人中标价的下浮率计取；</w:t>
      </w:r>
    </w:p>
    <w:p>
      <w:pPr>
        <w:keepNext w:val="0"/>
        <w:keepLines w:val="0"/>
        <w:pageBreakBefore w:val="0"/>
        <w:widowControl w:val="0"/>
        <w:kinsoku/>
        <w:wordWrap/>
        <w:overflowPunct/>
        <w:topLinePunct w:val="0"/>
        <w:autoSpaceDE/>
        <w:autoSpaceDN/>
        <w:bidi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施工措施费用的核算：实际施工时，施工措施发生了变化时，由造价机构按照实际施工的措施进行造价后对原“标底”中的措施费部分进行调整，并按照中标人中标价的下浮率折算后结算。措施项目清单中“安全文明施工费”为不可竞争费用，工程变更时，安全文明施工费清单列项部分的工程量结合工程实际进行计量，综合单价应按合同单价计算，其他不做增减。</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4.本工程原则上不作增减调整，严格按照采购文件内容和图纸进行施工。施工过程中，中标人如发现工作内容与采购文件中的工程量清单不符时，应立即停止并通知采购人现场解决，不得任意更改工作项目，在有关部门还没处理完毕之前不能施工，此间处理过程的工期按实际顺延。</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5.工程量以采购文件的工程量清单为准，施工中如遇与工程量清单不符时参照本补充条款第2条进行结算。</w:t>
      </w:r>
      <w:bookmarkStart w:id="38" w:name="_Toc31141"/>
      <w:bookmarkStart w:id="39" w:name="_Toc82421171"/>
      <w:bookmarkStart w:id="40" w:name="_Toc82421278"/>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黑体" w:hAnsi="黑体" w:eastAsia="黑体" w:cs="Times New Roman"/>
          <w:bCs w:val="0"/>
          <w:kern w:val="2"/>
          <w:sz w:val="28"/>
          <w:szCs w:val="28"/>
          <w:lang w:val="en-US" w:eastAsia="zh-CN" w:bidi="ar-SA"/>
        </w:rPr>
      </w:pPr>
      <w:r>
        <w:rPr>
          <w:rFonts w:hint="eastAsia" w:ascii="黑体" w:hAnsi="黑体" w:eastAsia="黑体" w:cs="Times New Roman"/>
          <w:bCs w:val="0"/>
          <w:kern w:val="2"/>
          <w:sz w:val="28"/>
          <w:szCs w:val="28"/>
          <w:lang w:val="en-US" w:eastAsia="zh-CN" w:bidi="ar-SA"/>
        </w:rPr>
        <w:t>六、违约责任</w:t>
      </w:r>
      <w:bookmarkEnd w:id="38"/>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1.中标人违反约定进行转包或违法分包的违约责任：</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如中标人有转包、非法分包行为，应向采购人支付违约金5万元/次。</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如中标人有将其承包范围内全部工程肢解分包的行为，应向采购人支付违约金5万元/次。</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2.因中标人原因导致工程质量不符合要求的违约责任：</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采购人有权利选择以下方式修复，中标人不得异议：</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（1）采购人要求中标人在监理单位和采购人要求的合理时间内，完成质量不合格部分工程的返工工作，由此造成的工期延误和费用损失，全部由中标人承担。</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（2）如中标人拒不整改，采购人有权委派其他单位进行返工、整改，其费用由中标人承担，并且赔偿由此给采购人造成的损失。中标人承担此损失并不免除延期违约等其他条件的相应责任。</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3.中标人违反约定采购和使用不合格的材料和工程设备的违约责任：</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工程主要材料、重要设备采购前应取得监理单位、采购人的同意，未取得同意批准的材料不得进场，不得在工程上使用，不予计量。采购人和监理单位的确认，并不能减轻或免除中标人应负的质量责任。中标人强行采购和施工不符合采购文件要求的材料设备，采购人将要求其立即拆除，所有损失和费用由中标人承担。中标人须重新采购，并确保材料设备质量符合采购文件和合同要求，按程序报审，征得采购人、监理单位批准后方可施工。若中标人拒不履行合同义务，采购人有权单方面解除合同，没收中标人的履约担保（如有）。</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4.逾期竣工的违约责任：</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逾期竣工违约金计算方法：合同工期已包含项目所有相关工程验收工作时间，因中标人原因单项工程或整个工程（包含项目所有相关验收时间）每延误一天，按照5000元/天向采购人支付违约金，上述违约金采购人有权在工程尾款支付时直接扣除。逾期竣工违约金的上限：逾期竣工违约金累计不超过合同价的30%。</w:t>
      </w:r>
      <w:bookmarkStart w:id="41" w:name="_Toc5892"/>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黑体" w:hAnsi="黑体" w:eastAsia="黑体" w:cs="Times New Roman"/>
          <w:bCs w:val="0"/>
          <w:kern w:val="2"/>
          <w:sz w:val="28"/>
          <w:szCs w:val="28"/>
          <w:lang w:val="en-US" w:eastAsia="zh-CN" w:bidi="ar-SA"/>
        </w:rPr>
      </w:pPr>
      <w:r>
        <w:rPr>
          <w:rFonts w:hint="eastAsia" w:ascii="黑体" w:hAnsi="黑体" w:eastAsia="黑体" w:cs="Times New Roman"/>
          <w:bCs w:val="0"/>
          <w:kern w:val="2"/>
          <w:sz w:val="28"/>
          <w:szCs w:val="28"/>
          <w:lang w:val="en-US" w:eastAsia="zh-CN" w:bidi="ar-SA"/>
        </w:rPr>
        <w:t>七、图纸(见附件)</w:t>
      </w:r>
      <w:bookmarkEnd w:id="39"/>
      <w:bookmarkEnd w:id="40"/>
      <w:bookmarkEnd w:id="41"/>
      <w:bookmarkStart w:id="42" w:name="_Toc82421279"/>
      <w:bookmarkStart w:id="43" w:name="_Toc28323"/>
      <w:bookmarkStart w:id="44" w:name="_Toc82421172"/>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黑体" w:hAnsi="黑体" w:eastAsia="黑体" w:cs="Times New Roman"/>
          <w:bCs w:val="0"/>
          <w:kern w:val="2"/>
          <w:sz w:val="28"/>
          <w:szCs w:val="28"/>
          <w:lang w:val="en-US" w:eastAsia="zh-CN" w:bidi="ar-SA"/>
        </w:rPr>
      </w:pPr>
      <w:r>
        <w:rPr>
          <w:rFonts w:hint="eastAsia" w:ascii="黑体" w:hAnsi="黑体" w:eastAsia="黑体" w:cs="Times New Roman"/>
          <w:bCs w:val="0"/>
          <w:kern w:val="2"/>
          <w:sz w:val="28"/>
          <w:szCs w:val="28"/>
          <w:lang w:val="en-US" w:eastAsia="zh-CN" w:bidi="ar-SA"/>
        </w:rPr>
        <w:t>八、工程量清单（见附件）</w:t>
      </w:r>
      <w:bookmarkEnd w:id="42"/>
      <w:bookmarkEnd w:id="43"/>
      <w:bookmarkEnd w:id="44"/>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highlight w:val="yellow"/>
          <w:lang w:val="en-US" w:eastAsia="zh-CN" w:bidi="ar-SA"/>
        </w:rPr>
      </w:pPr>
      <w:r>
        <w:rPr>
          <w:rFonts w:hint="eastAsia" w:ascii="仿宋_GB2312" w:hAnsi="仿宋_GB2312" w:eastAsia="仿宋_GB2312" w:cs="仿宋_GB2312"/>
          <w:kern w:val="2"/>
          <w:sz w:val="28"/>
          <w:szCs w:val="28"/>
          <w:lang w:val="en-US" w:eastAsia="zh-CN" w:bidi="ar-SA"/>
        </w:rPr>
        <w:t>1、</w:t>
      </w:r>
      <w:r>
        <w:rPr>
          <w:rFonts w:hint="eastAsia" w:ascii="仿宋_GB2312" w:hAnsi="仿宋_GB2312" w:eastAsia="仿宋_GB2312" w:cs="仿宋_GB2312"/>
          <w:kern w:val="2"/>
          <w:sz w:val="28"/>
          <w:szCs w:val="28"/>
          <w:highlight w:val="none"/>
          <w:lang w:val="en-US" w:eastAsia="zh-CN" w:bidi="ar-SA"/>
        </w:rPr>
        <w:t>工程计价办法：综合单价法。</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2.按照《建设工程工程量清单计价标准》的规定，“工程量清单格式”主要包括以下几个部分，但不局限于以下部分：</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（1）清单封面；</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（2）分部分项工程量清单；</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（3）措施项目清单。</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highlight w:val="none"/>
          <w:lang w:val="en-US" w:eastAsia="zh-CN" w:bidi="ar-SA"/>
        </w:rPr>
      </w:pPr>
      <w:r>
        <w:rPr>
          <w:rFonts w:hint="eastAsia" w:ascii="仿宋_GB2312" w:hAnsi="仿宋_GB2312" w:eastAsia="仿宋_GB2312" w:cs="仿宋_GB2312"/>
          <w:kern w:val="2"/>
          <w:sz w:val="28"/>
          <w:szCs w:val="28"/>
          <w:highlight w:val="none"/>
          <w:lang w:val="en-US" w:eastAsia="zh-CN" w:bidi="ar-SA"/>
        </w:rPr>
        <w:t>3.本工程要求采用的工程量计算规则，应作为本工程招投标双方进行工程招投标和结算计量、计价的共同依据。</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highlight w:val="none"/>
          <w:lang w:val="en-US" w:eastAsia="zh-CN" w:bidi="ar-SA"/>
        </w:rPr>
      </w:pPr>
      <w:r>
        <w:rPr>
          <w:rFonts w:hint="eastAsia" w:ascii="仿宋_GB2312" w:hAnsi="仿宋_GB2312" w:eastAsia="仿宋_GB2312" w:cs="仿宋_GB2312"/>
          <w:kern w:val="2"/>
          <w:sz w:val="28"/>
          <w:szCs w:val="28"/>
          <w:highlight w:val="none"/>
          <w:lang w:val="en-US" w:eastAsia="zh-CN" w:bidi="ar-SA"/>
        </w:rPr>
        <w:t>4.本工程要求采用的工程量计算规则是《建设工程工程量清单计价标准》（GB/T50500-2024）及深圳市补充规范；</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5.对“分部分项工程量清单”的说明和报价要求</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（2）该清单中所填入的综合单价和合价应包括直接成本（即人工、材料等）和费用（管理费、利润）、风险金等全部费用。但涉及到采购人自行采购的设备材料的项目不得计入材料设备的价格。</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（3）针对该清单，投标人报价时应提供“分部分项工程量清单综合单价分析表（简表）”。</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6.对“措施项目清单”的说明和报价要求：</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（1）该清单所列项目中以“一项”提出的，是采购人根据一般情况估计的项目，投标人实际措施项目不同的，可以对具体列项内容进行调整。</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（3）该清单中列入了“施工单位现场安全文明施工费”，该费用包括临时设施费、安全施工费、文明施工费，作为非竞争性费用。</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7．如发现采购人提供的工程量清单与图纸实际不符时，除采购文件另有要求外，投标人应在公告期间提出，采购人应进行复核并在网上发出修正。如没有做出修正，投标人仍应按原提供的项目及工程量报价，并将项差与量差体现在报价中，并在备注中注明，但不得对工程量清单进行修改。</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黑体" w:hAnsi="黑体" w:eastAsia="黑体" w:cs="Times New Roman"/>
          <w:bCs w:val="0"/>
          <w:kern w:val="2"/>
          <w:sz w:val="28"/>
          <w:szCs w:val="28"/>
          <w:lang w:val="en-US" w:eastAsia="zh-CN" w:bidi="ar-SA"/>
        </w:rPr>
      </w:pPr>
      <w:bookmarkStart w:id="45" w:name="_Toc82421280"/>
      <w:bookmarkStart w:id="46" w:name="_Toc82421173"/>
      <w:bookmarkStart w:id="47" w:name="_Toc16578"/>
      <w:r>
        <w:rPr>
          <w:rFonts w:hint="eastAsia" w:ascii="黑体" w:hAnsi="黑体" w:eastAsia="黑体" w:cs="Times New Roman"/>
          <w:bCs w:val="0"/>
          <w:kern w:val="2"/>
          <w:sz w:val="28"/>
          <w:szCs w:val="28"/>
          <w:lang w:val="en-US" w:eastAsia="zh-CN" w:bidi="ar-SA"/>
        </w:rPr>
        <w:t>九、投标报价</w:t>
      </w:r>
      <w:bookmarkEnd w:id="45"/>
      <w:bookmarkEnd w:id="46"/>
      <w:bookmarkEnd w:id="47"/>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1.本工程的工程量清单的投标单价按综合单价方式进行报价；</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采购评审小组认为投标人的报价明显低于其他通过符合性审查投标人的报价，有可能影响产品质量或者不能诚信履约的，投标人不能在合理的时间内提供书面说明，或无法提交相关证明材料，投标人不能证明其报价合理性的（若小组成员对是否须由投标人作出报价合理性说明，以及书面说明是否采纳等判断不一致的，按照“少数服从多数”的原则确定采购评审小组的意见）；</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3.投标人的投标总报价不得超过预算限额；</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4.投标人的投标报价，应是本项目采购范围内和采购文件中所列的各项内容中所述的全部，不得以任何理由予以重复，并以投标人在工程量清单中提出的综合单价或总价为依据；</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5.除非中英街管理局通过修改采购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5.投标人应先到施工现场踏勘以充分了解工地的位置、情况、道路、储存空间、装卸限制及任何其它足以影响投标报价的情况，任何因忽视或误解工地情况而导致的索赔或工期延长申请将不获批准；</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highlight w:val="none"/>
          <w:lang w:val="en-US" w:eastAsia="zh-CN" w:bidi="ar-SA"/>
        </w:rPr>
      </w:pPr>
      <w:r>
        <w:rPr>
          <w:rFonts w:hint="eastAsia" w:ascii="仿宋_GB2312" w:hAnsi="仿宋_GB2312" w:eastAsia="仿宋_GB2312" w:cs="仿宋_GB2312"/>
          <w:kern w:val="2"/>
          <w:sz w:val="28"/>
          <w:szCs w:val="28"/>
          <w:highlight w:val="none"/>
          <w:lang w:val="en-US" w:eastAsia="zh-CN" w:bidi="ar-SA"/>
        </w:rPr>
        <w:t>6.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单位核实后予以扣减。投标人的投标报价必须充分考虑到在施工中实施的施工组织设计对工程造价的影响，并在投标报价中反映出来。</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highlight w:val="none"/>
          <w:lang w:val="en-US" w:eastAsia="zh-CN" w:bidi="ar-SA"/>
        </w:rPr>
        <w:t>7.本</w:t>
      </w:r>
      <w:r>
        <w:rPr>
          <w:rFonts w:hint="eastAsia" w:ascii="仿宋_GB2312" w:hAnsi="仿宋_GB2312" w:eastAsia="仿宋_GB2312" w:cs="仿宋_GB2312"/>
          <w:kern w:val="2"/>
          <w:sz w:val="28"/>
          <w:szCs w:val="28"/>
          <w:lang w:val="en-US" w:eastAsia="zh-CN" w:bidi="ar-SA"/>
        </w:rPr>
        <w:t>项目不接受总价优惠折扣形式的报价，投标人应将对项目的优惠直接在清单报价中体现出来。</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8.采购人委托承包人办理的保险事项：建设工程一切险和第三者责任险，所需的保险费应包含在投标价中，施工中若发生安全事故，一切责任及费用由施工单位负责。</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黑体" w:hAnsi="黑体" w:eastAsia="黑体" w:cs="Times New Roman"/>
          <w:bCs w:val="0"/>
          <w:kern w:val="2"/>
          <w:sz w:val="28"/>
          <w:szCs w:val="28"/>
          <w:lang w:val="en-US" w:eastAsia="zh-CN" w:bidi="ar-SA"/>
        </w:rPr>
      </w:pPr>
      <w:bookmarkStart w:id="48" w:name="_Toc82421174"/>
      <w:bookmarkStart w:id="49" w:name="_Toc82421281"/>
      <w:bookmarkStart w:id="50" w:name="_Toc18146"/>
      <w:r>
        <w:rPr>
          <w:rFonts w:hint="eastAsia" w:ascii="黑体" w:hAnsi="黑体" w:eastAsia="黑体" w:cs="Times New Roman"/>
          <w:bCs w:val="0"/>
          <w:kern w:val="2"/>
          <w:sz w:val="28"/>
          <w:szCs w:val="28"/>
          <w:lang w:val="en-US" w:eastAsia="zh-CN" w:bidi="ar-SA"/>
        </w:rPr>
        <w:t>十、注意事项</w:t>
      </w:r>
      <w:bookmarkEnd w:id="48"/>
      <w:bookmarkEnd w:id="49"/>
      <w:bookmarkEnd w:id="50"/>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1.中标人不得将项目非法分包或转包给任何单位和个人。否则，采购单位有权即刻终止合同，并要求中标人赔偿相应损失。</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2.投标人若认为采购文件的技术要求或其他要求有倾向性或不公正性，可在公示阶段提出，以维护招标行为的公平、公正。</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3.投标人使用的标准必须是国际公认或国家、或地方政府颁布的同等或更高的标准，如投标人使用的标准低于上述标准，采购评审小组将有权不予接受，投标人必须列表将明显的差异详细说明。</w:t>
      </w:r>
    </w:p>
    <w:p>
      <w:pPr>
        <w:keepNext w:val="0"/>
        <w:keepLines w:val="0"/>
        <w:pageBreakBefore w:val="0"/>
        <w:widowControl w:val="0"/>
        <w:kinsoku/>
        <w:wordWrap/>
        <w:overflowPunct/>
        <w:topLinePunct w:val="0"/>
        <w:autoSpaceDE/>
        <w:autoSpaceDN/>
        <w:bidi w:val="0"/>
        <w:adjustRightInd/>
        <w:snapToGrid/>
        <w:spacing w:before="157" w:beforeLines="50"/>
        <w:jc w:val="center"/>
        <w:textAlignment w:val="auto"/>
        <w:rPr>
          <w:rFonts w:hint="eastAsia" w:ascii="方正小标宋简体" w:hAnsi="方正小标宋简体" w:eastAsia="方正小标宋简体" w:cs="方正小标宋简体"/>
          <w:b w:val="0"/>
          <w:bCs/>
          <w:kern w:val="2"/>
          <w:sz w:val="32"/>
          <w:szCs w:val="32"/>
          <w:u w:val="none"/>
          <w:lang w:val="en-US" w:eastAsia="zh-CN" w:bidi="ar-SA"/>
        </w:rPr>
      </w:pPr>
    </w:p>
    <w:p>
      <w:pPr>
        <w:keepNext w:val="0"/>
        <w:keepLines w:val="0"/>
        <w:pageBreakBefore w:val="0"/>
        <w:widowControl w:val="0"/>
        <w:kinsoku/>
        <w:wordWrap/>
        <w:overflowPunct/>
        <w:topLinePunct w:val="0"/>
        <w:autoSpaceDE/>
        <w:autoSpaceDN/>
        <w:bidi w:val="0"/>
        <w:adjustRightInd/>
        <w:snapToGrid/>
        <w:spacing w:before="157" w:beforeLines="50"/>
        <w:jc w:val="center"/>
        <w:textAlignment w:val="auto"/>
        <w:rPr>
          <w:rFonts w:hint="eastAsia" w:ascii="方正小标宋简体" w:hAnsi="方正小标宋简体" w:eastAsia="方正小标宋简体" w:cs="方正小标宋简体"/>
          <w:b w:val="0"/>
          <w:bCs/>
          <w:kern w:val="2"/>
          <w:sz w:val="32"/>
          <w:szCs w:val="32"/>
          <w:u w:val="none"/>
          <w:lang w:val="en-US" w:eastAsia="zh-CN" w:bidi="ar-SA"/>
        </w:rPr>
      </w:pPr>
    </w:p>
    <w:p>
      <w:pPr>
        <w:keepNext w:val="0"/>
        <w:keepLines w:val="0"/>
        <w:pageBreakBefore w:val="0"/>
        <w:widowControl w:val="0"/>
        <w:kinsoku/>
        <w:wordWrap/>
        <w:overflowPunct/>
        <w:topLinePunct w:val="0"/>
        <w:autoSpaceDE/>
        <w:autoSpaceDN/>
        <w:bidi w:val="0"/>
        <w:adjustRightInd/>
        <w:snapToGrid/>
        <w:spacing w:before="157" w:beforeLines="50"/>
        <w:jc w:val="center"/>
        <w:textAlignment w:val="auto"/>
        <w:rPr>
          <w:rFonts w:hint="eastAsia" w:ascii="方正小标宋简体" w:hAnsi="方正小标宋简体" w:eastAsia="方正小标宋简体" w:cs="方正小标宋简体"/>
          <w:b w:val="0"/>
          <w:bCs/>
          <w:kern w:val="2"/>
          <w:sz w:val="32"/>
          <w:szCs w:val="32"/>
          <w:u w:val="none"/>
          <w:lang w:val="en-US" w:eastAsia="zh-CN" w:bidi="ar-SA"/>
        </w:rPr>
      </w:pPr>
      <w:r>
        <w:rPr>
          <w:rFonts w:hint="eastAsia" w:ascii="方正小标宋简体" w:hAnsi="方正小标宋简体" w:eastAsia="方正小标宋简体" w:cs="方正小标宋简体"/>
          <w:b w:val="0"/>
          <w:bCs/>
          <w:kern w:val="2"/>
          <w:sz w:val="32"/>
          <w:szCs w:val="32"/>
          <w:u w:val="none"/>
          <w:lang w:val="en-US" w:eastAsia="zh-CN" w:bidi="ar-SA"/>
        </w:rPr>
        <w:t>第三章  合同格式（详询采购人）</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lang w:val="en-US" w:eastAsia="zh-CN" w:bidi="ar-SA"/>
        </w:rPr>
      </w:pPr>
    </w:p>
    <w:p>
      <w:pPr>
        <w:rPr>
          <w:rFonts w:hint="eastAsia" w:ascii="方正小标宋简体" w:hAnsi="方正小标宋简体" w:eastAsia="方正小标宋简体" w:cs="方正小标宋简体"/>
          <w:b w:val="0"/>
          <w:bCs/>
          <w:kern w:val="2"/>
          <w:sz w:val="32"/>
          <w:szCs w:val="32"/>
          <w:u w:val="none"/>
          <w:lang w:val="en-US" w:eastAsia="zh-CN" w:bidi="ar-SA"/>
        </w:rPr>
      </w:pPr>
      <w:r>
        <w:rPr>
          <w:rFonts w:hint="eastAsia" w:ascii="仿宋_GB2312" w:hAnsi="仿宋_GB2312" w:eastAsia="仿宋_GB2312" w:cs="仿宋_GB2312"/>
          <w:kern w:val="2"/>
          <w:sz w:val="32"/>
          <w:szCs w:val="32"/>
          <w:lang w:val="en-US" w:eastAsia="zh-CN" w:bidi="ar-SA"/>
        </w:rPr>
        <w:br w:type="page"/>
      </w:r>
    </w:p>
    <w:p>
      <w:pPr>
        <w:widowControl/>
        <w:jc w:val="center"/>
        <w:rPr>
          <w:b/>
          <w:color w:val="000000"/>
          <w:sz w:val="24"/>
        </w:rPr>
      </w:pPr>
    </w:p>
    <w:p>
      <w:pPr>
        <w:pStyle w:val="5"/>
        <w:spacing w:before="231" w:beforeLines="50" w:after="231" w:afterLines="50"/>
        <w:rPr>
          <w:rFonts w:hint="eastAsia" w:ascii="方正小标宋简体" w:hAnsi="方正小标宋简体" w:eastAsia="方正小标宋简体" w:cs="方正小标宋简体"/>
          <w:b w:val="0"/>
          <w:bCs/>
          <w:kern w:val="2"/>
          <w:sz w:val="32"/>
          <w:szCs w:val="32"/>
          <w:u w:val="none"/>
          <w:lang w:val="en-US" w:eastAsia="zh-CN" w:bidi="ar-SA"/>
        </w:rPr>
      </w:pPr>
      <w:bookmarkStart w:id="51" w:name="_Toc32427"/>
      <w:bookmarkStart w:id="52" w:name="_Toc82421177"/>
      <w:bookmarkStart w:id="53" w:name="_Toc82421284"/>
      <w:r>
        <w:rPr>
          <w:rFonts w:hint="eastAsia" w:ascii="方正小标宋简体" w:hAnsi="方正小标宋简体" w:eastAsia="方正小标宋简体" w:cs="方正小标宋简体"/>
          <w:b w:val="0"/>
          <w:bCs/>
          <w:kern w:val="2"/>
          <w:sz w:val="32"/>
          <w:szCs w:val="32"/>
          <w:u w:val="none"/>
          <w:lang w:val="en-US" w:eastAsia="zh-CN" w:bidi="ar-SA"/>
        </w:rPr>
        <w:t>第四章  投标文件格式</w:t>
      </w:r>
      <w:bookmarkEnd w:id="51"/>
      <w:bookmarkEnd w:id="52"/>
      <w:bookmarkEnd w:id="53"/>
    </w:p>
    <w:p>
      <w:pPr>
        <w:rPr>
          <w:rStyle w:val="24"/>
          <w:color w:val="FF0000"/>
          <w:sz w:val="24"/>
        </w:rPr>
      </w:pPr>
      <w:r>
        <w:rPr>
          <w:rStyle w:val="24"/>
          <w:rFonts w:hint="eastAsia"/>
          <w:color w:val="FF0000"/>
          <w:sz w:val="24"/>
        </w:rPr>
        <w:t>特别提醒：</w:t>
      </w:r>
    </w:p>
    <w:p>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仿宋_GB2312" w:hAnsi="仿宋_GB2312" w:eastAsia="仿宋_GB2312" w:cs="仿宋_GB2312"/>
          <w:kern w:val="2"/>
          <w:sz w:val="28"/>
          <w:szCs w:val="28"/>
          <w:highlight w:val="none"/>
          <w:lang w:val="en-US" w:eastAsia="zh-CN" w:bidi="ar-SA"/>
        </w:rPr>
      </w:pPr>
      <w:r>
        <w:rPr>
          <w:rFonts w:hint="eastAsia" w:ascii="仿宋_GB2312" w:hAnsi="仿宋_GB2312" w:eastAsia="仿宋_GB2312" w:cs="仿宋_GB2312"/>
          <w:kern w:val="2"/>
          <w:sz w:val="28"/>
          <w:szCs w:val="28"/>
          <w:highlight w:val="none"/>
          <w:lang w:val="en-US" w:eastAsia="zh-CN" w:bidi="ar-SA"/>
        </w:rPr>
        <w:t>下文中的“投标人”是参与投标的公司。</w:t>
      </w:r>
    </w:p>
    <w:p>
      <w:pPr>
        <w:rPr>
          <w:rFonts w:hint="eastAsia" w:ascii="仿宋_GB2312" w:hAnsi="仿宋_GB2312" w:eastAsia="仿宋_GB2312" w:cs="仿宋_GB2312"/>
          <w:kern w:val="2"/>
          <w:sz w:val="32"/>
          <w:szCs w:val="32"/>
          <w:lang w:val="en-US" w:eastAsia="zh-CN" w:bidi="ar-SA"/>
        </w:rPr>
      </w:pPr>
    </w:p>
    <w:p>
      <w:pPr>
        <w:pStyle w:val="3"/>
        <w:keepNext w:val="0"/>
        <w:keepLines w:val="0"/>
        <w:pageBreakBefore/>
        <w:rPr>
          <w:bCs/>
          <w:color w:val="FF0000"/>
        </w:rPr>
      </w:pPr>
      <w:bookmarkStart w:id="54" w:name="_Toc11925"/>
      <w:r>
        <w:rPr>
          <w:rFonts w:hint="eastAsia"/>
          <w:bCs/>
          <w:color w:val="FF0000"/>
        </w:rPr>
        <w:t>封面</w:t>
      </w:r>
      <w:bookmarkEnd w:id="54"/>
    </w:p>
    <w:p>
      <w:pPr>
        <w:jc w:val="center"/>
        <w:rPr>
          <w:rFonts w:ascii="宋体" w:hAnsi="宋体"/>
          <w:b/>
          <w:sz w:val="52"/>
          <w:szCs w:val="52"/>
        </w:rPr>
      </w:pPr>
    </w:p>
    <w:p>
      <w:pPr>
        <w:jc w:val="center"/>
        <w:rPr>
          <w:rFonts w:ascii="宋体" w:hAnsi="宋体"/>
          <w:b/>
          <w:sz w:val="52"/>
          <w:szCs w:val="52"/>
        </w:rPr>
      </w:pPr>
    </w:p>
    <w:p>
      <w:pPr>
        <w:jc w:val="center"/>
        <w:rPr>
          <w:rFonts w:ascii="宋体" w:hAnsi="宋体"/>
          <w:b/>
          <w:sz w:val="84"/>
          <w:szCs w:val="84"/>
        </w:rPr>
      </w:pPr>
      <w:r>
        <w:rPr>
          <w:rFonts w:hint="eastAsia" w:ascii="宋体" w:hAnsi="宋体"/>
          <w:b/>
          <w:sz w:val="84"/>
          <w:szCs w:val="84"/>
        </w:rPr>
        <w:t>投 标 文 件</w:t>
      </w:r>
    </w:p>
    <w:p>
      <w:pPr>
        <w:rPr>
          <w:rFonts w:ascii="宋体" w:hAnsi="宋体"/>
          <w:b/>
          <w:sz w:val="30"/>
          <w:szCs w:val="30"/>
        </w:rPr>
      </w:pPr>
    </w:p>
    <w:p>
      <w:pPr>
        <w:rPr>
          <w:rFonts w:ascii="宋体" w:hAnsi="宋体"/>
          <w:b/>
          <w:sz w:val="30"/>
          <w:szCs w:val="30"/>
        </w:rPr>
      </w:pPr>
    </w:p>
    <w:p>
      <w:pPr>
        <w:rPr>
          <w:rFonts w:ascii="宋体" w:hAnsi="宋体"/>
          <w:b/>
          <w:sz w:val="30"/>
          <w:szCs w:val="30"/>
        </w:rPr>
      </w:pPr>
    </w:p>
    <w:p>
      <w:pPr>
        <w:rPr>
          <w:rFonts w:ascii="宋体" w:hAnsi="宋体"/>
          <w:b/>
          <w:sz w:val="32"/>
          <w:szCs w:val="32"/>
        </w:rPr>
      </w:pPr>
    </w:p>
    <w:p>
      <w:pPr>
        <w:rPr>
          <w:rFonts w:ascii="宋体" w:hAnsi="宋体"/>
          <w:b/>
          <w:sz w:val="32"/>
          <w:szCs w:val="32"/>
        </w:rPr>
      </w:pPr>
      <w:r>
        <w:rPr>
          <w:rFonts w:hint="eastAsia" w:ascii="宋体" w:hAnsi="宋体"/>
          <w:b/>
          <w:sz w:val="32"/>
          <w:szCs w:val="32"/>
        </w:rPr>
        <w:t>项目</w:t>
      </w:r>
      <w:r>
        <w:rPr>
          <w:rFonts w:ascii="宋体" w:hAnsi="宋体"/>
          <w:b/>
          <w:sz w:val="32"/>
          <w:szCs w:val="32"/>
        </w:rPr>
        <w:t>名称：</w:t>
      </w:r>
    </w:p>
    <w:p>
      <w:pPr>
        <w:rPr>
          <w:rFonts w:ascii="宋体" w:hAnsi="宋体"/>
          <w:b/>
          <w:sz w:val="32"/>
          <w:szCs w:val="32"/>
        </w:rPr>
      </w:pPr>
      <w:r>
        <w:rPr>
          <w:rFonts w:hint="eastAsia" w:ascii="宋体" w:hAnsi="宋体"/>
          <w:b/>
          <w:sz w:val="32"/>
          <w:szCs w:val="32"/>
        </w:rPr>
        <w:t>投标人</w:t>
      </w:r>
      <w:r>
        <w:rPr>
          <w:rFonts w:ascii="宋体" w:hAnsi="宋体"/>
          <w:b/>
          <w:sz w:val="32"/>
          <w:szCs w:val="32"/>
        </w:rPr>
        <w:t>（供应商</w:t>
      </w:r>
      <w:r>
        <w:rPr>
          <w:rFonts w:hint="eastAsia" w:ascii="宋体" w:hAnsi="宋体"/>
          <w:b/>
          <w:sz w:val="32"/>
          <w:szCs w:val="32"/>
        </w:rPr>
        <w:t>）</w:t>
      </w:r>
      <w:r>
        <w:rPr>
          <w:rFonts w:ascii="宋体" w:hAnsi="宋体"/>
          <w:b/>
          <w:sz w:val="32"/>
          <w:szCs w:val="32"/>
        </w:rPr>
        <w:t>：</w:t>
      </w:r>
    </w:p>
    <w:p>
      <w:pPr>
        <w:rPr>
          <w:rFonts w:hint="eastAsia" w:ascii="宋体" w:hAnsi="宋体"/>
          <w:b/>
          <w:sz w:val="32"/>
          <w:szCs w:val="32"/>
        </w:rPr>
      </w:pPr>
      <w:r>
        <w:rPr>
          <w:rFonts w:hint="eastAsia" w:ascii="宋体" w:hAnsi="宋体"/>
          <w:b/>
          <w:sz w:val="32"/>
          <w:szCs w:val="32"/>
        </w:rPr>
        <w:t>日期：</w:t>
      </w:r>
    </w:p>
    <w:p>
      <w:pPr>
        <w:rPr>
          <w:rFonts w:hint="eastAsia" w:ascii="宋体" w:hAnsi="宋体" w:eastAsiaTheme="minorEastAsia"/>
          <w:b/>
          <w:sz w:val="32"/>
          <w:szCs w:val="32"/>
          <w:lang w:eastAsia="zh-CN"/>
        </w:rPr>
      </w:pPr>
      <w:r>
        <w:rPr>
          <w:rFonts w:hint="eastAsia" w:ascii="宋体" w:hAnsi="宋体"/>
          <w:b/>
          <w:sz w:val="32"/>
          <w:szCs w:val="32"/>
        </w:rPr>
        <w:t>联系人</w:t>
      </w:r>
      <w:r>
        <w:rPr>
          <w:rFonts w:hint="eastAsia" w:ascii="宋体" w:hAnsi="宋体"/>
          <w:b/>
          <w:sz w:val="32"/>
          <w:szCs w:val="32"/>
          <w:lang w:eastAsia="zh-CN"/>
        </w:rPr>
        <w:t>：</w:t>
      </w:r>
    </w:p>
    <w:p>
      <w:pPr>
        <w:rPr>
          <w:rFonts w:hint="eastAsia" w:ascii="宋体" w:hAnsi="宋体"/>
          <w:b/>
          <w:sz w:val="32"/>
          <w:szCs w:val="32"/>
        </w:rPr>
      </w:pPr>
      <w:r>
        <w:rPr>
          <w:rFonts w:hint="eastAsia" w:ascii="宋体" w:hAnsi="宋体"/>
          <w:b/>
          <w:sz w:val="32"/>
          <w:szCs w:val="32"/>
        </w:rPr>
        <w:t>联系电话：</w:t>
      </w:r>
    </w:p>
    <w:p>
      <w:pPr>
        <w:rPr>
          <w:rFonts w:hint="eastAsia" w:ascii="宋体" w:hAnsi="宋体"/>
          <w:b/>
          <w:sz w:val="32"/>
          <w:szCs w:val="32"/>
        </w:rPr>
        <w:sectPr>
          <w:footerReference r:id="rId3" w:type="default"/>
          <w:pgSz w:w="11906" w:h="16838"/>
          <w:pgMar w:top="2098" w:right="1474" w:bottom="1984" w:left="1587" w:header="851" w:footer="992" w:gutter="0"/>
          <w:cols w:space="425" w:num="1"/>
          <w:docGrid w:type="lines" w:linePitch="312" w:charSpace="0"/>
        </w:sectPr>
      </w:pPr>
    </w:p>
    <w:p>
      <w:pPr>
        <w:pStyle w:val="3"/>
        <w:jc w:val="left"/>
        <w:rPr>
          <w:rFonts w:ascii="黑体" w:eastAsia="黑体"/>
          <w:b w:val="0"/>
          <w:kern w:val="0"/>
          <w:sz w:val="24"/>
        </w:rPr>
      </w:pPr>
      <w:bookmarkStart w:id="55" w:name="_Toc440"/>
      <w:r>
        <w:rPr>
          <w:b w:val="0"/>
          <w:kern w:val="0"/>
          <w:szCs w:val="28"/>
        </w:rPr>
        <w:t>目录</w:t>
      </w:r>
      <w:bookmarkEnd w:id="55"/>
    </w:p>
    <w:p>
      <w:pPr>
        <w:pStyle w:val="13"/>
        <w:tabs>
          <w:tab w:val="right" w:leader="dot" w:pos="8313"/>
          <w:tab w:val="clear" w:pos="8296"/>
        </w:tabs>
      </w:pPr>
      <w:r>
        <w:fldChar w:fldCharType="begin"/>
      </w:r>
      <w:r>
        <w:instrText xml:space="preserve"> TOC \o "1-3" \h \z \u </w:instrText>
      </w:r>
      <w:r>
        <w:fldChar w:fldCharType="separate"/>
      </w:r>
    </w:p>
    <w:p>
      <w:pPr>
        <w:pStyle w:val="9"/>
        <w:tabs>
          <w:tab w:val="right" w:leader="dot" w:pos="8313"/>
        </w:tabs>
        <w:rPr>
          <w:rFonts w:hint="eastAsia" w:eastAsia="宋体"/>
          <w:lang w:val="en-US" w:eastAsia="zh-CN"/>
        </w:rPr>
      </w:pPr>
      <w:r>
        <w:fldChar w:fldCharType="begin"/>
      </w:r>
      <w:r>
        <w:instrText xml:space="preserve"> HYPERLINK \l "_Toc10201" </w:instrText>
      </w:r>
      <w:r>
        <w:fldChar w:fldCharType="separate"/>
      </w:r>
      <w:r>
        <w:rPr>
          <w:rFonts w:hint="eastAsia"/>
          <w:bCs/>
        </w:rPr>
        <w:t>封面</w:t>
      </w:r>
      <w:r>
        <w:tab/>
      </w:r>
      <w:r>
        <w:rPr>
          <w:rFonts w:hint="eastAsia"/>
          <w:lang w:val="en-US" w:eastAsia="zh-CN"/>
        </w:rPr>
        <w:t>X</w:t>
      </w:r>
      <w:r>
        <w:fldChar w:fldCharType="end"/>
      </w:r>
      <w:r>
        <w:rPr>
          <w:rFonts w:hint="eastAsia"/>
          <w:lang w:val="en-US" w:eastAsia="zh-CN"/>
        </w:rPr>
        <w:t>X</w:t>
      </w:r>
    </w:p>
    <w:p>
      <w:pPr>
        <w:pStyle w:val="9"/>
        <w:tabs>
          <w:tab w:val="right" w:leader="dot" w:pos="8313"/>
        </w:tabs>
        <w:rPr>
          <w:rFonts w:hint="eastAsia" w:eastAsia="宋体"/>
          <w:lang w:val="en-US" w:eastAsia="zh-CN"/>
        </w:rPr>
      </w:pPr>
      <w:r>
        <w:fldChar w:fldCharType="begin"/>
      </w:r>
      <w:r>
        <w:instrText xml:space="preserve"> HYPERLINK \l "_Toc440" </w:instrText>
      </w:r>
      <w:r>
        <w:fldChar w:fldCharType="separate"/>
      </w:r>
      <w:r>
        <w:rPr>
          <w:kern w:val="0"/>
          <w:szCs w:val="28"/>
        </w:rPr>
        <w:t>目录</w:t>
      </w:r>
      <w:r>
        <w:tab/>
      </w:r>
      <w:r>
        <w:rPr>
          <w:rFonts w:hint="eastAsia"/>
          <w:lang w:val="en-US" w:eastAsia="zh-CN"/>
        </w:rPr>
        <w:t>X</w:t>
      </w:r>
      <w:r>
        <w:fldChar w:fldCharType="end"/>
      </w:r>
      <w:r>
        <w:rPr>
          <w:rFonts w:hint="eastAsia"/>
          <w:lang w:val="en-US" w:eastAsia="zh-CN"/>
        </w:rPr>
        <w:t>X</w:t>
      </w:r>
    </w:p>
    <w:p>
      <w:pPr>
        <w:pStyle w:val="9"/>
        <w:tabs>
          <w:tab w:val="right" w:leader="dot" w:pos="8313"/>
        </w:tabs>
      </w:pPr>
      <w:r>
        <w:fldChar w:fldCharType="begin"/>
      </w:r>
      <w:r>
        <w:instrText xml:space="preserve"> HYPERLINK \l "_Toc1749" </w:instrText>
      </w:r>
      <w:r>
        <w:fldChar w:fldCharType="separate"/>
      </w:r>
      <w:r>
        <w:rPr>
          <w:rFonts w:hint="eastAsia"/>
          <w:bCs/>
        </w:rPr>
        <w:t>投标文件第一部分：</w:t>
      </w:r>
      <w:r>
        <w:tab/>
      </w:r>
      <w:r>
        <w:fldChar w:fldCharType="begin"/>
      </w:r>
      <w:r>
        <w:instrText xml:space="preserve"> PAGEREF _Toc1749 \h </w:instrText>
      </w:r>
      <w:r>
        <w:fldChar w:fldCharType="separate"/>
      </w:r>
      <w:r>
        <w:rPr>
          <w:rFonts w:hint="eastAsia"/>
          <w:lang w:val="en-US" w:eastAsia="zh-CN"/>
        </w:rPr>
        <w:t>XX</w:t>
      </w:r>
      <w:r>
        <w:fldChar w:fldCharType="end"/>
      </w:r>
      <w:r>
        <w:fldChar w:fldCharType="end"/>
      </w:r>
    </w:p>
    <w:p>
      <w:pPr>
        <w:pStyle w:val="9"/>
        <w:tabs>
          <w:tab w:val="right" w:leader="dot" w:pos="8313"/>
        </w:tabs>
        <w:rPr>
          <w:rFonts w:hint="eastAsia" w:eastAsia="宋体"/>
          <w:lang w:val="en-US" w:eastAsia="zh-CN"/>
        </w:rPr>
      </w:pPr>
      <w:r>
        <w:fldChar w:fldCharType="begin"/>
      </w:r>
      <w:r>
        <w:instrText xml:space="preserve"> HYPERLINK \l "_Toc18054" </w:instrText>
      </w:r>
      <w:r>
        <w:fldChar w:fldCharType="separate"/>
      </w:r>
      <w:r>
        <w:rPr>
          <w:rFonts w:hint="eastAsia" w:ascii="黑体" w:eastAsia="黑体"/>
          <w:kern w:val="0"/>
        </w:rPr>
        <w:t>一、投标一览表</w:t>
      </w:r>
      <w:r>
        <w:tab/>
      </w:r>
      <w:r>
        <w:rPr>
          <w:rFonts w:hint="eastAsia"/>
          <w:lang w:val="en-US" w:eastAsia="zh-CN"/>
        </w:rPr>
        <w:t>X</w:t>
      </w:r>
      <w:r>
        <w:fldChar w:fldCharType="end"/>
      </w:r>
      <w:r>
        <w:rPr>
          <w:rFonts w:hint="eastAsia"/>
          <w:lang w:val="en-US" w:eastAsia="zh-CN"/>
        </w:rPr>
        <w:t>X</w:t>
      </w:r>
    </w:p>
    <w:p>
      <w:pPr>
        <w:pStyle w:val="9"/>
        <w:tabs>
          <w:tab w:val="right" w:leader="dot" w:pos="8313"/>
        </w:tabs>
        <w:rPr>
          <w:rFonts w:hint="eastAsia" w:eastAsia="宋体"/>
          <w:lang w:val="en-US" w:eastAsia="zh-CN"/>
        </w:rPr>
      </w:pPr>
      <w:r>
        <w:fldChar w:fldCharType="begin"/>
      </w:r>
      <w:r>
        <w:instrText xml:space="preserve"> HYPERLINK \l "_Toc17612" </w:instrText>
      </w:r>
      <w:r>
        <w:fldChar w:fldCharType="separate"/>
      </w:r>
      <w:r>
        <w:rPr>
          <w:rFonts w:hint="eastAsia" w:ascii="黑体" w:eastAsia="黑体"/>
          <w:kern w:val="0"/>
        </w:rPr>
        <w:t>二、法定代表人资格证明书</w:t>
      </w:r>
      <w:r>
        <w:tab/>
      </w:r>
      <w:r>
        <w:rPr>
          <w:rFonts w:hint="eastAsia"/>
          <w:lang w:val="en-US" w:eastAsia="zh-CN"/>
        </w:rPr>
        <w:t>X</w:t>
      </w:r>
      <w:r>
        <w:fldChar w:fldCharType="end"/>
      </w:r>
      <w:r>
        <w:rPr>
          <w:rFonts w:hint="eastAsia"/>
          <w:lang w:val="en-US" w:eastAsia="zh-CN"/>
        </w:rPr>
        <w:t>X</w:t>
      </w:r>
    </w:p>
    <w:p>
      <w:pPr>
        <w:pStyle w:val="9"/>
        <w:tabs>
          <w:tab w:val="right" w:leader="dot" w:pos="8313"/>
        </w:tabs>
        <w:rPr>
          <w:rFonts w:hint="eastAsia" w:eastAsia="宋体"/>
          <w:lang w:val="en-US" w:eastAsia="zh-CN"/>
        </w:rPr>
      </w:pPr>
      <w:r>
        <w:fldChar w:fldCharType="begin"/>
      </w:r>
      <w:r>
        <w:instrText xml:space="preserve"> HYPERLINK \l "_Toc21152" </w:instrText>
      </w:r>
      <w:r>
        <w:fldChar w:fldCharType="separate"/>
      </w:r>
      <w:r>
        <w:rPr>
          <w:rFonts w:hint="eastAsia" w:ascii="黑体" w:eastAsia="黑体"/>
          <w:kern w:val="0"/>
        </w:rPr>
        <w:t>三、投标文件签署授权委托书</w:t>
      </w:r>
      <w:r>
        <w:tab/>
      </w:r>
      <w:r>
        <w:rPr>
          <w:rFonts w:hint="eastAsia"/>
          <w:lang w:val="en-US" w:eastAsia="zh-CN"/>
        </w:rPr>
        <w:t>X</w:t>
      </w:r>
      <w:r>
        <w:fldChar w:fldCharType="end"/>
      </w:r>
      <w:r>
        <w:rPr>
          <w:rFonts w:hint="eastAsia"/>
          <w:lang w:val="en-US" w:eastAsia="zh-CN"/>
        </w:rPr>
        <w:t>X</w:t>
      </w:r>
    </w:p>
    <w:p>
      <w:pPr>
        <w:pStyle w:val="9"/>
        <w:tabs>
          <w:tab w:val="right" w:leader="dot" w:pos="8313"/>
        </w:tabs>
        <w:rPr>
          <w:rFonts w:hint="eastAsia" w:eastAsia="宋体"/>
          <w:lang w:val="en-US" w:eastAsia="zh-CN"/>
        </w:rPr>
      </w:pPr>
      <w:r>
        <w:fldChar w:fldCharType="begin"/>
      </w:r>
      <w:r>
        <w:instrText xml:space="preserve"> HYPERLINK \l "_Toc3359" </w:instrText>
      </w:r>
      <w:r>
        <w:fldChar w:fldCharType="separate"/>
      </w:r>
      <w:r>
        <w:rPr>
          <w:rFonts w:hint="eastAsia" w:ascii="黑体" w:eastAsia="黑体"/>
          <w:kern w:val="0"/>
        </w:rPr>
        <w:t>四、投标函</w:t>
      </w:r>
      <w:r>
        <w:tab/>
      </w:r>
      <w:r>
        <w:rPr>
          <w:rFonts w:hint="eastAsia"/>
          <w:lang w:val="en-US" w:eastAsia="zh-CN"/>
        </w:rPr>
        <w:t>X</w:t>
      </w:r>
      <w:r>
        <w:fldChar w:fldCharType="end"/>
      </w:r>
      <w:r>
        <w:rPr>
          <w:rFonts w:hint="eastAsia"/>
          <w:lang w:val="en-US" w:eastAsia="zh-CN"/>
        </w:rPr>
        <w:t>X</w:t>
      </w:r>
    </w:p>
    <w:p>
      <w:pPr>
        <w:pStyle w:val="9"/>
        <w:tabs>
          <w:tab w:val="right" w:leader="dot" w:pos="8313"/>
        </w:tabs>
        <w:rPr>
          <w:rFonts w:hint="eastAsia" w:eastAsia="宋体"/>
          <w:lang w:val="en-US" w:eastAsia="zh-CN"/>
        </w:rPr>
      </w:pPr>
      <w:r>
        <w:fldChar w:fldCharType="begin"/>
      </w:r>
      <w:r>
        <w:instrText xml:space="preserve"> HYPERLINK \l "_Toc30687" </w:instrText>
      </w:r>
      <w:r>
        <w:fldChar w:fldCharType="separate"/>
      </w:r>
      <w:r>
        <w:rPr>
          <w:rFonts w:hint="eastAsia" w:ascii="黑体" w:eastAsia="黑体"/>
          <w:kern w:val="0"/>
        </w:rPr>
        <w:t>五、投标及履约承诺函</w:t>
      </w:r>
      <w:r>
        <w:tab/>
      </w:r>
      <w:r>
        <w:rPr>
          <w:rFonts w:hint="eastAsia"/>
          <w:lang w:val="en-US" w:eastAsia="zh-CN"/>
        </w:rPr>
        <w:t>X</w:t>
      </w:r>
      <w:r>
        <w:fldChar w:fldCharType="end"/>
      </w:r>
      <w:r>
        <w:rPr>
          <w:rFonts w:hint="eastAsia"/>
          <w:lang w:val="en-US" w:eastAsia="zh-CN"/>
        </w:rPr>
        <w:t>X</w:t>
      </w:r>
    </w:p>
    <w:p>
      <w:pPr>
        <w:pStyle w:val="9"/>
        <w:tabs>
          <w:tab w:val="right" w:leader="dot" w:pos="8313"/>
        </w:tabs>
        <w:rPr>
          <w:rFonts w:hint="eastAsia" w:eastAsia="宋体"/>
          <w:lang w:val="en-US" w:eastAsia="zh-CN"/>
        </w:rPr>
      </w:pPr>
      <w:r>
        <w:fldChar w:fldCharType="begin"/>
      </w:r>
      <w:r>
        <w:instrText xml:space="preserve"> HYPERLINK \l "_Toc22105" </w:instrText>
      </w:r>
      <w:r>
        <w:fldChar w:fldCharType="separate"/>
      </w:r>
      <w:r>
        <w:rPr>
          <w:rFonts w:hint="eastAsia" w:ascii="黑体" w:eastAsia="黑体"/>
          <w:kern w:val="0"/>
        </w:rPr>
        <w:t>六、投标人情况介绍及相关资质材料</w:t>
      </w:r>
      <w:r>
        <w:tab/>
      </w:r>
      <w:r>
        <w:rPr>
          <w:rFonts w:hint="eastAsia"/>
          <w:lang w:val="en-US" w:eastAsia="zh-CN"/>
        </w:rPr>
        <w:t>X</w:t>
      </w:r>
      <w:r>
        <w:fldChar w:fldCharType="end"/>
      </w:r>
      <w:r>
        <w:rPr>
          <w:rFonts w:hint="eastAsia"/>
          <w:lang w:val="en-US" w:eastAsia="zh-CN"/>
        </w:rPr>
        <w:t>X</w:t>
      </w:r>
    </w:p>
    <w:p>
      <w:pPr>
        <w:pStyle w:val="9"/>
        <w:tabs>
          <w:tab w:val="right" w:leader="dot" w:pos="8313"/>
        </w:tabs>
        <w:rPr>
          <w:rFonts w:hint="eastAsia" w:eastAsia="宋体"/>
          <w:lang w:val="en-US" w:eastAsia="zh-CN"/>
        </w:rPr>
      </w:pPr>
      <w:r>
        <w:fldChar w:fldCharType="begin"/>
      </w:r>
      <w:r>
        <w:instrText xml:space="preserve"> HYPERLINK \l "_Toc22125" </w:instrText>
      </w:r>
      <w:r>
        <w:fldChar w:fldCharType="separate"/>
      </w:r>
      <w:r>
        <w:rPr>
          <w:rFonts w:hint="eastAsia" w:ascii="黑体" w:eastAsia="黑体"/>
          <w:kern w:val="0"/>
        </w:rPr>
        <w:t>七、投标人通过相关认证情况</w:t>
      </w:r>
      <w:r>
        <w:tab/>
      </w:r>
      <w:r>
        <w:rPr>
          <w:rFonts w:hint="eastAsia"/>
          <w:lang w:val="en-US" w:eastAsia="zh-CN"/>
        </w:rPr>
        <w:t>X</w:t>
      </w:r>
      <w:r>
        <w:fldChar w:fldCharType="end"/>
      </w:r>
      <w:r>
        <w:rPr>
          <w:rFonts w:hint="eastAsia"/>
          <w:lang w:val="en-US" w:eastAsia="zh-CN"/>
        </w:rPr>
        <w:t>X</w:t>
      </w:r>
    </w:p>
    <w:p>
      <w:pPr>
        <w:pStyle w:val="9"/>
        <w:tabs>
          <w:tab w:val="right" w:leader="dot" w:pos="8313"/>
        </w:tabs>
        <w:rPr>
          <w:rFonts w:hint="eastAsia" w:eastAsia="宋体"/>
          <w:lang w:val="en-US" w:eastAsia="zh-CN"/>
        </w:rPr>
      </w:pPr>
      <w:r>
        <w:fldChar w:fldCharType="begin"/>
      </w:r>
      <w:r>
        <w:instrText xml:space="preserve"> HYPERLINK \l "_Toc23707" </w:instrText>
      </w:r>
      <w:r>
        <w:fldChar w:fldCharType="separate"/>
      </w:r>
      <w:r>
        <w:rPr>
          <w:rFonts w:hint="eastAsia" w:ascii="黑体" w:eastAsia="黑体"/>
          <w:kern w:val="0"/>
        </w:rPr>
        <w:t>八、投标人同类项目业绩情况</w:t>
      </w:r>
      <w:r>
        <w:tab/>
      </w:r>
      <w:r>
        <w:rPr>
          <w:rFonts w:hint="eastAsia"/>
          <w:lang w:val="en-US" w:eastAsia="zh-CN"/>
        </w:rPr>
        <w:t>X</w:t>
      </w:r>
      <w:r>
        <w:fldChar w:fldCharType="end"/>
      </w:r>
      <w:r>
        <w:rPr>
          <w:rFonts w:hint="eastAsia"/>
          <w:lang w:val="en-US" w:eastAsia="zh-CN"/>
        </w:rPr>
        <w:t>X</w:t>
      </w:r>
    </w:p>
    <w:p>
      <w:pPr>
        <w:pStyle w:val="9"/>
        <w:tabs>
          <w:tab w:val="right" w:leader="dot" w:pos="8313"/>
        </w:tabs>
        <w:rPr>
          <w:rFonts w:hint="eastAsia" w:eastAsia="宋体"/>
          <w:lang w:val="en-US" w:eastAsia="zh-CN"/>
        </w:rPr>
      </w:pPr>
      <w:r>
        <w:fldChar w:fldCharType="begin"/>
      </w:r>
      <w:r>
        <w:instrText xml:space="preserve"> HYPERLINK \l "_Toc30841" </w:instrText>
      </w:r>
      <w:r>
        <w:fldChar w:fldCharType="separate"/>
      </w:r>
      <w:r>
        <w:rPr>
          <w:rFonts w:hint="eastAsia"/>
          <w:lang w:eastAsia="zh-CN"/>
        </w:rPr>
        <w:t>九</w:t>
      </w:r>
      <w:r>
        <w:rPr>
          <w:rFonts w:hint="eastAsia" w:ascii="黑体" w:eastAsia="黑体"/>
          <w:kern w:val="0"/>
        </w:rPr>
        <w:t>、拟安排的项目经理情况（仅限一人）</w:t>
      </w:r>
      <w:r>
        <w:tab/>
      </w:r>
      <w:r>
        <w:rPr>
          <w:rFonts w:hint="eastAsia"/>
          <w:lang w:val="en-US" w:eastAsia="zh-CN"/>
        </w:rPr>
        <w:t>X</w:t>
      </w:r>
      <w:r>
        <w:fldChar w:fldCharType="end"/>
      </w:r>
      <w:r>
        <w:rPr>
          <w:rFonts w:hint="eastAsia"/>
          <w:lang w:val="en-US" w:eastAsia="zh-CN"/>
        </w:rPr>
        <w:t>X</w:t>
      </w:r>
    </w:p>
    <w:p>
      <w:pPr>
        <w:pStyle w:val="9"/>
        <w:tabs>
          <w:tab w:val="right" w:leader="dot" w:pos="8313"/>
        </w:tabs>
        <w:rPr>
          <w:rFonts w:hint="eastAsia" w:eastAsia="宋体"/>
          <w:lang w:val="en-US" w:eastAsia="zh-CN"/>
        </w:rPr>
      </w:pPr>
      <w:r>
        <w:fldChar w:fldCharType="begin"/>
      </w:r>
      <w:r>
        <w:instrText xml:space="preserve"> HYPERLINK \l "_Toc453" </w:instrText>
      </w:r>
      <w:r>
        <w:fldChar w:fldCharType="separate"/>
      </w:r>
      <w:r>
        <w:rPr>
          <w:rFonts w:hint="eastAsia" w:ascii="黑体" w:eastAsia="黑体"/>
          <w:kern w:val="0"/>
        </w:rPr>
        <w:t>十、拟安排的项目主要团队成员（主要技术人员）情况（项目经理除外）</w:t>
      </w:r>
      <w:r>
        <w:tab/>
      </w:r>
      <w:r>
        <w:rPr>
          <w:rFonts w:hint="eastAsia"/>
          <w:lang w:val="en-US" w:eastAsia="zh-CN"/>
        </w:rPr>
        <w:t>X</w:t>
      </w:r>
      <w:r>
        <w:fldChar w:fldCharType="end"/>
      </w:r>
      <w:r>
        <w:rPr>
          <w:rFonts w:hint="eastAsia"/>
          <w:lang w:val="en-US" w:eastAsia="zh-CN"/>
        </w:rPr>
        <w:t>X</w:t>
      </w:r>
    </w:p>
    <w:p>
      <w:pPr>
        <w:pStyle w:val="9"/>
        <w:tabs>
          <w:tab w:val="right" w:leader="dot" w:pos="8313"/>
        </w:tabs>
        <w:rPr>
          <w:rFonts w:hint="eastAsia" w:eastAsia="宋体"/>
          <w:lang w:val="en-US" w:eastAsia="zh-CN"/>
        </w:rPr>
      </w:pPr>
      <w:r>
        <w:fldChar w:fldCharType="begin"/>
      </w:r>
      <w:r>
        <w:instrText xml:space="preserve"> HYPERLINK \l "_Toc32169" </w:instrText>
      </w:r>
      <w:r>
        <w:fldChar w:fldCharType="separate"/>
      </w:r>
      <w:r>
        <w:rPr>
          <w:rFonts w:hint="eastAsia" w:ascii="黑体" w:eastAsia="黑体"/>
          <w:kern w:val="0"/>
        </w:rPr>
        <w:t>十</w:t>
      </w:r>
      <w:r>
        <w:rPr>
          <w:rFonts w:hint="eastAsia" w:ascii="黑体" w:eastAsia="黑体"/>
          <w:kern w:val="0"/>
          <w:lang w:eastAsia="zh-CN"/>
        </w:rPr>
        <w:t>一</w:t>
      </w:r>
      <w:r>
        <w:rPr>
          <w:rFonts w:hint="eastAsia" w:ascii="黑体" w:eastAsia="黑体"/>
          <w:kern w:val="0"/>
        </w:rPr>
        <w:t>、政府采购违法行为风险知悉确认书</w:t>
      </w:r>
      <w:r>
        <w:tab/>
      </w:r>
      <w:r>
        <w:rPr>
          <w:rFonts w:hint="eastAsia"/>
          <w:lang w:val="en-US" w:eastAsia="zh-CN"/>
        </w:rPr>
        <w:t>X</w:t>
      </w:r>
      <w:r>
        <w:fldChar w:fldCharType="end"/>
      </w:r>
      <w:r>
        <w:rPr>
          <w:rFonts w:hint="eastAsia"/>
          <w:lang w:val="en-US" w:eastAsia="zh-CN"/>
        </w:rPr>
        <w:t>X</w:t>
      </w:r>
    </w:p>
    <w:p>
      <w:pPr>
        <w:pStyle w:val="9"/>
        <w:tabs>
          <w:tab w:val="right" w:leader="dot" w:pos="8313"/>
        </w:tabs>
        <w:rPr>
          <w:rFonts w:hint="eastAsia" w:eastAsia="宋体"/>
          <w:lang w:val="en-US" w:eastAsia="zh-CN"/>
        </w:rPr>
      </w:pPr>
      <w:r>
        <w:fldChar w:fldCharType="begin"/>
      </w:r>
      <w:r>
        <w:instrText xml:space="preserve"> HYPERLINK \l "_Toc5847" </w:instrText>
      </w:r>
      <w:r>
        <w:fldChar w:fldCharType="separate"/>
      </w:r>
      <w:r>
        <w:rPr>
          <w:rFonts w:hint="eastAsia"/>
          <w:bCs/>
        </w:rPr>
        <w:t>投标文件第二</w:t>
      </w:r>
      <w:r>
        <w:rPr>
          <w:bCs/>
        </w:rPr>
        <w:t>部分</w:t>
      </w:r>
      <w:r>
        <w:rPr>
          <w:rFonts w:hint="eastAsia"/>
          <w:bCs/>
        </w:rPr>
        <w:t>：</w:t>
      </w:r>
      <w:r>
        <w:tab/>
      </w:r>
      <w:r>
        <w:rPr>
          <w:rFonts w:hint="eastAsia"/>
          <w:lang w:val="en-US" w:eastAsia="zh-CN"/>
        </w:rPr>
        <w:t>X</w:t>
      </w:r>
      <w:r>
        <w:fldChar w:fldCharType="end"/>
      </w:r>
      <w:r>
        <w:rPr>
          <w:rFonts w:hint="eastAsia"/>
          <w:lang w:val="en-US" w:eastAsia="zh-CN"/>
        </w:rPr>
        <w:t>X</w:t>
      </w:r>
    </w:p>
    <w:p>
      <w:pPr>
        <w:pStyle w:val="9"/>
        <w:tabs>
          <w:tab w:val="right" w:leader="dot" w:pos="8313"/>
        </w:tabs>
        <w:rPr>
          <w:rFonts w:hint="eastAsia" w:eastAsia="宋体"/>
          <w:lang w:val="en-US" w:eastAsia="zh-CN"/>
        </w:rPr>
      </w:pPr>
      <w:r>
        <w:fldChar w:fldCharType="begin"/>
      </w:r>
      <w:r>
        <w:instrText xml:space="preserve"> HYPERLINK \l "_Toc26669" </w:instrText>
      </w:r>
      <w:r>
        <w:fldChar w:fldCharType="separate"/>
      </w:r>
      <w:r>
        <w:rPr>
          <w:rFonts w:hint="eastAsia" w:ascii="黑体" w:eastAsia="黑体"/>
          <w:kern w:val="0"/>
        </w:rPr>
        <w:t>一、授权委托</w:t>
      </w:r>
      <w:r>
        <w:rPr>
          <w:rFonts w:hint="eastAsia" w:ascii="黑体" w:eastAsia="黑体"/>
        </w:rPr>
        <w:t>代理人联系方式</w:t>
      </w:r>
      <w:r>
        <w:tab/>
      </w:r>
      <w:r>
        <w:rPr>
          <w:rFonts w:hint="eastAsia"/>
          <w:lang w:val="en-US" w:eastAsia="zh-CN"/>
        </w:rPr>
        <w:t>X</w:t>
      </w:r>
      <w:r>
        <w:fldChar w:fldCharType="end"/>
      </w:r>
      <w:r>
        <w:rPr>
          <w:rFonts w:hint="eastAsia"/>
          <w:lang w:val="en-US" w:eastAsia="zh-CN"/>
        </w:rPr>
        <w:t>X</w:t>
      </w:r>
    </w:p>
    <w:p>
      <w:pPr>
        <w:pStyle w:val="9"/>
        <w:tabs>
          <w:tab w:val="right" w:leader="dot" w:pos="8313"/>
        </w:tabs>
        <w:rPr>
          <w:rFonts w:hint="default" w:eastAsia="宋体"/>
          <w:lang w:val="en-US" w:eastAsia="zh-CN"/>
        </w:rPr>
      </w:pPr>
      <w:r>
        <w:fldChar w:fldCharType="begin"/>
      </w:r>
      <w:r>
        <w:instrText xml:space="preserve"> HYPERLINK \l "_Toc4918" </w:instrText>
      </w:r>
      <w:r>
        <w:fldChar w:fldCharType="separate"/>
      </w:r>
      <w:r>
        <w:rPr>
          <w:rFonts w:hint="eastAsia" w:ascii="黑体" w:eastAsia="黑体"/>
          <w:kern w:val="0"/>
        </w:rPr>
        <w:t>二、工程量清单报价格式</w:t>
      </w:r>
      <w:r>
        <w:tab/>
      </w:r>
      <w:r>
        <w:rPr>
          <w:rFonts w:hint="eastAsia"/>
          <w:lang w:val="en-US" w:eastAsia="zh-CN"/>
        </w:rPr>
        <w:t>X</w:t>
      </w:r>
      <w:r>
        <w:fldChar w:fldCharType="end"/>
      </w:r>
      <w:r>
        <w:rPr>
          <w:rFonts w:hint="eastAsia"/>
          <w:lang w:val="en-US" w:eastAsia="zh-CN"/>
        </w:rPr>
        <w:t>X</w:t>
      </w:r>
    </w:p>
    <w:p>
      <w:pPr>
        <w:pStyle w:val="9"/>
        <w:tabs>
          <w:tab w:val="right" w:leader="dot" w:pos="8313"/>
        </w:tabs>
        <w:rPr>
          <w:rFonts w:hint="eastAsia" w:eastAsia="宋体"/>
          <w:lang w:val="en-US" w:eastAsia="zh-CN"/>
        </w:rPr>
      </w:pPr>
      <w:r>
        <w:fldChar w:fldCharType="begin"/>
      </w:r>
      <w:r>
        <w:instrText xml:space="preserve"> HYPERLINK \l "_Toc5098" </w:instrText>
      </w:r>
      <w:r>
        <w:fldChar w:fldCharType="separate"/>
      </w:r>
      <w:r>
        <w:rPr>
          <w:rFonts w:hint="eastAsia" w:ascii="黑体" w:eastAsia="黑体"/>
          <w:kern w:val="0"/>
        </w:rPr>
        <w:t>三</w:t>
      </w:r>
      <w:r>
        <w:rPr>
          <w:rFonts w:ascii="黑体" w:eastAsia="黑体"/>
          <w:kern w:val="0"/>
        </w:rPr>
        <w:t>、</w:t>
      </w:r>
      <w:r>
        <w:rPr>
          <w:rFonts w:hint="eastAsia" w:ascii="黑体" w:eastAsia="黑体"/>
          <w:kern w:val="0"/>
        </w:rPr>
        <w:t>拟采用设备（材料）的性能（节能环保情况）、档次及质量可靠性</w:t>
      </w:r>
      <w:r>
        <w:tab/>
      </w:r>
      <w:r>
        <w:rPr>
          <w:rFonts w:hint="eastAsia"/>
          <w:lang w:val="en-US" w:eastAsia="zh-CN"/>
        </w:rPr>
        <w:t>X</w:t>
      </w:r>
      <w:r>
        <w:fldChar w:fldCharType="end"/>
      </w:r>
      <w:r>
        <w:rPr>
          <w:rFonts w:hint="eastAsia"/>
          <w:lang w:val="en-US" w:eastAsia="zh-CN"/>
        </w:rPr>
        <w:t>X</w:t>
      </w:r>
    </w:p>
    <w:p>
      <w:pPr>
        <w:pStyle w:val="9"/>
        <w:tabs>
          <w:tab w:val="right" w:leader="dot" w:pos="8313"/>
        </w:tabs>
        <w:rPr>
          <w:rFonts w:hint="eastAsia" w:eastAsia="宋体"/>
          <w:lang w:val="en-US" w:eastAsia="zh-CN"/>
        </w:rPr>
      </w:pPr>
      <w:r>
        <w:fldChar w:fldCharType="begin"/>
      </w:r>
      <w:r>
        <w:instrText xml:space="preserve"> HYPERLINK \l "_Toc12178" </w:instrText>
      </w:r>
      <w:r>
        <w:fldChar w:fldCharType="separate"/>
      </w:r>
      <w:r>
        <w:rPr>
          <w:rFonts w:hint="eastAsia" w:ascii="黑体" w:eastAsia="黑体"/>
          <w:kern w:val="0"/>
        </w:rPr>
        <w:t>四、项目总体概述及理解</w:t>
      </w:r>
      <w:r>
        <w:tab/>
      </w:r>
      <w:r>
        <w:rPr>
          <w:rFonts w:hint="eastAsia"/>
          <w:lang w:val="en-US" w:eastAsia="zh-CN"/>
        </w:rPr>
        <w:t>X</w:t>
      </w:r>
      <w:r>
        <w:fldChar w:fldCharType="end"/>
      </w:r>
      <w:r>
        <w:rPr>
          <w:rFonts w:hint="eastAsia"/>
          <w:lang w:val="en-US" w:eastAsia="zh-CN"/>
        </w:rPr>
        <w:t>X</w:t>
      </w:r>
    </w:p>
    <w:p>
      <w:pPr>
        <w:pStyle w:val="9"/>
        <w:tabs>
          <w:tab w:val="right" w:leader="dot" w:pos="8313"/>
        </w:tabs>
        <w:rPr>
          <w:rFonts w:hint="eastAsia" w:eastAsia="宋体"/>
          <w:lang w:val="en-US" w:eastAsia="zh-CN"/>
        </w:rPr>
      </w:pPr>
      <w:r>
        <w:fldChar w:fldCharType="begin"/>
      </w:r>
      <w:r>
        <w:instrText xml:space="preserve"> HYPERLINK \l "_Toc22976" </w:instrText>
      </w:r>
      <w:r>
        <w:fldChar w:fldCharType="separate"/>
      </w:r>
      <w:r>
        <w:rPr>
          <w:rFonts w:hint="eastAsia" w:ascii="黑体" w:eastAsia="黑体"/>
          <w:kern w:val="0"/>
        </w:rPr>
        <w:t>五、施工组织计划、施工技术、施工工艺及对施工材料的理解</w:t>
      </w:r>
      <w:r>
        <w:tab/>
      </w:r>
      <w:r>
        <w:rPr>
          <w:rFonts w:hint="eastAsia"/>
          <w:lang w:val="en-US" w:eastAsia="zh-CN"/>
        </w:rPr>
        <w:t>X</w:t>
      </w:r>
      <w:r>
        <w:fldChar w:fldCharType="end"/>
      </w:r>
      <w:r>
        <w:rPr>
          <w:rFonts w:hint="eastAsia"/>
          <w:lang w:val="en-US" w:eastAsia="zh-CN"/>
        </w:rPr>
        <w:t>X</w:t>
      </w:r>
    </w:p>
    <w:p>
      <w:pPr>
        <w:pStyle w:val="9"/>
        <w:tabs>
          <w:tab w:val="right" w:leader="dot" w:pos="8313"/>
        </w:tabs>
        <w:rPr>
          <w:rFonts w:hint="eastAsia" w:eastAsia="宋体"/>
          <w:lang w:val="en-US" w:eastAsia="zh-CN"/>
        </w:rPr>
      </w:pPr>
      <w:r>
        <w:fldChar w:fldCharType="begin"/>
      </w:r>
      <w:r>
        <w:instrText xml:space="preserve"> HYPERLINK \l "_Toc8304" </w:instrText>
      </w:r>
      <w:r>
        <w:fldChar w:fldCharType="separate"/>
      </w:r>
      <w:r>
        <w:rPr>
          <w:rFonts w:hint="eastAsia" w:ascii="黑体" w:eastAsia="黑体"/>
          <w:kern w:val="0"/>
        </w:rPr>
        <w:t>六、项目实施关键施工技术（重点难点）分析及解决方案</w:t>
      </w:r>
      <w:r>
        <w:tab/>
      </w:r>
      <w:r>
        <w:rPr>
          <w:rFonts w:hint="eastAsia"/>
          <w:lang w:val="en-US" w:eastAsia="zh-CN"/>
        </w:rPr>
        <w:t>X</w:t>
      </w:r>
      <w:r>
        <w:fldChar w:fldCharType="end"/>
      </w:r>
      <w:r>
        <w:rPr>
          <w:rFonts w:hint="eastAsia"/>
          <w:lang w:val="en-US" w:eastAsia="zh-CN"/>
        </w:rPr>
        <w:t>X</w:t>
      </w:r>
    </w:p>
    <w:p>
      <w:pPr>
        <w:pStyle w:val="9"/>
        <w:tabs>
          <w:tab w:val="right" w:leader="dot" w:pos="8313"/>
        </w:tabs>
      </w:pPr>
      <w:r>
        <w:fldChar w:fldCharType="begin"/>
      </w:r>
      <w:r>
        <w:instrText xml:space="preserve"> HYPERLINK \l "_Toc1701" </w:instrText>
      </w:r>
      <w:r>
        <w:fldChar w:fldCharType="separate"/>
      </w:r>
      <w:r>
        <w:rPr>
          <w:rFonts w:hint="eastAsia" w:ascii="黑体" w:eastAsia="黑体"/>
          <w:kern w:val="0"/>
        </w:rPr>
        <w:t>七、施工质量（安全、环保、工期）保障措施及相关的履约承诺</w:t>
      </w:r>
      <w:r>
        <w:tab/>
      </w:r>
      <w:r>
        <w:rPr>
          <w:rFonts w:hint="eastAsia"/>
          <w:lang w:val="en-US" w:eastAsia="zh-CN"/>
        </w:rPr>
        <w:t>XX</w:t>
      </w:r>
      <w:r>
        <w:fldChar w:fldCharType="end"/>
      </w:r>
    </w:p>
    <w:p>
      <w:pPr>
        <w:pStyle w:val="13"/>
        <w:tabs>
          <w:tab w:val="right" w:leader="dot" w:pos="8313"/>
          <w:tab w:val="clear" w:pos="8296"/>
        </w:tabs>
      </w:pPr>
    </w:p>
    <w:p>
      <w:r>
        <w:fldChar w:fldCharType="end"/>
      </w:r>
    </w:p>
    <w:p>
      <w:pPr>
        <w:widowControl/>
        <w:jc w:val="left"/>
        <w:rPr>
          <w:rFonts w:ascii="宋体" w:hAnsi="宋体"/>
          <w:sz w:val="28"/>
          <w:szCs w:val="28"/>
        </w:rPr>
      </w:pPr>
    </w:p>
    <w:p>
      <w:pPr>
        <w:widowControl/>
        <w:jc w:val="left"/>
        <w:rPr>
          <w:rFonts w:ascii="仿宋_GB2312" w:eastAsia="仿宋_GB2312"/>
          <w:b/>
          <w:color w:val="FF0000"/>
          <w:sz w:val="30"/>
          <w:szCs w:val="30"/>
        </w:rPr>
      </w:pPr>
      <w:r>
        <w:rPr>
          <w:rFonts w:hint="eastAsia" w:ascii="黑体" w:eastAsia="黑体"/>
          <w:color w:val="FF0000"/>
          <w:kern w:val="0"/>
          <w:sz w:val="24"/>
          <w:lang w:eastAsia="zh-CN"/>
        </w:rPr>
        <w:t>注：</w:t>
      </w:r>
      <w:r>
        <w:rPr>
          <w:rFonts w:hint="eastAsia" w:ascii="黑体" w:eastAsia="黑体"/>
          <w:color w:val="FF0000"/>
          <w:kern w:val="0"/>
          <w:sz w:val="24"/>
        </w:rPr>
        <w:t>其它</w:t>
      </w:r>
      <w:r>
        <w:rPr>
          <w:rFonts w:hint="eastAsia" w:ascii="黑体" w:eastAsia="黑体"/>
          <w:color w:val="FF0000"/>
          <w:kern w:val="0"/>
          <w:sz w:val="24"/>
          <w:lang w:eastAsia="zh-CN"/>
        </w:rPr>
        <w:t>采购文件</w:t>
      </w:r>
      <w:r>
        <w:rPr>
          <w:rFonts w:hint="eastAsia" w:ascii="黑体" w:eastAsia="黑体"/>
          <w:color w:val="FF0000"/>
          <w:kern w:val="0"/>
          <w:sz w:val="24"/>
        </w:rPr>
        <w:t>要求的内容及投标人认为需要补充的内容（格式自定）</w:t>
      </w:r>
    </w:p>
    <w:p>
      <w:pPr>
        <w:widowControl/>
        <w:jc w:val="left"/>
        <w:rPr>
          <w:rFonts w:ascii="仿宋_GB2312" w:eastAsia="仿宋_GB2312"/>
          <w:b/>
          <w:color w:val="FF0000"/>
          <w:sz w:val="30"/>
          <w:szCs w:val="30"/>
        </w:rPr>
      </w:pPr>
    </w:p>
    <w:p>
      <w:pPr>
        <w:pStyle w:val="3"/>
        <w:keepNext w:val="0"/>
        <w:keepLines w:val="0"/>
        <w:pageBreakBefore/>
        <w:rPr>
          <w:bCs/>
          <w:color w:val="FF0000"/>
        </w:rPr>
      </w:pPr>
      <w:bookmarkStart w:id="56" w:name="_Toc28426"/>
      <w:r>
        <w:rPr>
          <w:rFonts w:hint="eastAsia"/>
          <w:bCs/>
          <w:color w:val="FF0000"/>
        </w:rPr>
        <w:t>投标文件第一部分：</w:t>
      </w:r>
      <w:bookmarkEnd w:id="56"/>
    </w:p>
    <w:p>
      <w:pPr>
        <w:pStyle w:val="3"/>
        <w:jc w:val="center"/>
        <w:rPr>
          <w:rFonts w:ascii="黑体" w:eastAsia="黑体"/>
          <w:b w:val="0"/>
          <w:kern w:val="0"/>
          <w:sz w:val="24"/>
        </w:rPr>
      </w:pPr>
      <w:bookmarkStart w:id="57" w:name="_Toc24614"/>
      <w:r>
        <w:rPr>
          <w:rFonts w:hint="eastAsia" w:ascii="黑体" w:eastAsia="黑体"/>
          <w:b w:val="0"/>
          <w:kern w:val="0"/>
          <w:sz w:val="24"/>
        </w:rPr>
        <w:t>一、投标一览表</w:t>
      </w:r>
      <w:bookmarkEnd w:id="57"/>
    </w:p>
    <w:p>
      <w:pPr>
        <w:rPr>
          <w:sz w:val="24"/>
        </w:rPr>
      </w:pPr>
    </w:p>
    <w:p>
      <w:pPr>
        <w:spacing w:line="360" w:lineRule="auto"/>
        <w:rPr>
          <w:szCs w:val="21"/>
        </w:rPr>
      </w:pPr>
      <w:r>
        <w:rPr>
          <w:rFonts w:hint="eastAsia"/>
          <w:szCs w:val="21"/>
        </w:rPr>
        <w:t xml:space="preserve">投标人名称：_________________ </w:t>
      </w:r>
    </w:p>
    <w:p>
      <w:pPr>
        <w:spacing w:line="360" w:lineRule="auto"/>
        <w:rPr>
          <w:szCs w:val="21"/>
          <w:u w:val="single"/>
        </w:rPr>
      </w:pPr>
      <w:r>
        <w:rPr>
          <w:rFonts w:hint="eastAsia"/>
          <w:szCs w:val="21"/>
        </w:rPr>
        <w:t xml:space="preserve">项目编号/包号：_______________ </w:t>
      </w:r>
    </w:p>
    <w:p>
      <w:pPr>
        <w:spacing w:line="360" w:lineRule="auto"/>
        <w:rPr>
          <w:szCs w:val="21"/>
          <w:u w:val="single"/>
        </w:rPr>
      </w:pPr>
    </w:p>
    <w:tbl>
      <w:tblPr>
        <w:tblStyle w:val="16"/>
        <w:tblW w:w="0" w:type="auto"/>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69"/>
        <w:gridCol w:w="2564"/>
        <w:gridCol w:w="2096"/>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869" w:type="dxa"/>
            <w:tcBorders>
              <w:top w:val="double" w:color="auto" w:sz="4" w:space="0"/>
              <w:bottom w:val="single" w:color="auto" w:sz="4" w:space="0"/>
            </w:tcBorders>
            <w:noWrap w:val="0"/>
            <w:vAlign w:val="center"/>
          </w:tcPr>
          <w:p>
            <w:pPr>
              <w:spacing w:line="360" w:lineRule="auto"/>
              <w:rPr>
                <w:szCs w:val="21"/>
              </w:rPr>
            </w:pPr>
            <w:r>
              <w:rPr>
                <w:rFonts w:hint="eastAsia"/>
                <w:szCs w:val="21"/>
              </w:rPr>
              <w:t>项目名称</w:t>
            </w:r>
          </w:p>
        </w:tc>
        <w:tc>
          <w:tcPr>
            <w:tcW w:w="2564" w:type="dxa"/>
            <w:tcBorders>
              <w:top w:val="double" w:color="auto" w:sz="4" w:space="0"/>
              <w:bottom w:val="single" w:color="auto" w:sz="4" w:space="0"/>
            </w:tcBorders>
            <w:noWrap w:val="0"/>
            <w:vAlign w:val="center"/>
          </w:tcPr>
          <w:p>
            <w:pPr>
              <w:spacing w:line="360" w:lineRule="auto"/>
              <w:rPr>
                <w:szCs w:val="21"/>
              </w:rPr>
            </w:pPr>
            <w:r>
              <w:rPr>
                <w:rFonts w:hint="eastAsia"/>
                <w:szCs w:val="21"/>
              </w:rPr>
              <w:t>投标总价（元/人民币）</w:t>
            </w:r>
          </w:p>
        </w:tc>
        <w:tc>
          <w:tcPr>
            <w:tcW w:w="2096" w:type="dxa"/>
            <w:tcBorders>
              <w:top w:val="double" w:color="auto" w:sz="4" w:space="0"/>
              <w:bottom w:val="single" w:color="auto" w:sz="4" w:space="0"/>
            </w:tcBorders>
            <w:noWrap w:val="0"/>
            <w:vAlign w:val="center"/>
          </w:tcPr>
          <w:p>
            <w:pPr>
              <w:spacing w:line="360" w:lineRule="auto"/>
              <w:rPr>
                <w:szCs w:val="21"/>
              </w:rPr>
            </w:pPr>
            <w:r>
              <w:rPr>
                <w:rFonts w:hint="eastAsia"/>
                <w:szCs w:val="21"/>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3869" w:type="dxa"/>
            <w:tcBorders>
              <w:top w:val="single" w:color="auto" w:sz="4" w:space="0"/>
            </w:tcBorders>
            <w:noWrap w:val="0"/>
            <w:vAlign w:val="center"/>
          </w:tcPr>
          <w:p>
            <w:pPr>
              <w:spacing w:line="360" w:lineRule="auto"/>
              <w:rPr>
                <w:szCs w:val="21"/>
                <w:u w:val="single"/>
              </w:rPr>
            </w:pPr>
            <w:r>
              <w:rPr>
                <w:rFonts w:hint="eastAsia"/>
                <w:szCs w:val="21"/>
                <w:u w:val="single"/>
              </w:rPr>
              <w:t xml:space="preserve">                   </w:t>
            </w:r>
            <w:r>
              <w:rPr>
                <w:rFonts w:hint="eastAsia"/>
                <w:szCs w:val="21"/>
              </w:rPr>
              <w:t>项目</w:t>
            </w:r>
          </w:p>
        </w:tc>
        <w:tc>
          <w:tcPr>
            <w:tcW w:w="2564" w:type="dxa"/>
            <w:tcBorders>
              <w:top w:val="single" w:color="auto" w:sz="4" w:space="0"/>
            </w:tcBorders>
            <w:noWrap w:val="0"/>
            <w:vAlign w:val="center"/>
          </w:tcPr>
          <w:p>
            <w:pPr>
              <w:spacing w:line="360" w:lineRule="auto"/>
              <w:rPr>
                <w:szCs w:val="21"/>
              </w:rPr>
            </w:pPr>
            <w:r>
              <w:rPr>
                <w:rFonts w:hint="eastAsia"/>
                <w:szCs w:val="21"/>
              </w:rPr>
              <w:t>大写：</w:t>
            </w:r>
          </w:p>
          <w:p>
            <w:pPr>
              <w:spacing w:line="360" w:lineRule="auto"/>
              <w:rPr>
                <w:szCs w:val="21"/>
              </w:rPr>
            </w:pPr>
            <w:r>
              <w:rPr>
                <w:rFonts w:hint="eastAsia"/>
                <w:szCs w:val="21"/>
              </w:rPr>
              <w:t>小写：</w:t>
            </w:r>
          </w:p>
        </w:tc>
        <w:tc>
          <w:tcPr>
            <w:tcW w:w="2096" w:type="dxa"/>
            <w:tcBorders>
              <w:top w:val="single" w:color="auto" w:sz="4" w:space="0"/>
            </w:tcBorders>
            <w:noWrap w:val="0"/>
            <w:vAlign w:val="center"/>
          </w:tcPr>
          <w:p>
            <w:pPr>
              <w:spacing w:line="360" w:lineRule="auto"/>
              <w:rPr>
                <w:szCs w:val="21"/>
              </w:rPr>
            </w:pPr>
          </w:p>
        </w:tc>
      </w:tr>
    </w:tbl>
    <w:p>
      <w:pPr>
        <w:spacing w:line="360" w:lineRule="auto"/>
        <w:rPr>
          <w:szCs w:val="21"/>
        </w:rPr>
      </w:pPr>
    </w:p>
    <w:p>
      <w:pPr>
        <w:spacing w:line="360" w:lineRule="auto"/>
        <w:rPr>
          <w:szCs w:val="21"/>
        </w:rPr>
      </w:pPr>
      <w:r>
        <w:rPr>
          <w:rFonts w:hint="eastAsia"/>
          <w:szCs w:val="21"/>
        </w:rPr>
        <w:t>注：1、价格应按“</w:t>
      </w:r>
      <w:r>
        <w:rPr>
          <w:rFonts w:hint="eastAsia"/>
          <w:szCs w:val="21"/>
          <w:lang w:eastAsia="zh-CN"/>
        </w:rPr>
        <w:t>采购文件</w:t>
      </w:r>
      <w:r>
        <w:rPr>
          <w:rFonts w:hint="eastAsia"/>
          <w:szCs w:val="21"/>
        </w:rPr>
        <w:t>”中规定的货币单位填写。</w:t>
      </w:r>
    </w:p>
    <w:p>
      <w:pPr>
        <w:spacing w:line="360" w:lineRule="auto"/>
        <w:rPr>
          <w:szCs w:val="21"/>
        </w:rPr>
      </w:pPr>
      <w:r>
        <w:rPr>
          <w:szCs w:val="21"/>
        </w:rPr>
        <w:t>2</w:t>
      </w:r>
      <w:r>
        <w:rPr>
          <w:rFonts w:hint="eastAsia"/>
          <w:szCs w:val="21"/>
        </w:rPr>
        <w:t>、投标人如果需要对报价或其它内容加以说明，可在备注栏填写。</w:t>
      </w:r>
    </w:p>
    <w:p>
      <w:pPr>
        <w:spacing w:line="360" w:lineRule="auto"/>
        <w:rPr>
          <w:szCs w:val="21"/>
        </w:rPr>
      </w:pPr>
    </w:p>
    <w:p>
      <w:pPr>
        <w:spacing w:line="360" w:lineRule="auto"/>
        <w:rPr>
          <w:szCs w:val="21"/>
        </w:rPr>
      </w:pPr>
    </w:p>
    <w:p>
      <w:pPr>
        <w:rPr>
          <w:rFonts w:ascii="宋体" w:hAnsi="宋体"/>
          <w:sz w:val="24"/>
        </w:rPr>
      </w:pPr>
      <w:r>
        <w:rPr>
          <w:szCs w:val="21"/>
        </w:rPr>
        <w:br w:type="page"/>
      </w:r>
    </w:p>
    <w:p>
      <w:pPr>
        <w:pStyle w:val="3"/>
        <w:jc w:val="center"/>
        <w:rPr>
          <w:rFonts w:ascii="黑体" w:eastAsia="黑体"/>
          <w:b w:val="0"/>
          <w:kern w:val="0"/>
          <w:sz w:val="24"/>
        </w:rPr>
      </w:pPr>
      <w:bookmarkStart w:id="58" w:name="_Toc23008"/>
      <w:r>
        <w:rPr>
          <w:rFonts w:hint="eastAsia" w:ascii="黑体" w:eastAsia="黑体"/>
          <w:b w:val="0"/>
          <w:kern w:val="0"/>
          <w:sz w:val="24"/>
        </w:rPr>
        <w:t>二、法定代表人资格证明书</w:t>
      </w:r>
      <w:bookmarkEnd w:id="58"/>
    </w:p>
    <w:p>
      <w:pPr>
        <w:rPr>
          <w:sz w:val="24"/>
        </w:rPr>
      </w:pPr>
    </w:p>
    <w:p>
      <w:pPr>
        <w:spacing w:line="360" w:lineRule="auto"/>
        <w:rPr>
          <w:color w:val="auto"/>
          <w:szCs w:val="21"/>
        </w:rPr>
      </w:pPr>
      <w:r>
        <w:rPr>
          <w:rFonts w:hint="eastAsia"/>
          <w:color w:val="auto"/>
          <w:szCs w:val="21"/>
        </w:rPr>
        <w:t xml:space="preserve"> </w:t>
      </w:r>
      <w:r>
        <w:rPr>
          <w:rFonts w:hint="eastAsia"/>
          <w:color w:val="auto"/>
          <w:szCs w:val="21"/>
          <w:u w:val="single"/>
        </w:rPr>
        <w:t xml:space="preserve">         </w:t>
      </w:r>
      <w:r>
        <w:rPr>
          <w:rFonts w:hint="eastAsia"/>
          <w:color w:val="auto"/>
          <w:szCs w:val="21"/>
        </w:rPr>
        <w:t>同志，现任我单位</w:t>
      </w:r>
      <w:r>
        <w:rPr>
          <w:rFonts w:hint="eastAsia"/>
          <w:color w:val="auto"/>
          <w:szCs w:val="21"/>
          <w:u w:val="single"/>
        </w:rPr>
        <w:t xml:space="preserve">         </w:t>
      </w:r>
      <w:r>
        <w:rPr>
          <w:rFonts w:hint="eastAsia"/>
          <w:color w:val="auto"/>
          <w:szCs w:val="21"/>
        </w:rPr>
        <w:t>职务，为法定代表人，特此证明。</w:t>
      </w:r>
    </w:p>
    <w:p>
      <w:pPr>
        <w:pStyle w:val="7"/>
        <w:spacing w:after="0" w:line="240" w:lineRule="auto"/>
        <w:ind w:left="0"/>
        <w:jc w:val="right"/>
        <w:rPr>
          <w:rFonts w:hint="eastAsia" w:asciiTheme="minorHAnsi" w:hAnsiTheme="minorHAnsi" w:eastAsiaTheme="minorEastAsia" w:cstheme="minorBidi"/>
          <w:color w:val="auto"/>
          <w:kern w:val="2"/>
          <w:sz w:val="21"/>
          <w:szCs w:val="21"/>
          <w:lang w:val="en-US" w:eastAsia="zh-CN" w:bidi="ar-SA"/>
        </w:rPr>
      </w:pPr>
    </w:p>
    <w:p>
      <w:pPr>
        <w:pStyle w:val="7"/>
        <w:spacing w:after="0" w:line="240" w:lineRule="auto"/>
        <w:ind w:left="0"/>
        <w:jc w:val="right"/>
        <w:rPr>
          <w:rFonts w:hint="eastAsia" w:asciiTheme="minorHAnsi" w:hAnsiTheme="minorHAnsi" w:eastAsiaTheme="minorEastAsia" w:cstheme="minorBidi"/>
          <w:color w:val="auto"/>
          <w:kern w:val="2"/>
          <w:sz w:val="21"/>
          <w:szCs w:val="21"/>
          <w:lang w:val="en-US" w:eastAsia="zh-CN" w:bidi="ar-SA"/>
        </w:rPr>
      </w:pPr>
    </w:p>
    <w:p>
      <w:pPr>
        <w:pStyle w:val="7"/>
        <w:spacing w:after="0" w:line="240" w:lineRule="auto"/>
        <w:ind w:left="0"/>
        <w:jc w:val="center"/>
        <w:rPr>
          <w:rFonts w:hint="eastAsia" w:asciiTheme="minorHAnsi" w:hAnsiTheme="minorHAnsi" w:eastAsiaTheme="minorEastAsia" w:cstheme="minorBidi"/>
          <w:color w:val="auto"/>
          <w:kern w:val="2"/>
          <w:sz w:val="21"/>
          <w:szCs w:val="21"/>
          <w:lang w:val="en-US" w:eastAsia="zh-CN" w:bidi="ar-SA"/>
        </w:rPr>
      </w:pPr>
      <w:r>
        <w:rPr>
          <w:rFonts w:hint="eastAsia" w:asciiTheme="minorHAnsi" w:hAnsiTheme="minorHAnsi" w:cstheme="minorBidi"/>
          <w:color w:val="auto"/>
          <w:kern w:val="2"/>
          <w:sz w:val="21"/>
          <w:szCs w:val="21"/>
          <w:lang w:val="en-US" w:eastAsia="zh-CN" w:bidi="ar-SA"/>
        </w:rPr>
        <w:t xml:space="preserve">        </w:t>
      </w:r>
      <w:r>
        <w:rPr>
          <w:rFonts w:hint="eastAsia" w:asciiTheme="minorHAnsi" w:hAnsiTheme="minorHAnsi" w:eastAsiaTheme="minorEastAsia" w:cstheme="minorBidi"/>
          <w:color w:val="auto"/>
          <w:kern w:val="2"/>
          <w:sz w:val="21"/>
          <w:szCs w:val="21"/>
          <w:lang w:val="en-US" w:eastAsia="zh-CN" w:bidi="ar-SA"/>
        </w:rPr>
        <w:t>公司名称：</w:t>
      </w:r>
    </w:p>
    <w:p>
      <w:pPr>
        <w:pStyle w:val="7"/>
        <w:spacing w:after="0" w:line="240" w:lineRule="auto"/>
        <w:ind w:left="0"/>
        <w:jc w:val="center"/>
        <w:rPr>
          <w:rFonts w:hint="eastAsia" w:asciiTheme="minorHAnsi" w:hAnsiTheme="minorHAnsi" w:eastAsiaTheme="minorEastAsia" w:cstheme="minorBidi"/>
          <w:color w:val="auto"/>
          <w:kern w:val="2"/>
          <w:sz w:val="21"/>
          <w:szCs w:val="21"/>
          <w:lang w:val="en-US" w:eastAsia="zh-CN" w:bidi="ar-SA"/>
        </w:rPr>
      </w:pPr>
      <w:r>
        <w:rPr>
          <w:rFonts w:hint="eastAsia" w:asciiTheme="minorHAnsi" w:hAnsiTheme="minorHAnsi" w:eastAsiaTheme="minorEastAsia" w:cstheme="minorBidi"/>
          <w:color w:val="auto"/>
          <w:kern w:val="2"/>
          <w:sz w:val="21"/>
          <w:szCs w:val="21"/>
          <w:lang w:val="en-US" w:eastAsia="zh-CN" w:bidi="ar-SA"/>
        </w:rPr>
        <w:t xml:space="preserve">       签发日期：</w:t>
      </w:r>
    </w:p>
    <w:p>
      <w:pPr>
        <w:spacing w:line="263" w:lineRule="auto"/>
        <w:rPr>
          <w:rFonts w:hint="eastAsia" w:asciiTheme="minorHAnsi" w:hAnsiTheme="minorHAnsi" w:eastAsiaTheme="minorEastAsia" w:cstheme="minorBidi"/>
          <w:color w:val="auto"/>
          <w:kern w:val="2"/>
          <w:sz w:val="21"/>
          <w:szCs w:val="21"/>
          <w:lang w:val="en-US" w:eastAsia="zh-CN" w:bidi="ar-SA"/>
        </w:rPr>
      </w:pPr>
    </w:p>
    <w:p>
      <w:pPr>
        <w:spacing w:line="263" w:lineRule="auto"/>
        <w:rPr>
          <w:rFonts w:ascii="Arial"/>
          <w:color w:val="auto"/>
          <w:sz w:val="21"/>
        </w:rPr>
      </w:pPr>
    </w:p>
    <w:p>
      <w:pPr>
        <w:rPr>
          <w:rFonts w:hint="eastAsia"/>
          <w:b/>
          <w:color w:val="auto"/>
          <w:szCs w:val="21"/>
          <w:lang w:val="en-US" w:eastAsia="zh-CN"/>
        </w:rPr>
      </w:pPr>
      <w:r>
        <w:rPr>
          <w:rFonts w:hint="eastAsia"/>
          <w:b/>
          <w:color w:val="auto"/>
          <w:szCs w:val="21"/>
          <w:lang w:val="en-US" w:eastAsia="zh-CN"/>
        </w:rPr>
        <w:t>附：法定代表人身份证扫描件（正反两面）</w:t>
      </w:r>
    </w:p>
    <w:p>
      <w:pPr>
        <w:spacing w:line="360" w:lineRule="auto"/>
        <w:rPr>
          <w:rFonts w:hint="eastAsia"/>
          <w:color w:val="auto"/>
          <w:szCs w:val="21"/>
        </w:rPr>
      </w:pPr>
    </w:p>
    <w:p>
      <w:pPr>
        <w:spacing w:line="360" w:lineRule="auto"/>
        <w:rPr>
          <w:rFonts w:hint="eastAsia"/>
          <w:color w:val="auto"/>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szCs w:val="21"/>
        </w:rPr>
      </w:pPr>
      <w:r>
        <w:rPr>
          <w:rFonts w:hint="eastAsia"/>
          <w:szCs w:val="21"/>
        </w:rPr>
        <w:t>说明：1、法定代表人为企业事业单位、国家机关、社会团体的主要行政负责人。</w:t>
      </w:r>
    </w:p>
    <w:p>
      <w:pPr>
        <w:rPr>
          <w:szCs w:val="21"/>
        </w:rPr>
      </w:pPr>
      <w:r>
        <w:rPr>
          <w:rFonts w:hint="eastAsia"/>
          <w:szCs w:val="21"/>
        </w:rPr>
        <w:t xml:space="preserve">      2、内容必须填写真实、清楚，涂改无效，不得转让、买卖。</w:t>
      </w:r>
    </w:p>
    <w:p>
      <w:pPr>
        <w:rPr>
          <w:b/>
          <w:bCs/>
          <w:sz w:val="24"/>
        </w:rPr>
      </w:pPr>
    </w:p>
    <w:p>
      <w:pPr>
        <w:rPr>
          <w:rFonts w:hint="eastAsia" w:ascii="黑体" w:eastAsia="黑体"/>
          <w:b w:val="0"/>
          <w:kern w:val="0"/>
          <w:sz w:val="24"/>
        </w:rPr>
      </w:pPr>
      <w:bookmarkStart w:id="59" w:name="_Toc9077"/>
      <w:r>
        <w:rPr>
          <w:rFonts w:hint="eastAsia" w:ascii="黑体" w:eastAsia="黑体"/>
          <w:b w:val="0"/>
          <w:kern w:val="0"/>
          <w:sz w:val="24"/>
        </w:rPr>
        <w:br w:type="page"/>
      </w:r>
    </w:p>
    <w:p>
      <w:pPr>
        <w:pStyle w:val="3"/>
        <w:jc w:val="center"/>
        <w:rPr>
          <w:rFonts w:hint="eastAsia" w:ascii="黑体" w:eastAsia="黑体"/>
          <w:b w:val="0"/>
          <w:sz w:val="24"/>
          <w:szCs w:val="24"/>
          <w:lang w:eastAsia="zh-CN"/>
        </w:rPr>
      </w:pPr>
      <w:r>
        <w:rPr>
          <w:rFonts w:hint="eastAsia" w:ascii="黑体" w:eastAsia="黑体"/>
          <w:b w:val="0"/>
          <w:kern w:val="0"/>
          <w:sz w:val="24"/>
        </w:rPr>
        <w:t>三、</w:t>
      </w:r>
      <w:bookmarkEnd w:id="59"/>
      <w:r>
        <w:rPr>
          <w:rFonts w:hint="eastAsia" w:ascii="黑体" w:eastAsia="黑体"/>
          <w:b w:val="0"/>
          <w:kern w:val="0"/>
          <w:sz w:val="24"/>
          <w:lang w:eastAsia="zh-CN"/>
        </w:rPr>
        <w:t>投标文件签署授权委托书</w:t>
      </w:r>
    </w:p>
    <w:p>
      <w:pPr>
        <w:spacing w:line="360" w:lineRule="auto"/>
        <w:ind w:firstLine="420" w:firstLineChars="200"/>
        <w:rPr>
          <w:color w:val="auto"/>
          <w:szCs w:val="21"/>
        </w:rPr>
      </w:pPr>
      <w:r>
        <w:rPr>
          <w:rFonts w:hint="eastAsia"/>
          <w:color w:val="auto"/>
          <w:szCs w:val="21"/>
        </w:rPr>
        <w:t>本授权委托书声明：我</w:t>
      </w:r>
      <w:r>
        <w:rPr>
          <w:rFonts w:hint="eastAsia"/>
          <w:color w:val="auto"/>
          <w:szCs w:val="21"/>
          <w:u w:val="single"/>
        </w:rPr>
        <w:t xml:space="preserve">           </w:t>
      </w:r>
      <w:r>
        <w:rPr>
          <w:rFonts w:hint="eastAsia"/>
          <w:color w:val="auto"/>
          <w:szCs w:val="21"/>
        </w:rPr>
        <w:t>（姓名）系</w:t>
      </w:r>
      <w:r>
        <w:rPr>
          <w:rFonts w:hint="eastAsia"/>
          <w:color w:val="auto"/>
          <w:szCs w:val="21"/>
          <w:u w:val="single"/>
        </w:rPr>
        <w:t xml:space="preserve">             </w:t>
      </w:r>
      <w:r>
        <w:rPr>
          <w:rFonts w:hint="eastAsia"/>
          <w:color w:val="auto"/>
          <w:szCs w:val="21"/>
        </w:rPr>
        <w:t>（投标人名称）的法定代表人，现授权委托</w:t>
      </w:r>
      <w:r>
        <w:rPr>
          <w:rFonts w:hint="eastAsia"/>
          <w:color w:val="auto"/>
          <w:szCs w:val="21"/>
          <w:u w:val="single"/>
        </w:rPr>
        <w:t xml:space="preserve">                     </w:t>
      </w:r>
      <w:r>
        <w:rPr>
          <w:rFonts w:hint="eastAsia"/>
          <w:color w:val="auto"/>
          <w:szCs w:val="21"/>
        </w:rPr>
        <w:t>（单位名称）的</w:t>
      </w:r>
      <w:r>
        <w:rPr>
          <w:rFonts w:hint="eastAsia"/>
          <w:color w:val="auto"/>
          <w:szCs w:val="21"/>
          <w:u w:val="single"/>
        </w:rPr>
        <w:t xml:space="preserve">            </w:t>
      </w:r>
      <w:r>
        <w:rPr>
          <w:rFonts w:hint="eastAsia"/>
          <w:color w:val="auto"/>
          <w:szCs w:val="21"/>
        </w:rPr>
        <w:t>（姓名）为我公司签署本项目已递交的投标文件的法定代表人的授权委托代理人，该</w:t>
      </w:r>
      <w:r>
        <w:rPr>
          <w:rFonts w:hint="eastAsia"/>
          <w:color w:val="auto"/>
          <w:szCs w:val="21"/>
          <w:lang w:eastAsia="zh-CN"/>
        </w:rPr>
        <w:t>代理人</w:t>
      </w:r>
      <w:r>
        <w:rPr>
          <w:rFonts w:hint="eastAsia"/>
          <w:color w:val="auto"/>
          <w:szCs w:val="21"/>
        </w:rPr>
        <w:t>有权在贵单位的自行采购活动中，以我单位的名义与采购人协商、谈判、签订合同协议以及全权处理与此有关的一切事项，代理人全权代表我所签署的本项目已递交的投标文件内容我均承认。</w:t>
      </w:r>
    </w:p>
    <w:p>
      <w:pPr>
        <w:pStyle w:val="6"/>
        <w:spacing w:line="360" w:lineRule="auto"/>
        <w:rPr>
          <w:color w:val="auto"/>
          <w:szCs w:val="21"/>
        </w:rPr>
      </w:pPr>
      <w:r>
        <w:rPr>
          <w:rFonts w:hint="eastAsia"/>
          <w:color w:val="auto"/>
          <w:szCs w:val="21"/>
        </w:rPr>
        <w:t>代理人无转委托权，特此委托。</w:t>
      </w:r>
    </w:p>
    <w:p>
      <w:pPr>
        <w:rPr>
          <w:color w:val="auto"/>
          <w:szCs w:val="21"/>
        </w:rPr>
      </w:pPr>
    </w:p>
    <w:p>
      <w:pPr>
        <w:spacing w:line="360" w:lineRule="auto"/>
        <w:rPr>
          <w:color w:val="auto"/>
          <w:szCs w:val="21"/>
          <w:u w:val="single"/>
        </w:rPr>
      </w:pPr>
      <w:r>
        <w:rPr>
          <w:rFonts w:hint="eastAsia"/>
          <w:color w:val="auto"/>
          <w:szCs w:val="21"/>
        </w:rPr>
        <w:t>代理人：</w:t>
      </w:r>
      <w:r>
        <w:rPr>
          <w:rFonts w:hint="eastAsia"/>
          <w:color w:val="auto"/>
          <w:szCs w:val="21"/>
          <w:u w:val="single"/>
        </w:rPr>
        <w:t xml:space="preserve">             </w:t>
      </w:r>
      <w:r>
        <w:rPr>
          <w:rFonts w:hint="eastAsia"/>
          <w:color w:val="auto"/>
          <w:szCs w:val="21"/>
        </w:rPr>
        <w:t>性别：</w:t>
      </w:r>
      <w:r>
        <w:rPr>
          <w:rFonts w:hint="eastAsia"/>
          <w:color w:val="auto"/>
          <w:szCs w:val="21"/>
          <w:u w:val="single"/>
        </w:rPr>
        <w:t xml:space="preserve">     </w:t>
      </w:r>
      <w:r>
        <w:rPr>
          <w:rFonts w:hint="eastAsia"/>
          <w:color w:val="auto"/>
          <w:szCs w:val="21"/>
        </w:rPr>
        <w:t>年龄：</w:t>
      </w:r>
      <w:r>
        <w:rPr>
          <w:rFonts w:hint="eastAsia"/>
          <w:color w:val="auto"/>
          <w:szCs w:val="21"/>
          <w:u w:val="single"/>
        </w:rPr>
        <w:t xml:space="preserve">           </w:t>
      </w:r>
    </w:p>
    <w:p>
      <w:pPr>
        <w:spacing w:line="360" w:lineRule="auto"/>
        <w:rPr>
          <w:color w:val="auto"/>
          <w:szCs w:val="21"/>
        </w:rPr>
      </w:pPr>
      <w:r>
        <w:rPr>
          <w:rFonts w:hint="eastAsia"/>
          <w:color w:val="auto"/>
          <w:szCs w:val="21"/>
        </w:rPr>
        <w:t>联系电话：</w:t>
      </w:r>
      <w:r>
        <w:rPr>
          <w:rFonts w:hint="eastAsia"/>
          <w:color w:val="auto"/>
          <w:szCs w:val="21"/>
          <w:u w:val="single"/>
        </w:rPr>
        <w:t xml:space="preserve">            </w:t>
      </w:r>
      <w:r>
        <w:rPr>
          <w:rFonts w:hint="eastAsia"/>
          <w:color w:val="auto"/>
          <w:szCs w:val="21"/>
        </w:rPr>
        <w:t xml:space="preserve">  手机：</w:t>
      </w:r>
      <w:r>
        <w:rPr>
          <w:rFonts w:hint="eastAsia"/>
          <w:color w:val="auto"/>
          <w:szCs w:val="21"/>
          <w:u w:val="single"/>
        </w:rPr>
        <w:t xml:space="preserve">                   </w:t>
      </w:r>
    </w:p>
    <w:p>
      <w:pPr>
        <w:spacing w:line="360" w:lineRule="auto"/>
        <w:rPr>
          <w:color w:val="auto"/>
          <w:szCs w:val="21"/>
          <w:u w:val="single"/>
        </w:rPr>
      </w:pPr>
      <w:r>
        <w:rPr>
          <w:rFonts w:hint="eastAsia"/>
          <w:color w:val="auto"/>
          <w:szCs w:val="21"/>
        </w:rPr>
        <w:t>身份证号码：</w:t>
      </w:r>
      <w:r>
        <w:rPr>
          <w:rFonts w:hint="eastAsia"/>
          <w:color w:val="auto"/>
          <w:szCs w:val="21"/>
          <w:u w:val="single"/>
        </w:rPr>
        <w:t xml:space="preserve">                        </w:t>
      </w:r>
    </w:p>
    <w:p>
      <w:pPr>
        <w:spacing w:line="360" w:lineRule="auto"/>
        <w:rPr>
          <w:color w:val="auto"/>
          <w:szCs w:val="21"/>
        </w:rPr>
      </w:pPr>
      <w:r>
        <w:rPr>
          <w:rFonts w:hint="eastAsia"/>
          <w:color w:val="auto"/>
          <w:szCs w:val="21"/>
          <w:lang w:eastAsia="zh-CN"/>
        </w:rPr>
        <w:t>供应商</w:t>
      </w:r>
      <w:r>
        <w:rPr>
          <w:rFonts w:hint="eastAsia"/>
          <w:color w:val="auto"/>
          <w:szCs w:val="21"/>
        </w:rPr>
        <w:t>：</w:t>
      </w:r>
      <w:r>
        <w:rPr>
          <w:rFonts w:hint="eastAsia"/>
          <w:color w:val="auto"/>
          <w:szCs w:val="21"/>
          <w:u w:val="single"/>
        </w:rPr>
        <w:t xml:space="preserve">                                         </w:t>
      </w:r>
    </w:p>
    <w:p>
      <w:pPr>
        <w:spacing w:line="360" w:lineRule="auto"/>
        <w:rPr>
          <w:color w:val="auto"/>
          <w:szCs w:val="21"/>
        </w:rPr>
      </w:pPr>
      <w:r>
        <w:rPr>
          <w:rFonts w:hint="eastAsia"/>
          <w:color w:val="auto"/>
          <w:szCs w:val="21"/>
        </w:rPr>
        <w:t>法定代表人：</w:t>
      </w:r>
      <w:r>
        <w:rPr>
          <w:rFonts w:hint="eastAsia"/>
          <w:color w:val="auto"/>
          <w:szCs w:val="21"/>
          <w:u w:val="single"/>
        </w:rPr>
        <w:t xml:space="preserve">                            </w:t>
      </w:r>
    </w:p>
    <w:p>
      <w:pPr>
        <w:rPr>
          <w:color w:val="auto"/>
          <w:szCs w:val="21"/>
        </w:rPr>
      </w:pPr>
      <w:r>
        <w:rPr>
          <w:rFonts w:hint="eastAsia"/>
          <w:color w:val="auto"/>
          <w:szCs w:val="21"/>
        </w:rPr>
        <w:t>授权委托日期：</w:t>
      </w:r>
      <w:r>
        <w:rPr>
          <w:rFonts w:hint="eastAsia"/>
          <w:color w:val="auto"/>
          <w:szCs w:val="21"/>
          <w:u w:val="single"/>
        </w:rPr>
        <w:t xml:space="preserve">         </w:t>
      </w:r>
      <w:r>
        <w:rPr>
          <w:rFonts w:hint="eastAsia"/>
          <w:color w:val="auto"/>
          <w:szCs w:val="21"/>
        </w:rPr>
        <w:t>年</w:t>
      </w:r>
      <w:r>
        <w:rPr>
          <w:rFonts w:hint="eastAsia"/>
          <w:color w:val="auto"/>
          <w:szCs w:val="21"/>
          <w:u w:val="single"/>
        </w:rPr>
        <w:t xml:space="preserve">     </w:t>
      </w:r>
      <w:r>
        <w:rPr>
          <w:rFonts w:hint="eastAsia"/>
          <w:color w:val="auto"/>
          <w:szCs w:val="21"/>
        </w:rPr>
        <w:t xml:space="preserve">月 </w:t>
      </w:r>
      <w:r>
        <w:rPr>
          <w:rFonts w:hint="eastAsia"/>
          <w:color w:val="auto"/>
          <w:szCs w:val="21"/>
          <w:u w:val="single"/>
        </w:rPr>
        <w:t xml:space="preserve">      </w:t>
      </w:r>
      <w:r>
        <w:rPr>
          <w:rFonts w:hint="eastAsia"/>
          <w:color w:val="auto"/>
          <w:szCs w:val="21"/>
        </w:rPr>
        <w:t>日</w:t>
      </w:r>
    </w:p>
    <w:p>
      <w:pPr>
        <w:spacing w:line="360" w:lineRule="auto"/>
        <w:rPr>
          <w:color w:val="auto"/>
          <w:szCs w:val="21"/>
        </w:rPr>
      </w:pPr>
    </w:p>
    <w:p>
      <w:pPr>
        <w:rPr>
          <w:b/>
          <w:color w:val="auto"/>
          <w:szCs w:val="21"/>
        </w:rPr>
      </w:pPr>
      <w:r>
        <w:rPr>
          <w:rFonts w:hint="eastAsia"/>
          <w:color w:val="auto"/>
          <w:szCs w:val="21"/>
        </w:rPr>
        <w:t xml:space="preserve">  </w:t>
      </w:r>
      <w:r>
        <w:rPr>
          <w:rFonts w:hint="eastAsia"/>
          <w:b/>
          <w:color w:val="auto"/>
          <w:szCs w:val="21"/>
        </w:rPr>
        <w:t>附： 授权委托代理人身份证扫描件（正反两面）</w:t>
      </w:r>
    </w:p>
    <w:p>
      <w:pPr>
        <w:spacing w:line="360" w:lineRule="auto"/>
        <w:ind w:left="540" w:leftChars="257"/>
        <w:rPr>
          <w:color w:val="auto"/>
          <w:szCs w:val="21"/>
        </w:rPr>
      </w:pPr>
    </w:p>
    <w:p>
      <w:pPr>
        <w:pStyle w:val="7"/>
        <w:rPr>
          <w:color w:val="auto"/>
          <w:szCs w:val="21"/>
        </w:rPr>
      </w:pPr>
    </w:p>
    <w:p>
      <w:pPr>
        <w:pStyle w:val="7"/>
        <w:rPr>
          <w:szCs w:val="21"/>
        </w:rPr>
      </w:pPr>
    </w:p>
    <w:p>
      <w:pPr>
        <w:pStyle w:val="7"/>
        <w:rPr>
          <w:szCs w:val="21"/>
        </w:rPr>
      </w:pPr>
    </w:p>
    <w:p>
      <w:pPr>
        <w:pStyle w:val="8"/>
        <w:rPr>
          <w:szCs w:val="21"/>
        </w:rPr>
      </w:pPr>
    </w:p>
    <w:p>
      <w:pPr>
        <w:pStyle w:val="8"/>
        <w:jc w:val="both"/>
        <w:rPr>
          <w:rFonts w:hint="eastAsia" w:ascii="Calibri" w:hAnsi="Calibri" w:eastAsia="宋体" w:cs="Times New Roman"/>
          <w:b w:val="0"/>
          <w:bCs w:val="0"/>
          <w:kern w:val="2"/>
          <w:sz w:val="21"/>
          <w:szCs w:val="21"/>
          <w:lang w:val="en-US" w:eastAsia="zh-CN" w:bidi="ar-SA"/>
        </w:rPr>
      </w:pPr>
    </w:p>
    <w:p>
      <w:pPr>
        <w:pStyle w:val="8"/>
        <w:jc w:val="both"/>
        <w:rPr>
          <w:szCs w:val="21"/>
        </w:rPr>
      </w:pPr>
      <w:r>
        <w:rPr>
          <w:rFonts w:hint="eastAsia" w:ascii="Calibri" w:hAnsi="Calibri" w:eastAsia="宋体" w:cs="Times New Roman"/>
          <w:b w:val="0"/>
          <w:bCs w:val="0"/>
          <w:kern w:val="2"/>
          <w:sz w:val="21"/>
          <w:szCs w:val="21"/>
          <w:lang w:val="en-US" w:eastAsia="zh-CN" w:bidi="ar-SA"/>
        </w:rPr>
        <w:t>说明：投标文件及相关的澄清文件由法定代表人亲自签署的无需填写本委托书。</w:t>
      </w:r>
    </w:p>
    <w:p>
      <w:pPr>
        <w:rPr>
          <w:rFonts w:hint="eastAsia" w:ascii="黑体" w:eastAsia="黑体"/>
          <w:b w:val="0"/>
          <w:kern w:val="0"/>
          <w:sz w:val="24"/>
        </w:rPr>
      </w:pPr>
      <w:bookmarkStart w:id="60" w:name="_Toc2203"/>
      <w:r>
        <w:rPr>
          <w:rFonts w:hint="eastAsia" w:ascii="黑体" w:eastAsia="黑体"/>
          <w:b w:val="0"/>
          <w:kern w:val="0"/>
          <w:sz w:val="24"/>
        </w:rPr>
        <w:br w:type="page"/>
      </w:r>
    </w:p>
    <w:p>
      <w:pPr>
        <w:pStyle w:val="3"/>
        <w:jc w:val="center"/>
        <w:rPr>
          <w:rFonts w:ascii="黑体" w:eastAsia="黑体"/>
          <w:b w:val="0"/>
          <w:kern w:val="0"/>
          <w:sz w:val="24"/>
        </w:rPr>
      </w:pPr>
      <w:r>
        <w:rPr>
          <w:rFonts w:hint="eastAsia" w:ascii="黑体" w:eastAsia="黑体"/>
          <w:b w:val="0"/>
          <w:kern w:val="0"/>
          <w:sz w:val="24"/>
        </w:rPr>
        <w:t>四、投标函</w:t>
      </w:r>
      <w:bookmarkEnd w:id="60"/>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致：深圳市盐田区中英街管理局  </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bookmarkStart w:id="61" w:name="_Hlk73818812"/>
      <w:r>
        <w:rPr>
          <w:rFonts w:hint="eastAsia" w:ascii="仿宋_GB2312" w:hAnsi="仿宋_GB2312" w:eastAsia="仿宋_GB2312" w:cs="仿宋_GB2312"/>
          <w:color w:val="auto"/>
          <w:sz w:val="28"/>
          <w:szCs w:val="28"/>
          <w:lang w:val="en-US" w:eastAsia="zh-CN"/>
        </w:rPr>
        <w:t>1.根据贵单位</w:t>
      </w:r>
      <w:r>
        <w:rPr>
          <w:rFonts w:hint="eastAsia" w:ascii="仿宋_GB2312" w:hAnsi="仿宋_GB2312" w:eastAsia="仿宋_GB2312" w:cs="仿宋_GB2312"/>
          <w:color w:val="auto"/>
          <w:sz w:val="28"/>
          <w:szCs w:val="28"/>
          <w:u w:val="single"/>
          <w:lang w:val="en-US" w:eastAsia="zh-CN"/>
        </w:rPr>
        <w:t xml:space="preserve">  （项目名称）  </w:t>
      </w:r>
      <w:r>
        <w:rPr>
          <w:rFonts w:hint="eastAsia" w:ascii="仿宋_GB2312" w:hAnsi="仿宋_GB2312" w:eastAsia="仿宋_GB2312" w:cs="仿宋_GB2312"/>
          <w:color w:val="auto"/>
          <w:sz w:val="28"/>
          <w:szCs w:val="28"/>
          <w:lang w:val="en-US" w:eastAsia="zh-CN"/>
        </w:rPr>
        <w:t>的采购文件，遵照《深圳经济特区政府采购条例》和《深圳经济特区政府采购条例实施细则》等有关规定，我单位经研究上述采购文件条款后，愿以投标书中《投标一览表》填写的投标报价并按采购文件要求承包上述项目并修补其任何缺陷</w:t>
      </w:r>
      <w:bookmarkStart w:id="62" w:name="_Hlk72263588"/>
      <w:r>
        <w:rPr>
          <w:rFonts w:hint="eastAsia" w:ascii="仿宋_GB2312" w:hAnsi="仿宋_GB2312" w:eastAsia="仿宋_GB2312" w:cs="仿宋_GB2312"/>
          <w:color w:val="auto"/>
          <w:sz w:val="28"/>
          <w:szCs w:val="28"/>
          <w:lang w:val="en-US" w:eastAsia="zh-CN"/>
        </w:rPr>
        <w:t>。</w:t>
      </w:r>
      <w:bookmarkEnd w:id="62"/>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2.我方同意所递交的投标文件在投标有效期内有效，在此期间内我方的投标有可能中标，我方将受此约束</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3.除非另外达成协议并生效，贵方的中标公告和本投标文件将构成约束我们双方的合同。</w:t>
      </w:r>
    </w:p>
    <w:bookmarkEnd w:id="61"/>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4.我方理解贵方将不受必须接受你们所收到的最低标价或其它任何投标文件的约束。</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投标人（单位名称）：                         </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单位地址：                                  </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法定代表人或其委托代理人：                  </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电话：                    </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开户银行名称：</w:t>
      </w:r>
      <w:r>
        <w:rPr>
          <w:rFonts w:hint="default"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lang w:val="en-US" w:eastAsia="zh-CN"/>
        </w:rPr>
        <w:tab/>
      </w:r>
      <w:r>
        <w:rPr>
          <w:rFonts w:hint="eastAsia" w:ascii="仿宋_GB2312" w:hAnsi="仿宋_GB2312" w:eastAsia="仿宋_GB2312" w:cs="仿宋_GB2312"/>
          <w:color w:val="auto"/>
          <w:sz w:val="28"/>
          <w:szCs w:val="28"/>
          <w:lang w:val="en-US" w:eastAsia="zh-CN"/>
        </w:rPr>
        <w:t>开户银行帐号：</w:t>
      </w:r>
      <w:r>
        <w:rPr>
          <w:rFonts w:hint="eastAsia" w:ascii="仿宋_GB2312" w:hAnsi="仿宋_GB2312" w:eastAsia="仿宋_GB2312" w:cs="仿宋_GB2312"/>
          <w:color w:val="auto"/>
          <w:sz w:val="28"/>
          <w:szCs w:val="28"/>
          <w:lang w:val="en-US" w:eastAsia="zh-CN"/>
        </w:rPr>
        <w:tab/>
      </w:r>
      <w:r>
        <w:rPr>
          <w:rFonts w:hint="default"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lang w:val="en-US" w:eastAsia="zh-CN"/>
        </w:rPr>
        <w:tab/>
      </w:r>
      <w:r>
        <w:rPr>
          <w:rFonts w:hint="eastAsia" w:ascii="仿宋_GB2312" w:hAnsi="仿宋_GB2312" w:eastAsia="仿宋_GB2312" w:cs="仿宋_GB2312"/>
          <w:color w:val="auto"/>
          <w:sz w:val="28"/>
          <w:szCs w:val="28"/>
          <w:lang w:val="en-US" w:eastAsia="zh-CN"/>
        </w:rPr>
        <w:tab/>
      </w:r>
      <w:r>
        <w:rPr>
          <w:rFonts w:hint="eastAsia" w:ascii="仿宋_GB2312" w:hAnsi="仿宋_GB2312" w:eastAsia="仿宋_GB2312" w:cs="仿宋_GB2312"/>
          <w:color w:val="auto"/>
          <w:sz w:val="28"/>
          <w:szCs w:val="28"/>
          <w:lang w:val="en-US" w:eastAsia="zh-CN"/>
        </w:rPr>
        <w:tab/>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ab/>
      </w:r>
      <w:r>
        <w:rPr>
          <w:rFonts w:hint="eastAsia" w:ascii="仿宋_GB2312" w:hAnsi="仿宋_GB2312" w:eastAsia="仿宋_GB2312" w:cs="仿宋_GB2312"/>
          <w:color w:val="auto"/>
          <w:sz w:val="28"/>
          <w:szCs w:val="28"/>
          <w:lang w:val="en-US" w:eastAsia="zh-CN"/>
        </w:rPr>
        <w:tab/>
      </w:r>
      <w:r>
        <w:rPr>
          <w:rFonts w:hint="eastAsia" w:ascii="仿宋_GB2312" w:hAnsi="仿宋_GB2312" w:eastAsia="仿宋_GB2312" w:cs="仿宋_GB2312"/>
          <w:color w:val="auto"/>
          <w:sz w:val="28"/>
          <w:szCs w:val="28"/>
          <w:lang w:val="en-US" w:eastAsia="zh-CN"/>
        </w:rPr>
        <w:tab/>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日期：    年  月  日</w:t>
      </w:r>
    </w:p>
    <w:p>
      <w:pPr>
        <w:ind w:firstLine="616" w:firstLineChars="257"/>
        <w:rPr>
          <w:color w:val="auto"/>
          <w:sz w:val="24"/>
        </w:rPr>
      </w:pPr>
      <w:r>
        <w:rPr>
          <w:rFonts w:hint="eastAsia"/>
          <w:color w:val="auto"/>
          <w:sz w:val="24"/>
        </w:rPr>
        <w:t xml:space="preserve">                       </w:t>
      </w:r>
    </w:p>
    <w:p>
      <w:pPr>
        <w:rPr>
          <w:rFonts w:ascii="黑体" w:hAnsi="宋体" w:eastAsia="黑体"/>
          <w:color w:val="auto"/>
        </w:rPr>
      </w:pPr>
    </w:p>
    <w:p>
      <w:pPr>
        <w:rPr>
          <w:rFonts w:ascii="黑体" w:hAnsi="宋体" w:eastAsia="黑体"/>
          <w:color w:val="auto"/>
        </w:rPr>
      </w:pPr>
    </w:p>
    <w:p>
      <w:pPr>
        <w:pStyle w:val="3"/>
        <w:jc w:val="center"/>
        <w:rPr>
          <w:rFonts w:ascii="宋体" w:hAnsi="宋体"/>
          <w:sz w:val="24"/>
        </w:rPr>
      </w:pPr>
      <w:bookmarkStart w:id="63" w:name="_Toc8425"/>
      <w:r>
        <w:rPr>
          <w:rFonts w:hint="eastAsia" w:ascii="黑体" w:eastAsia="黑体"/>
          <w:b w:val="0"/>
          <w:kern w:val="0"/>
          <w:sz w:val="24"/>
        </w:rPr>
        <w:t>五、</w:t>
      </w:r>
      <w:bookmarkEnd w:id="63"/>
      <w:r>
        <w:rPr>
          <w:rFonts w:hint="eastAsia" w:ascii="黑体" w:eastAsia="黑体"/>
          <w:b w:val="0"/>
          <w:kern w:val="0"/>
          <w:sz w:val="24"/>
        </w:rPr>
        <w:t>投标及履约承诺函</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致：深圳市盐田区中英街管理局</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我单位承诺：</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1.我单位本招标项目所提供的货物或服务未侵犯知识产权。</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2.我单位参与本项目投标前三年内，在经营活动中没有重大违法记录。</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3.我单位参与本项目政府采购活动时不存在被有关部门禁止参与政府采购活动且在有效期内的情况。</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4.我单位具备《中华人民共和国政府采购法》第二十二条第一款规定的六项条件。</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我单位未被列入失信被执行人、重大税收违法案件当事人名单、政府采购严重违法失信行为记录名单、不存在《深圳市财政局政府采购供应商信用信息管理办法》（深财规〔2023）3号）列明的严重违法失信行为。</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6.我单位参与该项目投标，严格遵守相关法律，投标做到诚实，不造假，不围标、串标、陪标。我单位已清楚，如违反上述要求，投标将无效处理，被列入不良记录名单。</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7.我单位如果中标，做到守信，不偷工减料，依照本项目采购文件需求内容、签署的采购合同及本单位在投标中所作的一切承诺履约。我单位对本项目的报价负责，中标后将严格按照本项目采购文件需求、签署的采购合同及我单位在投标中所作的全部承诺履行。项目验收达到全部指标合格，力争优良。</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8.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中英街管理局作出的处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9.我单位承诺不违法分包转包。</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我单位不存在“单位负责人为同一人或者存在直接控股、管理关系的不同供应商，不得参加同一合同项下的政府采购活动；为采购项目提供整体设计、规范编制或者项目管理、监理、检测等服务的供应商，不得再参加该采购项目的其他采购活动”的情形。</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11.接受、遵守、满足</w:t>
      </w:r>
      <w:r>
        <w:rPr>
          <w:rFonts w:hint="eastAsia" w:ascii="仿宋_GB2312" w:hAnsi="仿宋_GB2312" w:eastAsia="仿宋_GB2312" w:cs="仿宋_GB2312"/>
          <w:color w:val="auto"/>
          <w:sz w:val="28"/>
          <w:szCs w:val="28"/>
          <w:lang w:val="en-US" w:eastAsia="zh-CN"/>
        </w:rPr>
        <w:t>采购</w:t>
      </w:r>
      <w:r>
        <w:rPr>
          <w:rFonts w:hint="default" w:ascii="仿宋_GB2312" w:hAnsi="仿宋_GB2312" w:eastAsia="仿宋_GB2312" w:cs="仿宋_GB2312"/>
          <w:color w:val="auto"/>
          <w:sz w:val="28"/>
          <w:szCs w:val="28"/>
          <w:lang w:val="en-US" w:eastAsia="zh-CN"/>
        </w:rPr>
        <w:t>文件第二章</w:t>
      </w:r>
      <w:r>
        <w:rPr>
          <w:rFonts w:hint="eastAsia" w:ascii="仿宋_GB2312" w:hAnsi="仿宋_GB2312" w:eastAsia="仿宋_GB2312" w:cs="仿宋_GB2312"/>
          <w:color w:val="auto"/>
          <w:sz w:val="28"/>
          <w:szCs w:val="28"/>
          <w:lang w:val="en-US" w:eastAsia="zh-CN"/>
        </w:rPr>
        <w:t>“</w:t>
      </w:r>
      <w:r>
        <w:rPr>
          <w:rFonts w:hint="default" w:ascii="仿宋_GB2312" w:hAnsi="仿宋_GB2312" w:eastAsia="仿宋_GB2312" w:cs="仿宋_GB2312"/>
          <w:color w:val="auto"/>
          <w:sz w:val="28"/>
          <w:szCs w:val="28"/>
          <w:lang w:val="en-US" w:eastAsia="zh-CN"/>
        </w:rPr>
        <w:t>招标项目需求</w:t>
      </w:r>
      <w:r>
        <w:rPr>
          <w:rFonts w:hint="eastAsia" w:ascii="仿宋_GB2312" w:hAnsi="仿宋_GB2312" w:eastAsia="仿宋_GB2312" w:cs="仿宋_GB2312"/>
          <w:color w:val="auto"/>
          <w:sz w:val="28"/>
          <w:szCs w:val="28"/>
          <w:lang w:val="en-US" w:eastAsia="zh-CN"/>
        </w:rPr>
        <w:t>”</w:t>
      </w:r>
      <w:r>
        <w:rPr>
          <w:rFonts w:hint="default" w:ascii="仿宋_GB2312" w:hAnsi="仿宋_GB2312" w:eastAsia="仿宋_GB2312" w:cs="仿宋_GB2312"/>
          <w:color w:val="auto"/>
          <w:sz w:val="28"/>
          <w:szCs w:val="28"/>
          <w:lang w:val="en-US" w:eastAsia="zh-CN"/>
        </w:rPr>
        <w:t>的全部内容。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12..我单位在本项目或与管理局的其他业务往来中，参与本采购项目的投标人及投标人员工不存在或未曾发生过向管理局工作人员输送不正当利益等违反廉洁纪律要求的行为。</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以上承诺，如有违反，愿依照国家相关法律处理，并承担由此给采购人带来的损失。</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p>
    <w:p>
      <w:pPr>
        <w:wordWrap w:val="0"/>
        <w:ind w:firstLine="645"/>
        <w:jc w:val="right"/>
        <w:rPr>
          <w:rFonts w:ascii="宋体" w:hAnsi="宋体"/>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firstLine="2800" w:firstLineChars="1000"/>
        <w:textAlignment w:val="auto"/>
        <w:rPr>
          <w:rFonts w:ascii="宋体" w:hAnsi="宋体"/>
          <w:sz w:val="28"/>
          <w:szCs w:val="28"/>
        </w:rPr>
      </w:pPr>
      <w:r>
        <w:rPr>
          <w:rFonts w:hint="eastAsia" w:ascii="仿宋_GB2312" w:hAnsi="仿宋_GB2312" w:eastAsia="仿宋_GB2312" w:cs="仿宋_GB2312"/>
          <w:color w:val="auto"/>
          <w:sz w:val="28"/>
          <w:szCs w:val="28"/>
          <w:lang w:val="en-US" w:eastAsia="zh-CN"/>
        </w:rPr>
        <w:t xml:space="preserve">投标人（单位名称）：                         </w:t>
      </w:r>
    </w:p>
    <w:p>
      <w:pPr>
        <w:keepNext w:val="0"/>
        <w:keepLines w:val="0"/>
        <w:pageBreakBefore w:val="0"/>
        <w:widowControl w:val="0"/>
        <w:kinsoku/>
        <w:wordWrap/>
        <w:overflowPunct/>
        <w:topLinePunct w:val="0"/>
        <w:autoSpaceDE/>
        <w:autoSpaceDN/>
        <w:bidi w:val="0"/>
        <w:adjustRightInd/>
        <w:snapToGrid/>
        <w:spacing w:line="500" w:lineRule="exact"/>
        <w:ind w:firstLine="3920" w:firstLineChars="14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日期：    年  月  日</w:t>
      </w:r>
    </w:p>
    <w:p>
      <w:pPr>
        <w:pStyle w:val="7"/>
        <w:tabs>
          <w:tab w:val="left" w:pos="7513"/>
          <w:tab w:val="left" w:pos="8313"/>
        </w:tabs>
        <w:ind w:left="1470" w:right="1470"/>
        <w:jc w:val="right"/>
        <w:rPr>
          <w:rFonts w:ascii="宋体"/>
          <w:b w:val="0"/>
          <w:sz w:val="28"/>
          <w:szCs w:val="28"/>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lang w:val="en-US" w:eastAsia="zh-CN"/>
        </w:rPr>
      </w:pPr>
      <w:bookmarkStart w:id="64" w:name="_Toc71860060"/>
      <w:bookmarkStart w:id="65" w:name="_Toc101074900"/>
      <w:bookmarkStart w:id="66" w:name="_Toc73521614"/>
      <w:bookmarkStart w:id="67" w:name="_Toc70748068"/>
      <w:bookmarkStart w:id="68" w:name="_Toc73521702"/>
      <w:bookmarkStart w:id="69" w:name="_Toc100052469"/>
      <w:bookmarkStart w:id="70" w:name="_Toc73518186"/>
      <w:bookmarkStart w:id="71" w:name="_Toc73517708"/>
      <w:bookmarkStart w:id="72" w:name="_Toc6250"/>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附表：</w:t>
      </w:r>
    </w:p>
    <w:p>
      <w:pPr>
        <w:jc w:val="center"/>
        <w:rPr>
          <w:rFonts w:hint="eastAsia" w:ascii="方正小标宋简体" w:hAnsi="方正小标宋简体" w:eastAsia="方正小标宋简体" w:cs="方正小标宋简体"/>
          <w:b w:val="0"/>
          <w:bCs w:val="0"/>
          <w:color w:val="auto"/>
          <w:kern w:val="2"/>
          <w:sz w:val="36"/>
          <w:szCs w:val="36"/>
          <w:lang w:val="en-US" w:eastAsia="zh-CN" w:bidi="ar-SA"/>
        </w:rPr>
      </w:pPr>
      <w:r>
        <w:rPr>
          <w:rFonts w:hint="eastAsia" w:ascii="方正小标宋简体" w:hAnsi="方正小标宋简体" w:eastAsia="方正小标宋简体" w:cs="方正小标宋简体"/>
          <w:b w:val="0"/>
          <w:bCs w:val="0"/>
          <w:color w:val="auto"/>
          <w:kern w:val="2"/>
          <w:sz w:val="36"/>
          <w:szCs w:val="36"/>
          <w:lang w:val="en-US" w:eastAsia="zh-CN" w:bidi="ar-SA"/>
        </w:rPr>
        <w:t>供应商基本情况表</w:t>
      </w:r>
    </w:p>
    <w:p>
      <w:pPr>
        <w:spacing w:line="240" w:lineRule="auto"/>
        <w:ind w:firstLine="0" w:firstLineChars="0"/>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填表单位：（加盖单位公章）</w:t>
      </w:r>
      <w:r>
        <w:rPr>
          <w:rFonts w:hint="eastAsia" w:ascii="方正仿宋_GBK" w:hAnsi="方正仿宋_GBK" w:eastAsia="方正仿宋_GBK" w:cs="方正仿宋_GBK"/>
          <w:color w:val="auto"/>
          <w:sz w:val="28"/>
          <w:szCs w:val="28"/>
          <w:lang w:val="en-US" w:eastAsia="zh-CN"/>
        </w:rPr>
        <w:tab/>
      </w:r>
      <w:r>
        <w:rPr>
          <w:rFonts w:hint="eastAsia" w:ascii="方正仿宋_GBK" w:hAnsi="方正仿宋_GBK" w:eastAsia="方正仿宋_GBK" w:cs="方正仿宋_GBK"/>
          <w:color w:val="auto"/>
          <w:sz w:val="28"/>
          <w:szCs w:val="28"/>
          <w:lang w:val="en-US" w:eastAsia="zh-CN"/>
        </w:rPr>
        <w:tab/>
      </w:r>
      <w:r>
        <w:rPr>
          <w:rFonts w:hint="eastAsia" w:ascii="方正仿宋_GBK" w:hAnsi="方正仿宋_GBK" w:eastAsia="方正仿宋_GBK" w:cs="方正仿宋_GBK"/>
          <w:color w:val="auto"/>
          <w:sz w:val="28"/>
          <w:szCs w:val="28"/>
          <w:lang w:val="en-US" w:eastAsia="zh-CN"/>
        </w:rPr>
        <w:t xml:space="preserve">       填表日期：    年   月   日</w:t>
      </w:r>
    </w:p>
    <w:tbl>
      <w:tblPr>
        <w:tblStyle w:val="17"/>
        <w:tblW w:w="89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6"/>
        <w:gridCol w:w="676"/>
        <w:gridCol w:w="1690"/>
        <w:gridCol w:w="863"/>
        <w:gridCol w:w="925"/>
        <w:gridCol w:w="1066"/>
        <w:gridCol w:w="1500"/>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12" w:type="dxa"/>
            <w:gridSpan w:val="2"/>
            <w:noWrap w:val="0"/>
            <w:vAlign w:val="center"/>
          </w:tcPr>
          <w:p>
            <w:pPr>
              <w:keepNext w:val="0"/>
              <w:keepLines w:val="0"/>
              <w:suppressLineNumbers w:val="0"/>
              <w:spacing w:before="0" w:beforeAutospacing="0" w:after="0" w:afterAutospacing="0" w:line="240" w:lineRule="auto"/>
              <w:ind w:left="0" w:right="0" w:firstLine="0" w:firstLineChars="0"/>
              <w:jc w:val="center"/>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color w:val="auto"/>
                <w:sz w:val="24"/>
                <w:szCs w:val="24"/>
                <w:vertAlign w:val="baseline"/>
                <w:lang w:val="en-US" w:eastAsia="zh-CN"/>
              </w:rPr>
              <w:t>采购人</w:t>
            </w:r>
          </w:p>
        </w:tc>
        <w:tc>
          <w:tcPr>
            <w:tcW w:w="2553" w:type="dxa"/>
            <w:gridSpan w:val="2"/>
            <w:noWrap w:val="0"/>
            <w:vAlign w:val="center"/>
          </w:tcPr>
          <w:p>
            <w:pPr>
              <w:keepNext w:val="0"/>
              <w:keepLines w:val="0"/>
              <w:suppressLineNumbers w:val="0"/>
              <w:spacing w:before="0" w:beforeAutospacing="0" w:after="0" w:afterAutospacing="0" w:line="240" w:lineRule="auto"/>
              <w:ind w:left="0" w:right="0" w:firstLine="0" w:firstLineChars="0"/>
              <w:jc w:val="center"/>
              <w:rPr>
                <w:rFonts w:hint="eastAsia" w:ascii="方正仿宋_GBK" w:hAnsi="方正仿宋_GBK" w:eastAsia="方正仿宋_GBK" w:cs="方正仿宋_GBK"/>
                <w:color w:val="auto"/>
                <w:sz w:val="24"/>
                <w:szCs w:val="24"/>
                <w:vertAlign w:val="baseline"/>
                <w:lang w:val="en-US" w:eastAsia="zh-CN"/>
              </w:rPr>
            </w:pPr>
          </w:p>
        </w:tc>
        <w:tc>
          <w:tcPr>
            <w:tcW w:w="1991" w:type="dxa"/>
            <w:gridSpan w:val="2"/>
            <w:noWrap w:val="0"/>
            <w:vAlign w:val="center"/>
          </w:tcPr>
          <w:p>
            <w:pPr>
              <w:keepNext w:val="0"/>
              <w:keepLines w:val="0"/>
              <w:suppressLineNumbers w:val="0"/>
              <w:spacing w:before="0" w:beforeAutospacing="0" w:after="0" w:afterAutospacing="0" w:line="240" w:lineRule="auto"/>
              <w:ind w:left="0" w:right="0" w:firstLine="0" w:firstLineChars="0"/>
              <w:jc w:val="center"/>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color w:val="auto"/>
                <w:sz w:val="24"/>
                <w:szCs w:val="24"/>
                <w:vertAlign w:val="baseline"/>
                <w:lang w:val="en-US" w:eastAsia="zh-CN"/>
              </w:rPr>
              <w:t>项目名称</w:t>
            </w:r>
          </w:p>
        </w:tc>
        <w:tc>
          <w:tcPr>
            <w:tcW w:w="2985" w:type="dxa"/>
            <w:gridSpan w:val="2"/>
            <w:noWrap w:val="0"/>
            <w:vAlign w:val="center"/>
          </w:tcPr>
          <w:p>
            <w:pPr>
              <w:keepNext w:val="0"/>
              <w:keepLines w:val="0"/>
              <w:suppressLineNumbers w:val="0"/>
              <w:spacing w:before="0" w:beforeAutospacing="0" w:after="0" w:afterAutospacing="0" w:line="240" w:lineRule="auto"/>
              <w:ind w:left="0" w:right="0" w:firstLine="0" w:firstLineChars="0"/>
              <w:jc w:val="center"/>
              <w:rPr>
                <w:rFonts w:hint="eastAsia" w:ascii="方正仿宋_GBK" w:hAnsi="方正仿宋_GBK" w:eastAsia="方正仿宋_GBK" w:cs="方正仿宋_GBK"/>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gridSpan w:val="2"/>
            <w:noWrap w:val="0"/>
            <w:vAlign w:val="center"/>
          </w:tcPr>
          <w:p>
            <w:pPr>
              <w:keepNext w:val="0"/>
              <w:keepLines w:val="0"/>
              <w:suppressLineNumbers w:val="0"/>
              <w:snapToGrid w:val="0"/>
              <w:spacing w:before="0" w:beforeAutospacing="0" w:after="0" w:afterAutospacing="0" w:line="240" w:lineRule="auto"/>
              <w:ind w:left="0" w:right="0" w:firstLine="0" w:firstLineChars="0"/>
              <w:jc w:val="center"/>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color w:val="auto"/>
                <w:sz w:val="24"/>
                <w:szCs w:val="24"/>
                <w:vertAlign w:val="baseline"/>
                <w:lang w:val="en-US" w:eastAsia="zh-CN"/>
              </w:rPr>
              <w:t>投标（响应）供应商</w:t>
            </w:r>
          </w:p>
        </w:tc>
        <w:tc>
          <w:tcPr>
            <w:tcW w:w="2553" w:type="dxa"/>
            <w:gridSpan w:val="2"/>
            <w:noWrap w:val="0"/>
            <w:vAlign w:val="center"/>
          </w:tcPr>
          <w:p>
            <w:pPr>
              <w:keepNext w:val="0"/>
              <w:keepLines w:val="0"/>
              <w:suppressLineNumbers w:val="0"/>
              <w:spacing w:before="0" w:beforeAutospacing="0" w:after="0" w:afterAutospacing="0" w:line="240" w:lineRule="auto"/>
              <w:ind w:left="0" w:right="0" w:firstLine="0" w:firstLineChars="0"/>
              <w:jc w:val="center"/>
              <w:rPr>
                <w:rFonts w:hint="eastAsia" w:ascii="方正仿宋_GBK" w:hAnsi="方正仿宋_GBK" w:eastAsia="方正仿宋_GBK" w:cs="方正仿宋_GBK"/>
                <w:color w:val="auto"/>
                <w:sz w:val="24"/>
                <w:szCs w:val="24"/>
                <w:vertAlign w:val="baseline"/>
                <w:lang w:val="en-US" w:eastAsia="zh-CN"/>
              </w:rPr>
            </w:pPr>
          </w:p>
        </w:tc>
        <w:tc>
          <w:tcPr>
            <w:tcW w:w="1991" w:type="dxa"/>
            <w:gridSpan w:val="2"/>
            <w:noWrap w:val="0"/>
            <w:vAlign w:val="center"/>
          </w:tcPr>
          <w:p>
            <w:pPr>
              <w:keepNext w:val="0"/>
              <w:keepLines w:val="0"/>
              <w:suppressLineNumbers w:val="0"/>
              <w:snapToGrid w:val="0"/>
              <w:spacing w:before="0" w:beforeAutospacing="0" w:after="0" w:afterAutospacing="0" w:line="240" w:lineRule="auto"/>
              <w:ind w:left="0" w:right="0" w:firstLine="0" w:firstLineChars="0"/>
              <w:jc w:val="center"/>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color w:val="auto"/>
                <w:sz w:val="24"/>
                <w:szCs w:val="24"/>
                <w:vertAlign w:val="baseline"/>
                <w:lang w:val="en-US" w:eastAsia="zh-CN"/>
              </w:rPr>
              <w:t>供应商统一社会信用代码</w:t>
            </w:r>
          </w:p>
        </w:tc>
        <w:tc>
          <w:tcPr>
            <w:tcW w:w="2985" w:type="dxa"/>
            <w:gridSpan w:val="2"/>
            <w:noWrap w:val="0"/>
            <w:vAlign w:val="center"/>
          </w:tcPr>
          <w:p>
            <w:pPr>
              <w:keepNext w:val="0"/>
              <w:keepLines w:val="0"/>
              <w:suppressLineNumbers w:val="0"/>
              <w:spacing w:before="0" w:beforeAutospacing="0" w:after="0" w:afterAutospacing="0" w:line="240" w:lineRule="auto"/>
              <w:ind w:left="0" w:right="0" w:firstLine="0" w:firstLineChars="0"/>
              <w:jc w:val="center"/>
              <w:rPr>
                <w:rFonts w:hint="eastAsia" w:ascii="方正仿宋_GBK" w:hAnsi="方正仿宋_GBK" w:eastAsia="方正仿宋_GBK" w:cs="方正仿宋_GBK"/>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1" w:type="dxa"/>
            <w:gridSpan w:val="8"/>
            <w:noWrap w:val="0"/>
            <w:vAlign w:val="center"/>
          </w:tcPr>
          <w:p>
            <w:pPr>
              <w:keepNext w:val="0"/>
              <w:keepLines w:val="0"/>
              <w:suppressLineNumbers w:val="0"/>
              <w:spacing w:before="0" w:beforeAutospacing="0" w:after="0" w:afterAutospacing="0" w:line="240" w:lineRule="auto"/>
              <w:ind w:left="0" w:right="0" w:firstLine="0" w:firstLineChars="0"/>
              <w:jc w:val="center"/>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b/>
                <w:bCs/>
                <w:color w:val="auto"/>
                <w:sz w:val="24"/>
                <w:szCs w:val="24"/>
                <w:vertAlign w:val="baseline"/>
                <w:lang w:val="en-US" w:eastAsia="zh-CN"/>
              </w:rPr>
              <w:t>投标（响应）供应商相关人员情况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tcBorders>
              <w:bottom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color w:val="auto"/>
                <w:sz w:val="24"/>
                <w:szCs w:val="24"/>
                <w:vertAlign w:val="baseline"/>
                <w:lang w:val="en-US" w:eastAsia="zh-CN"/>
              </w:rPr>
              <w:t>序号</w:t>
            </w:r>
          </w:p>
        </w:tc>
        <w:tc>
          <w:tcPr>
            <w:tcW w:w="2366" w:type="dxa"/>
            <w:gridSpan w:val="2"/>
            <w:tcBorders>
              <w:bottom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color w:val="auto"/>
                <w:sz w:val="24"/>
                <w:szCs w:val="24"/>
                <w:vertAlign w:val="baseline"/>
                <w:lang w:val="en-US" w:eastAsia="zh-CN"/>
              </w:rPr>
              <w:t>职务</w:t>
            </w:r>
          </w:p>
        </w:tc>
        <w:tc>
          <w:tcPr>
            <w:tcW w:w="863" w:type="dxa"/>
            <w:tcBorders>
              <w:bottom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color w:val="auto"/>
                <w:sz w:val="24"/>
                <w:szCs w:val="24"/>
                <w:vertAlign w:val="baseline"/>
                <w:lang w:val="en-US" w:eastAsia="zh-CN"/>
              </w:rPr>
              <w:t>姓名</w:t>
            </w:r>
          </w:p>
        </w:tc>
        <w:tc>
          <w:tcPr>
            <w:tcW w:w="1991" w:type="dxa"/>
            <w:gridSpan w:val="2"/>
            <w:tcBorders>
              <w:bottom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color w:val="auto"/>
                <w:sz w:val="24"/>
                <w:szCs w:val="24"/>
                <w:vertAlign w:val="baseline"/>
                <w:lang w:val="en-US" w:eastAsia="zh-CN"/>
              </w:rPr>
              <w:t>身份证号码</w:t>
            </w:r>
          </w:p>
        </w:tc>
        <w:tc>
          <w:tcPr>
            <w:tcW w:w="1500" w:type="dxa"/>
            <w:tcBorders>
              <w:bottom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color w:val="auto"/>
                <w:sz w:val="24"/>
                <w:szCs w:val="24"/>
                <w:vertAlign w:val="baseline"/>
                <w:lang w:val="en-US" w:eastAsia="zh-CN"/>
              </w:rPr>
              <w:t>劳动合同</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color w:val="auto"/>
                <w:sz w:val="24"/>
                <w:szCs w:val="24"/>
                <w:vertAlign w:val="baseline"/>
                <w:lang w:val="en-US" w:eastAsia="zh-CN"/>
              </w:rPr>
              <w:t>关系单位</w:t>
            </w:r>
          </w:p>
        </w:tc>
        <w:tc>
          <w:tcPr>
            <w:tcW w:w="1485" w:type="dxa"/>
            <w:tcBorders>
              <w:bottom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color w:val="auto"/>
                <w:sz w:val="24"/>
                <w:szCs w:val="24"/>
                <w:vertAlign w:val="baseline"/>
                <w:lang w:val="en-US" w:eastAsia="zh-CN"/>
              </w:rPr>
              <w:t>缴纳社会</w:t>
            </w:r>
          </w:p>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color w:val="auto"/>
                <w:sz w:val="24"/>
                <w:szCs w:val="24"/>
                <w:vertAlign w:val="baseline"/>
                <w:lang w:val="en-US" w:eastAsia="zh-CN"/>
              </w:rPr>
              <w:t>保险单位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color w:val="auto"/>
                <w:sz w:val="24"/>
                <w:szCs w:val="24"/>
                <w:vertAlign w:val="baseline"/>
                <w:lang w:val="en-US" w:eastAsia="zh-CN"/>
              </w:rPr>
              <w:t>1</w:t>
            </w:r>
          </w:p>
        </w:tc>
        <w:tc>
          <w:tcPr>
            <w:tcW w:w="236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highlight w:val="none"/>
                <w:lang w:eastAsia="zh-CN"/>
              </w:rPr>
            </w:pPr>
            <w:r>
              <w:rPr>
                <w:rFonts w:hint="eastAsia" w:ascii="方正仿宋_GBK" w:hAnsi="方正仿宋_GBK" w:eastAsia="方正仿宋_GBK" w:cs="方正仿宋_GBK"/>
                <w:color w:val="auto"/>
                <w:sz w:val="22"/>
                <w:szCs w:val="22"/>
                <w:highlight w:val="none"/>
              </w:rPr>
              <w:t>法定代表人</w:t>
            </w:r>
            <w:r>
              <w:rPr>
                <w:rFonts w:hint="eastAsia" w:ascii="方正仿宋_GBK" w:hAnsi="方正仿宋_GBK" w:eastAsia="方正仿宋_GBK" w:cs="方正仿宋_GBK"/>
                <w:color w:val="auto"/>
                <w:sz w:val="22"/>
                <w:szCs w:val="22"/>
                <w:highlight w:val="none"/>
                <w:lang w:val="en-US" w:eastAsia="zh-CN"/>
              </w:rPr>
              <w:t>/单位负责人/主要经营负责人</w:t>
            </w:r>
          </w:p>
        </w:tc>
        <w:tc>
          <w:tcPr>
            <w:tcW w:w="8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p>
        </w:tc>
        <w:tc>
          <w:tcPr>
            <w:tcW w:w="199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p>
        </w:tc>
        <w:tc>
          <w:tcPr>
            <w:tcW w:w="14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Lines="0" w:beforeAutospacing="0" w:after="0" w:afterLines="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color w:val="auto"/>
                <w:sz w:val="24"/>
                <w:szCs w:val="24"/>
              </w:rPr>
              <w:t>2</w:t>
            </w:r>
          </w:p>
        </w:tc>
        <w:tc>
          <w:tcPr>
            <w:tcW w:w="236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color w:val="auto"/>
                <w:sz w:val="22"/>
                <w:szCs w:val="22"/>
                <w:highlight w:val="none"/>
              </w:rPr>
              <w:t>项目投标授权代表人</w:t>
            </w:r>
          </w:p>
        </w:tc>
        <w:tc>
          <w:tcPr>
            <w:tcW w:w="8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p>
        </w:tc>
        <w:tc>
          <w:tcPr>
            <w:tcW w:w="199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p>
        </w:tc>
        <w:tc>
          <w:tcPr>
            <w:tcW w:w="14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tcBorders>
              <w:top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Lines="0" w:beforeAutospacing="0" w:after="0" w:afterLines="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color w:val="auto"/>
                <w:sz w:val="24"/>
                <w:szCs w:val="24"/>
                <w:lang w:bidi="ar"/>
              </w:rPr>
              <w:t>3</w:t>
            </w:r>
          </w:p>
        </w:tc>
        <w:tc>
          <w:tcPr>
            <w:tcW w:w="2366" w:type="dxa"/>
            <w:gridSpan w:val="2"/>
            <w:tcBorders>
              <w:top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color w:val="auto"/>
                <w:sz w:val="24"/>
                <w:szCs w:val="24"/>
                <w:highlight w:val="none"/>
              </w:rPr>
              <w:t>项目负责人</w:t>
            </w:r>
          </w:p>
        </w:tc>
        <w:tc>
          <w:tcPr>
            <w:tcW w:w="863" w:type="dxa"/>
            <w:tcBorders>
              <w:top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p>
        </w:tc>
        <w:tc>
          <w:tcPr>
            <w:tcW w:w="1991" w:type="dxa"/>
            <w:gridSpan w:val="2"/>
            <w:tcBorders>
              <w:top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p>
        </w:tc>
        <w:tc>
          <w:tcPr>
            <w:tcW w:w="1500" w:type="dxa"/>
            <w:tcBorders>
              <w:top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p>
        </w:tc>
        <w:tc>
          <w:tcPr>
            <w:tcW w:w="1485" w:type="dxa"/>
            <w:tcBorders>
              <w:top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Lines="0" w:beforeAutospacing="0" w:after="0" w:afterLines="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color w:val="auto"/>
                <w:sz w:val="24"/>
                <w:szCs w:val="24"/>
                <w:lang w:bidi="ar"/>
              </w:rPr>
              <w:t>4</w:t>
            </w:r>
          </w:p>
        </w:tc>
        <w:tc>
          <w:tcPr>
            <w:tcW w:w="2366" w:type="dxa"/>
            <w:gridSpan w:val="2"/>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color w:val="auto"/>
                <w:sz w:val="24"/>
                <w:szCs w:val="24"/>
                <w:highlight w:val="none"/>
              </w:rPr>
              <w:t>主要技术人员</w:t>
            </w:r>
          </w:p>
        </w:tc>
        <w:tc>
          <w:tcPr>
            <w:tcW w:w="863" w:type="dxa"/>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p>
        </w:tc>
        <w:tc>
          <w:tcPr>
            <w:tcW w:w="1991" w:type="dxa"/>
            <w:gridSpan w:val="2"/>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p>
        </w:tc>
        <w:tc>
          <w:tcPr>
            <w:tcW w:w="1500" w:type="dxa"/>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p>
        </w:tc>
        <w:tc>
          <w:tcPr>
            <w:tcW w:w="1485" w:type="dxa"/>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Lines="0" w:beforeAutospacing="0" w:after="0" w:afterLines="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color w:val="auto"/>
                <w:sz w:val="24"/>
                <w:szCs w:val="24"/>
                <w:lang w:bidi="ar"/>
              </w:rPr>
              <w:t>5</w:t>
            </w:r>
          </w:p>
        </w:tc>
        <w:tc>
          <w:tcPr>
            <w:tcW w:w="2366" w:type="dxa"/>
            <w:gridSpan w:val="2"/>
            <w:noWrap w:val="0"/>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00" w:lineRule="exact"/>
              <w:ind w:left="0" w:leftChars="0" w:right="0" w:firstLine="0" w:firstLineChars="0"/>
              <w:jc w:val="center"/>
              <w:textAlignment w:val="auto"/>
              <w:rPr>
                <w:rFonts w:hint="eastAsia" w:ascii="方正仿宋_GBK" w:hAnsi="方正仿宋_GBK" w:eastAsia="方正仿宋_GBK" w:cs="方正仿宋_GBK"/>
                <w:color w:val="auto"/>
                <w:kern w:val="2"/>
                <w:sz w:val="24"/>
                <w:szCs w:val="24"/>
                <w:lang w:val="en-US" w:eastAsia="zh-CN" w:bidi="ar-SA"/>
              </w:rPr>
            </w:pPr>
            <w:r>
              <w:rPr>
                <w:rFonts w:hint="eastAsia" w:ascii="方正仿宋_GBK" w:hAnsi="方正仿宋_GBK" w:eastAsia="方正仿宋_GBK" w:cs="方正仿宋_GBK"/>
                <w:color w:val="auto"/>
                <w:kern w:val="2"/>
                <w:sz w:val="24"/>
                <w:szCs w:val="24"/>
                <w:highlight w:val="none"/>
                <w:lang w:val="en-US" w:eastAsia="zh-CN" w:bidi="ar-SA"/>
              </w:rPr>
              <w:t>投标文件编制人员</w:t>
            </w:r>
          </w:p>
        </w:tc>
        <w:tc>
          <w:tcPr>
            <w:tcW w:w="863" w:type="dxa"/>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p>
        </w:tc>
        <w:tc>
          <w:tcPr>
            <w:tcW w:w="1991" w:type="dxa"/>
            <w:gridSpan w:val="2"/>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p>
        </w:tc>
        <w:tc>
          <w:tcPr>
            <w:tcW w:w="1500" w:type="dxa"/>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p>
        </w:tc>
        <w:tc>
          <w:tcPr>
            <w:tcW w:w="1485" w:type="dxa"/>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0" w:firstLineChars="0"/>
              <w:jc w:val="center"/>
              <w:textAlignment w:val="auto"/>
              <w:rPr>
                <w:rFonts w:hint="eastAsia" w:ascii="方正仿宋_GBK" w:hAnsi="方正仿宋_GBK" w:eastAsia="方正仿宋_GBK" w:cs="方正仿宋_GBK"/>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8941" w:type="dxa"/>
            <w:gridSpan w:val="8"/>
            <w:noWrap w:val="0"/>
            <w:vAlign w:val="center"/>
          </w:tcPr>
          <w:p>
            <w:pPr>
              <w:keepNext w:val="0"/>
              <w:keepLines w:val="0"/>
              <w:suppressLineNumbers w:val="0"/>
              <w:spacing w:before="0" w:beforeAutospacing="0" w:after="0" w:afterAutospacing="0" w:line="240" w:lineRule="auto"/>
              <w:ind w:left="0" w:right="0" w:firstLine="0" w:firstLineChars="0"/>
              <w:jc w:val="left"/>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b/>
                <w:bCs/>
                <w:color w:val="auto"/>
                <w:sz w:val="24"/>
                <w:szCs w:val="24"/>
                <w:highlight w:val="none"/>
                <w:vertAlign w:val="baseline"/>
                <w:lang w:val="en-US" w:eastAsia="zh-CN"/>
              </w:rPr>
              <w:t>说明：同一职务有多人担任（如主要技术人员），应分行填写。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8941" w:type="dxa"/>
            <w:gridSpan w:val="8"/>
            <w:noWrap w:val="0"/>
            <w:vAlign w:val="center"/>
          </w:tcPr>
          <w:p>
            <w:pPr>
              <w:keepNext w:val="0"/>
              <w:keepLines w:val="0"/>
              <w:suppressLineNumbers w:val="0"/>
              <w:spacing w:before="0" w:beforeAutospacing="0" w:after="0" w:afterAutospacing="0" w:line="240" w:lineRule="auto"/>
              <w:ind w:left="0" w:right="0" w:firstLine="0" w:firstLineChars="0"/>
              <w:jc w:val="center"/>
              <w:rPr>
                <w:rFonts w:hint="eastAsia" w:ascii="方正仿宋_GBK" w:hAnsi="方正仿宋_GBK" w:eastAsia="方正仿宋_GBK" w:cs="方正仿宋_GBK"/>
                <w:b/>
                <w:bCs/>
                <w:color w:val="auto"/>
                <w:sz w:val="24"/>
                <w:szCs w:val="24"/>
                <w:vertAlign w:val="baseline"/>
                <w:lang w:val="en-US" w:eastAsia="zh-CN"/>
              </w:rPr>
            </w:pPr>
            <w:r>
              <w:rPr>
                <w:rFonts w:hint="eastAsia" w:ascii="方正仿宋_GBK" w:hAnsi="方正仿宋_GBK" w:eastAsia="方正仿宋_GBK" w:cs="方正仿宋_GBK"/>
                <w:b/>
                <w:bCs/>
                <w:color w:val="auto"/>
                <w:sz w:val="24"/>
                <w:szCs w:val="24"/>
                <w:vertAlign w:val="baseline"/>
                <w:lang w:val="en-US" w:eastAsia="zh-CN"/>
              </w:rPr>
              <w:t>投标（响应）供应商关联关系情况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736" w:type="dxa"/>
            <w:tcBorders>
              <w:bottom w:val="single" w:color="auto" w:sz="4" w:space="0"/>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eastAsia" w:ascii="方正仿宋_GBK" w:hAnsi="方正仿宋_GBK" w:eastAsia="方正仿宋_GBK" w:cs="方正仿宋_GBK"/>
                <w:color w:val="auto"/>
                <w:sz w:val="24"/>
                <w:szCs w:val="24"/>
                <w:vertAlign w:val="baseline"/>
                <w:lang w:val="en-US" w:eastAsia="zh-CN" w:bidi="ar"/>
              </w:rPr>
            </w:pPr>
            <w:r>
              <w:rPr>
                <w:rFonts w:hint="eastAsia" w:ascii="方正仿宋_GBK" w:hAnsi="方正仿宋_GBK" w:eastAsia="方正仿宋_GBK" w:cs="方正仿宋_GBK"/>
                <w:color w:val="auto"/>
                <w:sz w:val="24"/>
                <w:szCs w:val="24"/>
                <w:vertAlign w:val="baseline"/>
                <w:lang w:val="en-US" w:eastAsia="zh-CN" w:bidi="ar"/>
              </w:rPr>
              <w:t>序号</w:t>
            </w:r>
          </w:p>
        </w:tc>
        <w:tc>
          <w:tcPr>
            <w:tcW w:w="2366" w:type="dxa"/>
            <w:gridSpan w:val="2"/>
            <w:tcBorders>
              <w:bottom w:val="single" w:color="auto" w:sz="4" w:space="0"/>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eastAsia" w:ascii="方正仿宋_GBK" w:hAnsi="方正仿宋_GBK" w:eastAsia="方正仿宋_GBK" w:cs="方正仿宋_GBK"/>
                <w:color w:val="auto"/>
                <w:sz w:val="24"/>
                <w:szCs w:val="24"/>
                <w:highlight w:val="none"/>
                <w:lang w:val="en-US" w:eastAsia="zh-CN"/>
              </w:rPr>
            </w:pPr>
            <w:r>
              <w:rPr>
                <w:rFonts w:hint="eastAsia" w:ascii="方正仿宋_GBK" w:hAnsi="方正仿宋_GBK" w:eastAsia="方正仿宋_GBK" w:cs="方正仿宋_GBK"/>
                <w:color w:val="auto"/>
                <w:sz w:val="24"/>
                <w:szCs w:val="24"/>
                <w:highlight w:val="none"/>
                <w:vertAlign w:val="baseline"/>
                <w:lang w:val="en-US" w:eastAsia="zh-CN"/>
              </w:rPr>
              <w:t>关联关系类型</w:t>
            </w:r>
          </w:p>
        </w:tc>
        <w:tc>
          <w:tcPr>
            <w:tcW w:w="1788" w:type="dxa"/>
            <w:gridSpan w:val="2"/>
            <w:tcBorders>
              <w:bottom w:val="single" w:color="auto" w:sz="4" w:space="0"/>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eastAsia" w:ascii="方正仿宋_GBK" w:hAnsi="方正仿宋_GBK" w:eastAsia="方正仿宋_GBK" w:cs="方正仿宋_GBK"/>
                <w:color w:val="auto"/>
                <w:sz w:val="24"/>
                <w:szCs w:val="24"/>
                <w:highlight w:val="none"/>
                <w:vertAlign w:val="baseline"/>
                <w:lang w:val="en-US" w:eastAsia="zh-CN"/>
              </w:rPr>
            </w:pPr>
            <w:r>
              <w:rPr>
                <w:rFonts w:hint="eastAsia" w:ascii="方正仿宋_GBK" w:hAnsi="方正仿宋_GBK" w:eastAsia="方正仿宋_GBK" w:cs="方正仿宋_GBK"/>
                <w:color w:val="auto"/>
                <w:sz w:val="24"/>
                <w:szCs w:val="24"/>
                <w:highlight w:val="none"/>
                <w:vertAlign w:val="baseline"/>
                <w:lang w:val="en-US" w:eastAsia="zh-CN"/>
              </w:rPr>
              <w:t>关联主体名称</w:t>
            </w:r>
          </w:p>
        </w:tc>
        <w:tc>
          <w:tcPr>
            <w:tcW w:w="4051" w:type="dxa"/>
            <w:gridSpan w:val="3"/>
            <w:tcBorders>
              <w:bottom w:val="single" w:color="auto" w:sz="4" w:space="0"/>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eastAsia" w:ascii="方正仿宋_GBK" w:hAnsi="方正仿宋_GBK" w:eastAsia="方正仿宋_GBK" w:cs="方正仿宋_GBK"/>
                <w:color w:val="auto"/>
                <w:sz w:val="24"/>
                <w:szCs w:val="24"/>
                <w:highlight w:val="none"/>
                <w:vertAlign w:val="baseline"/>
                <w:lang w:val="en-US" w:eastAsia="zh-CN"/>
              </w:rPr>
            </w:pPr>
            <w:r>
              <w:rPr>
                <w:rFonts w:hint="eastAsia" w:ascii="方正仿宋_GBK" w:hAnsi="方正仿宋_GBK" w:eastAsia="方正仿宋_GBK" w:cs="方正仿宋_GBK"/>
                <w:color w:val="auto"/>
                <w:sz w:val="24"/>
                <w:szCs w:val="24"/>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eastAsia" w:ascii="方正仿宋_GBK" w:hAnsi="方正仿宋_GBK" w:eastAsia="方正仿宋_GBK" w:cs="方正仿宋_GBK"/>
                <w:color w:val="auto"/>
                <w:sz w:val="24"/>
                <w:szCs w:val="24"/>
                <w:vertAlign w:val="baseline"/>
                <w:lang w:val="en-US" w:eastAsia="zh-CN" w:bidi="ar"/>
              </w:rPr>
            </w:pPr>
            <w:r>
              <w:rPr>
                <w:rFonts w:hint="eastAsia" w:ascii="方正仿宋_GBK" w:hAnsi="方正仿宋_GBK" w:eastAsia="方正仿宋_GBK" w:cs="方正仿宋_GBK"/>
                <w:color w:val="auto"/>
                <w:sz w:val="24"/>
                <w:szCs w:val="24"/>
                <w:vertAlign w:val="baseline"/>
                <w:lang w:val="en-US" w:eastAsia="zh-CN" w:bidi="ar"/>
              </w:rPr>
              <w:t>1</w:t>
            </w:r>
          </w:p>
        </w:tc>
        <w:tc>
          <w:tcPr>
            <w:tcW w:w="236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eastAsia" w:ascii="方正仿宋_GBK" w:hAnsi="方正仿宋_GBK" w:eastAsia="方正仿宋_GBK" w:cs="方正仿宋_GBK"/>
                <w:color w:val="auto"/>
                <w:sz w:val="24"/>
                <w:szCs w:val="24"/>
                <w:highlight w:val="none"/>
                <w:lang w:val="en-US" w:eastAsia="zh-CN"/>
              </w:rPr>
            </w:pPr>
            <w:r>
              <w:rPr>
                <w:rFonts w:hint="eastAsia" w:ascii="方正仿宋_GBK" w:hAnsi="方正仿宋_GBK" w:eastAsia="方正仿宋_GBK" w:cs="方正仿宋_GBK"/>
                <w:color w:val="auto"/>
                <w:sz w:val="24"/>
                <w:szCs w:val="24"/>
                <w:highlight w:val="none"/>
                <w:lang w:val="en-US" w:eastAsia="zh-CN"/>
              </w:rPr>
              <w:t>控股股东</w:t>
            </w:r>
          </w:p>
        </w:tc>
        <w:tc>
          <w:tcPr>
            <w:tcW w:w="178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eastAsia" w:ascii="方正仿宋_GBK" w:hAnsi="方正仿宋_GBK" w:eastAsia="方正仿宋_GBK" w:cs="方正仿宋_GBK"/>
                <w:color w:val="auto"/>
                <w:sz w:val="24"/>
                <w:szCs w:val="24"/>
                <w:highlight w:val="none"/>
                <w:vertAlign w:val="baseline"/>
                <w:lang w:val="en-US" w:eastAsia="zh-CN"/>
              </w:rPr>
            </w:pPr>
          </w:p>
        </w:tc>
        <w:tc>
          <w:tcPr>
            <w:tcW w:w="405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240" w:lineRule="auto"/>
              <w:ind w:left="0" w:right="0" w:firstLine="0" w:firstLineChars="0"/>
              <w:jc w:val="left"/>
              <w:rPr>
                <w:rFonts w:hint="eastAsia" w:ascii="方正仿宋_GBK" w:hAnsi="方正仿宋_GBK" w:eastAsia="方正仿宋_GBK" w:cs="方正仿宋_GBK"/>
                <w:color w:val="auto"/>
                <w:sz w:val="24"/>
                <w:szCs w:val="24"/>
                <w:highlight w:val="none"/>
                <w:vertAlign w:val="baseline"/>
                <w:lang w:val="en-US" w:eastAsia="zh-CN"/>
              </w:rPr>
            </w:pPr>
            <w:r>
              <w:rPr>
                <w:rFonts w:hint="eastAsia" w:ascii="方正仿宋_GBK" w:hAnsi="方正仿宋_GBK" w:eastAsia="方正仿宋_GBK" w:cs="方正仿宋_GBK"/>
                <w:color w:val="auto"/>
                <w:sz w:val="18"/>
                <w:szCs w:val="18"/>
                <w:highlight w:val="none"/>
                <w:vertAlign w:val="baseline"/>
                <w:lang w:val="en-US" w:eastAsia="zh-CN"/>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eastAsia" w:ascii="方正仿宋_GBK" w:hAnsi="方正仿宋_GBK" w:eastAsia="方正仿宋_GBK" w:cs="方正仿宋_GBK"/>
                <w:color w:val="auto"/>
                <w:sz w:val="24"/>
                <w:szCs w:val="24"/>
                <w:vertAlign w:val="baseline"/>
                <w:lang w:val="en-US" w:eastAsia="zh-CN" w:bidi="ar"/>
              </w:rPr>
            </w:pPr>
            <w:r>
              <w:rPr>
                <w:rFonts w:hint="eastAsia" w:ascii="方正仿宋_GBK" w:hAnsi="方正仿宋_GBK" w:eastAsia="方正仿宋_GBK" w:cs="方正仿宋_GBK"/>
                <w:color w:val="auto"/>
                <w:sz w:val="24"/>
                <w:szCs w:val="24"/>
                <w:vertAlign w:val="baseline"/>
                <w:lang w:val="en-US" w:eastAsia="zh-CN" w:bidi="ar"/>
              </w:rPr>
              <w:t>2</w:t>
            </w:r>
          </w:p>
        </w:tc>
        <w:tc>
          <w:tcPr>
            <w:tcW w:w="236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eastAsia" w:ascii="方正仿宋_GBK" w:hAnsi="方正仿宋_GBK" w:eastAsia="方正仿宋_GBK" w:cs="方正仿宋_GBK"/>
                <w:color w:val="auto"/>
                <w:sz w:val="24"/>
                <w:szCs w:val="24"/>
                <w:highlight w:val="none"/>
                <w:lang w:val="en-US" w:eastAsia="zh-CN"/>
              </w:rPr>
            </w:pPr>
            <w:r>
              <w:rPr>
                <w:rFonts w:hint="eastAsia" w:ascii="方正仿宋_GBK" w:hAnsi="方正仿宋_GBK" w:eastAsia="方正仿宋_GBK" w:cs="方正仿宋_GBK"/>
                <w:color w:val="auto"/>
                <w:sz w:val="24"/>
                <w:szCs w:val="24"/>
                <w:highlight w:val="none"/>
                <w:lang w:val="en-US" w:eastAsia="zh-CN"/>
              </w:rPr>
              <w:t>管理关系</w:t>
            </w:r>
          </w:p>
        </w:tc>
        <w:tc>
          <w:tcPr>
            <w:tcW w:w="178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240" w:lineRule="auto"/>
              <w:ind w:left="0" w:right="0" w:firstLine="0" w:firstLineChars="0"/>
              <w:jc w:val="center"/>
              <w:rPr>
                <w:rFonts w:hint="eastAsia" w:ascii="方正仿宋_GBK" w:hAnsi="方正仿宋_GBK" w:eastAsia="方正仿宋_GBK" w:cs="方正仿宋_GBK"/>
                <w:color w:val="auto"/>
                <w:sz w:val="24"/>
                <w:szCs w:val="24"/>
                <w:highlight w:val="none"/>
                <w:vertAlign w:val="baseline"/>
                <w:lang w:val="en-US" w:eastAsia="zh-CN"/>
              </w:rPr>
            </w:pPr>
          </w:p>
        </w:tc>
        <w:tc>
          <w:tcPr>
            <w:tcW w:w="4051"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240" w:lineRule="auto"/>
              <w:ind w:left="0" w:right="0" w:firstLine="0" w:firstLineChars="0"/>
              <w:jc w:val="left"/>
              <w:rPr>
                <w:rFonts w:hint="eastAsia" w:ascii="方正仿宋_GBK" w:hAnsi="方正仿宋_GBK" w:eastAsia="方正仿宋_GBK" w:cs="方正仿宋_GBK"/>
                <w:color w:val="auto"/>
                <w:sz w:val="24"/>
                <w:szCs w:val="24"/>
                <w:highlight w:val="none"/>
                <w:vertAlign w:val="baseline"/>
                <w:lang w:val="en-US" w:eastAsia="zh-CN"/>
              </w:rPr>
            </w:pPr>
            <w:r>
              <w:rPr>
                <w:rFonts w:hint="eastAsia" w:ascii="方正仿宋_GBK" w:hAnsi="方正仿宋_GBK" w:eastAsia="方正仿宋_GBK" w:cs="方正仿宋_GBK"/>
                <w:color w:val="auto"/>
                <w:sz w:val="24"/>
                <w:szCs w:val="24"/>
                <w:highlight w:val="none"/>
                <w:vertAlign w:val="baseline"/>
                <w:lang w:val="en-US" w:eastAsia="zh-CN"/>
              </w:rPr>
              <w:t>指对投标（响应）供应商不具有出资持股关系，但对其存在管理关系的主体。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1"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240" w:lineRule="auto"/>
              <w:ind w:left="0" w:right="0" w:firstLine="0" w:firstLineChars="0"/>
              <w:jc w:val="left"/>
              <w:rPr>
                <w:rFonts w:hint="eastAsia" w:ascii="方正仿宋_GBK" w:hAnsi="方正仿宋_GBK" w:eastAsia="方正仿宋_GBK" w:cs="方正仿宋_GBK"/>
                <w:color w:val="auto"/>
                <w:sz w:val="24"/>
                <w:szCs w:val="24"/>
                <w:highlight w:val="none"/>
                <w:vertAlign w:val="baseline"/>
                <w:lang w:val="en-US" w:eastAsia="zh-CN"/>
              </w:rPr>
            </w:pPr>
            <w:r>
              <w:rPr>
                <w:rFonts w:hint="eastAsia" w:ascii="方正仿宋_GBK" w:hAnsi="方正仿宋_GBK" w:eastAsia="方正仿宋_GBK" w:cs="方正仿宋_GBK"/>
                <w:b/>
                <w:bCs/>
                <w:color w:val="auto"/>
                <w:sz w:val="24"/>
                <w:szCs w:val="24"/>
                <w:highlight w:val="none"/>
                <w:vertAlign w:val="baseline"/>
                <w:lang w:val="en-US" w:eastAsia="zh-CN"/>
              </w:rPr>
              <w:t>说明：同一关联关系类型有多个主体的，应分行填写。</w:t>
            </w:r>
          </w:p>
        </w:tc>
      </w:tr>
    </w:tbl>
    <w:p>
      <w:pPr>
        <w:pStyle w:val="14"/>
        <w:keepNext w:val="0"/>
        <w:keepLines w:val="0"/>
        <w:pageBreakBefore w:val="0"/>
        <w:widowControl w:val="0"/>
        <w:kinsoku/>
        <w:wordWrap/>
        <w:overflowPunct/>
        <w:topLinePunct w:val="0"/>
        <w:autoSpaceDE/>
        <w:autoSpaceDN/>
        <w:bidi w:val="0"/>
        <w:adjustRightInd/>
        <w:snapToGrid/>
        <w:spacing w:line="400" w:lineRule="exact"/>
        <w:ind w:firstLine="481" w:firstLineChars="200"/>
        <w:textAlignment w:val="auto"/>
        <w:rPr>
          <w:rFonts w:hint="eastAsia" w:ascii="方正仿宋_GBK" w:hAnsi="方正仿宋_GBK" w:eastAsia="方正仿宋_GBK" w:cs="方正仿宋_GBK"/>
          <w:b/>
          <w:bCs/>
          <w:color w:val="auto"/>
          <w:kern w:val="2"/>
          <w:sz w:val="24"/>
          <w:szCs w:val="24"/>
          <w:highlight w:val="none"/>
          <w:vertAlign w:val="baseline"/>
          <w:lang w:val="en-US" w:eastAsia="zh-CN" w:bidi="ar-SA"/>
        </w:rPr>
      </w:pPr>
      <w:r>
        <w:rPr>
          <w:rFonts w:hint="eastAsia" w:ascii="方正仿宋_GBK" w:hAnsi="方正仿宋_GBK" w:eastAsia="方正仿宋_GBK" w:cs="方正仿宋_GBK"/>
          <w:b/>
          <w:bCs/>
          <w:color w:val="auto"/>
          <w:kern w:val="2"/>
          <w:sz w:val="24"/>
          <w:szCs w:val="24"/>
          <w:highlight w:val="none"/>
          <w:vertAlign w:val="baseline"/>
          <w:lang w:val="en-US" w:eastAsia="zh-CN" w:bidi="ar-SA"/>
        </w:rPr>
        <w:t>注：1.表格内容不得留空，无相关情况请填“无”或“/”；2.项目负责人、主要技术人员需提供以下证明材料：通过投标人缴纳的近一个月的社保证明作为本单位员工的证明依据，如供应商成立不足一个月或员工入职不足一个月无法提供社保的，提供情况说明函（格式自拟）。</w:t>
      </w:r>
    </w:p>
    <w:p>
      <w:pPr>
        <w:jc w:val="center"/>
        <w:rPr>
          <w:rFonts w:hint="eastAsia" w:ascii="宋体" w:hAnsi="宋体"/>
          <w:b/>
          <w:bCs/>
          <w:color w:val="FF0000"/>
          <w:kern w:val="44"/>
          <w:sz w:val="28"/>
          <w:szCs w:val="44"/>
        </w:rPr>
      </w:pPr>
    </w:p>
    <w:p>
      <w:pPr>
        <w:jc w:val="center"/>
        <w:rPr>
          <w:rFonts w:hint="eastAsia" w:ascii="宋体" w:hAnsi="宋体"/>
          <w:color w:val="FF0000"/>
          <w:szCs w:val="21"/>
        </w:rPr>
      </w:pPr>
      <w:r>
        <w:rPr>
          <w:rFonts w:hint="eastAsia" w:ascii="宋体" w:hAnsi="宋体"/>
          <w:b/>
          <w:bCs/>
          <w:color w:val="FF0000"/>
          <w:kern w:val="44"/>
          <w:sz w:val="28"/>
          <w:szCs w:val="44"/>
        </w:rPr>
        <w:t>警示条款</w:t>
      </w:r>
    </w:p>
    <w:p>
      <w:pPr>
        <w:keepNext w:val="0"/>
        <w:keepLines w:val="0"/>
        <w:pageBreakBefore w:val="0"/>
        <w:widowControl w:val="0"/>
        <w:kinsoku/>
        <w:wordWrap/>
        <w:overflowPunct/>
        <w:topLinePunct w:val="0"/>
        <w:autoSpaceDE/>
        <w:autoSpaceDN/>
        <w:bidi w:val="0"/>
        <w:adjustRightInd/>
        <w:snapToGrid/>
        <w:spacing w:line="500" w:lineRule="exact"/>
        <w:ind w:firstLine="441" w:firstLineChars="200"/>
        <w:textAlignment w:val="auto"/>
        <w:rPr>
          <w:sz w:val="22"/>
          <w:szCs w:val="22"/>
        </w:rPr>
      </w:pPr>
      <w:r>
        <w:rPr>
          <w:rFonts w:hint="eastAsia" w:ascii="宋体" w:hAnsi="宋体"/>
          <w:b/>
          <w:bCs/>
          <w:color w:val="FF0000"/>
          <w:sz w:val="22"/>
          <w:szCs w:val="22"/>
        </w:rPr>
        <w:t>《深圳经济特区政府采购条例实施细则》第七十七条</w:t>
      </w:r>
      <w:r>
        <w:rPr>
          <w:rFonts w:hint="eastAsia" w:ascii="宋体" w:hAnsi="宋体"/>
          <w:b/>
          <w:bCs/>
          <w:color w:val="FF0000"/>
          <w:sz w:val="22"/>
          <w:szCs w:val="22"/>
          <w:lang w:val="en-US" w:eastAsia="zh-CN"/>
        </w:rPr>
        <w:t xml:space="preserve"> </w:t>
      </w:r>
      <w:r>
        <w:rPr>
          <w:rFonts w:hint="eastAsia" w:ascii="宋体" w:hAnsi="宋体"/>
          <w:color w:val="FF0000"/>
          <w:sz w:val="22"/>
          <w:szCs w:val="22"/>
        </w:rPr>
        <w:t>供应商有下列情形之一的，属于隐瞒真实情况，提供虚假资料，按照采购条例第五十七</w:t>
      </w:r>
      <w:r>
        <w:rPr>
          <w:rFonts w:hint="eastAsia" w:ascii="宋体" w:hAnsi="宋体"/>
          <w:color w:val="FF0000"/>
          <w:sz w:val="22"/>
          <w:szCs w:val="22"/>
          <w:lang w:eastAsia="zh-CN"/>
        </w:rPr>
        <w:t>条</w:t>
      </w:r>
      <w:r>
        <w:rPr>
          <w:rFonts w:hint="eastAsia" w:ascii="宋体" w:hAnsi="宋体"/>
          <w:color w:val="FF0000"/>
          <w:sz w:val="22"/>
          <w:szCs w:val="22"/>
        </w:rPr>
        <w:t>的有关规定处理：（一）通过转让或者租借等方式从其他单位获取资格或者资质证书投标的；（二）由其他单位或者其他单位负责人在投标供应商编制的投标文件上加盖印章或者签字的；（三）项目负责人或者主要技术人员不是本单位人员的；（四）投标保证金不是从投标供应商基本账户转出的；（五）其他隐瞒真实情况、提供虚假资料的行为。</w:t>
      </w:r>
    </w:p>
    <w:p>
      <w:pPr>
        <w:keepNext w:val="0"/>
        <w:keepLines w:val="0"/>
        <w:pageBreakBefore w:val="0"/>
        <w:kinsoku/>
        <w:wordWrap/>
        <w:overflowPunct/>
        <w:topLinePunct w:val="0"/>
        <w:autoSpaceDE w:val="0"/>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pPr>
        <w:rPr>
          <w:rFonts w:hint="eastAsia" w:ascii="黑体" w:eastAsia="黑体"/>
          <w:b w:val="0"/>
          <w:kern w:val="0"/>
          <w:sz w:val="24"/>
        </w:rPr>
      </w:pPr>
      <w:r>
        <w:rPr>
          <w:rFonts w:hint="eastAsia" w:ascii="黑体" w:eastAsia="黑体"/>
          <w:b w:val="0"/>
          <w:kern w:val="0"/>
          <w:sz w:val="24"/>
        </w:rPr>
        <w:br w:type="page"/>
      </w:r>
    </w:p>
    <w:p>
      <w:pPr>
        <w:pStyle w:val="3"/>
        <w:jc w:val="center"/>
        <w:rPr>
          <w:rFonts w:ascii="黑体" w:eastAsia="黑体"/>
          <w:b w:val="0"/>
          <w:kern w:val="0"/>
          <w:sz w:val="24"/>
        </w:rPr>
      </w:pPr>
      <w:r>
        <w:rPr>
          <w:rFonts w:hint="eastAsia" w:ascii="黑体" w:eastAsia="黑体"/>
          <w:b w:val="0"/>
          <w:kern w:val="0"/>
          <w:sz w:val="24"/>
        </w:rPr>
        <w:t>六、投标人情况介绍</w:t>
      </w:r>
      <w:bookmarkEnd w:id="64"/>
      <w:bookmarkEnd w:id="65"/>
      <w:bookmarkEnd w:id="66"/>
      <w:bookmarkEnd w:id="67"/>
      <w:bookmarkEnd w:id="68"/>
      <w:bookmarkEnd w:id="69"/>
      <w:bookmarkEnd w:id="70"/>
      <w:bookmarkEnd w:id="71"/>
      <w:r>
        <w:rPr>
          <w:rFonts w:hint="eastAsia" w:ascii="黑体" w:eastAsia="黑体"/>
          <w:b w:val="0"/>
          <w:kern w:val="0"/>
          <w:sz w:val="24"/>
        </w:rPr>
        <w:t>及相关资质材料</w:t>
      </w:r>
      <w:bookmarkEnd w:id="72"/>
    </w:p>
    <w:tbl>
      <w:tblPr>
        <w:tblStyle w:val="16"/>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401"/>
        <w:gridCol w:w="2076"/>
        <w:gridCol w:w="4514"/>
        <w:gridCol w:w="141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noWrap w:val="0"/>
            <w:vAlign w:val="center"/>
          </w:tcPr>
          <w:p>
            <w:pPr>
              <w:jc w:val="center"/>
              <w:rPr>
                <w:b/>
                <w:szCs w:val="21"/>
              </w:rPr>
            </w:pPr>
            <w:r>
              <w:rPr>
                <w:rFonts w:hint="eastAsia"/>
                <w:b/>
                <w:szCs w:val="21"/>
              </w:rPr>
              <w:t>序号</w:t>
            </w:r>
          </w:p>
        </w:tc>
        <w:tc>
          <w:tcPr>
            <w:tcW w:w="2477" w:type="dxa"/>
            <w:gridSpan w:val="2"/>
            <w:noWrap w:val="0"/>
            <w:vAlign w:val="top"/>
          </w:tcPr>
          <w:p>
            <w:pPr>
              <w:jc w:val="center"/>
              <w:rPr>
                <w:b/>
                <w:szCs w:val="21"/>
              </w:rPr>
            </w:pPr>
            <w:r>
              <w:rPr>
                <w:rFonts w:hint="eastAsia"/>
                <w:b/>
                <w:szCs w:val="21"/>
              </w:rPr>
              <w:t>项  目</w:t>
            </w:r>
          </w:p>
        </w:tc>
        <w:tc>
          <w:tcPr>
            <w:tcW w:w="4514" w:type="dxa"/>
            <w:noWrap w:val="0"/>
            <w:vAlign w:val="center"/>
          </w:tcPr>
          <w:p>
            <w:pPr>
              <w:jc w:val="center"/>
              <w:rPr>
                <w:b/>
                <w:szCs w:val="21"/>
              </w:rPr>
            </w:pPr>
            <w:r>
              <w:rPr>
                <w:rFonts w:hint="eastAsia"/>
                <w:b/>
                <w:szCs w:val="21"/>
              </w:rPr>
              <w:t>内容及说明</w:t>
            </w:r>
          </w:p>
        </w:tc>
        <w:tc>
          <w:tcPr>
            <w:tcW w:w="1411" w:type="dxa"/>
            <w:noWrap w:val="0"/>
            <w:vAlign w:val="center"/>
          </w:tcPr>
          <w:p>
            <w:pPr>
              <w:jc w:val="center"/>
              <w:rPr>
                <w:b/>
                <w:szCs w:val="21"/>
              </w:rPr>
            </w:pPr>
            <w:r>
              <w:rPr>
                <w:rFonts w:hint="eastAsia"/>
                <w:b/>
                <w:szCs w:val="21"/>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noWrap w:val="0"/>
            <w:vAlign w:val="center"/>
          </w:tcPr>
          <w:p>
            <w:pPr>
              <w:jc w:val="center"/>
              <w:rPr>
                <w:b/>
                <w:szCs w:val="21"/>
              </w:rPr>
            </w:pPr>
            <w:r>
              <w:rPr>
                <w:rFonts w:hint="eastAsia"/>
                <w:b/>
                <w:szCs w:val="21"/>
              </w:rPr>
              <w:t>一</w:t>
            </w:r>
          </w:p>
        </w:tc>
        <w:tc>
          <w:tcPr>
            <w:tcW w:w="6991" w:type="dxa"/>
            <w:gridSpan w:val="3"/>
            <w:noWrap w:val="0"/>
            <w:vAlign w:val="top"/>
          </w:tcPr>
          <w:p>
            <w:pPr>
              <w:rPr>
                <w:b/>
                <w:szCs w:val="21"/>
              </w:rPr>
            </w:pPr>
            <w:r>
              <w:rPr>
                <w:rFonts w:hint="eastAsia"/>
                <w:b/>
                <w:szCs w:val="21"/>
              </w:rPr>
              <w:t>营业执照</w:t>
            </w:r>
          </w:p>
        </w:tc>
        <w:tc>
          <w:tcPr>
            <w:tcW w:w="1411" w:type="dxa"/>
            <w:noWrap w:val="0"/>
            <w:vAlign w:val="center"/>
          </w:tcPr>
          <w:p>
            <w:pPr>
              <w:jc w:val="center"/>
              <w:rPr>
                <w:szCs w:val="21"/>
              </w:rPr>
            </w:pPr>
            <w:r>
              <w:rPr>
                <w:rFonts w:hint="eastAsia"/>
                <w:szCs w:val="21"/>
              </w:rPr>
              <w:t>提供扫描件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noWrap w:val="0"/>
            <w:vAlign w:val="center"/>
          </w:tcPr>
          <w:p>
            <w:pPr>
              <w:jc w:val="center"/>
              <w:rPr>
                <w:szCs w:val="21"/>
              </w:rPr>
            </w:pPr>
            <w:r>
              <w:rPr>
                <w:rFonts w:hint="eastAsia"/>
                <w:szCs w:val="21"/>
              </w:rPr>
              <w:t>1</w:t>
            </w:r>
          </w:p>
        </w:tc>
        <w:tc>
          <w:tcPr>
            <w:tcW w:w="2477" w:type="dxa"/>
            <w:gridSpan w:val="2"/>
            <w:noWrap w:val="0"/>
            <w:vAlign w:val="center"/>
          </w:tcPr>
          <w:p>
            <w:pPr>
              <w:jc w:val="center"/>
              <w:rPr>
                <w:szCs w:val="21"/>
              </w:rPr>
            </w:pPr>
            <w:r>
              <w:rPr>
                <w:rFonts w:hint="eastAsia"/>
                <w:szCs w:val="21"/>
              </w:rPr>
              <w:t>注册年度及注册编号</w:t>
            </w:r>
          </w:p>
        </w:tc>
        <w:tc>
          <w:tcPr>
            <w:tcW w:w="4514" w:type="dxa"/>
            <w:noWrap w:val="0"/>
            <w:vAlign w:val="center"/>
          </w:tcPr>
          <w:p>
            <w:pPr>
              <w:rPr>
                <w:szCs w:val="21"/>
              </w:rPr>
            </w:pPr>
          </w:p>
        </w:tc>
        <w:tc>
          <w:tcPr>
            <w:tcW w:w="1411" w:type="dxa"/>
            <w:noWrap w:val="0"/>
            <w:vAlign w:val="center"/>
          </w:tcPr>
          <w:p>
            <w:pPr>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noWrap w:val="0"/>
            <w:vAlign w:val="center"/>
          </w:tcPr>
          <w:p>
            <w:pPr>
              <w:jc w:val="center"/>
              <w:rPr>
                <w:szCs w:val="21"/>
              </w:rPr>
            </w:pPr>
            <w:r>
              <w:rPr>
                <w:rFonts w:hint="eastAsia"/>
                <w:szCs w:val="21"/>
              </w:rPr>
              <w:t>2</w:t>
            </w:r>
          </w:p>
        </w:tc>
        <w:tc>
          <w:tcPr>
            <w:tcW w:w="2477" w:type="dxa"/>
            <w:gridSpan w:val="2"/>
            <w:noWrap w:val="0"/>
            <w:vAlign w:val="center"/>
          </w:tcPr>
          <w:p>
            <w:pPr>
              <w:jc w:val="center"/>
              <w:rPr>
                <w:szCs w:val="21"/>
              </w:rPr>
            </w:pPr>
            <w:r>
              <w:rPr>
                <w:rFonts w:hint="eastAsia"/>
                <w:szCs w:val="21"/>
              </w:rPr>
              <w:t>注册资金（万元）</w:t>
            </w:r>
          </w:p>
        </w:tc>
        <w:tc>
          <w:tcPr>
            <w:tcW w:w="4514" w:type="dxa"/>
            <w:noWrap w:val="0"/>
            <w:vAlign w:val="center"/>
          </w:tcPr>
          <w:p>
            <w:pPr>
              <w:rPr>
                <w:szCs w:val="21"/>
              </w:rPr>
            </w:pPr>
          </w:p>
        </w:tc>
        <w:tc>
          <w:tcPr>
            <w:tcW w:w="1411" w:type="dxa"/>
            <w:noWrap w:val="0"/>
            <w:vAlign w:val="center"/>
          </w:tcPr>
          <w:p>
            <w:pPr>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noWrap w:val="0"/>
            <w:vAlign w:val="center"/>
          </w:tcPr>
          <w:p>
            <w:pPr>
              <w:jc w:val="center"/>
              <w:rPr>
                <w:szCs w:val="21"/>
              </w:rPr>
            </w:pPr>
            <w:r>
              <w:rPr>
                <w:rFonts w:hint="eastAsia"/>
                <w:szCs w:val="21"/>
              </w:rPr>
              <w:t>3</w:t>
            </w:r>
          </w:p>
        </w:tc>
        <w:tc>
          <w:tcPr>
            <w:tcW w:w="2477" w:type="dxa"/>
            <w:gridSpan w:val="2"/>
            <w:noWrap w:val="0"/>
            <w:vAlign w:val="center"/>
          </w:tcPr>
          <w:p>
            <w:pPr>
              <w:jc w:val="center"/>
              <w:rPr>
                <w:szCs w:val="21"/>
              </w:rPr>
            </w:pPr>
            <w:r>
              <w:rPr>
                <w:rFonts w:hint="eastAsia"/>
                <w:szCs w:val="21"/>
              </w:rPr>
              <w:t>经营场所</w:t>
            </w:r>
          </w:p>
        </w:tc>
        <w:tc>
          <w:tcPr>
            <w:tcW w:w="4514" w:type="dxa"/>
            <w:noWrap w:val="0"/>
            <w:vAlign w:val="center"/>
          </w:tcPr>
          <w:p>
            <w:pPr>
              <w:rPr>
                <w:szCs w:val="21"/>
              </w:rPr>
            </w:pPr>
          </w:p>
        </w:tc>
        <w:tc>
          <w:tcPr>
            <w:tcW w:w="1411" w:type="dxa"/>
            <w:noWrap w:val="0"/>
            <w:vAlign w:val="center"/>
          </w:tcPr>
          <w:p>
            <w:pPr>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noWrap w:val="0"/>
            <w:vAlign w:val="center"/>
          </w:tcPr>
          <w:p>
            <w:pPr>
              <w:jc w:val="center"/>
              <w:rPr>
                <w:szCs w:val="21"/>
              </w:rPr>
            </w:pPr>
            <w:r>
              <w:rPr>
                <w:rFonts w:hint="eastAsia"/>
                <w:szCs w:val="21"/>
              </w:rPr>
              <w:t>4</w:t>
            </w:r>
          </w:p>
        </w:tc>
        <w:tc>
          <w:tcPr>
            <w:tcW w:w="2477" w:type="dxa"/>
            <w:gridSpan w:val="2"/>
            <w:noWrap w:val="0"/>
            <w:vAlign w:val="center"/>
          </w:tcPr>
          <w:p>
            <w:pPr>
              <w:jc w:val="center"/>
              <w:rPr>
                <w:szCs w:val="21"/>
              </w:rPr>
            </w:pPr>
            <w:r>
              <w:rPr>
                <w:rFonts w:hint="eastAsia"/>
                <w:szCs w:val="21"/>
              </w:rPr>
              <w:t>有效期</w:t>
            </w:r>
          </w:p>
        </w:tc>
        <w:tc>
          <w:tcPr>
            <w:tcW w:w="4514" w:type="dxa"/>
            <w:noWrap w:val="0"/>
            <w:vAlign w:val="center"/>
          </w:tcPr>
          <w:p>
            <w:pPr>
              <w:rPr>
                <w:szCs w:val="21"/>
              </w:rPr>
            </w:pPr>
          </w:p>
        </w:tc>
        <w:tc>
          <w:tcPr>
            <w:tcW w:w="1411" w:type="dxa"/>
            <w:noWrap w:val="0"/>
            <w:vAlign w:val="center"/>
          </w:tcPr>
          <w:p>
            <w:pPr>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noWrap w:val="0"/>
            <w:vAlign w:val="center"/>
          </w:tcPr>
          <w:p>
            <w:pPr>
              <w:jc w:val="center"/>
              <w:rPr>
                <w:szCs w:val="21"/>
              </w:rPr>
            </w:pPr>
            <w:r>
              <w:rPr>
                <w:rFonts w:hint="eastAsia"/>
                <w:szCs w:val="21"/>
              </w:rPr>
              <w:t>二</w:t>
            </w:r>
          </w:p>
        </w:tc>
        <w:tc>
          <w:tcPr>
            <w:tcW w:w="6991" w:type="dxa"/>
            <w:gridSpan w:val="3"/>
            <w:noWrap w:val="0"/>
            <w:vAlign w:val="center"/>
          </w:tcPr>
          <w:p>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noWrap w:val="0"/>
            <w:vAlign w:val="center"/>
          </w:tcPr>
          <w:p>
            <w:pPr>
              <w:jc w:val="center"/>
              <w:rPr>
                <w:szCs w:val="21"/>
              </w:rPr>
            </w:pPr>
            <w:r>
              <w:rPr>
                <w:rFonts w:hint="eastAsia"/>
                <w:szCs w:val="21"/>
              </w:rPr>
              <w:t>提供扫描件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noWrap w:val="0"/>
            <w:vAlign w:val="center"/>
          </w:tcPr>
          <w:p>
            <w:pPr>
              <w:jc w:val="center"/>
              <w:rPr>
                <w:szCs w:val="21"/>
              </w:rPr>
            </w:pPr>
            <w:r>
              <w:rPr>
                <w:rFonts w:hint="eastAsia"/>
                <w:szCs w:val="21"/>
              </w:rPr>
              <w:t>1</w:t>
            </w:r>
          </w:p>
        </w:tc>
        <w:tc>
          <w:tcPr>
            <w:tcW w:w="2477" w:type="dxa"/>
            <w:gridSpan w:val="2"/>
            <w:noWrap w:val="0"/>
            <w:vAlign w:val="center"/>
          </w:tcPr>
          <w:p>
            <w:pPr>
              <w:jc w:val="center"/>
              <w:rPr>
                <w:szCs w:val="21"/>
              </w:rPr>
            </w:pPr>
            <w:r>
              <w:rPr>
                <w:rFonts w:hint="eastAsia"/>
                <w:szCs w:val="21"/>
              </w:rPr>
              <w:t>证书名称</w:t>
            </w:r>
          </w:p>
        </w:tc>
        <w:tc>
          <w:tcPr>
            <w:tcW w:w="4514" w:type="dxa"/>
            <w:noWrap w:val="0"/>
            <w:vAlign w:val="center"/>
          </w:tcPr>
          <w:p>
            <w:pPr>
              <w:jc w:val="center"/>
              <w:rPr>
                <w:szCs w:val="21"/>
              </w:rPr>
            </w:pPr>
          </w:p>
        </w:tc>
        <w:tc>
          <w:tcPr>
            <w:tcW w:w="1411" w:type="dxa"/>
            <w:noWrap w:val="0"/>
            <w:vAlign w:val="center"/>
          </w:tcPr>
          <w:p>
            <w:pPr>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noWrap w:val="0"/>
            <w:vAlign w:val="center"/>
          </w:tcPr>
          <w:p>
            <w:pPr>
              <w:jc w:val="center"/>
              <w:rPr>
                <w:szCs w:val="21"/>
              </w:rPr>
            </w:pPr>
            <w:r>
              <w:rPr>
                <w:rFonts w:hint="eastAsia"/>
                <w:szCs w:val="21"/>
              </w:rPr>
              <w:t>2</w:t>
            </w:r>
          </w:p>
        </w:tc>
        <w:tc>
          <w:tcPr>
            <w:tcW w:w="2477" w:type="dxa"/>
            <w:gridSpan w:val="2"/>
            <w:noWrap w:val="0"/>
            <w:vAlign w:val="center"/>
          </w:tcPr>
          <w:p>
            <w:pPr>
              <w:jc w:val="center"/>
              <w:rPr>
                <w:szCs w:val="21"/>
              </w:rPr>
            </w:pPr>
            <w:r>
              <w:rPr>
                <w:rFonts w:hint="eastAsia"/>
                <w:szCs w:val="21"/>
              </w:rPr>
              <w:t>批准单位</w:t>
            </w:r>
          </w:p>
        </w:tc>
        <w:tc>
          <w:tcPr>
            <w:tcW w:w="4514" w:type="dxa"/>
            <w:noWrap w:val="0"/>
            <w:vAlign w:val="center"/>
          </w:tcPr>
          <w:p>
            <w:pPr>
              <w:jc w:val="center"/>
              <w:rPr>
                <w:szCs w:val="21"/>
              </w:rPr>
            </w:pPr>
          </w:p>
        </w:tc>
        <w:tc>
          <w:tcPr>
            <w:tcW w:w="1411" w:type="dxa"/>
            <w:noWrap w:val="0"/>
            <w:vAlign w:val="center"/>
          </w:tcPr>
          <w:p>
            <w:pPr>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noWrap w:val="0"/>
            <w:vAlign w:val="center"/>
          </w:tcPr>
          <w:p>
            <w:pPr>
              <w:jc w:val="center"/>
              <w:rPr>
                <w:szCs w:val="21"/>
              </w:rPr>
            </w:pPr>
            <w:r>
              <w:rPr>
                <w:rFonts w:hint="eastAsia"/>
                <w:szCs w:val="21"/>
              </w:rPr>
              <w:t>3</w:t>
            </w:r>
          </w:p>
        </w:tc>
        <w:tc>
          <w:tcPr>
            <w:tcW w:w="2477" w:type="dxa"/>
            <w:gridSpan w:val="2"/>
            <w:noWrap w:val="0"/>
            <w:vAlign w:val="center"/>
          </w:tcPr>
          <w:p>
            <w:pPr>
              <w:jc w:val="center"/>
              <w:rPr>
                <w:szCs w:val="21"/>
              </w:rPr>
            </w:pPr>
            <w:r>
              <w:rPr>
                <w:rFonts w:hint="eastAsia"/>
                <w:szCs w:val="21"/>
              </w:rPr>
              <w:t>等级</w:t>
            </w:r>
          </w:p>
        </w:tc>
        <w:tc>
          <w:tcPr>
            <w:tcW w:w="4514" w:type="dxa"/>
            <w:noWrap w:val="0"/>
            <w:vAlign w:val="center"/>
          </w:tcPr>
          <w:p>
            <w:pPr>
              <w:jc w:val="center"/>
              <w:rPr>
                <w:szCs w:val="21"/>
              </w:rPr>
            </w:pPr>
          </w:p>
        </w:tc>
        <w:tc>
          <w:tcPr>
            <w:tcW w:w="1411" w:type="dxa"/>
            <w:noWrap w:val="0"/>
            <w:vAlign w:val="center"/>
          </w:tcPr>
          <w:p>
            <w:pPr>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noWrap w:val="0"/>
            <w:vAlign w:val="center"/>
          </w:tcPr>
          <w:p>
            <w:pPr>
              <w:jc w:val="center"/>
              <w:rPr>
                <w:szCs w:val="21"/>
              </w:rPr>
            </w:pPr>
            <w:r>
              <w:rPr>
                <w:rFonts w:hint="eastAsia"/>
                <w:szCs w:val="21"/>
              </w:rPr>
              <w:t>4</w:t>
            </w:r>
          </w:p>
        </w:tc>
        <w:tc>
          <w:tcPr>
            <w:tcW w:w="2477" w:type="dxa"/>
            <w:gridSpan w:val="2"/>
            <w:noWrap w:val="0"/>
            <w:vAlign w:val="center"/>
          </w:tcPr>
          <w:p>
            <w:pPr>
              <w:jc w:val="center"/>
              <w:rPr>
                <w:szCs w:val="21"/>
              </w:rPr>
            </w:pPr>
            <w:r>
              <w:rPr>
                <w:rFonts w:hint="eastAsia"/>
                <w:szCs w:val="21"/>
              </w:rPr>
              <w:t>批准时间及编号</w:t>
            </w:r>
          </w:p>
        </w:tc>
        <w:tc>
          <w:tcPr>
            <w:tcW w:w="4514" w:type="dxa"/>
            <w:noWrap w:val="0"/>
            <w:vAlign w:val="center"/>
          </w:tcPr>
          <w:p>
            <w:pPr>
              <w:jc w:val="center"/>
              <w:rPr>
                <w:szCs w:val="21"/>
              </w:rPr>
            </w:pPr>
          </w:p>
        </w:tc>
        <w:tc>
          <w:tcPr>
            <w:tcW w:w="1411" w:type="dxa"/>
            <w:noWrap w:val="0"/>
            <w:vAlign w:val="center"/>
          </w:tcPr>
          <w:p>
            <w:pPr>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noWrap w:val="0"/>
            <w:vAlign w:val="center"/>
          </w:tcPr>
          <w:p>
            <w:pPr>
              <w:jc w:val="center"/>
              <w:rPr>
                <w:szCs w:val="21"/>
              </w:rPr>
            </w:pPr>
            <w:r>
              <w:rPr>
                <w:rFonts w:hint="eastAsia"/>
                <w:szCs w:val="21"/>
              </w:rPr>
              <w:t>5</w:t>
            </w:r>
          </w:p>
        </w:tc>
        <w:tc>
          <w:tcPr>
            <w:tcW w:w="2477" w:type="dxa"/>
            <w:gridSpan w:val="2"/>
            <w:noWrap w:val="0"/>
            <w:vAlign w:val="center"/>
          </w:tcPr>
          <w:p>
            <w:pPr>
              <w:jc w:val="center"/>
              <w:rPr>
                <w:szCs w:val="21"/>
              </w:rPr>
            </w:pPr>
            <w:r>
              <w:rPr>
                <w:rFonts w:hint="eastAsia"/>
                <w:szCs w:val="21"/>
              </w:rPr>
              <w:t>有效期</w:t>
            </w:r>
          </w:p>
        </w:tc>
        <w:tc>
          <w:tcPr>
            <w:tcW w:w="4514" w:type="dxa"/>
            <w:noWrap w:val="0"/>
            <w:vAlign w:val="center"/>
          </w:tcPr>
          <w:p>
            <w:pPr>
              <w:jc w:val="center"/>
              <w:rPr>
                <w:szCs w:val="21"/>
              </w:rPr>
            </w:pPr>
          </w:p>
        </w:tc>
        <w:tc>
          <w:tcPr>
            <w:tcW w:w="1411" w:type="dxa"/>
            <w:noWrap w:val="0"/>
            <w:vAlign w:val="center"/>
          </w:tcPr>
          <w:p>
            <w:pPr>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noWrap w:val="0"/>
            <w:vAlign w:val="center"/>
          </w:tcPr>
          <w:p>
            <w:pPr>
              <w:jc w:val="center"/>
              <w:rPr>
                <w:b/>
                <w:szCs w:val="21"/>
              </w:rPr>
            </w:pPr>
            <w:r>
              <w:rPr>
                <w:rFonts w:hint="eastAsia"/>
                <w:b/>
                <w:szCs w:val="21"/>
              </w:rPr>
              <w:t>三</w:t>
            </w:r>
          </w:p>
        </w:tc>
        <w:tc>
          <w:tcPr>
            <w:tcW w:w="6991" w:type="dxa"/>
            <w:gridSpan w:val="3"/>
            <w:noWrap w:val="0"/>
            <w:vAlign w:val="center"/>
          </w:tcPr>
          <w:p>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noWrap w:val="0"/>
            <w:vAlign w:val="center"/>
          </w:tcPr>
          <w:p>
            <w:pPr>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noWrap w:val="0"/>
            <w:vAlign w:val="center"/>
          </w:tcPr>
          <w:p>
            <w:pPr>
              <w:jc w:val="center"/>
              <w:rPr>
                <w:szCs w:val="21"/>
              </w:rPr>
            </w:pPr>
            <w:r>
              <w:rPr>
                <w:rFonts w:hint="eastAsia"/>
                <w:szCs w:val="21"/>
              </w:rPr>
              <w:t>1</w:t>
            </w:r>
          </w:p>
        </w:tc>
        <w:tc>
          <w:tcPr>
            <w:tcW w:w="2477" w:type="dxa"/>
            <w:gridSpan w:val="2"/>
            <w:noWrap w:val="0"/>
            <w:vAlign w:val="center"/>
          </w:tcPr>
          <w:p>
            <w:pPr>
              <w:jc w:val="center"/>
              <w:rPr>
                <w:szCs w:val="21"/>
              </w:rPr>
            </w:pPr>
            <w:r>
              <w:rPr>
                <w:rFonts w:hint="eastAsia"/>
                <w:szCs w:val="21"/>
              </w:rPr>
              <w:t>得奖或评优项目数量</w:t>
            </w:r>
          </w:p>
        </w:tc>
        <w:tc>
          <w:tcPr>
            <w:tcW w:w="4514" w:type="dxa"/>
            <w:noWrap w:val="0"/>
            <w:vAlign w:val="center"/>
          </w:tcPr>
          <w:p>
            <w:pPr>
              <w:jc w:val="center"/>
              <w:rPr>
                <w:szCs w:val="21"/>
              </w:rPr>
            </w:pPr>
          </w:p>
        </w:tc>
        <w:tc>
          <w:tcPr>
            <w:tcW w:w="1411" w:type="dxa"/>
            <w:noWrap w:val="0"/>
            <w:vAlign w:val="center"/>
          </w:tcPr>
          <w:p>
            <w:pPr>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Merge w:val="restart"/>
            <w:noWrap w:val="0"/>
            <w:vAlign w:val="center"/>
          </w:tcPr>
          <w:p>
            <w:pPr>
              <w:jc w:val="center"/>
              <w:rPr>
                <w:szCs w:val="21"/>
              </w:rPr>
            </w:pPr>
            <w:r>
              <w:rPr>
                <w:rFonts w:hint="eastAsia"/>
                <w:szCs w:val="21"/>
              </w:rPr>
              <w:t>2</w:t>
            </w:r>
          </w:p>
        </w:tc>
        <w:tc>
          <w:tcPr>
            <w:tcW w:w="401" w:type="dxa"/>
            <w:vMerge w:val="restart"/>
            <w:noWrap w:val="0"/>
            <w:vAlign w:val="center"/>
          </w:tcPr>
          <w:p>
            <w:pPr>
              <w:jc w:val="center"/>
              <w:rPr>
                <w:szCs w:val="21"/>
              </w:rPr>
            </w:pPr>
            <w:r>
              <w:rPr>
                <w:rFonts w:hint="eastAsia"/>
                <w:szCs w:val="21"/>
              </w:rPr>
              <w:t>项目A</w:t>
            </w:r>
          </w:p>
        </w:tc>
        <w:tc>
          <w:tcPr>
            <w:tcW w:w="2076" w:type="dxa"/>
            <w:noWrap w:val="0"/>
            <w:vAlign w:val="center"/>
          </w:tcPr>
          <w:p>
            <w:pPr>
              <w:jc w:val="center"/>
              <w:rPr>
                <w:szCs w:val="21"/>
              </w:rPr>
            </w:pPr>
            <w:r>
              <w:rPr>
                <w:rFonts w:hint="eastAsia"/>
                <w:szCs w:val="21"/>
              </w:rPr>
              <w:t>项目名称</w:t>
            </w:r>
          </w:p>
        </w:tc>
        <w:tc>
          <w:tcPr>
            <w:tcW w:w="4514" w:type="dxa"/>
            <w:noWrap w:val="0"/>
            <w:vAlign w:val="center"/>
          </w:tcPr>
          <w:p>
            <w:pPr>
              <w:jc w:val="center"/>
              <w:rPr>
                <w:szCs w:val="21"/>
              </w:rPr>
            </w:pPr>
          </w:p>
        </w:tc>
        <w:tc>
          <w:tcPr>
            <w:tcW w:w="1411" w:type="dxa"/>
            <w:noWrap w:val="0"/>
            <w:vAlign w:val="center"/>
          </w:tcPr>
          <w:p>
            <w:pPr>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Merge w:val="continue"/>
            <w:noWrap w:val="0"/>
            <w:vAlign w:val="center"/>
          </w:tcPr>
          <w:p>
            <w:pPr>
              <w:jc w:val="center"/>
              <w:rPr>
                <w:szCs w:val="21"/>
              </w:rPr>
            </w:pPr>
          </w:p>
        </w:tc>
        <w:tc>
          <w:tcPr>
            <w:tcW w:w="401" w:type="dxa"/>
            <w:vMerge w:val="continue"/>
            <w:noWrap w:val="0"/>
            <w:vAlign w:val="center"/>
          </w:tcPr>
          <w:p>
            <w:pPr>
              <w:jc w:val="center"/>
              <w:rPr>
                <w:szCs w:val="21"/>
              </w:rPr>
            </w:pPr>
          </w:p>
        </w:tc>
        <w:tc>
          <w:tcPr>
            <w:tcW w:w="2076" w:type="dxa"/>
            <w:noWrap w:val="0"/>
            <w:vAlign w:val="center"/>
          </w:tcPr>
          <w:p>
            <w:pPr>
              <w:jc w:val="center"/>
              <w:rPr>
                <w:szCs w:val="21"/>
              </w:rPr>
            </w:pPr>
            <w:r>
              <w:rPr>
                <w:rFonts w:hint="eastAsia"/>
                <w:szCs w:val="21"/>
              </w:rPr>
              <w:t>奖项名称、等级及颁发单位</w:t>
            </w:r>
          </w:p>
        </w:tc>
        <w:tc>
          <w:tcPr>
            <w:tcW w:w="4514" w:type="dxa"/>
            <w:noWrap w:val="0"/>
            <w:vAlign w:val="center"/>
          </w:tcPr>
          <w:p>
            <w:pPr>
              <w:jc w:val="center"/>
              <w:rPr>
                <w:szCs w:val="21"/>
              </w:rPr>
            </w:pPr>
          </w:p>
        </w:tc>
        <w:tc>
          <w:tcPr>
            <w:tcW w:w="1411" w:type="dxa"/>
            <w:noWrap w:val="0"/>
            <w:vAlign w:val="center"/>
          </w:tcPr>
          <w:p>
            <w:pPr>
              <w:jc w:val="center"/>
              <w:rPr>
                <w:szCs w:val="21"/>
              </w:rPr>
            </w:pPr>
            <w:r>
              <w:rPr>
                <w:rFonts w:hint="eastAsia"/>
                <w:szCs w:val="21"/>
              </w:rPr>
              <w:t>提供奖项扫描件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Merge w:val="continue"/>
            <w:noWrap w:val="0"/>
            <w:vAlign w:val="center"/>
          </w:tcPr>
          <w:p>
            <w:pPr>
              <w:jc w:val="center"/>
              <w:rPr>
                <w:szCs w:val="21"/>
              </w:rPr>
            </w:pPr>
          </w:p>
        </w:tc>
        <w:tc>
          <w:tcPr>
            <w:tcW w:w="401" w:type="dxa"/>
            <w:vMerge w:val="continue"/>
            <w:noWrap w:val="0"/>
            <w:vAlign w:val="center"/>
          </w:tcPr>
          <w:p>
            <w:pPr>
              <w:jc w:val="center"/>
              <w:rPr>
                <w:szCs w:val="21"/>
              </w:rPr>
            </w:pPr>
          </w:p>
        </w:tc>
        <w:tc>
          <w:tcPr>
            <w:tcW w:w="2076" w:type="dxa"/>
            <w:noWrap w:val="0"/>
            <w:vAlign w:val="center"/>
          </w:tcPr>
          <w:p>
            <w:pPr>
              <w:jc w:val="center"/>
              <w:rPr>
                <w:szCs w:val="21"/>
              </w:rPr>
            </w:pPr>
            <w:r>
              <w:rPr>
                <w:rFonts w:hint="eastAsia"/>
                <w:szCs w:val="21"/>
              </w:rPr>
              <w:t>项目规模及性质的简要说明</w:t>
            </w:r>
          </w:p>
        </w:tc>
        <w:tc>
          <w:tcPr>
            <w:tcW w:w="4514" w:type="dxa"/>
            <w:noWrap w:val="0"/>
            <w:vAlign w:val="center"/>
          </w:tcPr>
          <w:p>
            <w:pPr>
              <w:jc w:val="center"/>
              <w:rPr>
                <w:szCs w:val="21"/>
              </w:rPr>
            </w:pPr>
          </w:p>
        </w:tc>
        <w:tc>
          <w:tcPr>
            <w:tcW w:w="1411" w:type="dxa"/>
            <w:noWrap w:val="0"/>
            <w:vAlign w:val="center"/>
          </w:tcPr>
          <w:p>
            <w:pPr>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Merge w:val="restart"/>
            <w:noWrap w:val="0"/>
            <w:vAlign w:val="center"/>
          </w:tcPr>
          <w:p>
            <w:pPr>
              <w:jc w:val="center"/>
              <w:rPr>
                <w:szCs w:val="21"/>
              </w:rPr>
            </w:pPr>
            <w:r>
              <w:rPr>
                <w:rFonts w:hint="eastAsia"/>
                <w:szCs w:val="21"/>
              </w:rPr>
              <w:t>3</w:t>
            </w:r>
          </w:p>
        </w:tc>
        <w:tc>
          <w:tcPr>
            <w:tcW w:w="401" w:type="dxa"/>
            <w:vMerge w:val="restart"/>
            <w:noWrap w:val="0"/>
            <w:vAlign w:val="center"/>
          </w:tcPr>
          <w:p>
            <w:pPr>
              <w:jc w:val="center"/>
              <w:rPr>
                <w:szCs w:val="21"/>
              </w:rPr>
            </w:pPr>
            <w:r>
              <w:rPr>
                <w:rFonts w:hint="eastAsia"/>
                <w:szCs w:val="21"/>
              </w:rPr>
              <w:t>项目B</w:t>
            </w:r>
          </w:p>
        </w:tc>
        <w:tc>
          <w:tcPr>
            <w:tcW w:w="2076" w:type="dxa"/>
            <w:noWrap w:val="0"/>
            <w:vAlign w:val="center"/>
          </w:tcPr>
          <w:p>
            <w:pPr>
              <w:jc w:val="center"/>
              <w:rPr>
                <w:szCs w:val="21"/>
              </w:rPr>
            </w:pPr>
            <w:r>
              <w:rPr>
                <w:rFonts w:hint="eastAsia"/>
                <w:szCs w:val="21"/>
              </w:rPr>
              <w:t>项目名称</w:t>
            </w:r>
          </w:p>
        </w:tc>
        <w:tc>
          <w:tcPr>
            <w:tcW w:w="4514" w:type="dxa"/>
            <w:noWrap w:val="0"/>
            <w:vAlign w:val="center"/>
          </w:tcPr>
          <w:p>
            <w:pPr>
              <w:jc w:val="center"/>
              <w:rPr>
                <w:szCs w:val="21"/>
              </w:rPr>
            </w:pPr>
          </w:p>
        </w:tc>
        <w:tc>
          <w:tcPr>
            <w:tcW w:w="1411" w:type="dxa"/>
            <w:noWrap w:val="0"/>
            <w:vAlign w:val="center"/>
          </w:tcPr>
          <w:p>
            <w:pPr>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Merge w:val="continue"/>
            <w:noWrap w:val="0"/>
            <w:vAlign w:val="center"/>
          </w:tcPr>
          <w:p>
            <w:pPr>
              <w:jc w:val="center"/>
              <w:rPr>
                <w:szCs w:val="21"/>
              </w:rPr>
            </w:pPr>
          </w:p>
        </w:tc>
        <w:tc>
          <w:tcPr>
            <w:tcW w:w="401" w:type="dxa"/>
            <w:vMerge w:val="continue"/>
            <w:noWrap w:val="0"/>
            <w:vAlign w:val="center"/>
          </w:tcPr>
          <w:p>
            <w:pPr>
              <w:jc w:val="center"/>
              <w:rPr>
                <w:szCs w:val="21"/>
              </w:rPr>
            </w:pPr>
          </w:p>
        </w:tc>
        <w:tc>
          <w:tcPr>
            <w:tcW w:w="2076" w:type="dxa"/>
            <w:noWrap w:val="0"/>
            <w:vAlign w:val="center"/>
          </w:tcPr>
          <w:p>
            <w:pPr>
              <w:jc w:val="center"/>
              <w:rPr>
                <w:szCs w:val="21"/>
              </w:rPr>
            </w:pPr>
            <w:r>
              <w:rPr>
                <w:rFonts w:hint="eastAsia"/>
                <w:szCs w:val="21"/>
              </w:rPr>
              <w:t>奖项名称、等级及颁发单位</w:t>
            </w:r>
          </w:p>
        </w:tc>
        <w:tc>
          <w:tcPr>
            <w:tcW w:w="4514" w:type="dxa"/>
            <w:noWrap w:val="0"/>
            <w:vAlign w:val="center"/>
          </w:tcPr>
          <w:p>
            <w:pPr>
              <w:jc w:val="center"/>
              <w:rPr>
                <w:szCs w:val="21"/>
              </w:rPr>
            </w:pPr>
          </w:p>
        </w:tc>
        <w:tc>
          <w:tcPr>
            <w:tcW w:w="1411" w:type="dxa"/>
            <w:noWrap w:val="0"/>
            <w:vAlign w:val="center"/>
          </w:tcPr>
          <w:p>
            <w:pPr>
              <w:jc w:val="center"/>
              <w:rPr>
                <w:szCs w:val="21"/>
              </w:rPr>
            </w:pPr>
            <w:r>
              <w:rPr>
                <w:rFonts w:hint="eastAsia"/>
                <w:szCs w:val="21"/>
              </w:rPr>
              <w:t>提供奖项扫描件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vMerge w:val="continue"/>
            <w:noWrap w:val="0"/>
            <w:vAlign w:val="center"/>
          </w:tcPr>
          <w:p>
            <w:pPr>
              <w:jc w:val="center"/>
              <w:rPr>
                <w:szCs w:val="21"/>
              </w:rPr>
            </w:pPr>
          </w:p>
        </w:tc>
        <w:tc>
          <w:tcPr>
            <w:tcW w:w="401" w:type="dxa"/>
            <w:vMerge w:val="continue"/>
            <w:noWrap w:val="0"/>
            <w:vAlign w:val="center"/>
          </w:tcPr>
          <w:p>
            <w:pPr>
              <w:jc w:val="center"/>
              <w:rPr>
                <w:szCs w:val="21"/>
              </w:rPr>
            </w:pPr>
          </w:p>
        </w:tc>
        <w:tc>
          <w:tcPr>
            <w:tcW w:w="2076" w:type="dxa"/>
            <w:noWrap w:val="0"/>
            <w:vAlign w:val="center"/>
          </w:tcPr>
          <w:p>
            <w:pPr>
              <w:jc w:val="center"/>
              <w:rPr>
                <w:szCs w:val="21"/>
              </w:rPr>
            </w:pPr>
            <w:r>
              <w:rPr>
                <w:rFonts w:hint="eastAsia"/>
                <w:szCs w:val="21"/>
              </w:rPr>
              <w:t>项目规模及性质的简要说明</w:t>
            </w:r>
          </w:p>
        </w:tc>
        <w:tc>
          <w:tcPr>
            <w:tcW w:w="4514" w:type="dxa"/>
            <w:noWrap w:val="0"/>
            <w:vAlign w:val="center"/>
          </w:tcPr>
          <w:p>
            <w:pPr>
              <w:jc w:val="center"/>
              <w:rPr>
                <w:szCs w:val="21"/>
              </w:rPr>
            </w:pPr>
          </w:p>
        </w:tc>
        <w:tc>
          <w:tcPr>
            <w:tcW w:w="1411" w:type="dxa"/>
            <w:noWrap w:val="0"/>
            <w:vAlign w:val="center"/>
          </w:tcPr>
          <w:p>
            <w:pPr>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noWrap w:val="0"/>
            <w:vAlign w:val="center"/>
          </w:tcPr>
          <w:p>
            <w:pPr>
              <w:jc w:val="center"/>
              <w:rPr>
                <w:szCs w:val="21"/>
              </w:rPr>
            </w:pPr>
            <w:r>
              <w:rPr>
                <w:rFonts w:hint="eastAsia"/>
                <w:b/>
                <w:szCs w:val="21"/>
              </w:rPr>
              <w:t>四</w:t>
            </w:r>
          </w:p>
        </w:tc>
        <w:tc>
          <w:tcPr>
            <w:tcW w:w="6991" w:type="dxa"/>
            <w:gridSpan w:val="3"/>
            <w:noWrap w:val="0"/>
            <w:vAlign w:val="center"/>
          </w:tcPr>
          <w:p>
            <w:pPr>
              <w:rPr>
                <w:b/>
                <w:szCs w:val="21"/>
              </w:rPr>
            </w:pPr>
            <w:r>
              <w:rPr>
                <w:rFonts w:hint="eastAsia"/>
                <w:b/>
                <w:szCs w:val="21"/>
              </w:rPr>
              <w:t>企业技术力量</w:t>
            </w:r>
          </w:p>
        </w:tc>
        <w:tc>
          <w:tcPr>
            <w:tcW w:w="1411" w:type="dxa"/>
            <w:noWrap w:val="0"/>
            <w:vAlign w:val="center"/>
          </w:tcPr>
          <w:p>
            <w:pPr>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noWrap w:val="0"/>
            <w:vAlign w:val="center"/>
          </w:tcPr>
          <w:p>
            <w:pPr>
              <w:jc w:val="center"/>
              <w:rPr>
                <w:szCs w:val="21"/>
              </w:rPr>
            </w:pPr>
            <w:r>
              <w:rPr>
                <w:rFonts w:hint="eastAsia"/>
                <w:szCs w:val="21"/>
              </w:rPr>
              <w:t>1</w:t>
            </w:r>
          </w:p>
        </w:tc>
        <w:tc>
          <w:tcPr>
            <w:tcW w:w="2477" w:type="dxa"/>
            <w:gridSpan w:val="2"/>
            <w:noWrap w:val="0"/>
            <w:vAlign w:val="center"/>
          </w:tcPr>
          <w:p>
            <w:pPr>
              <w:jc w:val="center"/>
              <w:rPr>
                <w:szCs w:val="21"/>
              </w:rPr>
            </w:pPr>
            <w:r>
              <w:rPr>
                <w:rFonts w:hint="eastAsia"/>
                <w:szCs w:val="21"/>
              </w:rPr>
              <w:t>企业技术人员构成情况</w:t>
            </w:r>
          </w:p>
        </w:tc>
        <w:tc>
          <w:tcPr>
            <w:tcW w:w="4514" w:type="dxa"/>
            <w:noWrap w:val="0"/>
            <w:vAlign w:val="center"/>
          </w:tcPr>
          <w:p>
            <w:pPr>
              <w:jc w:val="center"/>
              <w:rPr>
                <w:szCs w:val="21"/>
              </w:rPr>
            </w:pPr>
          </w:p>
        </w:tc>
        <w:tc>
          <w:tcPr>
            <w:tcW w:w="1411" w:type="dxa"/>
            <w:noWrap w:val="0"/>
            <w:vAlign w:val="center"/>
          </w:tcPr>
          <w:p>
            <w:pPr>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noWrap w:val="0"/>
            <w:vAlign w:val="center"/>
          </w:tcPr>
          <w:p>
            <w:pPr>
              <w:jc w:val="center"/>
              <w:rPr>
                <w:szCs w:val="21"/>
              </w:rPr>
            </w:pPr>
            <w:r>
              <w:rPr>
                <w:rFonts w:hint="eastAsia"/>
                <w:szCs w:val="21"/>
              </w:rPr>
              <w:t>2</w:t>
            </w:r>
          </w:p>
        </w:tc>
        <w:tc>
          <w:tcPr>
            <w:tcW w:w="2477" w:type="dxa"/>
            <w:gridSpan w:val="2"/>
            <w:noWrap w:val="0"/>
            <w:vAlign w:val="center"/>
          </w:tcPr>
          <w:p>
            <w:pPr>
              <w:jc w:val="center"/>
              <w:rPr>
                <w:szCs w:val="21"/>
              </w:rPr>
            </w:pPr>
            <w:r>
              <w:rPr>
                <w:rFonts w:hint="eastAsia"/>
                <w:szCs w:val="21"/>
              </w:rPr>
              <w:t>企业专业设施、设备情况</w:t>
            </w:r>
          </w:p>
        </w:tc>
        <w:tc>
          <w:tcPr>
            <w:tcW w:w="4514" w:type="dxa"/>
            <w:noWrap w:val="0"/>
            <w:vAlign w:val="center"/>
          </w:tcPr>
          <w:p>
            <w:pPr>
              <w:jc w:val="center"/>
              <w:rPr>
                <w:szCs w:val="21"/>
              </w:rPr>
            </w:pPr>
          </w:p>
        </w:tc>
        <w:tc>
          <w:tcPr>
            <w:tcW w:w="1411" w:type="dxa"/>
            <w:noWrap w:val="0"/>
            <w:vAlign w:val="center"/>
          </w:tcPr>
          <w:p>
            <w:pPr>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noWrap w:val="0"/>
            <w:vAlign w:val="center"/>
          </w:tcPr>
          <w:p>
            <w:pPr>
              <w:jc w:val="center"/>
              <w:rPr>
                <w:szCs w:val="21"/>
              </w:rPr>
            </w:pPr>
            <w:r>
              <w:rPr>
                <w:rFonts w:hint="eastAsia"/>
                <w:szCs w:val="21"/>
              </w:rPr>
              <w:t>3</w:t>
            </w:r>
          </w:p>
        </w:tc>
        <w:tc>
          <w:tcPr>
            <w:tcW w:w="2477" w:type="dxa"/>
            <w:gridSpan w:val="2"/>
            <w:noWrap w:val="0"/>
            <w:vAlign w:val="center"/>
          </w:tcPr>
          <w:p>
            <w:pPr>
              <w:jc w:val="center"/>
              <w:rPr>
                <w:szCs w:val="21"/>
              </w:rPr>
            </w:pPr>
          </w:p>
        </w:tc>
        <w:tc>
          <w:tcPr>
            <w:tcW w:w="4514" w:type="dxa"/>
            <w:noWrap w:val="0"/>
            <w:vAlign w:val="center"/>
          </w:tcPr>
          <w:p>
            <w:pPr>
              <w:jc w:val="center"/>
              <w:rPr>
                <w:szCs w:val="21"/>
              </w:rPr>
            </w:pPr>
          </w:p>
        </w:tc>
        <w:tc>
          <w:tcPr>
            <w:tcW w:w="1411" w:type="dxa"/>
            <w:noWrap w:val="0"/>
            <w:vAlign w:val="center"/>
          </w:tcPr>
          <w:p>
            <w:pPr>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noWrap w:val="0"/>
            <w:vAlign w:val="center"/>
          </w:tcPr>
          <w:p>
            <w:pPr>
              <w:jc w:val="center"/>
              <w:rPr>
                <w:b/>
                <w:szCs w:val="21"/>
              </w:rPr>
            </w:pPr>
            <w:r>
              <w:rPr>
                <w:rFonts w:hint="eastAsia"/>
                <w:b/>
                <w:szCs w:val="21"/>
              </w:rPr>
              <w:t>五</w:t>
            </w:r>
          </w:p>
        </w:tc>
        <w:tc>
          <w:tcPr>
            <w:tcW w:w="6991" w:type="dxa"/>
            <w:gridSpan w:val="3"/>
            <w:noWrap w:val="0"/>
            <w:vAlign w:val="center"/>
          </w:tcPr>
          <w:p>
            <w:pPr>
              <w:rPr>
                <w:b/>
                <w:szCs w:val="21"/>
              </w:rPr>
            </w:pPr>
            <w:r>
              <w:rPr>
                <w:rFonts w:hint="eastAsia"/>
                <w:b/>
                <w:szCs w:val="21"/>
              </w:rPr>
              <w:t>其他</w:t>
            </w:r>
            <w:r>
              <w:rPr>
                <w:rFonts w:hint="eastAsia"/>
                <w:szCs w:val="21"/>
              </w:rPr>
              <w:t>（投标人认为需补充的其他说明）</w:t>
            </w:r>
          </w:p>
        </w:tc>
        <w:tc>
          <w:tcPr>
            <w:tcW w:w="1411" w:type="dxa"/>
            <w:noWrap w:val="0"/>
            <w:vAlign w:val="center"/>
          </w:tcPr>
          <w:p>
            <w:pPr>
              <w:jc w:val="center"/>
              <w:rPr>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35" w:type="dxa"/>
            <w:noWrap w:val="0"/>
            <w:vAlign w:val="center"/>
          </w:tcPr>
          <w:p>
            <w:pPr>
              <w:jc w:val="center"/>
              <w:rPr>
                <w:szCs w:val="21"/>
              </w:rPr>
            </w:pPr>
            <w:r>
              <w:rPr>
                <w:rFonts w:hint="eastAsia"/>
                <w:szCs w:val="21"/>
              </w:rPr>
              <w:t>1</w:t>
            </w:r>
          </w:p>
        </w:tc>
        <w:tc>
          <w:tcPr>
            <w:tcW w:w="2477" w:type="dxa"/>
            <w:gridSpan w:val="2"/>
            <w:noWrap w:val="0"/>
            <w:vAlign w:val="center"/>
          </w:tcPr>
          <w:p>
            <w:pPr>
              <w:jc w:val="center"/>
              <w:rPr>
                <w:szCs w:val="21"/>
              </w:rPr>
            </w:pPr>
          </w:p>
        </w:tc>
        <w:tc>
          <w:tcPr>
            <w:tcW w:w="4514" w:type="dxa"/>
            <w:noWrap w:val="0"/>
            <w:vAlign w:val="center"/>
          </w:tcPr>
          <w:p>
            <w:pPr>
              <w:jc w:val="center"/>
              <w:rPr>
                <w:szCs w:val="21"/>
              </w:rPr>
            </w:pPr>
          </w:p>
        </w:tc>
        <w:tc>
          <w:tcPr>
            <w:tcW w:w="1411" w:type="dxa"/>
            <w:noWrap w:val="0"/>
            <w:vAlign w:val="center"/>
          </w:tcPr>
          <w:p>
            <w:pPr>
              <w:jc w:val="center"/>
              <w:rPr>
                <w:szCs w:val="21"/>
              </w:rPr>
            </w:pPr>
          </w:p>
        </w:tc>
      </w:tr>
    </w:tbl>
    <w:p>
      <w:pPr>
        <w:keepNext w:val="0"/>
        <w:keepLines w:val="0"/>
        <w:pageBreakBefore w:val="0"/>
        <w:widowControl w:val="0"/>
        <w:kinsoku/>
        <w:wordWrap/>
        <w:overflowPunct/>
        <w:topLinePunct w:val="0"/>
        <w:autoSpaceDE/>
        <w:autoSpaceDN/>
        <w:bidi w:val="0"/>
        <w:adjustRightInd/>
        <w:snapToGrid/>
        <w:spacing w:line="500" w:lineRule="exact"/>
        <w:ind w:left="0" w:hanging="722" w:hangingChars="300"/>
        <w:textAlignment w:val="auto"/>
        <w:rPr>
          <w:rFonts w:hint="eastAsia" w:ascii="方正仿宋_GBK" w:hAnsi="方正仿宋_GBK" w:eastAsia="方正仿宋_GBK" w:cs="方正仿宋_GBK"/>
          <w:b/>
          <w:bCs/>
          <w:color w:val="auto"/>
          <w:kern w:val="2"/>
          <w:sz w:val="24"/>
          <w:szCs w:val="24"/>
          <w:highlight w:val="none"/>
          <w:vertAlign w:val="baseline"/>
          <w:lang w:val="en-US" w:eastAsia="zh-CN" w:bidi="ar-SA"/>
        </w:rPr>
      </w:pPr>
      <w:r>
        <w:rPr>
          <w:rFonts w:hint="eastAsia" w:ascii="方正仿宋_GBK" w:hAnsi="方正仿宋_GBK" w:eastAsia="方正仿宋_GBK" w:cs="方正仿宋_GBK"/>
          <w:b/>
          <w:bCs/>
          <w:color w:val="auto"/>
          <w:kern w:val="2"/>
          <w:sz w:val="24"/>
          <w:szCs w:val="24"/>
          <w:highlight w:val="none"/>
          <w:vertAlign w:val="baseline"/>
          <w:lang w:val="en-US" w:eastAsia="zh-CN" w:bidi="ar-SA"/>
        </w:rPr>
        <w:t>注：1、在按要求填写好此表格后，各投标单位可以用其它的方式，就公司整体情况作出详细的介绍。</w:t>
      </w:r>
    </w:p>
    <w:p>
      <w:pPr>
        <w:keepNext w:val="0"/>
        <w:keepLines w:val="0"/>
        <w:pageBreakBefore w:val="0"/>
        <w:widowControl w:val="0"/>
        <w:kinsoku/>
        <w:wordWrap/>
        <w:overflowPunct/>
        <w:topLinePunct w:val="0"/>
        <w:autoSpaceDE/>
        <w:autoSpaceDN/>
        <w:bidi w:val="0"/>
        <w:adjustRightInd/>
        <w:snapToGrid/>
        <w:spacing w:line="500" w:lineRule="exact"/>
        <w:ind w:left="721" w:leftChars="229" w:hanging="240" w:hangingChars="100"/>
        <w:textAlignment w:val="auto"/>
        <w:rPr>
          <w:rFonts w:hint="eastAsia" w:ascii="方正仿宋_GBK" w:hAnsi="方正仿宋_GBK" w:eastAsia="方正仿宋_GBK" w:cs="方正仿宋_GBK"/>
          <w:b/>
          <w:bCs/>
          <w:color w:val="auto"/>
          <w:kern w:val="2"/>
          <w:sz w:val="24"/>
          <w:szCs w:val="24"/>
          <w:highlight w:val="none"/>
          <w:vertAlign w:val="baseline"/>
          <w:lang w:val="en-US" w:eastAsia="zh-CN" w:bidi="ar-SA"/>
        </w:rPr>
      </w:pPr>
      <w:r>
        <w:rPr>
          <w:rFonts w:hint="eastAsia" w:ascii="方正仿宋_GBK" w:hAnsi="方正仿宋_GBK" w:eastAsia="方正仿宋_GBK" w:cs="方正仿宋_GBK"/>
          <w:b/>
          <w:bCs/>
          <w:color w:val="auto"/>
          <w:kern w:val="2"/>
          <w:sz w:val="24"/>
          <w:szCs w:val="24"/>
          <w:highlight w:val="none"/>
          <w:vertAlign w:val="baseline"/>
          <w:lang w:val="en-US" w:eastAsia="zh-CN" w:bidi="ar-SA"/>
        </w:rPr>
        <w:t>2、需提供扫描件的有关资质和获奖等情况请附在表格后面，</w:t>
      </w:r>
      <w:r>
        <w:rPr>
          <w:rFonts w:hint="eastAsia"/>
          <w:b/>
          <w:bCs/>
        </w:rPr>
        <w:t>原件备查</w:t>
      </w:r>
      <w:r>
        <w:rPr>
          <w:rFonts w:hint="eastAsia" w:ascii="方正仿宋_GBK" w:hAnsi="方正仿宋_GBK" w:eastAsia="方正仿宋_GBK" w:cs="方正仿宋_GBK"/>
          <w:b/>
          <w:bCs/>
          <w:color w:val="auto"/>
          <w:kern w:val="2"/>
          <w:sz w:val="24"/>
          <w:szCs w:val="24"/>
          <w:highlight w:val="none"/>
          <w:vertAlign w:val="baseline"/>
          <w:lang w:val="en-US" w:eastAsia="zh-CN" w:bidi="ar-SA"/>
        </w:rPr>
        <w:t>。</w:t>
      </w:r>
    </w:p>
    <w:p>
      <w:pPr>
        <w:ind w:left="632" w:hanging="632" w:hangingChars="300"/>
        <w:rPr>
          <w:rFonts w:hint="eastAsia"/>
          <w:b/>
          <w:bCs/>
        </w:rPr>
      </w:pPr>
    </w:p>
    <w:p>
      <w:pPr>
        <w:ind w:left="632" w:hanging="632" w:hangingChars="300"/>
        <w:rPr>
          <w:rFonts w:hint="eastAsia"/>
          <w:b/>
          <w:bCs/>
        </w:rPr>
      </w:pPr>
    </w:p>
    <w:p>
      <w:pPr>
        <w:keepNext w:val="0"/>
        <w:keepLines w:val="0"/>
        <w:pageBreakBefore w:val="0"/>
        <w:widowControl w:val="0"/>
        <w:kinsoku/>
        <w:wordWrap/>
        <w:overflowPunct/>
        <w:topLinePunct w:val="0"/>
        <w:autoSpaceDE/>
        <w:autoSpaceDN/>
        <w:bidi w:val="0"/>
        <w:adjustRightInd/>
        <w:snapToGrid/>
        <w:spacing w:after="157" w:afterLines="50" w:line="500" w:lineRule="exact"/>
        <w:jc w:val="both"/>
        <w:textAlignment w:val="auto"/>
        <w:outlineLvl w:val="3"/>
        <w:rPr>
          <w:rFonts w:hint="eastAsia" w:ascii="黑体" w:hAnsi="宋体" w:eastAsia="黑体" w:cs="Times New Roman"/>
          <w:b w:val="0"/>
          <w:bCs w:val="0"/>
          <w:kern w:val="0"/>
          <w:sz w:val="24"/>
          <w:szCs w:val="32"/>
          <w:lang w:val="en-US" w:eastAsia="zh-CN" w:bidi="ar-SA"/>
        </w:rPr>
      </w:pPr>
      <w:r>
        <w:rPr>
          <w:rFonts w:hint="eastAsia" w:ascii="黑体" w:hAnsi="宋体" w:eastAsia="黑体" w:cs="Times New Roman"/>
          <w:b w:val="0"/>
          <w:bCs w:val="0"/>
          <w:kern w:val="0"/>
          <w:sz w:val="24"/>
          <w:szCs w:val="32"/>
          <w:lang w:val="en-US" w:eastAsia="zh-CN" w:bidi="ar-SA"/>
        </w:rPr>
        <w:t>中小企业声明函、残疾人福利性单位声明函及监狱企业声明函（可选项，不选可删除）</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color w:val="FF0000"/>
          <w:sz w:val="28"/>
          <w:szCs w:val="28"/>
          <w:lang w:val="en-US" w:eastAsia="zh-CN"/>
        </w:rPr>
      </w:pPr>
      <w:r>
        <w:rPr>
          <w:rFonts w:hint="eastAsia" w:ascii="仿宋_GB2312" w:hAnsi="仿宋_GB2312" w:eastAsia="仿宋_GB2312" w:cs="仿宋_GB2312"/>
          <w:color w:val="FF0000"/>
          <w:sz w:val="28"/>
          <w:szCs w:val="28"/>
          <w:lang w:val="en-US" w:eastAsia="zh-CN"/>
        </w:rPr>
        <w:t>填写指引：</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color w:val="FF0000"/>
          <w:sz w:val="28"/>
          <w:szCs w:val="28"/>
          <w:lang w:val="en-US" w:eastAsia="zh-CN"/>
        </w:rPr>
      </w:pPr>
      <w:r>
        <w:rPr>
          <w:rFonts w:hint="eastAsia" w:ascii="仿宋_GB2312" w:hAnsi="仿宋_GB2312" w:eastAsia="仿宋_GB2312" w:cs="仿宋_GB2312"/>
          <w:color w:val="FF0000"/>
          <w:sz w:val="28"/>
          <w:szCs w:val="28"/>
          <w:lang w:val="en-US" w:eastAsia="zh-CN"/>
        </w:rPr>
        <w:t>1、该部分内容由投标人根据自身实际情况填写，不符合要求的投标人可以不填写或直接删除相应的声明函。投标人提供的声明函不属实的，属于提供虚假资料谋取中标，依照《中华人民共和国政府采购法》等国家有关规定追究相应责任。</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color w:val="FF0000"/>
          <w:sz w:val="28"/>
          <w:szCs w:val="28"/>
          <w:lang w:val="en-US" w:eastAsia="zh-CN"/>
        </w:rPr>
      </w:pPr>
      <w:r>
        <w:rPr>
          <w:rFonts w:hint="eastAsia" w:ascii="仿宋_GB2312" w:hAnsi="仿宋_GB2312" w:eastAsia="仿宋_GB2312" w:cs="仿宋_GB2312"/>
          <w:color w:val="FF0000"/>
          <w:sz w:val="28"/>
          <w:szCs w:val="28"/>
          <w:lang w:val="en-US" w:eastAsia="zh-CN"/>
        </w:rPr>
        <w:t>2、该部分内容填写需要参考的相关文件：(</w:t>
      </w:r>
      <w:r>
        <w:rPr>
          <w:rFonts w:hint="default" w:ascii="仿宋_GB2312" w:hAnsi="仿宋_GB2312" w:eastAsia="仿宋_GB2312" w:cs="仿宋_GB2312"/>
          <w:color w:val="FF0000"/>
          <w:sz w:val="28"/>
          <w:szCs w:val="28"/>
          <w:lang w:val="en-US" w:eastAsia="zh-CN"/>
        </w:rPr>
        <w:t>1</w:t>
      </w:r>
      <w:r>
        <w:rPr>
          <w:rFonts w:hint="eastAsia" w:ascii="仿宋_GB2312" w:hAnsi="仿宋_GB2312" w:eastAsia="仿宋_GB2312" w:cs="仿宋_GB2312"/>
          <w:color w:val="FF0000"/>
          <w:sz w:val="28"/>
          <w:szCs w:val="28"/>
          <w:lang w:val="en-US" w:eastAsia="zh-CN"/>
        </w:rPr>
        <w:t>)财政部《政府采购促进中小企业发展管理办法》（财库〔2020〕46号）；(</w:t>
      </w:r>
      <w:r>
        <w:rPr>
          <w:rFonts w:hint="default" w:ascii="仿宋_GB2312" w:hAnsi="仿宋_GB2312" w:eastAsia="仿宋_GB2312" w:cs="仿宋_GB2312"/>
          <w:color w:val="FF0000"/>
          <w:sz w:val="28"/>
          <w:szCs w:val="28"/>
          <w:lang w:val="en-US" w:eastAsia="zh-CN"/>
        </w:rPr>
        <w:t>2</w:t>
      </w:r>
      <w:r>
        <w:rPr>
          <w:rFonts w:hint="eastAsia" w:ascii="仿宋_GB2312" w:hAnsi="仿宋_GB2312" w:eastAsia="仿宋_GB2312" w:cs="仿宋_GB2312"/>
          <w:color w:val="FF0000"/>
          <w:sz w:val="28"/>
          <w:szCs w:val="28"/>
          <w:lang w:val="en-US" w:eastAsia="zh-CN"/>
        </w:rPr>
        <w:t>)</w:t>
      </w:r>
      <w:bookmarkStart w:id="73" w:name="_Hlk71925120"/>
      <w:r>
        <w:rPr>
          <w:rFonts w:hint="eastAsia" w:ascii="仿宋_GB2312" w:hAnsi="仿宋_GB2312" w:eastAsia="仿宋_GB2312" w:cs="仿宋_GB2312"/>
          <w:color w:val="FF0000"/>
          <w:sz w:val="28"/>
          <w:szCs w:val="28"/>
          <w:lang w:val="en-US" w:eastAsia="zh-CN"/>
        </w:rPr>
        <w:t>《工业和信息化部、国家统计局、国家发展和改革委员会、财政部关于印发中小企业划型标准规定的通知》（工信部联企业〔2011〕300 号</w:t>
      </w:r>
      <w:bookmarkEnd w:id="73"/>
      <w:r>
        <w:rPr>
          <w:rFonts w:hint="eastAsia" w:ascii="仿宋_GB2312" w:hAnsi="仿宋_GB2312" w:eastAsia="仿宋_GB2312" w:cs="仿宋_GB2312"/>
          <w:color w:val="FF0000"/>
          <w:sz w:val="28"/>
          <w:szCs w:val="28"/>
          <w:lang w:val="en-US" w:eastAsia="zh-CN"/>
        </w:rPr>
        <w:t>，以下简称3</w:t>
      </w:r>
      <w:r>
        <w:rPr>
          <w:rFonts w:hint="default" w:ascii="仿宋_GB2312" w:hAnsi="仿宋_GB2312" w:eastAsia="仿宋_GB2312" w:cs="仿宋_GB2312"/>
          <w:color w:val="FF0000"/>
          <w:sz w:val="28"/>
          <w:szCs w:val="28"/>
          <w:lang w:val="en-US" w:eastAsia="zh-CN"/>
        </w:rPr>
        <w:t>00</w:t>
      </w:r>
      <w:r>
        <w:rPr>
          <w:rFonts w:hint="eastAsia" w:ascii="仿宋_GB2312" w:hAnsi="仿宋_GB2312" w:eastAsia="仿宋_GB2312" w:cs="仿宋_GB2312"/>
          <w:color w:val="FF0000"/>
          <w:sz w:val="28"/>
          <w:szCs w:val="28"/>
          <w:lang w:val="en-US" w:eastAsia="zh-CN"/>
        </w:rPr>
        <w:t>号文）。</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color w:val="FF0000"/>
          <w:sz w:val="28"/>
          <w:szCs w:val="28"/>
          <w:lang w:val="en-US" w:eastAsia="zh-CN"/>
        </w:rPr>
      </w:pPr>
      <w:r>
        <w:rPr>
          <w:rFonts w:hint="eastAsia" w:ascii="仿宋_GB2312" w:hAnsi="仿宋_GB2312" w:eastAsia="仿宋_GB2312" w:cs="仿宋_GB2312"/>
          <w:color w:val="FF0000"/>
          <w:sz w:val="28"/>
          <w:szCs w:val="28"/>
          <w:lang w:val="en-US" w:eastAsia="zh-CN"/>
        </w:rPr>
        <w:t>3、请依照提供的格式和内容填写声明函，不要随意变更格式；声明函不需要盖章或签字；满足多项优惠政策的投标人，不重复享受多项价格扣除政策。</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color w:val="FF0000"/>
          <w:sz w:val="28"/>
          <w:szCs w:val="28"/>
          <w:lang w:val="en-US" w:eastAsia="zh-CN"/>
        </w:rPr>
      </w:pPr>
      <w:r>
        <w:rPr>
          <w:rFonts w:hint="eastAsia" w:ascii="仿宋_GB2312" w:hAnsi="仿宋_GB2312" w:eastAsia="仿宋_GB2312" w:cs="仿宋_GB2312"/>
          <w:color w:val="FF0000"/>
          <w:sz w:val="28"/>
          <w:szCs w:val="28"/>
          <w:lang w:val="en-US" w:eastAsia="zh-CN"/>
        </w:rPr>
        <w:t>4、声明函具体填写要求：</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color w:val="FF0000"/>
          <w:sz w:val="28"/>
          <w:szCs w:val="28"/>
          <w:lang w:val="en-US" w:eastAsia="zh-CN"/>
        </w:rPr>
      </w:pPr>
      <w:r>
        <w:rPr>
          <w:rFonts w:hint="eastAsia" w:ascii="仿宋_GB2312" w:hAnsi="仿宋_GB2312" w:eastAsia="仿宋_GB2312" w:cs="仿宋_GB2312"/>
          <w:color w:val="FF0000"/>
          <w:sz w:val="28"/>
          <w:szCs w:val="28"/>
          <w:lang w:val="en-US" w:eastAsia="zh-CN"/>
        </w:rPr>
        <w:t>（1）声明是中小企业须填写《中小企业声明函》的以下内容：</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color w:val="FF0000"/>
          <w:sz w:val="28"/>
          <w:szCs w:val="28"/>
          <w:lang w:val="en-US" w:eastAsia="zh-CN"/>
        </w:rPr>
      </w:pPr>
      <w:r>
        <w:rPr>
          <w:rFonts w:hint="eastAsia" w:ascii="仿宋_GB2312" w:hAnsi="仿宋_GB2312" w:eastAsia="仿宋_GB2312" w:cs="仿宋_GB2312"/>
          <w:color w:val="FF0000"/>
          <w:sz w:val="28"/>
          <w:szCs w:val="28"/>
          <w:lang w:val="en-US" w:eastAsia="zh-CN"/>
        </w:rPr>
        <w:t>第一处，在“单位名称”下划线处如实填写采购人名称；</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color w:val="FF0000"/>
          <w:sz w:val="28"/>
          <w:szCs w:val="28"/>
          <w:lang w:val="en-US" w:eastAsia="zh-CN"/>
        </w:rPr>
      </w:pPr>
      <w:r>
        <w:rPr>
          <w:rFonts w:hint="eastAsia" w:ascii="仿宋_GB2312" w:hAnsi="仿宋_GB2312" w:eastAsia="仿宋_GB2312" w:cs="仿宋_GB2312"/>
          <w:color w:val="FF0000"/>
          <w:sz w:val="28"/>
          <w:szCs w:val="28"/>
          <w:lang w:val="en-US" w:eastAsia="zh-CN"/>
        </w:rPr>
        <w:t>第二处，在“项目名称”下划线处如实填写采购项目名称；</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color w:val="FF0000"/>
          <w:sz w:val="28"/>
          <w:szCs w:val="28"/>
          <w:lang w:val="en-US" w:eastAsia="zh-CN"/>
        </w:rPr>
      </w:pPr>
      <w:r>
        <w:rPr>
          <w:rFonts w:hint="eastAsia" w:ascii="仿宋_GB2312" w:hAnsi="仿宋_GB2312" w:eastAsia="仿宋_GB2312" w:cs="仿宋_GB2312"/>
          <w:color w:val="FF0000"/>
          <w:sz w:val="28"/>
          <w:szCs w:val="28"/>
          <w:lang w:val="en-US" w:eastAsia="zh-CN"/>
        </w:rPr>
        <w:t>第三处，在“标的名称”下划线处填写采购文件中相对应的名称；</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color w:val="FF0000"/>
          <w:sz w:val="28"/>
          <w:szCs w:val="28"/>
          <w:lang w:val="en-US" w:eastAsia="zh-CN"/>
        </w:rPr>
      </w:pPr>
      <w:r>
        <w:rPr>
          <w:rFonts w:hint="eastAsia" w:ascii="仿宋_GB2312" w:hAnsi="仿宋_GB2312" w:eastAsia="仿宋_GB2312" w:cs="仿宋_GB2312"/>
          <w:color w:val="FF0000"/>
          <w:sz w:val="28"/>
          <w:szCs w:val="28"/>
          <w:lang w:val="en-US" w:eastAsia="zh-CN"/>
        </w:rPr>
        <w:t>第四处，在“采购文件中明确的所属行业”下划线处填写采购标的对应的中小企业划分标准所属行业（所属行业可在采购文件“其他关键信息”中查看）；</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color w:val="FF0000"/>
          <w:sz w:val="28"/>
          <w:szCs w:val="28"/>
          <w:lang w:val="en-US" w:eastAsia="zh-CN"/>
        </w:rPr>
      </w:pPr>
      <w:r>
        <w:rPr>
          <w:rFonts w:hint="eastAsia" w:ascii="仿宋_GB2312" w:hAnsi="仿宋_GB2312" w:eastAsia="仿宋_GB2312" w:cs="仿宋_GB2312"/>
          <w:color w:val="FF0000"/>
          <w:sz w:val="28"/>
          <w:szCs w:val="28"/>
          <w:lang w:val="en-US" w:eastAsia="zh-CN"/>
        </w:rPr>
        <w:t>第五处，在“企业名称”下划线处如实填写承接</w:t>
      </w:r>
      <w:r>
        <w:rPr>
          <w:rFonts w:hint="default" w:ascii="仿宋_GB2312" w:hAnsi="仿宋_GB2312" w:eastAsia="仿宋_GB2312" w:cs="仿宋_GB2312"/>
          <w:color w:val="FF0000"/>
          <w:sz w:val="28"/>
          <w:szCs w:val="28"/>
          <w:lang w:val="en-US" w:eastAsia="zh-CN"/>
        </w:rPr>
        <w:t>企业</w:t>
      </w:r>
      <w:r>
        <w:rPr>
          <w:rFonts w:hint="eastAsia" w:ascii="仿宋_GB2312" w:hAnsi="仿宋_GB2312" w:eastAsia="仿宋_GB2312" w:cs="仿宋_GB2312"/>
          <w:color w:val="FF0000"/>
          <w:sz w:val="28"/>
          <w:szCs w:val="28"/>
          <w:lang w:val="en-US" w:eastAsia="zh-CN"/>
        </w:rPr>
        <w:t>名称；在“从业人员”、“营业收入”、“资产总额”下划线处如实填写从业人员、营业收入、资产总额；在“中型企业、小型企业、微型企业”下划线处如实依照300号文填写相应的企业类型；从业人员、营业收入、资产总额填报上一年度数据，无上一年度数据的新成立企业可以不填报。</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color w:val="FF0000"/>
          <w:sz w:val="28"/>
          <w:szCs w:val="28"/>
          <w:lang w:val="en-US" w:eastAsia="zh-CN"/>
        </w:rPr>
      </w:pPr>
      <w:r>
        <w:rPr>
          <w:rFonts w:hint="eastAsia" w:ascii="仿宋_GB2312" w:hAnsi="仿宋_GB2312" w:eastAsia="仿宋_GB2312" w:cs="仿宋_GB2312"/>
          <w:color w:val="FF0000"/>
          <w:sz w:val="28"/>
          <w:szCs w:val="28"/>
          <w:lang w:val="en-US" w:eastAsia="zh-CN"/>
        </w:rPr>
        <w:t>（2）声明是残疾人福利性单位须填写《残疾人福利性单位声明函》的相关内容，具体参照以上《中小企业声明函》填写要求执行。</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_GB2312" w:hAnsi="仿宋_GB2312" w:eastAsia="仿宋_GB2312" w:cs="仿宋_GB2312"/>
          <w:color w:val="FF0000"/>
          <w:sz w:val="28"/>
          <w:szCs w:val="28"/>
          <w:lang w:val="en-US" w:eastAsia="zh-CN"/>
        </w:rPr>
      </w:pPr>
      <w:r>
        <w:rPr>
          <w:rFonts w:hint="eastAsia" w:ascii="仿宋_GB2312" w:hAnsi="仿宋_GB2312" w:eastAsia="仿宋_GB2312" w:cs="仿宋_GB2312"/>
          <w:color w:val="FF0000"/>
          <w:sz w:val="28"/>
          <w:szCs w:val="28"/>
          <w:lang w:val="en-US" w:eastAsia="zh-CN"/>
        </w:rPr>
        <w:t>（3）声明是监狱企业须填写《监狱企业声明函》的三项内容（填写位置的字体已加粗），具体参照以上《中小企业声明函》填写要求执行。</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pPr>
      <w:r>
        <w:rPr>
          <w:rFonts w:hint="eastAsia" w:ascii="仿宋_GB2312" w:hAnsi="仿宋_GB2312" w:eastAsia="仿宋_GB2312" w:cs="仿宋_GB2312"/>
          <w:color w:val="FF0000"/>
          <w:sz w:val="28"/>
          <w:szCs w:val="28"/>
          <w:lang w:val="en-US" w:eastAsia="zh-CN"/>
        </w:rPr>
        <w:t>5、声明函的有效性最终由采购评审小组判定；如采购评审小组判定声明函无效，相关供应商不享受价格扣除（但不作投标无效处理）。</w:t>
      </w:r>
    </w:p>
    <w:p>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ind w:firstLine="562" w:firstLineChars="200"/>
        <w:jc w:val="center"/>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（1）中小企业声明函</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本投标人郑重声明，根据《政府采购促进中小企业发展管理办法》（财库﹝2020﹞46号）的规定，本投标人参加深圳市盐田区中英街管理局的（项目名称）采购活动，工程的施工单位全部为符合政策要求的中小企业承建。相关企业的具体情况如下：</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b/>
          <w:bCs/>
          <w:color w:val="auto"/>
          <w:sz w:val="28"/>
          <w:szCs w:val="28"/>
          <w:u w:val="single"/>
          <w:lang w:val="en-US" w:eastAsia="zh-CN"/>
        </w:rPr>
        <w:t xml:space="preserve"> （标的名称） </w:t>
      </w:r>
      <w:r>
        <w:rPr>
          <w:rFonts w:hint="eastAsia" w:ascii="仿宋_GB2312" w:hAnsi="仿宋_GB2312" w:eastAsia="仿宋_GB2312" w:cs="仿宋_GB2312"/>
          <w:color w:val="auto"/>
          <w:sz w:val="28"/>
          <w:szCs w:val="28"/>
          <w:lang w:val="en-US" w:eastAsia="zh-CN"/>
        </w:rPr>
        <w:t>，属于</w:t>
      </w:r>
      <w:r>
        <w:rPr>
          <w:rFonts w:hint="eastAsia" w:ascii="仿宋_GB2312" w:hAnsi="仿宋_GB2312" w:eastAsia="仿宋_GB2312" w:cs="仿宋_GB2312"/>
          <w:b/>
          <w:bCs/>
          <w:color w:val="auto"/>
          <w:sz w:val="28"/>
          <w:szCs w:val="28"/>
          <w:u w:val="single"/>
          <w:lang w:val="en-US" w:eastAsia="zh-CN"/>
        </w:rPr>
        <w:t xml:space="preserve">（采购文件中明确的所属行业） </w:t>
      </w:r>
      <w:r>
        <w:rPr>
          <w:rFonts w:hint="eastAsia" w:ascii="仿宋_GB2312" w:hAnsi="仿宋_GB2312" w:eastAsia="仿宋_GB2312" w:cs="仿宋_GB2312"/>
          <w:color w:val="auto"/>
          <w:sz w:val="28"/>
          <w:szCs w:val="28"/>
          <w:lang w:val="en-US" w:eastAsia="zh-CN"/>
        </w:rPr>
        <w:t>行业；承接企业为</w:t>
      </w:r>
      <w:r>
        <w:rPr>
          <w:rFonts w:hint="eastAsia" w:ascii="仿宋_GB2312" w:hAnsi="仿宋_GB2312" w:eastAsia="仿宋_GB2312" w:cs="仿宋_GB2312"/>
          <w:b/>
          <w:bCs/>
          <w:color w:val="auto"/>
          <w:sz w:val="28"/>
          <w:szCs w:val="28"/>
          <w:u w:val="single"/>
          <w:lang w:val="en-US" w:eastAsia="zh-CN"/>
        </w:rPr>
        <w:t>（企业名称）</w:t>
      </w:r>
      <w:r>
        <w:rPr>
          <w:rFonts w:hint="eastAsia" w:ascii="仿宋_GB2312" w:hAnsi="仿宋_GB2312" w:eastAsia="仿宋_GB2312" w:cs="仿宋_GB2312"/>
          <w:color w:val="auto"/>
          <w:sz w:val="28"/>
          <w:szCs w:val="28"/>
          <w:lang w:val="en-US" w:eastAsia="zh-CN"/>
        </w:rPr>
        <w:t>，从业人员人，营业收入为万元，资产总额为万元 ，属于</w:t>
      </w:r>
      <w:r>
        <w:rPr>
          <w:rFonts w:hint="eastAsia" w:ascii="仿宋_GB2312" w:hAnsi="仿宋_GB2312" w:eastAsia="仿宋_GB2312" w:cs="仿宋_GB2312"/>
          <w:b/>
          <w:bCs/>
          <w:color w:val="auto"/>
          <w:sz w:val="28"/>
          <w:szCs w:val="28"/>
          <w:u w:val="single"/>
          <w:lang w:val="en-US" w:eastAsia="zh-CN"/>
        </w:rPr>
        <w:t>（中型企业、小型企业、微型企业）</w:t>
      </w:r>
      <w:r>
        <w:rPr>
          <w:rFonts w:hint="eastAsia" w:ascii="仿宋_GB2312" w:hAnsi="仿宋_GB2312" w:eastAsia="仿宋_GB2312" w:cs="仿宋_GB2312"/>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b/>
          <w:bCs/>
          <w:color w:val="auto"/>
          <w:sz w:val="28"/>
          <w:szCs w:val="28"/>
          <w:u w:val="single"/>
          <w:lang w:val="en-US" w:eastAsia="zh-CN"/>
        </w:rPr>
        <w:t xml:space="preserve"> （标的名称） </w:t>
      </w:r>
      <w:r>
        <w:rPr>
          <w:rFonts w:hint="eastAsia" w:ascii="仿宋_GB2312" w:hAnsi="仿宋_GB2312" w:eastAsia="仿宋_GB2312" w:cs="仿宋_GB2312"/>
          <w:color w:val="auto"/>
          <w:sz w:val="28"/>
          <w:szCs w:val="28"/>
          <w:lang w:val="en-US" w:eastAsia="zh-CN"/>
        </w:rPr>
        <w:t>，属于</w:t>
      </w:r>
      <w:r>
        <w:rPr>
          <w:rFonts w:hint="eastAsia" w:ascii="仿宋_GB2312" w:hAnsi="仿宋_GB2312" w:eastAsia="仿宋_GB2312" w:cs="仿宋_GB2312"/>
          <w:b/>
          <w:bCs/>
          <w:color w:val="auto"/>
          <w:sz w:val="28"/>
          <w:szCs w:val="28"/>
          <w:u w:val="single"/>
          <w:lang w:val="en-US" w:eastAsia="zh-CN"/>
        </w:rPr>
        <w:t xml:space="preserve">（采购文件中明确的所属行业） </w:t>
      </w:r>
      <w:r>
        <w:rPr>
          <w:rFonts w:hint="eastAsia" w:ascii="仿宋_GB2312" w:hAnsi="仿宋_GB2312" w:eastAsia="仿宋_GB2312" w:cs="仿宋_GB2312"/>
          <w:color w:val="auto"/>
          <w:sz w:val="28"/>
          <w:szCs w:val="28"/>
          <w:lang w:val="en-US" w:eastAsia="zh-CN"/>
        </w:rPr>
        <w:t>行业；承接企业为</w:t>
      </w:r>
      <w:r>
        <w:rPr>
          <w:rFonts w:hint="eastAsia" w:ascii="仿宋_GB2312" w:hAnsi="仿宋_GB2312" w:eastAsia="仿宋_GB2312" w:cs="仿宋_GB2312"/>
          <w:b/>
          <w:bCs/>
          <w:color w:val="auto"/>
          <w:sz w:val="28"/>
          <w:szCs w:val="28"/>
          <w:u w:val="single"/>
          <w:lang w:val="en-US" w:eastAsia="zh-CN"/>
        </w:rPr>
        <w:t>（企业名称）</w:t>
      </w:r>
      <w:r>
        <w:rPr>
          <w:rFonts w:hint="eastAsia" w:ascii="仿宋_GB2312" w:hAnsi="仿宋_GB2312" w:eastAsia="仿宋_GB2312" w:cs="仿宋_GB2312"/>
          <w:color w:val="auto"/>
          <w:sz w:val="28"/>
          <w:szCs w:val="28"/>
          <w:lang w:val="en-US" w:eastAsia="zh-CN"/>
        </w:rPr>
        <w:t>，从业人员人，营业收入为万元，资产总额为万元 ，属于</w:t>
      </w:r>
      <w:r>
        <w:rPr>
          <w:rFonts w:hint="eastAsia" w:ascii="仿宋_GB2312" w:hAnsi="仿宋_GB2312" w:eastAsia="仿宋_GB2312" w:cs="仿宋_GB2312"/>
          <w:b/>
          <w:bCs/>
          <w:color w:val="auto"/>
          <w:sz w:val="28"/>
          <w:szCs w:val="28"/>
          <w:u w:val="single"/>
          <w:lang w:val="en-US" w:eastAsia="zh-CN"/>
        </w:rPr>
        <w:t>（中型企业、小型企业、微型企业）</w:t>
      </w:r>
      <w:r>
        <w:rPr>
          <w:rFonts w:hint="eastAsia" w:ascii="仿宋_GB2312" w:hAnsi="仿宋_GB2312" w:eastAsia="仿宋_GB2312" w:cs="仿宋_GB2312"/>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以上企业，不属于大企业的分支机构，不存在控股股东为大企业的情形，也不存在与大企业的负责人为同一人的情形。</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bookmarkStart w:id="74" w:name="_Hlk73562203"/>
      <w:r>
        <w:rPr>
          <w:rFonts w:hint="eastAsia" w:ascii="仿宋_GB2312" w:hAnsi="仿宋_GB2312" w:eastAsia="仿宋_GB2312" w:cs="仿宋_GB2312"/>
          <w:color w:val="auto"/>
          <w:sz w:val="28"/>
          <w:szCs w:val="28"/>
          <w:lang w:val="en-US" w:eastAsia="zh-CN"/>
        </w:rPr>
        <w:t>本投标人已知悉《政府采购促进中小企业发展管理办法》（财库〔2020〕 46号）、《中小企业划型标准规定》（工信部联企〔2011〕300号）、《统计上大中小微型企业划分办法（2017）》等规定，承诺提供的声明函内容是真实的，并知悉根据《政府采购促进中小企业发展管理办法》（财库〔2020〕46号）第二十条规定，投标人按照本办法规定提供声明函内容不实的，属于提供虚假材料谋取中标，依照《政府采购法》等政府采购有关法律法规规定追究相应责任。</w:t>
      </w:r>
      <w:bookmarkEnd w:id="74"/>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b/>
          <w:sz w:val="24"/>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ind w:firstLine="562" w:firstLineChars="200"/>
        <w:jc w:val="center"/>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（2）残疾人福利性单位声明函</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本投标人郑重声明，根据《财政部民政部中国残疾人联合会关于促进残疾人就业政府采购政策的通知》（财库〔2017〕141号）的规定，本投标人参加深圳市盐田区中英街管理局的</w:t>
      </w:r>
      <w:r>
        <w:rPr>
          <w:rFonts w:hint="eastAsia" w:ascii="仿宋_GB2312" w:hAnsi="仿宋_GB2312" w:eastAsia="仿宋_GB2312" w:cs="仿宋_GB2312"/>
          <w:b/>
          <w:bCs/>
          <w:color w:val="auto"/>
          <w:sz w:val="28"/>
          <w:szCs w:val="28"/>
          <w:u w:val="single"/>
          <w:lang w:val="en-US" w:eastAsia="zh-CN"/>
        </w:rPr>
        <w:t>（项目名称）</w:t>
      </w:r>
      <w:r>
        <w:rPr>
          <w:rFonts w:hint="eastAsia" w:ascii="仿宋_GB2312" w:hAnsi="仿宋_GB2312" w:eastAsia="仿宋_GB2312" w:cs="仿宋_GB2312"/>
          <w:color w:val="auto"/>
          <w:sz w:val="28"/>
          <w:szCs w:val="28"/>
          <w:lang w:val="en-US" w:eastAsia="zh-CN"/>
        </w:rPr>
        <w:t>采购活动，并由本单位承担工程。</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bookmarkStart w:id="75" w:name="_Hlk73562331"/>
      <w:bookmarkStart w:id="76" w:name="_Hlk73562245"/>
      <w:r>
        <w:rPr>
          <w:rFonts w:hint="eastAsia" w:ascii="仿宋_GB2312" w:hAnsi="仿宋_GB2312" w:eastAsia="仿宋_GB2312" w:cs="仿宋_GB2312"/>
          <w:color w:val="auto"/>
          <w:sz w:val="28"/>
          <w:szCs w:val="28"/>
          <w:lang w:val="en-US" w:eastAsia="zh-CN"/>
        </w:rPr>
        <w:t>本投标人已知悉《财政部民政部中国残疾人联合会关于促进残疾人就业政府采购政策的通知》（财库〔2017〕141 号）的规定，承诺提供的声明函内容是真实的，如提供声明函内容不实，则依法追究相关法律责任。</w:t>
      </w:r>
      <w:bookmarkEnd w:id="75"/>
    </w:p>
    <w:bookmarkEnd w:id="76"/>
    <w:p>
      <w:pPr>
        <w:keepNext w:val="0"/>
        <w:keepLines w:val="0"/>
        <w:pageBreakBefore w:val="0"/>
        <w:widowControl w:val="0"/>
        <w:kinsoku/>
        <w:wordWrap/>
        <w:overflowPunct/>
        <w:topLinePunct w:val="0"/>
        <w:autoSpaceDE/>
        <w:autoSpaceDN/>
        <w:bidi w:val="0"/>
        <w:adjustRightInd/>
        <w:snapToGrid/>
        <w:spacing w:line="500" w:lineRule="exact"/>
        <w:ind w:firstLine="420" w:firstLineChars="200"/>
        <w:jc w:val="both"/>
        <w:textAlignment w:val="auto"/>
        <w:rPr>
          <w:rFonts w:ascii="宋体" w:hAnsi="宋体"/>
          <w:szCs w:val="21"/>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ind w:firstLine="562" w:firstLineChars="200"/>
        <w:jc w:val="center"/>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（3）狱企业声明函【提供监狱企业货物的供应商如需享受优惠政策，还须另行提供省级以上监狱管理局、戒毒管理局（含新疆生产建设兵团）出具的监狱企业证明文件】</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本投标人郑重声明，根据《财政部司法部关于政府采购支持监狱企业发展有关问题的通知》（财库〔2014〕68号）的规定，本投标人参加深圳市盐田区中英街管理局的</w:t>
      </w:r>
      <w:r>
        <w:rPr>
          <w:rFonts w:hint="eastAsia" w:ascii="仿宋_GB2312" w:hAnsi="仿宋_GB2312" w:eastAsia="仿宋_GB2312" w:cs="仿宋_GB2312"/>
          <w:b/>
          <w:bCs/>
          <w:color w:val="auto"/>
          <w:sz w:val="28"/>
          <w:szCs w:val="28"/>
          <w:u w:val="single"/>
          <w:lang w:val="en-US" w:eastAsia="zh-CN"/>
        </w:rPr>
        <w:t>（项目名称）</w:t>
      </w:r>
      <w:r>
        <w:rPr>
          <w:rFonts w:hint="eastAsia" w:ascii="仿宋_GB2312" w:hAnsi="仿宋_GB2312" w:eastAsia="仿宋_GB2312" w:cs="仿宋_GB2312"/>
          <w:color w:val="auto"/>
          <w:sz w:val="28"/>
          <w:szCs w:val="28"/>
          <w:lang w:val="en-US" w:eastAsia="zh-CN"/>
        </w:rPr>
        <w:t>采购活动，并由本单位承担工程。</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本投标人对上述声明内容的真实性负责。如有虚假，将依法承担相应责任。</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附：省级以上监狱管理局、戒毒管理局（含新疆生产建设兵团）出具的监狱企业证明文件。</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b/>
          <w:bCs/>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b/>
          <w:color w:val="FF0000"/>
          <w:sz w:val="32"/>
          <w:szCs w:val="32"/>
        </w:rPr>
      </w:pPr>
      <w:r>
        <w:rPr>
          <w:rFonts w:hint="eastAsia"/>
          <w:b/>
          <w:color w:val="FF0000"/>
          <w:sz w:val="32"/>
          <w:szCs w:val="32"/>
        </w:rPr>
        <w:t>其它内容格式自定：</w:t>
      </w:r>
    </w:p>
    <w:p>
      <w:pPr>
        <w:ind w:left="632" w:hanging="632" w:hangingChars="300"/>
        <w:rPr>
          <w:rFonts w:hint="eastAsia"/>
          <w:b/>
          <w:bCs/>
        </w:rPr>
      </w:pPr>
    </w:p>
    <w:p>
      <w:pPr>
        <w:pStyle w:val="3"/>
        <w:jc w:val="center"/>
        <w:rPr>
          <w:rFonts w:hint="eastAsia" w:ascii="黑体" w:hAnsi="宋体" w:eastAsia="黑体" w:cs="Times New Roman"/>
          <w:b w:val="0"/>
          <w:bCs w:val="0"/>
          <w:kern w:val="0"/>
          <w:sz w:val="24"/>
          <w:szCs w:val="32"/>
          <w:lang w:val="en-US" w:eastAsia="zh-CN" w:bidi="ar-SA"/>
        </w:rPr>
      </w:pPr>
      <w:bookmarkStart w:id="77" w:name="_Toc22125"/>
      <w:r>
        <w:rPr>
          <w:rFonts w:hint="eastAsia" w:ascii="黑体" w:hAnsi="宋体" w:eastAsia="黑体" w:cs="Times New Roman"/>
          <w:b w:val="0"/>
          <w:bCs w:val="0"/>
          <w:kern w:val="0"/>
          <w:sz w:val="24"/>
          <w:szCs w:val="32"/>
          <w:lang w:val="en-US" w:eastAsia="zh-CN" w:bidi="ar-SA"/>
        </w:rPr>
        <w:t>七、投标人通过相关认证情况</w:t>
      </w:r>
      <w:bookmarkEnd w:id="77"/>
    </w:p>
    <w:p>
      <w:pPr>
        <w:pStyle w:val="3"/>
        <w:jc w:val="center"/>
        <w:rPr>
          <w:rFonts w:hint="eastAsia" w:ascii="黑体" w:hAnsi="宋体" w:eastAsia="黑体" w:cs="Times New Roman"/>
          <w:b w:val="0"/>
          <w:bCs w:val="0"/>
          <w:kern w:val="0"/>
          <w:sz w:val="24"/>
          <w:szCs w:val="32"/>
          <w:lang w:val="en-US" w:eastAsia="zh-CN" w:bidi="ar-SA"/>
        </w:rPr>
      </w:pPr>
      <w:bookmarkStart w:id="78" w:name="_Toc23707"/>
      <w:r>
        <w:rPr>
          <w:rFonts w:hint="eastAsia" w:ascii="黑体" w:hAnsi="宋体" w:eastAsia="黑体" w:cs="Times New Roman"/>
          <w:b w:val="0"/>
          <w:bCs w:val="0"/>
          <w:kern w:val="0"/>
          <w:sz w:val="24"/>
          <w:szCs w:val="32"/>
          <w:lang w:val="en-US" w:eastAsia="zh-CN" w:bidi="ar-SA"/>
        </w:rPr>
        <w:t>八、投标人同类项目业绩情况</w:t>
      </w:r>
      <w:bookmarkEnd w:id="78"/>
    </w:p>
    <w:p>
      <w:pPr>
        <w:pStyle w:val="3"/>
        <w:jc w:val="center"/>
        <w:rPr>
          <w:rFonts w:ascii="黑体" w:eastAsia="黑体"/>
          <w:b w:val="0"/>
          <w:kern w:val="0"/>
          <w:sz w:val="24"/>
        </w:rPr>
      </w:pPr>
      <w:bookmarkStart w:id="79" w:name="_Toc30841"/>
      <w:r>
        <w:rPr>
          <w:rFonts w:hint="eastAsia" w:ascii="黑体" w:eastAsia="黑体"/>
          <w:b w:val="0"/>
          <w:kern w:val="0"/>
          <w:sz w:val="24"/>
          <w:lang w:eastAsia="zh-CN"/>
        </w:rPr>
        <w:t>九</w:t>
      </w:r>
      <w:r>
        <w:rPr>
          <w:rFonts w:hint="eastAsia" w:ascii="黑体" w:eastAsia="黑体"/>
          <w:b w:val="0"/>
          <w:kern w:val="0"/>
          <w:sz w:val="24"/>
        </w:rPr>
        <w:t>、拟安排的项目经理情况（仅限一人）</w:t>
      </w:r>
      <w:bookmarkEnd w:id="79"/>
    </w:p>
    <w:p>
      <w:pPr>
        <w:pStyle w:val="3"/>
        <w:jc w:val="center"/>
        <w:rPr>
          <w:rFonts w:ascii="黑体" w:eastAsia="黑体"/>
          <w:b w:val="0"/>
          <w:kern w:val="0"/>
          <w:sz w:val="24"/>
        </w:rPr>
      </w:pPr>
      <w:bookmarkStart w:id="80" w:name="_Toc453"/>
      <w:r>
        <w:rPr>
          <w:rFonts w:hint="eastAsia" w:ascii="黑体" w:eastAsia="黑体"/>
          <w:b w:val="0"/>
          <w:kern w:val="0"/>
          <w:sz w:val="24"/>
        </w:rPr>
        <w:t>十、拟安排的项目主要团队成员（主要技术人员）情况（项目经理除外）</w:t>
      </w:r>
      <w:bookmarkEnd w:id="80"/>
    </w:p>
    <w:p>
      <w:pPr>
        <w:rPr>
          <w:rFonts w:hint="eastAsia" w:ascii="黑体" w:eastAsia="黑体"/>
          <w:b w:val="0"/>
          <w:kern w:val="0"/>
          <w:sz w:val="24"/>
        </w:rPr>
      </w:pPr>
      <w:bookmarkStart w:id="81" w:name="_Toc32169"/>
      <w:r>
        <w:rPr>
          <w:rFonts w:hint="eastAsia" w:ascii="黑体" w:eastAsia="黑体"/>
          <w:b w:val="0"/>
          <w:kern w:val="0"/>
          <w:sz w:val="24"/>
        </w:rPr>
        <w:br w:type="page"/>
      </w:r>
    </w:p>
    <w:p>
      <w:pPr>
        <w:pStyle w:val="3"/>
        <w:jc w:val="center"/>
        <w:rPr>
          <w:rFonts w:ascii="黑体" w:eastAsia="黑体"/>
          <w:b w:val="0"/>
          <w:kern w:val="0"/>
          <w:sz w:val="24"/>
        </w:rPr>
      </w:pPr>
      <w:r>
        <w:rPr>
          <w:rFonts w:hint="eastAsia" w:ascii="黑体" w:eastAsia="黑体"/>
          <w:b w:val="0"/>
          <w:kern w:val="0"/>
          <w:sz w:val="24"/>
        </w:rPr>
        <w:t>十</w:t>
      </w:r>
      <w:r>
        <w:rPr>
          <w:rFonts w:hint="eastAsia" w:ascii="黑体" w:eastAsia="黑体"/>
          <w:b w:val="0"/>
          <w:kern w:val="0"/>
          <w:sz w:val="24"/>
          <w:lang w:eastAsia="zh-CN"/>
        </w:rPr>
        <w:t>一</w:t>
      </w:r>
      <w:r>
        <w:rPr>
          <w:rFonts w:hint="eastAsia" w:ascii="黑体" w:eastAsia="黑体"/>
          <w:b w:val="0"/>
          <w:kern w:val="0"/>
          <w:sz w:val="24"/>
        </w:rPr>
        <w:t>、政府采购违法行为风险知悉确认书</w:t>
      </w:r>
      <w:bookmarkEnd w:id="81"/>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本公司在投标前已充分知悉以下情形为参与政府采购活动时的重大风险事项，并承诺已对下述风险提示事项重点排查，做到严谨、诚信、依法依规参与政府采购活动。</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一、本公司已充分知悉“隐瞒真实情况，提供虚假资料”的法定情形，相关情形包括但不限于：</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（一）通过转让或者租借等方式从其他单位获取资格或者资质证书投标的。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（二）由其他单位或者其他单位负责人在投标供应商编制的投标文件上加盖印章或者签字的。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（三）项目负责人或者主要技术人员不是本单位人员的。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（四）投标保证金不是从投标供应商基本账户转出的。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（五）其他隐瞒真实情况、提供虚假资料的行为。</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二、本公司已充分知悉“与其他采购参加人串通投标”的法定情形，相关情形包括但不限于：</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（一）投标供应商之间相互约定给予未中标的供应商利益补偿。</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（二）不同投标供应商的法定代表人、主要经营负责人、项目投标授权代表人、项目负责人、主要技术人员为同一人、属同一单位或者在同一单位缴纳社会保险。</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（三）不同投标供应商的投标文件由同一单位或者同一人编制，或者由同一人分阶段参与编制的。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（四）不同投标供应商的投标文件或部分投标文件相互混装。</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（五）不同投标供应商的投标文件内容存在非正常一致。</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（六）由同一单位工作人员为两家以上（含两家）供应商进行同一项投标活动的。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（七）不同投标人的投标报价呈规律性差异。</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（八）不同投标人的投标保证金从同一单位或者个人的账户转出。</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（九）主管部门依照法律、法规认定的其他情形。</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三、本公司已充分知悉下列情形所对应的法律风险，并在投标前已对相关风险事项进行排查。</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color w:val="auto"/>
          <w:sz w:val="28"/>
          <w:szCs w:val="28"/>
          <w:lang w:val="en-US" w:eastAsia="zh-CN"/>
        </w:rPr>
        <w:t>（一）对于从其他主体获取的投标资料，供应商应审慎核查，确保投标资料的真实性。</w:t>
      </w:r>
      <w:r>
        <w:rPr>
          <w:rFonts w:hint="eastAsia" w:ascii="仿宋_GB2312" w:hAnsi="仿宋_GB2312" w:eastAsia="仿宋_GB2312" w:cs="仿宋_GB2312"/>
          <w:b/>
          <w:bCs/>
          <w:color w:val="auto"/>
          <w:sz w:val="28"/>
          <w:szCs w:val="28"/>
          <w:lang w:val="en-US" w:eastAsia="zh-CN"/>
        </w:rPr>
        <w:t>如主管部门查实投标文件中存在虚假资料的，无论相关资料是否由第三方或本公司员工提供，均不影响主管部门对供应商存在“隐瞒真实情况，提供虚假资料”违法行为的认定。</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（二）对于涉及国家机关出具的公文、证件、证明材料等文件，一旦涉嫌虚假，经查实，主管部门将依法从严处理，并移送有关部门追究法律责任；涉嫌犯罪的，主管部门将一并移送司法机关追究法律责任。</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（三）对于涉及安全生产、特种作业、抢险救灾、防疫等政府采购项目，供应商实施提供虚假资料、串通投标等违法行为的，主管部门将依法从严处理。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四）供应商应严格规范项目授权代表、员工参与招标投标的行为，加强对投标文件的审核。项目授权代表、员工编制、上传投标文件等行为违反政府采购法律法规或采购文件要求的，投标供应商应当依法承担相应法律责任。</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（六）单位负责人为同一人或者存在直接控股、管理关系的不同供应商，不得参加同一合同项下的政府采购活动。相关情形如查实，依法作投标无效处理；涉嫌串通投标等违法行为的，主管部门将依法调查处理。</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四、本公司已充分知悉政府采购违法、违规行为的法律后果。</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color w:val="auto"/>
          <w:sz w:val="28"/>
          <w:szCs w:val="28"/>
          <w:lang w:val="en-US" w:eastAsia="zh-CN"/>
        </w:rPr>
        <w:t>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r>
        <w:rPr>
          <w:rFonts w:hint="eastAsia" w:ascii="仿宋_GB2312" w:hAnsi="仿宋_GB2312" w:eastAsia="仿宋_GB2312" w:cs="仿宋_GB2312"/>
          <w:b/>
          <w:bCs/>
          <w:color w:val="auto"/>
          <w:sz w:val="28"/>
          <w:szCs w:val="28"/>
          <w:lang w:val="en-US" w:eastAsia="zh-CN"/>
        </w:rPr>
        <w:t>以下文字请投标供应商抄写并确认：“本公司已仔细阅读《政府采购违法行为风险知悉确认书》，充分知悉违法行为的法律后果，并承诺将严谨、诚信、依法依规参与政府采购活动”。</w:t>
      </w:r>
    </w:p>
    <w:tbl>
      <w:tblPr>
        <w:tblStyle w:val="16"/>
        <w:tblW w:w="0" w:type="auto"/>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noWrap w:val="0"/>
            <w:vAlign w:val="top"/>
          </w:tcPr>
          <w:p>
            <w:pPr>
              <w:autoSpaceDE w:val="0"/>
              <w:autoSpaceDN w:val="0"/>
              <w:spacing w:line="400" w:lineRule="exact"/>
              <w:rPr>
                <w:rFonts w:ascii="宋体" w:hAnsi="宋体"/>
                <w:spacing w:val="-4"/>
                <w:kern w:val="0"/>
                <w:szCs w:val="21"/>
              </w:rPr>
            </w:pP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pPr>
              <w:autoSpaceDE w:val="0"/>
              <w:autoSpaceDN w:val="0"/>
              <w:spacing w:line="400" w:lineRule="exact"/>
              <w:rPr>
                <w:rFonts w:ascii="宋体" w:hAnsi="宋体"/>
                <w:spacing w:val="-4"/>
                <w:kern w:val="0"/>
                <w:szCs w:val="21"/>
              </w:rPr>
            </w:pP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pPr>
              <w:autoSpaceDE w:val="0"/>
              <w:autoSpaceDN w:val="0"/>
              <w:spacing w:line="400" w:lineRule="exact"/>
              <w:rPr>
                <w:rFonts w:ascii="宋体" w:hAnsi="宋体"/>
                <w:spacing w:val="-4"/>
                <w:kern w:val="0"/>
                <w:szCs w:val="21"/>
              </w:rPr>
            </w:pP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noWrap w:val="0"/>
            <w:vAlign w:val="top"/>
          </w:tcPr>
          <w:p>
            <w:pPr>
              <w:autoSpaceDE w:val="0"/>
              <w:autoSpaceDN w:val="0"/>
              <w:spacing w:line="400" w:lineRule="exact"/>
              <w:rPr>
                <w:rFonts w:ascii="宋体" w:hAnsi="宋体"/>
                <w:spacing w:val="-4"/>
                <w:kern w:val="0"/>
                <w:szCs w:val="21"/>
              </w:rPr>
            </w:pPr>
          </w:p>
        </w:tc>
      </w:tr>
    </w:tbl>
    <w:p>
      <w:pPr>
        <w:autoSpaceDE w:val="0"/>
        <w:autoSpaceDN w:val="0"/>
        <w:spacing w:line="400" w:lineRule="exact"/>
        <w:ind w:firstLine="405" w:firstLineChars="200"/>
        <w:jc w:val="left"/>
        <w:rPr>
          <w:rFonts w:ascii="宋体" w:hAnsi="宋体"/>
          <w:b/>
          <w:bCs/>
          <w:color w:val="FF0000"/>
          <w:spacing w:val="-4"/>
          <w:kern w:val="0"/>
          <w:szCs w:val="21"/>
        </w:rPr>
      </w:pPr>
      <w:r>
        <w:rPr>
          <w:rFonts w:hint="eastAsia" w:ascii="宋体" w:hAnsi="宋体"/>
          <w:b/>
          <w:bCs/>
          <w:color w:val="FF0000"/>
          <w:spacing w:val="-4"/>
          <w:kern w:val="0"/>
          <w:szCs w:val="21"/>
        </w:rPr>
        <w:t>注：1.政府采购违法行为风险知悉确认书不作为资格性审查及符合性审查条件。</w:t>
      </w:r>
    </w:p>
    <w:p>
      <w:pPr>
        <w:autoSpaceDE w:val="0"/>
        <w:autoSpaceDN w:val="0"/>
        <w:spacing w:line="400" w:lineRule="exact"/>
        <w:ind w:firstLine="405" w:firstLineChars="200"/>
        <w:rPr>
          <w:rFonts w:ascii="宋体" w:hAnsi="宋体"/>
          <w:color w:val="FF0000"/>
          <w:spacing w:val="-4"/>
          <w:kern w:val="0"/>
          <w:szCs w:val="21"/>
        </w:rPr>
      </w:pPr>
      <w:r>
        <w:rPr>
          <w:rFonts w:hint="eastAsia" w:ascii="宋体" w:hAnsi="宋体"/>
          <w:b/>
          <w:bCs/>
          <w:color w:val="FF0000"/>
          <w:spacing w:val="-4"/>
          <w:kern w:val="0"/>
          <w:szCs w:val="21"/>
        </w:rPr>
        <w:t>2.投标供应商负责人或投标授权代表签字并加盖单位公章后，扫描上传至投标文件一并提交。</w:t>
      </w:r>
    </w:p>
    <w:p>
      <w:pPr>
        <w:wordWrap w:val="0"/>
        <w:autoSpaceDE w:val="0"/>
        <w:autoSpaceDN w:val="0"/>
        <w:spacing w:line="400" w:lineRule="exact"/>
        <w:ind w:firstLine="404" w:firstLineChars="200"/>
        <w:jc w:val="right"/>
        <w:rPr>
          <w:rFonts w:hint="eastAsia" w:ascii="宋体" w:hAnsi="宋体"/>
          <w:spacing w:val="-4"/>
          <w:kern w:val="0"/>
          <w:szCs w:val="21"/>
        </w:rPr>
      </w:pPr>
    </w:p>
    <w:p>
      <w:pPr>
        <w:wordWrap/>
        <w:autoSpaceDE w:val="0"/>
        <w:autoSpaceDN w:val="0"/>
        <w:spacing w:line="400" w:lineRule="exact"/>
        <w:ind w:firstLine="404" w:firstLineChars="200"/>
        <w:jc w:val="right"/>
        <w:rPr>
          <w:rFonts w:hint="eastAsia" w:ascii="宋体" w:hAnsi="宋体"/>
          <w:spacing w:val="-4"/>
          <w:kern w:val="0"/>
          <w:szCs w:val="21"/>
        </w:rPr>
      </w:pPr>
    </w:p>
    <w:p>
      <w:pPr>
        <w:keepNext w:val="0"/>
        <w:keepLines w:val="0"/>
        <w:pageBreakBefore w:val="0"/>
        <w:widowControl w:val="0"/>
        <w:kinsoku/>
        <w:wordWrap/>
        <w:overflowPunct/>
        <w:topLinePunct w:val="0"/>
        <w:autoSpaceDE/>
        <w:autoSpaceDN/>
        <w:bidi w:val="0"/>
        <w:adjustRightInd/>
        <w:snapToGrid/>
        <w:spacing w:line="500" w:lineRule="exact"/>
        <w:ind w:firstLine="3640" w:firstLineChars="13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单位负责人/投标授权代表签名：     </w:t>
      </w:r>
    </w:p>
    <w:p>
      <w:pPr>
        <w:keepNext w:val="0"/>
        <w:keepLines w:val="0"/>
        <w:pageBreakBefore w:val="0"/>
        <w:widowControl w:val="0"/>
        <w:kinsoku/>
        <w:wordWrap/>
        <w:overflowPunct/>
        <w:topLinePunct w:val="0"/>
        <w:autoSpaceDE/>
        <w:autoSpaceDN/>
        <w:bidi w:val="0"/>
        <w:adjustRightInd/>
        <w:snapToGrid/>
        <w:spacing w:line="500" w:lineRule="exact"/>
        <w:ind w:firstLine="4480" w:firstLineChars="16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（加盖公章）</w:t>
      </w:r>
    </w:p>
    <w:p>
      <w:pPr>
        <w:keepNext w:val="0"/>
        <w:keepLines w:val="0"/>
        <w:pageBreakBefore w:val="0"/>
        <w:widowControl w:val="0"/>
        <w:kinsoku/>
        <w:wordWrap/>
        <w:overflowPunct/>
        <w:topLinePunct w:val="0"/>
        <w:autoSpaceDE/>
        <w:autoSpaceDN/>
        <w:bidi w:val="0"/>
        <w:adjustRightInd/>
        <w:snapToGrid/>
        <w:spacing w:line="500" w:lineRule="exact"/>
        <w:ind w:firstLine="4760" w:firstLineChars="17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日期：   </w:t>
      </w:r>
    </w:p>
    <w:p>
      <w:pPr>
        <w:rPr>
          <w:b/>
          <w:bCs/>
        </w:rPr>
      </w:pPr>
    </w:p>
    <w:p>
      <w:pPr>
        <w:rPr>
          <w:b/>
          <w:bCs/>
        </w:rPr>
      </w:pPr>
    </w:p>
    <w:p>
      <w:pPr>
        <w:ind w:left="632" w:hanging="632" w:hangingChars="300"/>
        <w:rPr>
          <w:rFonts w:hint="eastAsia"/>
          <w:b/>
          <w:bCs/>
        </w:rPr>
      </w:pPr>
      <w:r>
        <w:rPr>
          <w:b/>
          <w:bCs/>
        </w:rPr>
        <w:br w:type="page"/>
      </w:r>
    </w:p>
    <w:p>
      <w:pPr>
        <w:pStyle w:val="3"/>
        <w:rPr>
          <w:bCs/>
          <w:color w:val="FF0000"/>
        </w:rPr>
      </w:pPr>
      <w:bookmarkStart w:id="82" w:name="_Toc16305"/>
      <w:r>
        <w:rPr>
          <w:rFonts w:hint="eastAsia"/>
          <w:bCs/>
          <w:color w:val="FF0000"/>
        </w:rPr>
        <w:t>投标文件第二</w:t>
      </w:r>
      <w:r>
        <w:rPr>
          <w:bCs/>
          <w:color w:val="FF0000"/>
        </w:rPr>
        <w:t>部分</w:t>
      </w:r>
      <w:r>
        <w:rPr>
          <w:rFonts w:hint="eastAsia"/>
          <w:bCs/>
          <w:color w:val="FF0000"/>
        </w:rPr>
        <w:t>：</w:t>
      </w:r>
      <w:bookmarkEnd w:id="82"/>
    </w:p>
    <w:p>
      <w:pPr>
        <w:pStyle w:val="3"/>
        <w:jc w:val="center"/>
        <w:rPr>
          <w:rFonts w:hint="eastAsia" w:ascii="黑体" w:hAnsi="宋体" w:eastAsia="黑体" w:cs="Times New Roman"/>
          <w:b w:val="0"/>
          <w:kern w:val="0"/>
          <w:sz w:val="24"/>
        </w:rPr>
      </w:pPr>
      <w:bookmarkStart w:id="83" w:name="_Toc26669"/>
      <w:bookmarkStart w:id="84" w:name="_Toc2026"/>
      <w:r>
        <w:rPr>
          <w:rFonts w:hint="eastAsia" w:ascii="黑体" w:hAnsi="宋体" w:eastAsia="黑体" w:cs="Times New Roman"/>
          <w:b w:val="0"/>
          <w:kern w:val="0"/>
          <w:sz w:val="24"/>
        </w:rPr>
        <w:t>一、授权委托代理人联系方式</w:t>
      </w:r>
      <w:bookmarkEnd w:id="83"/>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本授权委托书声明：我</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（姓名）系</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（投标人名称）的法定代表人，现授权委托</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（单位名称）的</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（姓名）为我公司签署本项目已递交的投标文件的法定代表人的授权委托代理人，代理人全权代表我所签署的本项目已递交的投标文件内容我均承认。</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代理人无转委托权，特此委托。</w:t>
      </w:r>
    </w:p>
    <w:p>
      <w:pPr>
        <w:rPr>
          <w:szCs w:val="21"/>
        </w:rPr>
      </w:pP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u w:val="single"/>
          <w:lang w:val="en-US" w:eastAsia="zh-CN"/>
        </w:rPr>
      </w:pPr>
      <w:r>
        <w:rPr>
          <w:rFonts w:hint="eastAsia" w:ascii="仿宋_GB2312" w:hAnsi="仿宋_GB2312" w:eastAsia="仿宋_GB2312" w:cs="仿宋_GB2312"/>
          <w:color w:val="auto"/>
          <w:sz w:val="28"/>
          <w:szCs w:val="28"/>
          <w:lang w:val="en-US" w:eastAsia="zh-CN"/>
        </w:rPr>
        <w:t>代理人：</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性别：</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年龄：</w:t>
      </w:r>
      <w:r>
        <w:rPr>
          <w:rFonts w:hint="eastAsia" w:ascii="仿宋_GB2312" w:hAnsi="仿宋_GB2312" w:eastAsia="仿宋_GB2312" w:cs="仿宋_GB2312"/>
          <w:color w:val="auto"/>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联系电话：</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手机：</w:t>
      </w:r>
      <w:r>
        <w:rPr>
          <w:rFonts w:hint="eastAsia" w:ascii="仿宋_GB2312" w:hAnsi="仿宋_GB2312" w:eastAsia="仿宋_GB2312" w:cs="仿宋_GB2312"/>
          <w:color w:val="auto"/>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身份证号码：</w:t>
      </w:r>
      <w:r>
        <w:rPr>
          <w:rFonts w:hint="eastAsia" w:ascii="仿宋_GB2312" w:hAnsi="仿宋_GB2312" w:eastAsia="仿宋_GB2312" w:cs="仿宋_GB2312"/>
          <w:color w:val="auto"/>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投标人：</w:t>
      </w:r>
      <w:r>
        <w:rPr>
          <w:rFonts w:hint="eastAsia" w:ascii="仿宋_GB2312" w:hAnsi="仿宋_GB2312" w:eastAsia="仿宋_GB2312" w:cs="仿宋_GB2312"/>
          <w:color w:val="auto"/>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法定代表人：</w:t>
      </w:r>
      <w:r>
        <w:rPr>
          <w:rFonts w:hint="eastAsia" w:ascii="仿宋_GB2312" w:hAnsi="仿宋_GB2312" w:eastAsia="仿宋_GB2312" w:cs="仿宋_GB2312"/>
          <w:color w:val="auto"/>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授权委托日期：</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年</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月</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日</w:t>
      </w:r>
    </w:p>
    <w:p>
      <w:pPr>
        <w:rPr>
          <w:rFonts w:hint="eastAsia" w:ascii="黑体" w:eastAsia="黑体"/>
          <w:b w:val="0"/>
          <w:kern w:val="0"/>
          <w:sz w:val="24"/>
          <w:lang w:eastAsia="zh-CN"/>
        </w:rPr>
      </w:pPr>
      <w:r>
        <w:rPr>
          <w:rFonts w:hint="eastAsia" w:ascii="黑体" w:eastAsia="黑体"/>
          <w:b w:val="0"/>
          <w:kern w:val="0"/>
          <w:sz w:val="24"/>
          <w:lang w:eastAsia="zh-CN"/>
        </w:rPr>
        <w:br w:type="page"/>
      </w:r>
    </w:p>
    <w:p>
      <w:pPr>
        <w:pStyle w:val="3"/>
        <w:jc w:val="center"/>
        <w:rPr>
          <w:rFonts w:hint="eastAsia" w:ascii="黑体" w:eastAsia="黑体"/>
          <w:b w:val="0"/>
          <w:kern w:val="0"/>
          <w:sz w:val="24"/>
          <w:lang w:eastAsia="zh-CN"/>
        </w:rPr>
      </w:pPr>
      <w:r>
        <w:rPr>
          <w:rFonts w:hint="eastAsia" w:ascii="黑体" w:eastAsia="黑体"/>
          <w:b w:val="0"/>
          <w:kern w:val="0"/>
          <w:sz w:val="24"/>
          <w:lang w:eastAsia="zh-CN"/>
        </w:rPr>
        <w:t>二</w:t>
      </w:r>
      <w:r>
        <w:rPr>
          <w:rFonts w:hint="eastAsia" w:ascii="黑体" w:eastAsia="黑体"/>
          <w:b w:val="0"/>
          <w:kern w:val="0"/>
          <w:sz w:val="24"/>
        </w:rPr>
        <w:t>、</w:t>
      </w:r>
      <w:bookmarkEnd w:id="84"/>
      <w:r>
        <w:rPr>
          <w:rFonts w:hint="eastAsia" w:ascii="黑体" w:eastAsia="黑体"/>
          <w:b w:val="0"/>
          <w:kern w:val="0"/>
          <w:sz w:val="24"/>
          <w:lang w:eastAsia="zh-CN"/>
        </w:rPr>
        <w:t>工程量清单报价格式</w:t>
      </w:r>
    </w:p>
    <w:p>
      <w:pPr>
        <w:spacing w:line="560" w:lineRule="exact"/>
        <w:jc w:val="center"/>
        <w:rPr>
          <w:rFonts w:hint="eastAsia" w:ascii="方正小标宋简体" w:hAnsi="方正小标宋简体" w:eastAsia="方正小标宋简体" w:cs="方正小标宋简体"/>
          <w:sz w:val="44"/>
          <w:szCs w:val="44"/>
          <w:u w:val="none"/>
        </w:rPr>
      </w:pPr>
      <w:bookmarkStart w:id="85" w:name="_Toc100052462"/>
      <w:bookmarkStart w:id="86" w:name="_Toc84303613"/>
      <w:bookmarkStart w:id="87" w:name="_Toc69878058"/>
      <w:bookmarkStart w:id="88" w:name="_Toc101074893"/>
      <w:bookmarkStart w:id="89" w:name="_Toc71860049"/>
      <w:bookmarkStart w:id="90" w:name="_Toc71860051"/>
      <w:bookmarkStart w:id="91" w:name="_Toc45964657"/>
      <w:r>
        <w:rPr>
          <w:rFonts w:hint="eastAsia" w:ascii="方正小标宋简体" w:hAnsi="方正小标宋简体" w:eastAsia="方正小标宋简体" w:cs="方正小标宋简体"/>
          <w:sz w:val="44"/>
          <w:szCs w:val="44"/>
          <w:u w:val="none"/>
        </w:rPr>
        <w:t>分部分项工程量清单计价表</w:t>
      </w:r>
    </w:p>
    <w:tbl>
      <w:tblPr>
        <w:tblStyle w:val="16"/>
        <w:tblW w:w="9224" w:type="dxa"/>
        <w:jc w:val="center"/>
        <w:tblLayout w:type="fixed"/>
        <w:tblCellMar>
          <w:top w:w="0" w:type="dxa"/>
          <w:left w:w="0" w:type="dxa"/>
          <w:bottom w:w="0" w:type="dxa"/>
          <w:right w:w="0" w:type="dxa"/>
        </w:tblCellMar>
      </w:tblPr>
      <w:tblGrid>
        <w:gridCol w:w="737"/>
        <w:gridCol w:w="1275"/>
        <w:gridCol w:w="2410"/>
        <w:gridCol w:w="1701"/>
        <w:gridCol w:w="573"/>
        <w:gridCol w:w="709"/>
        <w:gridCol w:w="709"/>
        <w:gridCol w:w="1110"/>
      </w:tblGrid>
      <w:tr>
        <w:tblPrEx>
          <w:tblCellMar>
            <w:top w:w="0" w:type="dxa"/>
            <w:left w:w="0" w:type="dxa"/>
            <w:bottom w:w="0" w:type="dxa"/>
            <w:right w:w="0" w:type="dxa"/>
          </w:tblCellMar>
        </w:tblPrEx>
        <w:trPr>
          <w:trHeight w:val="379" w:hRule="atLeast"/>
          <w:jc w:val="center"/>
        </w:trPr>
        <w:tc>
          <w:tcPr>
            <w:tcW w:w="737" w:type="dxa"/>
            <w:vMerge w:val="restart"/>
            <w:tcBorders>
              <w:top w:val="single" w:color="auto" w:sz="4" w:space="0"/>
              <w:left w:val="single" w:color="auto" w:sz="4" w:space="0"/>
              <w:bottom w:val="single" w:color="000000" w:sz="4" w:space="0"/>
              <w:right w:val="single" w:color="000000" w:sz="4" w:space="0"/>
            </w:tcBorders>
            <w:shd w:val="clear" w:color="000000" w:fill="auto"/>
            <w:noWrap w:val="0"/>
            <w:tcMar>
              <w:left w:w="15" w:type="dxa"/>
              <w:right w:w="15" w:type="dxa"/>
            </w:tcMar>
            <w:vAlign w:val="center"/>
          </w:tcPr>
          <w:p>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color="auto" w:sz="4" w:space="0"/>
              <w:left w:val="single" w:color="000000" w:sz="4" w:space="0"/>
              <w:bottom w:val="single" w:color="000000" w:sz="4" w:space="0"/>
              <w:right w:val="single" w:color="000000" w:sz="4" w:space="0"/>
            </w:tcBorders>
            <w:shd w:val="clear" w:color="000000" w:fill="auto"/>
            <w:noWrap w:val="0"/>
            <w:tcMar>
              <w:left w:w="15" w:type="dxa"/>
              <w:right w:w="15" w:type="dxa"/>
            </w:tcMar>
            <w:vAlign w:val="center"/>
          </w:tcPr>
          <w:p>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color="auto" w:sz="4" w:space="0"/>
              <w:left w:val="single" w:color="000000" w:sz="4" w:space="0"/>
              <w:bottom w:val="single" w:color="000000" w:sz="4" w:space="0"/>
              <w:right w:val="single" w:color="000000" w:sz="4" w:space="0"/>
            </w:tcBorders>
            <w:shd w:val="clear" w:color="000000" w:fill="auto"/>
            <w:noWrap w:val="0"/>
            <w:tcMar>
              <w:left w:w="15" w:type="dxa"/>
              <w:right w:w="15" w:type="dxa"/>
            </w:tcMar>
            <w:vAlign w:val="center"/>
          </w:tcPr>
          <w:p>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color="auto" w:sz="4" w:space="0"/>
              <w:left w:val="single" w:color="000000" w:sz="4" w:space="0"/>
              <w:bottom w:val="single" w:color="000000" w:sz="4" w:space="0"/>
              <w:right w:val="single" w:color="000000"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color="auto" w:sz="4" w:space="0"/>
              <w:left w:val="single" w:color="000000" w:sz="4" w:space="0"/>
              <w:bottom w:val="single" w:color="000000" w:sz="4" w:space="0"/>
              <w:right w:val="single" w:color="000000" w:sz="4" w:space="0"/>
            </w:tcBorders>
            <w:shd w:val="clear" w:color="000000" w:fill="auto"/>
            <w:noWrap w:val="0"/>
            <w:tcMar>
              <w:left w:w="15" w:type="dxa"/>
              <w:right w:w="15" w:type="dxa"/>
            </w:tcMar>
            <w:vAlign w:val="center"/>
          </w:tcPr>
          <w:p>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type="textWrapping"/>
            </w:r>
            <w:r>
              <w:rPr>
                <w:rFonts w:ascii="Calibri" w:hAnsi="宋体"/>
                <w:color w:val="000000"/>
                <w:sz w:val="20"/>
                <w:szCs w:val="20"/>
              </w:rPr>
              <w:t>单位</w:t>
            </w:r>
          </w:p>
        </w:tc>
        <w:tc>
          <w:tcPr>
            <w:tcW w:w="709" w:type="dxa"/>
            <w:vMerge w:val="restart"/>
            <w:tcBorders>
              <w:top w:val="single" w:color="auto" w:sz="4" w:space="0"/>
              <w:left w:val="single" w:color="000000" w:sz="4" w:space="0"/>
              <w:bottom w:val="single" w:color="000000" w:sz="4" w:space="0"/>
              <w:right w:val="single" w:color="000000" w:sz="4" w:space="0"/>
            </w:tcBorders>
            <w:shd w:val="clear" w:color="000000" w:fill="auto"/>
            <w:noWrap w:val="0"/>
            <w:tcMar>
              <w:left w:w="15" w:type="dxa"/>
              <w:right w:w="15" w:type="dxa"/>
            </w:tcMar>
            <w:vAlign w:val="center"/>
          </w:tcPr>
          <w:p>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color="auto" w:sz="4" w:space="0"/>
              <w:left w:val="nil"/>
              <w:bottom w:val="single" w:color="000000" w:sz="4" w:space="0"/>
              <w:right w:val="single" w:color="000000" w:sz="4" w:space="0"/>
            </w:tcBorders>
            <w:shd w:val="clear" w:color="000000" w:fill="auto"/>
            <w:noWrap w:val="0"/>
            <w:tcMar>
              <w:left w:w="15" w:type="dxa"/>
              <w:right w:w="15" w:type="dxa"/>
            </w:tcMar>
            <w:vAlign w:val="center"/>
          </w:tcPr>
          <w:p>
            <w:pPr>
              <w:wordWrap w:val="0"/>
              <w:jc w:val="center"/>
              <w:rPr>
                <w:rFonts w:ascii="宋体" w:hAnsi="宋体"/>
                <w:color w:val="000000"/>
                <w:sz w:val="20"/>
                <w:szCs w:val="20"/>
              </w:rPr>
            </w:pPr>
            <w:r>
              <w:rPr>
                <w:rFonts w:ascii="Calibri" w:hAnsi="宋体"/>
                <w:color w:val="000000"/>
                <w:sz w:val="20"/>
                <w:szCs w:val="20"/>
              </w:rPr>
              <w:t>金额(元)</w:t>
            </w:r>
          </w:p>
        </w:tc>
      </w:tr>
      <w:tr>
        <w:tblPrEx>
          <w:tblCellMar>
            <w:top w:w="0" w:type="dxa"/>
            <w:left w:w="0" w:type="dxa"/>
            <w:bottom w:w="0" w:type="dxa"/>
            <w:right w:w="0" w:type="dxa"/>
          </w:tblCellMar>
        </w:tblPrEx>
        <w:trPr>
          <w:trHeight w:val="619" w:hRule="atLeast"/>
          <w:jc w:val="center"/>
        </w:trPr>
        <w:tc>
          <w:tcPr>
            <w:tcW w:w="737" w:type="dxa"/>
            <w:vMerge w:val="continue"/>
            <w:tcBorders>
              <w:top w:val="single" w:color="auto" w:sz="4" w:space="0"/>
              <w:left w:val="single" w:color="auto" w:sz="4" w:space="0"/>
              <w:bottom w:val="single" w:color="000000" w:sz="4" w:space="0"/>
              <w:right w:val="single" w:color="000000" w:sz="4" w:space="0"/>
            </w:tcBorders>
            <w:shd w:val="clear" w:color="000000" w:fill="auto"/>
            <w:noWrap w:val="0"/>
            <w:vAlign w:val="center"/>
          </w:tcPr>
          <w:p/>
        </w:tc>
        <w:tc>
          <w:tcPr>
            <w:tcW w:w="1275" w:type="dxa"/>
            <w:vMerge w:val="continue"/>
            <w:tcBorders>
              <w:top w:val="single" w:color="auto" w:sz="4" w:space="0"/>
              <w:left w:val="single" w:color="000000" w:sz="4" w:space="0"/>
              <w:bottom w:val="single" w:color="000000" w:sz="4" w:space="0"/>
              <w:right w:val="single" w:color="000000" w:sz="4" w:space="0"/>
            </w:tcBorders>
            <w:shd w:val="clear" w:color="000000" w:fill="auto"/>
            <w:noWrap w:val="0"/>
            <w:vAlign w:val="center"/>
          </w:tcPr>
          <w:p/>
        </w:tc>
        <w:tc>
          <w:tcPr>
            <w:tcW w:w="2410" w:type="dxa"/>
            <w:vMerge w:val="continue"/>
            <w:tcBorders>
              <w:top w:val="single" w:color="auto" w:sz="4" w:space="0"/>
              <w:left w:val="single" w:color="000000" w:sz="4" w:space="0"/>
              <w:bottom w:val="single" w:color="000000" w:sz="4" w:space="0"/>
              <w:right w:val="single" w:color="000000" w:sz="4" w:space="0"/>
            </w:tcBorders>
            <w:shd w:val="clear" w:color="000000" w:fill="auto"/>
            <w:noWrap w:val="0"/>
            <w:vAlign w:val="center"/>
          </w:tcPr>
          <w:p/>
        </w:tc>
        <w:tc>
          <w:tcPr>
            <w:tcW w:w="1701" w:type="dxa"/>
            <w:vMerge w:val="continue"/>
            <w:tcBorders>
              <w:top w:val="single" w:color="auto" w:sz="4" w:space="0"/>
              <w:left w:val="single" w:color="000000" w:sz="4" w:space="0"/>
              <w:bottom w:val="single" w:color="000000" w:sz="4" w:space="0"/>
              <w:right w:val="single" w:color="000000" w:sz="4" w:space="0"/>
            </w:tcBorders>
            <w:shd w:val="clear" w:color="000000" w:fill="auto"/>
            <w:noWrap w:val="0"/>
            <w:vAlign w:val="center"/>
          </w:tcPr>
          <w:p/>
        </w:tc>
        <w:tc>
          <w:tcPr>
            <w:tcW w:w="573" w:type="dxa"/>
            <w:vMerge w:val="continue"/>
            <w:tcBorders>
              <w:top w:val="single" w:color="auto" w:sz="4" w:space="0"/>
              <w:left w:val="single" w:color="000000" w:sz="4" w:space="0"/>
              <w:bottom w:val="single" w:color="000000" w:sz="4" w:space="0"/>
              <w:right w:val="single" w:color="000000" w:sz="4" w:space="0"/>
            </w:tcBorders>
            <w:shd w:val="clear" w:color="000000" w:fill="auto"/>
            <w:noWrap w:val="0"/>
            <w:vAlign w:val="center"/>
          </w:tcPr>
          <w:p/>
        </w:tc>
        <w:tc>
          <w:tcPr>
            <w:tcW w:w="709" w:type="dxa"/>
            <w:vMerge w:val="continue"/>
            <w:tcBorders>
              <w:top w:val="single" w:color="auto" w:sz="4" w:space="0"/>
              <w:left w:val="single" w:color="000000" w:sz="4" w:space="0"/>
              <w:bottom w:val="single" w:color="000000" w:sz="4" w:space="0"/>
              <w:right w:val="single" w:color="000000" w:sz="4" w:space="0"/>
            </w:tcBorders>
            <w:shd w:val="clear" w:color="000000" w:fill="auto"/>
            <w:noWrap w:val="0"/>
            <w:vAlign w:val="center"/>
          </w:tcPr>
          <w:p/>
        </w:tc>
        <w:tc>
          <w:tcPr>
            <w:tcW w:w="709" w:type="dxa"/>
            <w:tcBorders>
              <w:top w:val="nil"/>
              <w:left w:val="nil"/>
              <w:bottom w:val="single" w:color="auto" w:sz="4" w:space="0"/>
              <w:right w:val="single" w:color="000000" w:sz="4" w:space="0"/>
            </w:tcBorders>
            <w:shd w:val="clear" w:color="000000" w:fill="auto"/>
            <w:noWrap w:val="0"/>
            <w:tcMar>
              <w:left w:w="15" w:type="dxa"/>
              <w:right w:w="15" w:type="dxa"/>
            </w:tcMar>
            <w:vAlign w:val="center"/>
          </w:tcPr>
          <w:p>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type="textWrapping"/>
            </w:r>
            <w:r>
              <w:rPr>
                <w:rFonts w:ascii="Calibri" w:hAnsi="宋体"/>
                <w:color w:val="000000"/>
                <w:sz w:val="20"/>
                <w:szCs w:val="20"/>
              </w:rPr>
              <w:t>单价</w:t>
            </w:r>
          </w:p>
        </w:tc>
        <w:tc>
          <w:tcPr>
            <w:tcW w:w="1110" w:type="dxa"/>
            <w:tcBorders>
              <w:top w:val="nil"/>
              <w:left w:val="nil"/>
              <w:bottom w:val="single" w:color="auto" w:sz="4" w:space="0"/>
              <w:right w:val="single" w:color="000000" w:sz="4" w:space="0"/>
            </w:tcBorders>
            <w:shd w:val="clear" w:color="000000" w:fill="auto"/>
            <w:noWrap w:val="0"/>
            <w:tcMar>
              <w:left w:w="15" w:type="dxa"/>
              <w:right w:w="15" w:type="dxa"/>
            </w:tcMar>
            <w:vAlign w:val="center"/>
          </w:tcPr>
          <w:p>
            <w:pPr>
              <w:wordWrap w:val="0"/>
              <w:jc w:val="center"/>
              <w:rPr>
                <w:rFonts w:ascii="宋体" w:hAnsi="宋体"/>
                <w:color w:val="000000"/>
                <w:sz w:val="20"/>
                <w:szCs w:val="20"/>
              </w:rPr>
            </w:pPr>
            <w:r>
              <w:rPr>
                <w:rFonts w:ascii="Calibri" w:hAnsi="宋体"/>
                <w:color w:val="000000"/>
                <w:sz w:val="20"/>
                <w:szCs w:val="20"/>
              </w:rPr>
              <w:t>合价</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1275"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24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1701"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573"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1275"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24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1701"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573"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1275"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24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1701"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573"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1275"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24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1701"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573"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1275"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24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1701"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573"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1275"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24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1701"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573"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1275"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24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1701"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573"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1275"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24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1701"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573"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1275"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24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1701"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573"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1275"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24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1701"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573"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1275"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24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1701"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573"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1275"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24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1701"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573"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1275"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24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1701"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573"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1275"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24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1701"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573"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1275"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24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1701"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573"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1275"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24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1701"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573"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1275"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24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1701"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573"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1275"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24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1701"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18"/>
                <w:szCs w:val="18"/>
              </w:rPr>
            </w:pPr>
          </w:p>
        </w:tc>
        <w:tc>
          <w:tcPr>
            <w:tcW w:w="573"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18"/>
                <w:szCs w:val="18"/>
              </w:rPr>
            </w:pPr>
            <w:r>
              <w:rPr>
                <w:rFonts w:ascii="Calibri" w:hAnsi="宋体"/>
                <w:color w:val="000000"/>
                <w:sz w:val="18"/>
                <w:szCs w:val="18"/>
              </w:rPr>
              <w:t xml:space="preserve"> </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20"/>
                <w:szCs w:val="20"/>
              </w:rPr>
            </w:pPr>
            <w:r>
              <w:rPr>
                <w:rFonts w:ascii="Calibri" w:hAnsi="宋体"/>
                <w:color w:val="000000"/>
                <w:sz w:val="20"/>
                <w:szCs w:val="20"/>
              </w:rPr>
              <w:t>　</w:t>
            </w:r>
          </w:p>
        </w:tc>
        <w:tc>
          <w:tcPr>
            <w:tcW w:w="1275"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20"/>
                <w:szCs w:val="20"/>
              </w:rPr>
            </w:pPr>
            <w:r>
              <w:rPr>
                <w:rFonts w:ascii="Calibri" w:hAnsi="宋体"/>
                <w:color w:val="000000"/>
                <w:sz w:val="20"/>
                <w:szCs w:val="20"/>
              </w:rPr>
              <w:t>　</w:t>
            </w:r>
          </w:p>
        </w:tc>
        <w:tc>
          <w:tcPr>
            <w:tcW w:w="24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20"/>
                <w:szCs w:val="20"/>
              </w:rPr>
            </w:pPr>
            <w:r>
              <w:rPr>
                <w:rFonts w:ascii="Calibri" w:hAnsi="宋体"/>
                <w:color w:val="000000"/>
                <w:sz w:val="20"/>
                <w:szCs w:val="20"/>
              </w:rPr>
              <w:t>　</w:t>
            </w:r>
          </w:p>
        </w:tc>
        <w:tc>
          <w:tcPr>
            <w:tcW w:w="1701"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20"/>
                <w:szCs w:val="20"/>
              </w:rPr>
            </w:pPr>
            <w:r>
              <w:rPr>
                <w:rFonts w:ascii="Calibri" w:hAnsi="宋体"/>
                <w:color w:val="000000"/>
                <w:sz w:val="20"/>
                <w:szCs w:val="20"/>
              </w:rPr>
              <w:t>　</w:t>
            </w:r>
          </w:p>
        </w:tc>
        <w:tc>
          <w:tcPr>
            <w:tcW w:w="573"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20"/>
                <w:szCs w:val="20"/>
              </w:rPr>
            </w:pPr>
            <w:r>
              <w:rPr>
                <w:rFonts w:ascii="Calibri" w:hAnsi="宋体"/>
                <w:color w:val="000000"/>
                <w:sz w:val="20"/>
                <w:szCs w:val="20"/>
              </w:rPr>
              <w:t>　</w:t>
            </w: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20"/>
                <w:szCs w:val="20"/>
              </w:rPr>
            </w:pPr>
            <w:r>
              <w:rPr>
                <w:rFonts w:ascii="Calibri" w:hAnsi="宋体"/>
                <w:color w:val="000000"/>
                <w:sz w:val="20"/>
                <w:szCs w:val="20"/>
              </w:rPr>
              <w:t>　</w:t>
            </w:r>
          </w:p>
        </w:tc>
        <w:tc>
          <w:tcPr>
            <w:tcW w:w="709"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20"/>
                <w:szCs w:val="20"/>
              </w:rPr>
            </w:pPr>
            <w:r>
              <w:rPr>
                <w:rFonts w:ascii="Calibri" w:hAnsi="宋体"/>
                <w:color w:val="000000"/>
                <w:sz w:val="20"/>
                <w:szCs w:val="20"/>
              </w:rPr>
              <w:t>　</w:t>
            </w:r>
          </w:p>
        </w:tc>
        <w:tc>
          <w:tcPr>
            <w:tcW w:w="11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20"/>
                <w:szCs w:val="20"/>
              </w:rPr>
            </w:pPr>
            <w:r>
              <w:rPr>
                <w:rFonts w:ascii="Calibri" w:hAnsi="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auto"/>
            <w:noWrap w:val="0"/>
            <w:tcMar>
              <w:left w:w="15" w:type="dxa"/>
              <w:right w:w="15" w:type="dxa"/>
            </w:tcMar>
            <w:vAlign w:val="center"/>
          </w:tcPr>
          <w:p>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jc w:val="right"/>
              <w:rPr>
                <w:rFonts w:ascii="宋体" w:hAnsi="宋体"/>
                <w:color w:val="000000"/>
                <w:sz w:val="20"/>
                <w:szCs w:val="20"/>
              </w:rPr>
            </w:pPr>
            <w:r>
              <w:rPr>
                <w:rFonts w:ascii="Calibri" w:hAnsi="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auto"/>
            <w:noWrap w:val="0"/>
            <w:tcMar>
              <w:left w:w="15" w:type="dxa"/>
              <w:right w:w="15" w:type="dxa"/>
            </w:tcMar>
            <w:vAlign w:val="center"/>
          </w:tcPr>
          <w:p>
            <w:pPr>
              <w:wordWrap w:val="0"/>
              <w:jc w:val="center"/>
              <w:rPr>
                <w:rFonts w:ascii="宋体" w:hAnsi="宋体"/>
                <w:color w:val="000000"/>
                <w:sz w:val="18"/>
                <w:szCs w:val="18"/>
              </w:rPr>
            </w:pPr>
            <w:r>
              <w:rPr>
                <w:rFonts w:ascii="Calibri" w:hAnsi="宋体"/>
                <w:color w:val="000000"/>
                <w:sz w:val="18"/>
                <w:szCs w:val="18"/>
              </w:rPr>
              <w:t xml:space="preserve">   合  计</w:t>
            </w:r>
          </w:p>
        </w:tc>
        <w:tc>
          <w:tcPr>
            <w:tcW w:w="1110" w:type="dxa"/>
            <w:tcBorders>
              <w:top w:val="nil"/>
              <w:left w:val="nil"/>
              <w:bottom w:val="single" w:color="auto" w:sz="4" w:space="0"/>
              <w:right w:val="single" w:color="auto" w:sz="4" w:space="0"/>
            </w:tcBorders>
            <w:shd w:val="clear" w:color="000000" w:fill="auto"/>
            <w:noWrap w:val="0"/>
            <w:tcMar>
              <w:left w:w="15" w:type="dxa"/>
              <w:right w:w="15" w:type="dxa"/>
            </w:tcMar>
            <w:vAlign w:val="center"/>
          </w:tcPr>
          <w:p>
            <w:pPr>
              <w:wordWrap w:val="0"/>
              <w:rPr>
                <w:rFonts w:ascii="宋体" w:hAnsi="宋体"/>
                <w:color w:val="000000"/>
                <w:sz w:val="20"/>
                <w:szCs w:val="20"/>
              </w:rPr>
            </w:pPr>
            <w:r>
              <w:rPr>
                <w:rFonts w:ascii="Calibri" w:hAnsi="宋体"/>
                <w:color w:val="000000"/>
                <w:sz w:val="20"/>
                <w:szCs w:val="20"/>
              </w:rPr>
              <w:t>　</w:t>
            </w:r>
          </w:p>
        </w:tc>
      </w:tr>
      <w:bookmarkEnd w:id="85"/>
      <w:bookmarkEnd w:id="86"/>
      <w:bookmarkEnd w:id="87"/>
      <w:bookmarkEnd w:id="88"/>
      <w:bookmarkEnd w:id="89"/>
      <w:bookmarkEnd w:id="90"/>
      <w:bookmarkEnd w:id="91"/>
    </w:tbl>
    <w:p>
      <w:pPr>
        <w:rPr>
          <w:rFonts w:hint="eastAsia" w:ascii="黑体" w:hAnsi="黑体" w:eastAsia="黑体" w:cs="黑体"/>
          <w:sz w:val="32"/>
          <w:szCs w:val="32"/>
        </w:rPr>
      </w:pPr>
      <w:r>
        <w:rPr>
          <w:rFonts w:hint="eastAsia" w:ascii="黑体" w:hAnsi="黑体" w:eastAsia="黑体" w:cs="黑体"/>
          <w:sz w:val="32"/>
          <w:szCs w:val="32"/>
        </w:rPr>
        <w:br w:type="page"/>
      </w:r>
    </w:p>
    <w:p>
      <w:pPr>
        <w:pStyle w:val="3"/>
        <w:jc w:val="center"/>
        <w:rPr>
          <w:rFonts w:ascii="华文新魏" w:hAnsi="MS Sans Serif" w:eastAsia="华文新魏"/>
          <w:b/>
          <w:bCs/>
          <w:kern w:val="0"/>
          <w:sz w:val="48"/>
          <w:szCs w:val="46"/>
        </w:rPr>
      </w:pPr>
      <w:bookmarkStart w:id="92" w:name="_Toc5098"/>
      <w:r>
        <w:rPr>
          <w:rFonts w:hint="eastAsia" w:ascii="黑体" w:hAnsi="宋体" w:eastAsia="黑体" w:cs="Times New Roman"/>
          <w:b w:val="0"/>
          <w:kern w:val="0"/>
          <w:sz w:val="24"/>
          <w:lang w:eastAsia="zh-CN"/>
        </w:rPr>
        <w:t>三、拟采用设备（材料）的性能（节能环保情况）、档次及质量可靠性</w:t>
      </w:r>
      <w:bookmarkEnd w:id="92"/>
    </w:p>
    <w:p>
      <w:pPr>
        <w:spacing w:line="560" w:lineRule="exact"/>
        <w:jc w:val="center"/>
        <w:rPr>
          <w:rFonts w:hint="eastAsia" w:ascii="方正小标宋简体" w:hAnsi="方正小标宋简体" w:eastAsia="方正小标宋简体" w:cs="方正小标宋简体"/>
          <w:sz w:val="44"/>
          <w:szCs w:val="44"/>
          <w:u w:val="none"/>
        </w:rPr>
      </w:pPr>
      <w:r>
        <w:rPr>
          <w:rFonts w:hint="eastAsia" w:ascii="方正小标宋简体" w:hAnsi="方正小标宋简体" w:eastAsia="方正小标宋简体" w:cs="方正小标宋简体"/>
          <w:sz w:val="44"/>
          <w:szCs w:val="44"/>
          <w:u w:val="none"/>
        </w:rPr>
        <w:t>拟采用材料品牌表</w:t>
      </w:r>
    </w:p>
    <w:tbl>
      <w:tblPr>
        <w:tblStyle w:val="16"/>
        <w:tblW w:w="9090" w:type="dxa"/>
        <w:tblInd w:w="93" w:type="dxa"/>
        <w:tblLayout w:type="fixed"/>
        <w:tblCellMar>
          <w:top w:w="0" w:type="dxa"/>
          <w:left w:w="108" w:type="dxa"/>
          <w:bottom w:w="0" w:type="dxa"/>
          <w:right w:w="108" w:type="dxa"/>
        </w:tblCellMar>
      </w:tblPr>
      <w:tblGrid>
        <w:gridCol w:w="555"/>
        <w:gridCol w:w="2835"/>
        <w:gridCol w:w="2850"/>
        <w:gridCol w:w="2850"/>
      </w:tblGrid>
      <w:tr>
        <w:tblPrEx>
          <w:tblCellMar>
            <w:top w:w="0" w:type="dxa"/>
            <w:left w:w="108" w:type="dxa"/>
            <w:bottom w:w="0" w:type="dxa"/>
            <w:right w:w="108" w:type="dxa"/>
          </w:tblCellMar>
        </w:tblPrEx>
        <w:trPr>
          <w:trHeight w:val="445" w:hRule="atLeast"/>
        </w:trPr>
        <w:tc>
          <w:tcPr>
            <w:tcW w:w="555" w:type="dxa"/>
            <w:tcBorders>
              <w:top w:val="single" w:color="auto" w:sz="8" w:space="0"/>
              <w:left w:val="single" w:color="auto" w:sz="8" w:space="0"/>
              <w:bottom w:val="single" w:color="auto" w:sz="4" w:space="0"/>
              <w:right w:val="single" w:color="auto" w:sz="4" w:space="0"/>
            </w:tcBorders>
            <w:noWrap w:val="0"/>
            <w:vAlign w:val="center"/>
          </w:tcPr>
          <w:p>
            <w:pPr>
              <w:widowControl/>
              <w:jc w:val="center"/>
              <w:rPr>
                <w:b/>
                <w:bCs/>
                <w:kern w:val="0"/>
                <w:szCs w:val="21"/>
              </w:rPr>
            </w:pPr>
            <w:r>
              <w:rPr>
                <w:b/>
                <w:bCs/>
                <w:kern w:val="0"/>
                <w:szCs w:val="21"/>
              </w:rPr>
              <w:t>序号</w:t>
            </w:r>
          </w:p>
        </w:tc>
        <w:tc>
          <w:tcPr>
            <w:tcW w:w="2835" w:type="dxa"/>
            <w:tcBorders>
              <w:top w:val="single" w:color="auto" w:sz="8" w:space="0"/>
              <w:left w:val="nil"/>
              <w:bottom w:val="single" w:color="auto" w:sz="4" w:space="0"/>
              <w:right w:val="single" w:color="auto" w:sz="4" w:space="0"/>
            </w:tcBorders>
            <w:noWrap w:val="0"/>
            <w:vAlign w:val="center"/>
          </w:tcPr>
          <w:p>
            <w:pPr>
              <w:widowControl/>
              <w:jc w:val="center"/>
              <w:rPr>
                <w:b/>
                <w:bCs/>
                <w:kern w:val="0"/>
                <w:szCs w:val="21"/>
              </w:rPr>
            </w:pPr>
            <w:r>
              <w:rPr>
                <w:b/>
                <w:bCs/>
                <w:kern w:val="0"/>
                <w:szCs w:val="21"/>
              </w:rPr>
              <w:t>名称</w:t>
            </w:r>
          </w:p>
        </w:tc>
        <w:tc>
          <w:tcPr>
            <w:tcW w:w="2850" w:type="dxa"/>
            <w:tcBorders>
              <w:top w:val="single" w:color="auto" w:sz="8" w:space="0"/>
              <w:left w:val="nil"/>
              <w:bottom w:val="single" w:color="auto" w:sz="4" w:space="0"/>
              <w:right w:val="single" w:color="auto" w:sz="4" w:space="0"/>
            </w:tcBorders>
            <w:noWrap w:val="0"/>
            <w:vAlign w:val="center"/>
          </w:tcPr>
          <w:p>
            <w:pPr>
              <w:widowControl/>
              <w:jc w:val="center"/>
              <w:rPr>
                <w:rFonts w:hint="eastAsia" w:eastAsia="宋体"/>
                <w:b/>
                <w:bCs/>
                <w:kern w:val="0"/>
                <w:szCs w:val="21"/>
                <w:lang w:eastAsia="zh-CN"/>
              </w:rPr>
            </w:pPr>
            <w:r>
              <w:rPr>
                <w:rFonts w:hint="eastAsia"/>
                <w:b/>
                <w:bCs/>
                <w:kern w:val="0"/>
                <w:szCs w:val="21"/>
                <w:lang w:eastAsia="zh-CN"/>
              </w:rPr>
              <w:t>品牌</w:t>
            </w:r>
          </w:p>
        </w:tc>
        <w:tc>
          <w:tcPr>
            <w:tcW w:w="2850" w:type="dxa"/>
            <w:tcBorders>
              <w:top w:val="single" w:color="auto" w:sz="8" w:space="0"/>
              <w:left w:val="nil"/>
              <w:bottom w:val="single" w:color="auto" w:sz="4" w:space="0"/>
              <w:right w:val="single" w:color="auto" w:sz="4" w:space="0"/>
            </w:tcBorders>
            <w:noWrap w:val="0"/>
            <w:vAlign w:val="center"/>
          </w:tcPr>
          <w:p>
            <w:pPr>
              <w:widowControl/>
              <w:jc w:val="center"/>
              <w:rPr>
                <w:rFonts w:hint="eastAsia" w:eastAsia="宋体"/>
                <w:b/>
                <w:bCs/>
                <w:kern w:val="0"/>
                <w:szCs w:val="21"/>
                <w:lang w:eastAsia="zh-CN"/>
              </w:rPr>
            </w:pPr>
            <w:r>
              <w:rPr>
                <w:rFonts w:hint="eastAsia"/>
                <w:b/>
                <w:bCs/>
                <w:kern w:val="0"/>
                <w:szCs w:val="21"/>
                <w:lang w:eastAsia="zh-CN"/>
              </w:rPr>
              <w:t>备注</w:t>
            </w:r>
          </w:p>
        </w:tc>
      </w:tr>
      <w:tr>
        <w:tblPrEx>
          <w:tblCellMar>
            <w:top w:w="0" w:type="dxa"/>
            <w:left w:w="108" w:type="dxa"/>
            <w:bottom w:w="0" w:type="dxa"/>
            <w:right w:w="108" w:type="dxa"/>
          </w:tblCellMar>
        </w:tblPrEx>
        <w:trPr>
          <w:trHeight w:val="427" w:hRule="atLeast"/>
        </w:trPr>
        <w:tc>
          <w:tcPr>
            <w:tcW w:w="555" w:type="dxa"/>
            <w:tcBorders>
              <w:top w:val="nil"/>
              <w:left w:val="single" w:color="auto" w:sz="8" w:space="0"/>
              <w:bottom w:val="single" w:color="auto" w:sz="4" w:space="0"/>
              <w:right w:val="single" w:color="auto" w:sz="4" w:space="0"/>
            </w:tcBorders>
            <w:noWrap w:val="0"/>
            <w:vAlign w:val="top"/>
          </w:tcPr>
          <w:p>
            <w:pPr>
              <w:autoSpaceDE w:val="0"/>
              <w:autoSpaceDN w:val="0"/>
              <w:jc w:val="center"/>
              <w:rPr>
                <w:szCs w:val="21"/>
              </w:rPr>
            </w:pPr>
            <w:r>
              <w:rPr>
                <w:szCs w:val="21"/>
              </w:rPr>
              <w:t>1</w:t>
            </w:r>
          </w:p>
        </w:tc>
        <w:tc>
          <w:tcPr>
            <w:tcW w:w="2835" w:type="dxa"/>
            <w:tcBorders>
              <w:top w:val="nil"/>
              <w:left w:val="nil"/>
              <w:bottom w:val="single" w:color="auto" w:sz="4" w:space="0"/>
              <w:right w:val="single" w:color="auto" w:sz="4" w:space="0"/>
            </w:tcBorders>
            <w:noWrap w:val="0"/>
            <w:vAlign w:val="center"/>
          </w:tcPr>
          <w:p>
            <w:pPr>
              <w:autoSpaceDE w:val="0"/>
              <w:autoSpaceDN w:val="0"/>
              <w:jc w:val="center"/>
              <w:rPr>
                <w:rFonts w:hint="eastAsia" w:eastAsia="宋体"/>
                <w:szCs w:val="21"/>
                <w:lang w:eastAsia="zh-CN"/>
              </w:rPr>
            </w:pPr>
            <w:r>
              <w:rPr>
                <w:rFonts w:hint="eastAsia"/>
                <w:szCs w:val="21"/>
              </w:rPr>
              <w:t>金属面油漆</w:t>
            </w:r>
          </w:p>
        </w:tc>
        <w:tc>
          <w:tcPr>
            <w:tcW w:w="2850" w:type="dxa"/>
            <w:tcBorders>
              <w:top w:val="nil"/>
              <w:left w:val="nil"/>
              <w:bottom w:val="single" w:color="auto" w:sz="4" w:space="0"/>
              <w:right w:val="single" w:color="auto" w:sz="4" w:space="0"/>
            </w:tcBorders>
            <w:noWrap w:val="0"/>
            <w:vAlign w:val="center"/>
          </w:tcPr>
          <w:p>
            <w:pPr>
              <w:autoSpaceDE w:val="0"/>
              <w:autoSpaceDN w:val="0"/>
              <w:jc w:val="center"/>
              <w:rPr>
                <w:rFonts w:hint="eastAsia"/>
                <w:szCs w:val="21"/>
              </w:rPr>
            </w:pPr>
          </w:p>
        </w:tc>
        <w:tc>
          <w:tcPr>
            <w:tcW w:w="2850" w:type="dxa"/>
            <w:tcBorders>
              <w:top w:val="nil"/>
              <w:left w:val="nil"/>
              <w:bottom w:val="single" w:color="auto" w:sz="4" w:space="0"/>
              <w:right w:val="single" w:color="auto" w:sz="4" w:space="0"/>
            </w:tcBorders>
            <w:noWrap w:val="0"/>
            <w:vAlign w:val="center"/>
          </w:tcPr>
          <w:p>
            <w:pPr>
              <w:autoSpaceDE w:val="0"/>
              <w:autoSpaceDN w:val="0"/>
              <w:jc w:val="center"/>
              <w:rPr>
                <w:rFonts w:hint="eastAsia"/>
                <w:szCs w:val="21"/>
              </w:rPr>
            </w:pPr>
          </w:p>
        </w:tc>
      </w:tr>
      <w:tr>
        <w:tblPrEx>
          <w:tblCellMar>
            <w:top w:w="0" w:type="dxa"/>
            <w:left w:w="108" w:type="dxa"/>
            <w:bottom w:w="0" w:type="dxa"/>
            <w:right w:w="108" w:type="dxa"/>
          </w:tblCellMar>
        </w:tblPrEx>
        <w:trPr>
          <w:trHeight w:val="427" w:hRule="atLeast"/>
        </w:trPr>
        <w:tc>
          <w:tcPr>
            <w:tcW w:w="555" w:type="dxa"/>
            <w:tcBorders>
              <w:top w:val="single" w:color="auto" w:sz="4" w:space="0"/>
              <w:left w:val="single" w:color="auto" w:sz="8" w:space="0"/>
              <w:bottom w:val="single" w:color="auto" w:sz="4" w:space="0"/>
              <w:right w:val="single" w:color="auto" w:sz="4" w:space="0"/>
            </w:tcBorders>
            <w:noWrap w:val="0"/>
            <w:vAlign w:val="top"/>
          </w:tcPr>
          <w:p>
            <w:pPr>
              <w:autoSpaceDE w:val="0"/>
              <w:autoSpaceDN w:val="0"/>
              <w:jc w:val="center"/>
              <w:rPr>
                <w:szCs w:val="21"/>
              </w:rPr>
            </w:pPr>
            <w:r>
              <w:rPr>
                <w:szCs w:val="21"/>
              </w:rPr>
              <w:t>2</w:t>
            </w:r>
          </w:p>
        </w:tc>
        <w:tc>
          <w:tcPr>
            <w:tcW w:w="2835" w:type="dxa"/>
            <w:tcBorders>
              <w:top w:val="single" w:color="auto" w:sz="4" w:space="0"/>
              <w:left w:val="nil"/>
              <w:bottom w:val="single" w:color="auto" w:sz="4" w:space="0"/>
              <w:right w:val="single" w:color="auto" w:sz="4" w:space="0"/>
            </w:tcBorders>
            <w:noWrap w:val="0"/>
            <w:vAlign w:val="center"/>
          </w:tcPr>
          <w:p>
            <w:pPr>
              <w:autoSpaceDE w:val="0"/>
              <w:autoSpaceDN w:val="0"/>
              <w:jc w:val="center"/>
              <w:rPr>
                <w:szCs w:val="21"/>
              </w:rPr>
            </w:pPr>
            <w:r>
              <w:rPr>
                <w:rFonts w:hint="eastAsia"/>
                <w:szCs w:val="21"/>
              </w:rPr>
              <w:t>成品不锈钢栏杆</w:t>
            </w:r>
          </w:p>
        </w:tc>
        <w:tc>
          <w:tcPr>
            <w:tcW w:w="2850" w:type="dxa"/>
            <w:tcBorders>
              <w:top w:val="single" w:color="auto" w:sz="4" w:space="0"/>
              <w:left w:val="nil"/>
              <w:bottom w:val="single" w:color="auto" w:sz="4" w:space="0"/>
              <w:right w:val="single" w:color="auto" w:sz="4" w:space="0"/>
            </w:tcBorders>
            <w:noWrap w:val="0"/>
            <w:vAlign w:val="center"/>
          </w:tcPr>
          <w:p>
            <w:pPr>
              <w:autoSpaceDE w:val="0"/>
              <w:autoSpaceDN w:val="0"/>
              <w:jc w:val="center"/>
              <w:rPr>
                <w:rFonts w:hint="eastAsia"/>
                <w:szCs w:val="21"/>
              </w:rPr>
            </w:pPr>
          </w:p>
        </w:tc>
        <w:tc>
          <w:tcPr>
            <w:tcW w:w="2850" w:type="dxa"/>
            <w:tcBorders>
              <w:top w:val="single" w:color="auto" w:sz="4" w:space="0"/>
              <w:left w:val="nil"/>
              <w:bottom w:val="single" w:color="auto" w:sz="4" w:space="0"/>
              <w:right w:val="single" w:color="auto" w:sz="4" w:space="0"/>
            </w:tcBorders>
            <w:noWrap w:val="0"/>
            <w:vAlign w:val="center"/>
          </w:tcPr>
          <w:p>
            <w:pPr>
              <w:autoSpaceDE w:val="0"/>
              <w:autoSpaceDN w:val="0"/>
              <w:jc w:val="center"/>
              <w:rPr>
                <w:rFonts w:hint="eastAsia"/>
                <w:szCs w:val="21"/>
              </w:rPr>
            </w:pPr>
          </w:p>
        </w:tc>
      </w:tr>
      <w:tr>
        <w:tblPrEx>
          <w:tblCellMar>
            <w:top w:w="0" w:type="dxa"/>
            <w:left w:w="108" w:type="dxa"/>
            <w:bottom w:w="0" w:type="dxa"/>
            <w:right w:w="108" w:type="dxa"/>
          </w:tblCellMar>
        </w:tblPrEx>
        <w:trPr>
          <w:trHeight w:val="427" w:hRule="atLeast"/>
        </w:trPr>
        <w:tc>
          <w:tcPr>
            <w:tcW w:w="555"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jc w:val="center"/>
              <w:rPr>
                <w:szCs w:val="21"/>
              </w:rPr>
            </w:pPr>
            <w:r>
              <w:rPr>
                <w:szCs w:val="21"/>
              </w:rPr>
              <w:t>3</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eastAsia="宋体"/>
                <w:szCs w:val="21"/>
                <w:lang w:eastAsia="zh-CN"/>
              </w:rPr>
            </w:pPr>
            <w:r>
              <w:rPr>
                <w:rFonts w:hint="eastAsia"/>
                <w:szCs w:val="21"/>
                <w:lang w:eastAsia="zh-CN"/>
              </w:rPr>
              <w:t>停车棚不锈钢装饰板</w:t>
            </w:r>
          </w:p>
        </w:tc>
        <w:tc>
          <w:tcPr>
            <w:tcW w:w="285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szCs w:val="21"/>
                <w:lang w:eastAsia="zh-CN"/>
              </w:rPr>
            </w:pPr>
          </w:p>
        </w:tc>
        <w:tc>
          <w:tcPr>
            <w:tcW w:w="285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szCs w:val="21"/>
                <w:lang w:eastAsia="zh-CN"/>
              </w:rPr>
            </w:pPr>
          </w:p>
        </w:tc>
      </w:tr>
      <w:tr>
        <w:tblPrEx>
          <w:tblCellMar>
            <w:top w:w="0" w:type="dxa"/>
            <w:left w:w="108" w:type="dxa"/>
            <w:bottom w:w="0" w:type="dxa"/>
            <w:right w:w="108" w:type="dxa"/>
          </w:tblCellMar>
        </w:tblPrEx>
        <w:trPr>
          <w:trHeight w:val="427" w:hRule="atLeast"/>
        </w:trPr>
        <w:tc>
          <w:tcPr>
            <w:tcW w:w="555"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jc w:val="center"/>
              <w:rPr>
                <w:rFonts w:ascii="Calibri" w:hAnsi="Calibri" w:eastAsia="宋体" w:cs="Times New Roman"/>
                <w:kern w:val="2"/>
                <w:sz w:val="21"/>
                <w:szCs w:val="21"/>
                <w:lang w:val="en-US" w:eastAsia="zh-CN" w:bidi="ar-SA"/>
              </w:rPr>
            </w:pPr>
            <w:r>
              <w:rPr>
                <w:szCs w:val="21"/>
              </w:rPr>
              <w:t>4</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szCs w:val="21"/>
              </w:rPr>
            </w:pPr>
            <w:r>
              <w:rPr>
                <w:rFonts w:hint="eastAsia"/>
                <w:szCs w:val="21"/>
                <w:lang w:eastAsia="zh-CN"/>
              </w:rPr>
              <w:t>停车棚不锈钢钢骨架</w:t>
            </w:r>
          </w:p>
        </w:tc>
        <w:tc>
          <w:tcPr>
            <w:tcW w:w="285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szCs w:val="21"/>
                <w:lang w:eastAsia="zh-CN"/>
              </w:rPr>
            </w:pPr>
          </w:p>
        </w:tc>
        <w:tc>
          <w:tcPr>
            <w:tcW w:w="285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szCs w:val="21"/>
                <w:lang w:eastAsia="zh-CN"/>
              </w:rPr>
            </w:pPr>
          </w:p>
        </w:tc>
      </w:tr>
      <w:tr>
        <w:tblPrEx>
          <w:tblCellMar>
            <w:top w:w="0" w:type="dxa"/>
            <w:left w:w="108" w:type="dxa"/>
            <w:bottom w:w="0" w:type="dxa"/>
            <w:right w:w="108" w:type="dxa"/>
          </w:tblCellMar>
        </w:tblPrEx>
        <w:trPr>
          <w:trHeight w:val="427" w:hRule="atLeast"/>
        </w:trPr>
        <w:tc>
          <w:tcPr>
            <w:tcW w:w="555"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jc w:val="center"/>
              <w:rPr>
                <w:rFonts w:ascii="Calibri" w:hAnsi="Calibri" w:eastAsia="宋体" w:cs="Times New Roman"/>
                <w:kern w:val="2"/>
                <w:sz w:val="21"/>
                <w:szCs w:val="21"/>
                <w:lang w:val="en-US" w:eastAsia="zh-CN" w:bidi="ar-SA"/>
              </w:rPr>
            </w:pPr>
            <w:r>
              <w:rPr>
                <w:szCs w:val="21"/>
              </w:rPr>
              <w:t>5</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eastAsia="宋体"/>
                <w:szCs w:val="21"/>
                <w:lang w:eastAsia="zh-CN"/>
              </w:rPr>
            </w:pPr>
            <w:r>
              <w:rPr>
                <w:rFonts w:hint="eastAsia"/>
                <w:szCs w:val="21"/>
              </w:rPr>
              <w:t>水泥</w:t>
            </w:r>
          </w:p>
        </w:tc>
        <w:tc>
          <w:tcPr>
            <w:tcW w:w="285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szCs w:val="21"/>
              </w:rPr>
            </w:pPr>
          </w:p>
        </w:tc>
        <w:tc>
          <w:tcPr>
            <w:tcW w:w="285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szCs w:val="21"/>
              </w:rPr>
            </w:pPr>
          </w:p>
        </w:tc>
      </w:tr>
      <w:tr>
        <w:tblPrEx>
          <w:tblCellMar>
            <w:top w:w="0" w:type="dxa"/>
            <w:left w:w="108" w:type="dxa"/>
            <w:bottom w:w="0" w:type="dxa"/>
            <w:right w:w="108" w:type="dxa"/>
          </w:tblCellMar>
        </w:tblPrEx>
        <w:trPr>
          <w:trHeight w:val="427" w:hRule="atLeast"/>
        </w:trPr>
        <w:tc>
          <w:tcPr>
            <w:tcW w:w="555"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jc w:val="center"/>
              <w:rPr>
                <w:rFonts w:ascii="Calibri" w:hAnsi="Calibri" w:eastAsia="宋体" w:cs="Times New Roman"/>
                <w:kern w:val="2"/>
                <w:sz w:val="21"/>
                <w:szCs w:val="21"/>
                <w:lang w:val="en-US" w:eastAsia="zh-CN" w:bidi="ar-SA"/>
              </w:rPr>
            </w:pPr>
            <w:r>
              <w:rPr>
                <w:rFonts w:hint="eastAsia"/>
                <w:szCs w:val="21"/>
              </w:rPr>
              <w:t>6</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eastAsia="宋体"/>
                <w:szCs w:val="21"/>
                <w:lang w:eastAsia="zh-CN"/>
              </w:rPr>
            </w:pPr>
            <w:r>
              <w:rPr>
                <w:rFonts w:hint="eastAsia"/>
                <w:szCs w:val="21"/>
              </w:rPr>
              <w:t>防水</w:t>
            </w:r>
            <w:r>
              <w:rPr>
                <w:rFonts w:hint="eastAsia"/>
                <w:szCs w:val="21"/>
                <w:lang w:eastAsia="zh-CN"/>
              </w:rPr>
              <w:t>涂料</w:t>
            </w:r>
          </w:p>
        </w:tc>
        <w:tc>
          <w:tcPr>
            <w:tcW w:w="285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szCs w:val="21"/>
              </w:rPr>
            </w:pPr>
          </w:p>
        </w:tc>
        <w:tc>
          <w:tcPr>
            <w:tcW w:w="285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szCs w:val="21"/>
              </w:rPr>
            </w:pPr>
          </w:p>
        </w:tc>
      </w:tr>
      <w:tr>
        <w:tblPrEx>
          <w:tblCellMar>
            <w:top w:w="0" w:type="dxa"/>
            <w:left w:w="108" w:type="dxa"/>
            <w:bottom w:w="0" w:type="dxa"/>
            <w:right w:w="108" w:type="dxa"/>
          </w:tblCellMar>
        </w:tblPrEx>
        <w:trPr>
          <w:trHeight w:val="427" w:hRule="atLeast"/>
        </w:trPr>
        <w:tc>
          <w:tcPr>
            <w:tcW w:w="555"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jc w:val="center"/>
              <w:rPr>
                <w:rFonts w:ascii="Calibri" w:hAnsi="Calibri" w:eastAsia="宋体" w:cs="Times New Roman"/>
                <w:kern w:val="2"/>
                <w:sz w:val="21"/>
                <w:szCs w:val="21"/>
                <w:lang w:val="en-US" w:eastAsia="zh-CN" w:bidi="ar-SA"/>
              </w:rPr>
            </w:pPr>
            <w:r>
              <w:rPr>
                <w:rFonts w:hint="eastAsia"/>
                <w:szCs w:val="21"/>
              </w:rPr>
              <w:t>7</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szCs w:val="21"/>
              </w:rPr>
            </w:pPr>
            <w:r>
              <w:rPr>
                <w:rFonts w:hint="eastAsia"/>
                <w:szCs w:val="21"/>
                <w:lang w:eastAsia="zh-CN"/>
              </w:rPr>
              <w:t>外</w:t>
            </w:r>
            <w:r>
              <w:rPr>
                <w:rFonts w:hint="eastAsia"/>
                <w:szCs w:val="21"/>
              </w:rPr>
              <w:t>墙涂料</w:t>
            </w:r>
          </w:p>
        </w:tc>
        <w:tc>
          <w:tcPr>
            <w:tcW w:w="285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szCs w:val="21"/>
                <w:lang w:eastAsia="zh-CN"/>
              </w:rPr>
            </w:pPr>
          </w:p>
        </w:tc>
        <w:tc>
          <w:tcPr>
            <w:tcW w:w="285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szCs w:val="21"/>
                <w:lang w:eastAsia="zh-CN"/>
              </w:rPr>
            </w:pPr>
          </w:p>
        </w:tc>
      </w:tr>
      <w:tr>
        <w:tblPrEx>
          <w:tblCellMar>
            <w:top w:w="0" w:type="dxa"/>
            <w:left w:w="108" w:type="dxa"/>
            <w:bottom w:w="0" w:type="dxa"/>
            <w:right w:w="108" w:type="dxa"/>
          </w:tblCellMar>
        </w:tblPrEx>
        <w:trPr>
          <w:trHeight w:val="427" w:hRule="atLeast"/>
        </w:trPr>
        <w:tc>
          <w:tcPr>
            <w:tcW w:w="555"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jc w:val="center"/>
              <w:rPr>
                <w:rFonts w:hint="eastAsia" w:ascii="Calibri" w:hAnsi="Calibri" w:eastAsia="宋体" w:cs="Times New Roman"/>
                <w:kern w:val="2"/>
                <w:sz w:val="21"/>
                <w:szCs w:val="21"/>
                <w:lang w:val="en-US" w:eastAsia="zh-CN" w:bidi="ar-SA"/>
              </w:rPr>
            </w:pPr>
            <w:r>
              <w:rPr>
                <w:rFonts w:hint="eastAsia"/>
                <w:szCs w:val="21"/>
                <w:lang w:val="en-US" w:eastAsia="zh-CN"/>
              </w:rPr>
              <w:t>8</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eastAsia="宋体"/>
                <w:szCs w:val="21"/>
                <w:lang w:eastAsia="zh-CN"/>
              </w:rPr>
            </w:pPr>
            <w:r>
              <w:rPr>
                <w:rFonts w:hint="eastAsia"/>
                <w:szCs w:val="21"/>
                <w:lang w:eastAsia="zh-CN"/>
              </w:rPr>
              <w:t>瓷砖背胶</w:t>
            </w:r>
          </w:p>
        </w:tc>
        <w:tc>
          <w:tcPr>
            <w:tcW w:w="285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szCs w:val="21"/>
                <w:lang w:eastAsia="zh-CN"/>
              </w:rPr>
            </w:pPr>
          </w:p>
        </w:tc>
        <w:tc>
          <w:tcPr>
            <w:tcW w:w="285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szCs w:val="21"/>
                <w:lang w:eastAsia="zh-CN"/>
              </w:rPr>
            </w:pPr>
          </w:p>
        </w:tc>
      </w:tr>
      <w:tr>
        <w:tblPrEx>
          <w:tblCellMar>
            <w:top w:w="0" w:type="dxa"/>
            <w:left w:w="108" w:type="dxa"/>
            <w:bottom w:w="0" w:type="dxa"/>
            <w:right w:w="108" w:type="dxa"/>
          </w:tblCellMar>
        </w:tblPrEx>
        <w:trPr>
          <w:trHeight w:val="427" w:hRule="atLeast"/>
        </w:trPr>
        <w:tc>
          <w:tcPr>
            <w:tcW w:w="555"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jc w:val="center"/>
              <w:rPr>
                <w:rFonts w:hint="eastAsia" w:ascii="Calibri" w:hAnsi="Calibri" w:eastAsia="宋体" w:cs="Times New Roman"/>
                <w:kern w:val="2"/>
                <w:sz w:val="21"/>
                <w:szCs w:val="21"/>
                <w:lang w:val="en-US" w:eastAsia="zh-CN" w:bidi="ar-SA"/>
              </w:rPr>
            </w:pPr>
            <w:r>
              <w:rPr>
                <w:rFonts w:hint="eastAsia"/>
                <w:szCs w:val="21"/>
                <w:lang w:val="en-US" w:eastAsia="zh-CN"/>
              </w:rPr>
              <w:t>9</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eastAsia="宋体"/>
                <w:szCs w:val="21"/>
                <w:lang w:eastAsia="zh-CN"/>
              </w:rPr>
            </w:pPr>
            <w:r>
              <w:rPr>
                <w:rFonts w:hint="eastAsia"/>
                <w:szCs w:val="21"/>
                <w:lang w:eastAsia="zh-CN"/>
              </w:rPr>
              <w:t>热熔涂料</w:t>
            </w:r>
          </w:p>
        </w:tc>
        <w:tc>
          <w:tcPr>
            <w:tcW w:w="285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szCs w:val="21"/>
                <w:lang w:eastAsia="zh-CN"/>
              </w:rPr>
            </w:pPr>
          </w:p>
        </w:tc>
        <w:tc>
          <w:tcPr>
            <w:tcW w:w="285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szCs w:val="21"/>
                <w:lang w:eastAsia="zh-CN"/>
              </w:rPr>
            </w:pPr>
          </w:p>
        </w:tc>
      </w:tr>
      <w:tr>
        <w:tblPrEx>
          <w:tblCellMar>
            <w:top w:w="0" w:type="dxa"/>
            <w:left w:w="108" w:type="dxa"/>
            <w:bottom w:w="0" w:type="dxa"/>
            <w:right w:w="108" w:type="dxa"/>
          </w:tblCellMar>
        </w:tblPrEx>
        <w:trPr>
          <w:trHeight w:val="445" w:hRule="atLeast"/>
        </w:trPr>
        <w:tc>
          <w:tcPr>
            <w:tcW w:w="555"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jc w:val="center"/>
              <w:rPr>
                <w:rFonts w:hint="default" w:eastAsia="宋体"/>
                <w:szCs w:val="21"/>
                <w:lang w:val="en-US" w:eastAsia="zh-CN"/>
              </w:rPr>
            </w:pPr>
            <w:r>
              <w:rPr>
                <w:rFonts w:hint="eastAsia"/>
                <w:szCs w:val="21"/>
                <w:lang w:val="en-US" w:eastAsia="zh-CN"/>
              </w:rPr>
              <w:t>10</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eastAsia="宋体"/>
                <w:szCs w:val="21"/>
                <w:lang w:eastAsia="zh-CN"/>
              </w:rPr>
            </w:pPr>
            <w:r>
              <w:rPr>
                <w:rFonts w:hint="eastAsia"/>
                <w:szCs w:val="21"/>
                <w:lang w:eastAsia="zh-CN"/>
              </w:rPr>
              <w:t>透水砖</w:t>
            </w:r>
          </w:p>
        </w:tc>
        <w:tc>
          <w:tcPr>
            <w:tcW w:w="285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szCs w:val="21"/>
                <w:lang w:eastAsia="zh-CN"/>
              </w:rPr>
            </w:pPr>
          </w:p>
        </w:tc>
        <w:tc>
          <w:tcPr>
            <w:tcW w:w="285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szCs w:val="21"/>
                <w:lang w:eastAsia="zh-CN"/>
              </w:rPr>
            </w:pPr>
          </w:p>
        </w:tc>
      </w:tr>
      <w:tr>
        <w:tblPrEx>
          <w:tblCellMar>
            <w:top w:w="0" w:type="dxa"/>
            <w:left w:w="108" w:type="dxa"/>
            <w:bottom w:w="0" w:type="dxa"/>
            <w:right w:w="108" w:type="dxa"/>
          </w:tblCellMar>
        </w:tblPrEx>
        <w:trPr>
          <w:trHeight w:val="445" w:hRule="atLeast"/>
        </w:trPr>
        <w:tc>
          <w:tcPr>
            <w:tcW w:w="555"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jc w:val="center"/>
              <w:rPr>
                <w:rFonts w:hint="default"/>
                <w:szCs w:val="21"/>
                <w:lang w:val="en-US" w:eastAsia="zh-CN"/>
              </w:rPr>
            </w:pPr>
            <w:r>
              <w:rPr>
                <w:rFonts w:hint="eastAsia"/>
                <w:szCs w:val="21"/>
                <w:lang w:val="en-US" w:eastAsia="zh-CN"/>
              </w:rPr>
              <w:t>11</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default"/>
                <w:szCs w:val="21"/>
                <w:lang w:val="en-US" w:eastAsia="zh-CN"/>
              </w:rPr>
            </w:pPr>
            <w:r>
              <w:rPr>
                <w:rFonts w:hint="eastAsia"/>
                <w:szCs w:val="21"/>
                <w:lang w:val="en-US" w:eastAsia="zh-CN"/>
              </w:rPr>
              <w:t>......（若有）</w:t>
            </w:r>
          </w:p>
        </w:tc>
        <w:tc>
          <w:tcPr>
            <w:tcW w:w="285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szCs w:val="21"/>
                <w:lang w:eastAsia="zh-CN"/>
              </w:rPr>
            </w:pPr>
          </w:p>
        </w:tc>
        <w:tc>
          <w:tcPr>
            <w:tcW w:w="285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jc w:val="center"/>
              <w:rPr>
                <w:rFonts w:hint="eastAsia"/>
                <w:szCs w:val="21"/>
                <w:lang w:eastAsia="zh-CN"/>
              </w:rPr>
            </w:pPr>
          </w:p>
        </w:tc>
      </w:tr>
    </w:tbl>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hAnsi="仿宋_GB2312" w:eastAsia="仿宋_GB2312" w:cs="仿宋_GB2312"/>
          <w:color w:val="FF0000"/>
          <w:sz w:val="28"/>
          <w:szCs w:val="28"/>
          <w:lang w:val="en-US" w:eastAsia="zh-CN"/>
        </w:rPr>
      </w:pPr>
      <w:r>
        <w:rPr>
          <w:rFonts w:hint="eastAsia" w:ascii="仿宋_GB2312" w:hAnsi="仿宋_GB2312" w:eastAsia="仿宋_GB2312" w:cs="仿宋_GB2312"/>
          <w:color w:val="FF0000"/>
          <w:sz w:val="28"/>
          <w:szCs w:val="28"/>
          <w:lang w:val="en-US" w:eastAsia="zh-CN"/>
        </w:rPr>
        <w:t>投标人提交投标文件时，必须填写此表，表中各类材料对应的品牌分别填写一个。投标人若有认为重要的材料名称需补充，可补充填写在表中。备注栏可不填写。如供应商存在各类材料对应的品牌分别填写多个、缺填、漏填的，即为不满足实质性条款要求，作投标无效处理。</w:t>
      </w:r>
    </w:p>
    <w:p>
      <w:pPr>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br w:type="page"/>
      </w:r>
    </w:p>
    <w:p>
      <w:pPr>
        <w:jc w:val="center"/>
        <w:rPr>
          <w:b/>
          <w:color w:val="FF0000"/>
          <w:sz w:val="32"/>
          <w:szCs w:val="32"/>
        </w:rPr>
      </w:pPr>
    </w:p>
    <w:p>
      <w:pPr>
        <w:jc w:val="center"/>
        <w:rPr>
          <w:b/>
          <w:color w:val="FF0000"/>
          <w:sz w:val="32"/>
          <w:szCs w:val="32"/>
        </w:rPr>
      </w:pPr>
    </w:p>
    <w:p>
      <w:pPr>
        <w:jc w:val="center"/>
        <w:rPr>
          <w:b/>
          <w:color w:val="FF0000"/>
          <w:sz w:val="32"/>
          <w:szCs w:val="32"/>
        </w:rPr>
      </w:pPr>
      <w:r>
        <w:rPr>
          <w:rFonts w:hint="eastAsia"/>
          <w:b/>
          <w:color w:val="FF0000"/>
          <w:sz w:val="32"/>
          <w:szCs w:val="32"/>
        </w:rPr>
        <w:t>其余部分投标文件格式由投标人自定</w:t>
      </w:r>
    </w:p>
    <w:p>
      <w:pPr>
        <w:jc w:val="center"/>
        <w:rPr>
          <w:color w:val="FF0000"/>
        </w:rPr>
      </w:pPr>
    </w:p>
    <w:p>
      <w:pPr>
        <w:pStyle w:val="3"/>
        <w:jc w:val="center"/>
        <w:rPr>
          <w:rFonts w:ascii="黑体" w:eastAsia="黑体"/>
          <w:b w:val="0"/>
          <w:kern w:val="0"/>
          <w:sz w:val="24"/>
        </w:rPr>
      </w:pPr>
      <w:bookmarkStart w:id="93" w:name="_Toc12178"/>
      <w:r>
        <w:rPr>
          <w:rFonts w:hint="eastAsia" w:ascii="黑体" w:eastAsia="黑体"/>
          <w:b w:val="0"/>
          <w:kern w:val="0"/>
          <w:sz w:val="24"/>
        </w:rPr>
        <w:t>四、项目总体概述及理解</w:t>
      </w:r>
      <w:bookmarkEnd w:id="93"/>
    </w:p>
    <w:p>
      <w:pPr>
        <w:pStyle w:val="3"/>
        <w:jc w:val="center"/>
        <w:rPr>
          <w:rFonts w:ascii="黑体" w:eastAsia="黑体"/>
          <w:b w:val="0"/>
          <w:kern w:val="0"/>
          <w:sz w:val="24"/>
        </w:rPr>
      </w:pPr>
      <w:bookmarkStart w:id="94" w:name="_Toc22976"/>
      <w:r>
        <w:rPr>
          <w:rFonts w:hint="eastAsia" w:ascii="黑体" w:eastAsia="黑体"/>
          <w:b w:val="0"/>
          <w:kern w:val="0"/>
          <w:sz w:val="24"/>
        </w:rPr>
        <w:t>五、施工组织计划、施工技术、施工工艺及对施工材料的理解</w:t>
      </w:r>
      <w:bookmarkEnd w:id="94"/>
    </w:p>
    <w:p>
      <w:pPr>
        <w:pStyle w:val="3"/>
        <w:jc w:val="center"/>
        <w:rPr>
          <w:rFonts w:ascii="黑体" w:eastAsia="黑体"/>
          <w:b w:val="0"/>
          <w:kern w:val="0"/>
          <w:sz w:val="24"/>
        </w:rPr>
      </w:pPr>
      <w:bookmarkStart w:id="95" w:name="_Toc8304"/>
      <w:r>
        <w:rPr>
          <w:rFonts w:hint="eastAsia" w:ascii="黑体" w:eastAsia="黑体"/>
          <w:b w:val="0"/>
          <w:kern w:val="0"/>
          <w:sz w:val="24"/>
        </w:rPr>
        <w:t>六、项目实施关键施工技术（重点难点）分析及解决方案</w:t>
      </w:r>
      <w:bookmarkEnd w:id="95"/>
    </w:p>
    <w:p>
      <w:pPr>
        <w:pStyle w:val="3"/>
        <w:jc w:val="center"/>
        <w:rPr>
          <w:rFonts w:ascii="黑体" w:eastAsia="黑体"/>
          <w:b w:val="0"/>
          <w:kern w:val="0"/>
          <w:sz w:val="24"/>
        </w:rPr>
      </w:pPr>
      <w:bookmarkStart w:id="96" w:name="_Toc1701"/>
      <w:r>
        <w:rPr>
          <w:rFonts w:hint="eastAsia" w:ascii="黑体" w:eastAsia="黑体"/>
          <w:b w:val="0"/>
          <w:kern w:val="0"/>
          <w:sz w:val="24"/>
        </w:rPr>
        <w:t>七、施工质量（安全、环保、工期）保障措施及相关的履约承诺</w:t>
      </w:r>
      <w:bookmarkEnd w:id="96"/>
    </w:p>
    <w:p>
      <w:pPr>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br w:type="page"/>
      </w:r>
    </w:p>
    <w:p>
      <w:pPr>
        <w:pStyle w:val="2"/>
        <w:keepNext w:val="0"/>
        <w:keepLines w:val="0"/>
        <w:pageBreakBefore/>
        <w:spacing w:line="360" w:lineRule="auto"/>
        <w:jc w:val="center"/>
        <w:rPr>
          <w:rFonts w:hint="eastAsia" w:ascii="黑体" w:hAnsi="黑体" w:eastAsia="黑体" w:cs="Times New Roman"/>
          <w:b w:val="0"/>
          <w:bCs w:val="0"/>
          <w:color w:val="auto"/>
          <w:kern w:val="2"/>
          <w:sz w:val="44"/>
          <w:szCs w:val="44"/>
          <w:lang w:val="en-US" w:eastAsia="zh-CN" w:bidi="ar-SA"/>
        </w:rPr>
      </w:pPr>
      <w:bookmarkStart w:id="97" w:name="_Toc1101"/>
      <w:bookmarkStart w:id="98" w:name="_Toc82421192"/>
      <w:bookmarkStart w:id="99" w:name="_Toc82421299"/>
      <w:r>
        <w:rPr>
          <w:rFonts w:hint="eastAsia" w:ascii="黑体" w:hAnsi="黑体" w:eastAsia="黑体" w:cs="Times New Roman"/>
          <w:b w:val="0"/>
          <w:bCs w:val="0"/>
          <w:color w:val="auto"/>
          <w:kern w:val="2"/>
          <w:sz w:val="44"/>
          <w:szCs w:val="44"/>
          <w:lang w:val="en-US" w:eastAsia="zh-CN" w:bidi="ar-SA"/>
        </w:rPr>
        <w:t>第二册 通用条款</w:t>
      </w:r>
      <w:bookmarkEnd w:id="97"/>
      <w:bookmarkEnd w:id="98"/>
      <w:bookmarkEnd w:id="99"/>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方正小标宋简体" w:hAnsi="方正小标宋简体" w:eastAsia="方正小标宋简体" w:cs="方正小标宋简体"/>
          <w:b w:val="0"/>
          <w:bCs/>
          <w:kern w:val="2"/>
          <w:sz w:val="32"/>
          <w:szCs w:val="32"/>
          <w:u w:val="none"/>
          <w:lang w:val="en-US" w:eastAsia="zh-CN" w:bidi="ar-SA"/>
        </w:rPr>
      </w:pPr>
      <w:bookmarkStart w:id="100" w:name="_Toc82421193"/>
      <w:bookmarkStart w:id="101" w:name="_Toc945"/>
      <w:bookmarkStart w:id="102" w:name="_Toc82421300"/>
      <w:r>
        <w:rPr>
          <w:rFonts w:hint="eastAsia" w:ascii="方正小标宋简体" w:hAnsi="方正小标宋简体" w:eastAsia="方正小标宋简体" w:cs="方正小标宋简体"/>
          <w:b w:val="0"/>
          <w:bCs/>
          <w:kern w:val="2"/>
          <w:sz w:val="32"/>
          <w:szCs w:val="32"/>
          <w:u w:val="none"/>
          <w:lang w:val="en-US" w:eastAsia="zh-CN" w:bidi="ar-SA"/>
        </w:rPr>
        <w:t>第一章  总则</w:t>
      </w:r>
      <w:bookmarkEnd w:id="100"/>
      <w:bookmarkEnd w:id="101"/>
      <w:bookmarkEnd w:id="102"/>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宋体" w:hAnsi="宋体" w:eastAsia="宋体" w:cs="Times New Roman"/>
          <w:b/>
          <w:bCs/>
          <w:szCs w:val="21"/>
          <w:lang w:val="en-US" w:eastAsia="zh-CN"/>
        </w:rPr>
      </w:pPr>
      <w:r>
        <w:rPr>
          <w:rFonts w:hint="eastAsia" w:ascii="宋体" w:hAnsi="宋体" w:eastAsia="宋体" w:cs="Times New Roman"/>
          <w:b/>
          <w:bCs/>
          <w:szCs w:val="21"/>
          <w:lang w:val="en-US" w:eastAsia="zh-CN"/>
        </w:rPr>
        <w:t>1.通用条款说明</w:t>
      </w:r>
    </w:p>
    <w:p>
      <w:pPr>
        <w:ind w:firstLine="411" w:firstLineChars="196"/>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1.1采购文件分为第一册“专用条款”和第二册“通用条款”。</w:t>
      </w:r>
    </w:p>
    <w:p>
      <w:pPr>
        <w:ind w:firstLine="411" w:firstLineChars="196"/>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1.2“专用条款”是对本次采购项目的具体要求，包含投标人资格要求、招标项目需求、投标文件格式、附件等内容。</w:t>
      </w:r>
    </w:p>
    <w:p>
      <w:pPr>
        <w:ind w:firstLine="411" w:firstLineChars="196"/>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1.3“通用条款”是适用于采购项目的基础性条款，具有普遍性和通用性。</w:t>
      </w:r>
    </w:p>
    <w:p>
      <w:pPr>
        <w:ind w:firstLine="411" w:firstLineChars="196"/>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1.4“专用条款”和“通用条款”表述不一致或有冲突时，以“专用条款”为准。</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宋体" w:hAnsi="宋体" w:eastAsia="宋体" w:cs="Times New Roman"/>
          <w:b/>
          <w:bCs/>
          <w:szCs w:val="21"/>
          <w:lang w:val="en-US" w:eastAsia="zh-CN"/>
        </w:rPr>
      </w:pPr>
      <w:r>
        <w:rPr>
          <w:rFonts w:hint="eastAsia" w:ascii="宋体" w:hAnsi="宋体" w:eastAsia="宋体" w:cs="Times New Roman"/>
          <w:b/>
          <w:bCs/>
          <w:szCs w:val="21"/>
          <w:lang w:val="en-US" w:eastAsia="zh-CN"/>
        </w:rPr>
        <w:t>2．招标说明</w:t>
      </w:r>
    </w:p>
    <w:p>
      <w:pPr>
        <w:ind w:firstLine="411" w:firstLineChars="196"/>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本项目按照《深圳经济特区政府采购条例》、《深圳经济特区政府采购条例实施细则》和深圳市盐田区中英街管理局的有关规定，通过评审定标方式确定成交供应商。</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宋体" w:hAnsi="宋体" w:eastAsia="宋体" w:cs="Times New Roman"/>
          <w:b/>
          <w:bCs/>
          <w:szCs w:val="21"/>
          <w:lang w:val="en-US" w:eastAsia="zh-CN"/>
        </w:rPr>
      </w:pPr>
      <w:r>
        <w:rPr>
          <w:rFonts w:hint="eastAsia" w:ascii="宋体" w:hAnsi="宋体" w:eastAsia="宋体" w:cs="Times New Roman"/>
          <w:b/>
          <w:bCs/>
          <w:szCs w:val="21"/>
          <w:lang w:val="en-US" w:eastAsia="zh-CN"/>
        </w:rPr>
        <w:t>3．定义</w:t>
      </w:r>
    </w:p>
    <w:p>
      <w:pPr>
        <w:ind w:firstLine="420" w:firstLineChars="200"/>
        <w:rPr>
          <w:rFonts w:ascii="宋体" w:hAnsi="宋体"/>
          <w:szCs w:val="21"/>
        </w:rPr>
      </w:pPr>
      <w:r>
        <w:rPr>
          <w:rFonts w:hint="eastAsia" w:ascii="宋体" w:hAnsi="宋体"/>
          <w:szCs w:val="21"/>
          <w:lang w:eastAsia="zh-CN"/>
        </w:rPr>
        <w:t>采购文件</w:t>
      </w:r>
      <w:r>
        <w:rPr>
          <w:rFonts w:hint="eastAsia" w:ascii="宋体" w:hAnsi="宋体"/>
          <w:szCs w:val="21"/>
        </w:rPr>
        <w:t>中下列术语应解释为：</w:t>
      </w:r>
    </w:p>
    <w:p>
      <w:pPr>
        <w:ind w:firstLine="411" w:firstLineChars="196"/>
        <w:rPr>
          <w:rFonts w:ascii="宋体" w:hAnsi="宋体"/>
          <w:szCs w:val="21"/>
        </w:rPr>
      </w:pPr>
      <w:r>
        <w:rPr>
          <w:rFonts w:hint="eastAsia" w:ascii="宋体" w:hAnsi="宋体"/>
          <w:szCs w:val="21"/>
        </w:rPr>
        <w:t>3.1“采购人”、“采购单位”或“招标人”：指深圳</w:t>
      </w:r>
      <w:r>
        <w:rPr>
          <w:rFonts w:hint="eastAsia" w:ascii="宋体" w:hAnsi="宋体"/>
          <w:szCs w:val="21"/>
          <w:lang w:eastAsia="zh-CN"/>
        </w:rPr>
        <w:t>市盐田区中英街管理局</w:t>
      </w:r>
      <w:r>
        <w:rPr>
          <w:rFonts w:hint="eastAsia" w:ascii="宋体" w:hAnsi="宋体"/>
          <w:szCs w:val="21"/>
        </w:rPr>
        <w:t xml:space="preserve">； </w:t>
      </w:r>
    </w:p>
    <w:p>
      <w:pPr>
        <w:ind w:firstLine="411" w:firstLineChars="196"/>
        <w:rPr>
          <w:rFonts w:ascii="宋体" w:hAnsi="宋体"/>
          <w:szCs w:val="21"/>
        </w:rPr>
      </w:pPr>
      <w:r>
        <w:rPr>
          <w:rFonts w:hint="eastAsia" w:ascii="宋体" w:hAnsi="宋体"/>
          <w:szCs w:val="21"/>
        </w:rPr>
        <w:t>3.</w:t>
      </w:r>
      <w:r>
        <w:rPr>
          <w:rFonts w:hint="eastAsia" w:ascii="宋体" w:hAnsi="宋体"/>
          <w:szCs w:val="21"/>
          <w:lang w:val="en-US" w:eastAsia="zh-CN"/>
        </w:rPr>
        <w:t>2</w:t>
      </w:r>
      <w:r>
        <w:rPr>
          <w:rFonts w:hint="eastAsia" w:ascii="宋体" w:hAnsi="宋体"/>
          <w:szCs w:val="21"/>
        </w:rPr>
        <w:t>“投标人”或“投标方”，即供应商，指参加投标竞争并愿意按照</w:t>
      </w:r>
      <w:r>
        <w:rPr>
          <w:rFonts w:hint="eastAsia" w:ascii="宋体" w:hAnsi="宋体"/>
          <w:szCs w:val="21"/>
          <w:lang w:eastAsia="zh-CN"/>
        </w:rPr>
        <w:t>采购文件</w:t>
      </w:r>
      <w:r>
        <w:rPr>
          <w:rFonts w:hint="eastAsia" w:ascii="宋体" w:hAnsi="宋体"/>
          <w:szCs w:val="21"/>
        </w:rPr>
        <w:t>要求向采购人提供货物、工程或者服务的依法成立的法人、其他组织或者自然人；</w:t>
      </w:r>
    </w:p>
    <w:p>
      <w:pPr>
        <w:ind w:firstLine="411" w:firstLineChars="196"/>
        <w:rPr>
          <w:rFonts w:ascii="宋体" w:hAnsi="宋体"/>
          <w:szCs w:val="21"/>
        </w:rPr>
      </w:pPr>
      <w:r>
        <w:rPr>
          <w:rFonts w:hint="eastAsia" w:ascii="宋体" w:hAnsi="宋体"/>
          <w:szCs w:val="21"/>
        </w:rPr>
        <w:t>3.</w:t>
      </w:r>
      <w:r>
        <w:rPr>
          <w:rFonts w:hint="eastAsia" w:ascii="宋体" w:hAnsi="宋体"/>
          <w:szCs w:val="21"/>
          <w:lang w:val="en-US" w:eastAsia="zh-CN"/>
        </w:rPr>
        <w:t>3</w:t>
      </w:r>
      <w:r>
        <w:rPr>
          <w:rFonts w:hint="eastAsia" w:ascii="宋体" w:hAnsi="宋体"/>
          <w:szCs w:val="21"/>
          <w:lang w:eastAsia="zh-CN"/>
        </w:rPr>
        <w:t>“采购评审小组”</w:t>
      </w:r>
      <w:r>
        <w:rPr>
          <w:rFonts w:hint="eastAsia" w:ascii="宋体" w:hAnsi="宋体"/>
          <w:szCs w:val="21"/>
        </w:rPr>
        <w:t>是依据</w:t>
      </w:r>
      <w:r>
        <w:rPr>
          <w:rFonts w:hint="eastAsia" w:ascii="宋体" w:hAnsi="宋体"/>
          <w:szCs w:val="21"/>
          <w:lang w:eastAsia="zh-CN"/>
        </w:rPr>
        <w:t>《深圳市盐田区中英街管理局政府采购管理办法（2025年修订版）》</w:t>
      </w:r>
      <w:r>
        <w:rPr>
          <w:rFonts w:hint="eastAsia" w:ascii="宋体" w:hAnsi="宋体"/>
          <w:szCs w:val="21"/>
        </w:rPr>
        <w:t>规定组建的专门负责本次</w:t>
      </w:r>
      <w:r>
        <w:rPr>
          <w:rFonts w:hint="eastAsia" w:ascii="宋体" w:hAnsi="宋体"/>
          <w:szCs w:val="21"/>
          <w:lang w:eastAsia="zh-CN"/>
        </w:rPr>
        <w:t>项目采购</w:t>
      </w:r>
      <w:r>
        <w:rPr>
          <w:rFonts w:hint="eastAsia" w:ascii="宋体" w:hAnsi="宋体"/>
          <w:szCs w:val="21"/>
        </w:rPr>
        <w:t>评审工作的临时性</w:t>
      </w:r>
      <w:r>
        <w:rPr>
          <w:rFonts w:hint="eastAsia" w:ascii="宋体" w:hAnsi="宋体"/>
          <w:szCs w:val="21"/>
          <w:lang w:eastAsia="zh-CN"/>
        </w:rPr>
        <w:t>小组</w:t>
      </w:r>
      <w:r>
        <w:rPr>
          <w:rFonts w:hint="eastAsia" w:ascii="宋体" w:hAnsi="宋体"/>
          <w:szCs w:val="21"/>
        </w:rPr>
        <w:t>；</w:t>
      </w:r>
    </w:p>
    <w:p>
      <w:pPr>
        <w:ind w:firstLine="411" w:firstLineChars="196"/>
        <w:rPr>
          <w:rFonts w:ascii="宋体" w:hAnsi="宋体"/>
          <w:szCs w:val="21"/>
        </w:rPr>
      </w:pPr>
      <w:r>
        <w:rPr>
          <w:rFonts w:hint="eastAsia" w:ascii="宋体" w:hAnsi="宋体"/>
          <w:szCs w:val="21"/>
        </w:rPr>
        <w:t>3.</w:t>
      </w:r>
      <w:r>
        <w:rPr>
          <w:rFonts w:hint="eastAsia" w:ascii="宋体" w:hAnsi="宋体"/>
          <w:szCs w:val="21"/>
          <w:lang w:val="en-US" w:eastAsia="zh-CN"/>
        </w:rPr>
        <w:t>4</w:t>
      </w:r>
      <w:r>
        <w:rPr>
          <w:rFonts w:hint="eastAsia" w:ascii="宋体" w:hAnsi="宋体"/>
          <w:szCs w:val="21"/>
        </w:rPr>
        <w:t>“日期”指公历日；</w:t>
      </w:r>
    </w:p>
    <w:p>
      <w:pPr>
        <w:ind w:firstLine="411" w:firstLineChars="196"/>
        <w:rPr>
          <w:rFonts w:ascii="宋体" w:hAnsi="宋体"/>
          <w:szCs w:val="21"/>
        </w:rPr>
      </w:pPr>
      <w:r>
        <w:rPr>
          <w:rFonts w:hint="eastAsia" w:ascii="宋体" w:hAnsi="宋体"/>
          <w:szCs w:val="21"/>
        </w:rPr>
        <w:t>3.</w:t>
      </w:r>
      <w:r>
        <w:rPr>
          <w:rFonts w:hint="eastAsia" w:ascii="宋体" w:hAnsi="宋体"/>
          <w:szCs w:val="21"/>
          <w:lang w:val="en-US" w:eastAsia="zh-CN"/>
        </w:rPr>
        <w:t>5</w:t>
      </w:r>
      <w:r>
        <w:rPr>
          <w:rFonts w:hint="eastAsia" w:ascii="宋体" w:hAnsi="宋体"/>
          <w:szCs w:val="21"/>
        </w:rPr>
        <w:t>“时间”如未特别说明，均为北京时间；</w:t>
      </w:r>
    </w:p>
    <w:p>
      <w:pPr>
        <w:ind w:firstLine="411" w:firstLineChars="196"/>
        <w:rPr>
          <w:rFonts w:ascii="宋体" w:hAnsi="宋体"/>
          <w:szCs w:val="21"/>
        </w:rPr>
      </w:pPr>
      <w:r>
        <w:rPr>
          <w:rFonts w:hint="eastAsia" w:ascii="宋体" w:hAnsi="宋体"/>
          <w:szCs w:val="21"/>
        </w:rPr>
        <w:t>3.</w:t>
      </w:r>
      <w:r>
        <w:rPr>
          <w:rFonts w:hint="eastAsia" w:ascii="宋体" w:hAnsi="宋体"/>
          <w:szCs w:val="21"/>
          <w:lang w:val="en-US" w:eastAsia="zh-CN"/>
        </w:rPr>
        <w:t>6</w:t>
      </w:r>
      <w:r>
        <w:rPr>
          <w:rFonts w:hint="eastAsia" w:ascii="宋体" w:hAnsi="宋体"/>
          <w:szCs w:val="21"/>
        </w:rPr>
        <w:t>“合同”指由本次招标所产生的合同或合约文件；</w:t>
      </w:r>
    </w:p>
    <w:p>
      <w:pPr>
        <w:ind w:firstLine="411" w:firstLineChars="196"/>
        <w:rPr>
          <w:rFonts w:ascii="宋体" w:hAnsi="宋体"/>
          <w:szCs w:val="21"/>
        </w:rPr>
      </w:pPr>
      <w:r>
        <w:rPr>
          <w:rFonts w:hint="eastAsia" w:ascii="宋体" w:hAnsi="宋体"/>
          <w:szCs w:val="21"/>
        </w:rPr>
        <w:t>3.</w:t>
      </w:r>
      <w:r>
        <w:rPr>
          <w:rFonts w:hint="eastAsia" w:ascii="宋体" w:hAnsi="宋体"/>
          <w:szCs w:val="21"/>
          <w:lang w:val="en-US" w:eastAsia="zh-CN"/>
        </w:rPr>
        <w:t>7</w:t>
      </w:r>
      <w:r>
        <w:rPr>
          <w:rFonts w:hint="eastAsia" w:ascii="宋体" w:hAnsi="宋体"/>
          <w:szCs w:val="21"/>
          <w:lang w:eastAsia="zh-CN"/>
        </w:rPr>
        <w:t>采购</w:t>
      </w:r>
      <w:r>
        <w:rPr>
          <w:rFonts w:hint="eastAsia" w:ascii="宋体" w:hAnsi="宋体"/>
          <w:szCs w:val="21"/>
        </w:rPr>
        <w:t>文件中的标题或题名仅起引导作用，而不应视为对</w:t>
      </w:r>
      <w:r>
        <w:rPr>
          <w:rFonts w:hint="eastAsia" w:ascii="宋体" w:hAnsi="宋体"/>
          <w:szCs w:val="21"/>
          <w:lang w:eastAsia="zh-CN"/>
        </w:rPr>
        <w:t>采购</w:t>
      </w:r>
      <w:r>
        <w:rPr>
          <w:rFonts w:hint="eastAsia" w:ascii="宋体" w:hAnsi="宋体"/>
          <w:szCs w:val="21"/>
        </w:rPr>
        <w:t>文件内容的理解和解释。</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4.供应商责任</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4.1欢迎诚信、有实力和有社会责任心的供应商参与</w:t>
      </w:r>
      <w:r>
        <w:rPr>
          <w:rFonts w:hint="eastAsia" w:ascii="宋体" w:hAnsi="宋体" w:eastAsia="宋体" w:cs="Times New Roman"/>
          <w:szCs w:val="21"/>
          <w:lang w:val="en-US" w:eastAsia="zh-CN"/>
        </w:rPr>
        <w:t>深圳市盐田区中英街管理局</w:t>
      </w:r>
      <w:r>
        <w:rPr>
          <w:rFonts w:hint="default" w:ascii="宋体" w:hAnsi="宋体" w:eastAsia="宋体" w:cs="Times New Roman"/>
          <w:szCs w:val="21"/>
          <w:lang w:val="en-US" w:eastAsia="zh-CN"/>
        </w:rPr>
        <w:t>采购活动。</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4.2投标人应当遵循公平竞争的原则，不得恶意串通，不得妨碍其他投标人的竞争行为，不得损害采购人或者其他投标人的合法权益。如违反上述要求，经核实后，供应商的投标无效。</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szCs w:val="21"/>
          <w:lang w:val="en-US" w:eastAsia="zh-CN"/>
        </w:rPr>
      </w:pPr>
      <w:r>
        <w:rPr>
          <w:rFonts w:hint="default" w:ascii="宋体" w:hAnsi="宋体" w:eastAsia="宋体" w:cs="Times New Roman"/>
          <w:b/>
          <w:bCs/>
          <w:szCs w:val="21"/>
          <w:lang w:val="en-US" w:eastAsia="zh-CN"/>
        </w:rPr>
        <w:t>5．投标人参加</w:t>
      </w:r>
      <w:r>
        <w:rPr>
          <w:rFonts w:hint="eastAsia" w:ascii="宋体" w:hAnsi="宋体" w:eastAsia="宋体" w:cs="Times New Roman"/>
          <w:b/>
          <w:bCs/>
          <w:szCs w:val="21"/>
          <w:lang w:val="en-US" w:eastAsia="zh-CN"/>
        </w:rPr>
        <w:t>深圳市盐田区中英街管理局</w:t>
      </w:r>
      <w:r>
        <w:rPr>
          <w:rFonts w:hint="default" w:ascii="宋体" w:hAnsi="宋体" w:eastAsia="宋体" w:cs="Times New Roman"/>
          <w:b/>
          <w:bCs/>
          <w:szCs w:val="21"/>
          <w:lang w:val="en-US" w:eastAsia="zh-CN"/>
        </w:rPr>
        <w:t>采购活动的条件</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参加本项目的投标人应具备的资格条件详见本项目</w:t>
      </w:r>
      <w:r>
        <w:rPr>
          <w:rFonts w:hint="eastAsia" w:ascii="宋体" w:hAnsi="宋体" w:eastAsia="宋体" w:cs="Times New Roman"/>
          <w:szCs w:val="21"/>
          <w:lang w:val="en-US" w:eastAsia="zh-CN"/>
        </w:rPr>
        <w:t>自行采购公告</w:t>
      </w:r>
      <w:r>
        <w:rPr>
          <w:rFonts w:hint="default" w:ascii="宋体" w:hAnsi="宋体" w:eastAsia="宋体" w:cs="Times New Roman"/>
          <w:szCs w:val="21"/>
          <w:lang w:val="en-US" w:eastAsia="zh-CN"/>
        </w:rPr>
        <w:t>中“投标人资格要求”的内容。</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6．联合体投标</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6.1以下有关联合体投标的条款仅适用于允许投标人组成联合体投标的项目。</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6.2由两个或两个以上的自然人、法人或者其他组织可以组成一个联合体，以一个供应商的身份共同投标时，应符合以下原则：</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（1）投标联合体各方参加</w:t>
      </w:r>
      <w:r>
        <w:rPr>
          <w:rFonts w:hint="eastAsia" w:ascii="宋体" w:hAnsi="宋体" w:eastAsia="宋体" w:cs="Times New Roman"/>
          <w:szCs w:val="21"/>
          <w:lang w:val="en-US" w:eastAsia="zh-CN"/>
        </w:rPr>
        <w:t>深圳市盐田区中英街管理局</w:t>
      </w:r>
      <w:r>
        <w:rPr>
          <w:rFonts w:hint="default" w:ascii="宋体" w:hAnsi="宋体" w:eastAsia="宋体" w:cs="Times New Roman"/>
          <w:szCs w:val="21"/>
          <w:lang w:val="en-US" w:eastAsia="zh-CN"/>
        </w:rPr>
        <w:t>的采购活动应当具备下列条件：</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1、具有独立承担民事责任的能力；</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2、有良好的商业信誉和健全的财务会计制度；</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3、具有履行合同所必需的设备和专业技术能力；</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4、有依法缴纳税收和社会保障资金的良好记录；</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5、参加采购活动前三年内，在经营活动中没有重大违法记录；</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6、法律、行政法规规定的其他条件。</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（2）联合体中有同类资质的供应商按照联合体分工承担相同工作的，应当按照资质等级较低的供应商确定资质等级。</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w:t>
      </w:r>
      <w:r>
        <w:rPr>
          <w:rFonts w:hint="eastAsia" w:ascii="宋体" w:hAnsi="宋体" w:eastAsia="宋体" w:cs="Times New Roman"/>
          <w:szCs w:val="21"/>
          <w:lang w:val="en-US" w:eastAsia="zh-CN"/>
        </w:rPr>
        <w:t>3</w:t>
      </w:r>
      <w:r>
        <w:rPr>
          <w:rFonts w:hint="default" w:ascii="宋体" w:hAnsi="宋体" w:eastAsia="宋体" w:cs="Times New Roman"/>
          <w:szCs w:val="21"/>
          <w:lang w:val="en-US" w:eastAsia="zh-CN"/>
        </w:rPr>
        <w:t>）是否允许联合体参加投标，应当由采购人根据项目的实际情况和潜在供应商的数量自主决定，如果决定接受联合体投标则应当在采购公告中明示。</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w:t>
      </w:r>
      <w:r>
        <w:rPr>
          <w:rFonts w:hint="eastAsia" w:ascii="宋体" w:hAnsi="宋体" w:eastAsia="宋体" w:cs="Times New Roman"/>
          <w:szCs w:val="21"/>
          <w:lang w:val="en-US" w:eastAsia="zh-CN"/>
        </w:rPr>
        <w:t>4</w:t>
      </w:r>
      <w:r>
        <w:rPr>
          <w:rFonts w:hint="default" w:ascii="宋体" w:hAnsi="宋体" w:eastAsia="宋体" w:cs="Times New Roman"/>
          <w:szCs w:val="21"/>
          <w:lang w:val="en-US" w:eastAsia="zh-CN"/>
        </w:rPr>
        <w:t>）投标人的投标文件及中标后签署的合同协议对联合体各方均具法律约束力；</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（6）联合体各方应当签订共同投标协议，明确约定各方拟承担的工作和责任，并将该共同投标协议随投标文件一并递交给</w:t>
      </w:r>
      <w:r>
        <w:rPr>
          <w:rFonts w:hint="eastAsia" w:ascii="宋体" w:hAnsi="宋体" w:eastAsia="宋体" w:cs="Times New Roman"/>
          <w:szCs w:val="21"/>
          <w:lang w:val="en-US" w:eastAsia="zh-CN"/>
        </w:rPr>
        <w:t>中英街管理局</w:t>
      </w:r>
      <w:r>
        <w:rPr>
          <w:rFonts w:hint="default" w:ascii="宋体" w:hAnsi="宋体" w:eastAsia="宋体" w:cs="Times New Roman"/>
          <w:szCs w:val="21"/>
          <w:lang w:val="en-US" w:eastAsia="zh-CN"/>
        </w:rPr>
        <w:t>；</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（7）联合体中标后，联合体各方应当共同与采购人签订合同，就中标项目向采购人承担连带责任；</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（8）以联合体形式参加本项目采购活动的，联合体各方不得再单独参加或者与其他供应商另外组成联合体参加同一合同项下的采购活动，出现上述情况者，其投标和与此有关联合体、总包单位的投标将被拒绝；</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（9）本通用条款中“投标人”一词亦指联合体各方，专用条款另有规定或说明的除外。</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7.本项目若涉及采购货物，则合格的货物及相应服务应满足以下要求：</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7.1必须是全新、未使用过的原装合格正品（包括零部件），如安装或配置了软件的，须为正版软件。</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7.2国产的货物及其有关服务必须符合中华人民共和国的设计、制造生产标准及行业标准</w:t>
      </w:r>
      <w:r>
        <w:rPr>
          <w:rFonts w:hint="eastAsia" w:ascii="宋体" w:hAnsi="宋体" w:eastAsia="宋体" w:cs="Times New Roman"/>
          <w:szCs w:val="21"/>
          <w:lang w:val="en-US" w:eastAsia="zh-CN"/>
        </w:rPr>
        <w:t>。自行采购</w:t>
      </w:r>
      <w:r>
        <w:rPr>
          <w:rFonts w:hint="default" w:ascii="宋体" w:hAnsi="宋体" w:eastAsia="宋体" w:cs="Times New Roman"/>
          <w:szCs w:val="21"/>
          <w:lang w:val="en-US" w:eastAsia="zh-CN"/>
        </w:rPr>
        <w:t>公告有其他要求的，亦应符合其要求。</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7.3进口货物及其有关服务必须符合原产地和中华人民共和国的设计、制造生产标准及行业标准。进口的货物必须具有合法的进口手续和途径，并通过中华人民共和国商检部门检验。</w:t>
      </w:r>
      <w:r>
        <w:rPr>
          <w:rFonts w:hint="eastAsia" w:ascii="宋体" w:hAnsi="宋体" w:eastAsia="宋体" w:cs="Times New Roman"/>
          <w:szCs w:val="21"/>
          <w:lang w:val="en-US" w:eastAsia="zh-CN"/>
        </w:rPr>
        <w:t>自行采购公告</w:t>
      </w:r>
      <w:r>
        <w:rPr>
          <w:rFonts w:hint="default" w:ascii="宋体" w:hAnsi="宋体" w:eastAsia="宋体" w:cs="Times New Roman"/>
          <w:szCs w:val="21"/>
          <w:lang w:val="en-US" w:eastAsia="zh-CN"/>
        </w:rPr>
        <w:t>有其他要求的，亦应符合其要求。</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7.4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7.5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7.6对工期的要求：投标人在投标时对其所投项目应提交货进度、交货计划等，在合同规定的时间内完工验收。</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7.7投标人必须承担的设备运输、安装调试、验收检测和提供设备操作说明书、图纸等其他相关及类似的义务。</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8．投标费用</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不论投标结果如何，投标人应承担其编制投标文件与递交投标文件所涉及的一切费用。</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9．踏勘现场</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9.1如有需要（详见专用条款），采购人将组织投标人对项目现场及周围环境进行踏勘，以便投标人获取有关编制投标文件和签署合同所需的资料。踏勘现场所发生的费用由投标人自行承担。投标人应按</w:t>
      </w:r>
      <w:r>
        <w:rPr>
          <w:rFonts w:hint="eastAsia" w:ascii="宋体" w:hAnsi="宋体" w:eastAsia="宋体" w:cs="Times New Roman"/>
          <w:szCs w:val="21"/>
          <w:lang w:val="en-US" w:eastAsia="zh-CN"/>
        </w:rPr>
        <w:t>自行采购公告</w:t>
      </w:r>
      <w:r>
        <w:rPr>
          <w:rFonts w:hint="default" w:ascii="宋体" w:hAnsi="宋体" w:eastAsia="宋体" w:cs="Times New Roman"/>
          <w:szCs w:val="21"/>
          <w:lang w:val="en-US" w:eastAsia="zh-CN"/>
        </w:rPr>
        <w:t>所约定的时间、地点踏勘现场。</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9.2投标人及其人员经过采购人的允许，可以进入采购人的项目现场踏勘。若</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要求投标人于统一时间地点踏勘现场的，投标人应当按时前往。</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9.3任何人或任何组织在踏勘现场时向投标人提交的任何书面资料或口头承诺，未经</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在网上发布或书面通知，均作无效处理。</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10．招标答疑</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10.1招标答疑的目的是澄清、解答投标人在查阅</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后或现场踏勘中可能提出的与投标有关的疑问或询问。</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10.2投标人如对</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内容有疑问，必须在</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规定的答疑截止时间前以书面形式提交给</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10.3</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对疑问所做出的澄清和解答，以书面答复（包括网站发布信息）为准。</w:t>
      </w:r>
    </w:p>
    <w:p>
      <w:pPr>
        <w:ind w:firstLine="411" w:firstLineChars="196"/>
        <w:rPr>
          <w:rFonts w:hint="default" w:ascii="宋体" w:hAnsi="宋体" w:eastAsia="宋体" w:cs="Times New Roman"/>
          <w:szCs w:val="21"/>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default" w:ascii="方正小标宋简体" w:hAnsi="方正小标宋简体" w:eastAsia="方正小标宋简体" w:cs="方正小标宋简体"/>
          <w:b w:val="0"/>
          <w:bCs/>
          <w:kern w:val="2"/>
          <w:sz w:val="32"/>
          <w:szCs w:val="32"/>
          <w:u w:val="none"/>
          <w:lang w:val="en-US" w:eastAsia="zh-CN" w:bidi="ar-SA"/>
        </w:rPr>
      </w:pPr>
      <w:r>
        <w:rPr>
          <w:rFonts w:hint="default" w:ascii="方正小标宋简体" w:hAnsi="方正小标宋简体" w:eastAsia="方正小标宋简体" w:cs="方正小标宋简体"/>
          <w:b w:val="0"/>
          <w:bCs/>
          <w:kern w:val="2"/>
          <w:sz w:val="32"/>
          <w:szCs w:val="32"/>
          <w:u w:val="none"/>
          <w:lang w:val="en-US" w:eastAsia="zh-CN" w:bidi="ar-SA"/>
        </w:rPr>
        <w:t>第二章</w:t>
      </w:r>
      <w:r>
        <w:rPr>
          <w:rFonts w:hint="eastAsia" w:ascii="方正小标宋简体" w:hAnsi="方正小标宋简体" w:eastAsia="方正小标宋简体" w:cs="方正小标宋简体"/>
          <w:b w:val="0"/>
          <w:bCs/>
          <w:kern w:val="2"/>
          <w:sz w:val="32"/>
          <w:szCs w:val="32"/>
          <w:u w:val="none"/>
          <w:lang w:val="en-US" w:eastAsia="zh-CN" w:bidi="ar-SA"/>
        </w:rPr>
        <w:t xml:space="preserve">  采购</w:t>
      </w:r>
      <w:r>
        <w:rPr>
          <w:rFonts w:hint="default" w:ascii="方正小标宋简体" w:hAnsi="方正小标宋简体" w:eastAsia="方正小标宋简体" w:cs="方正小标宋简体"/>
          <w:b w:val="0"/>
          <w:bCs/>
          <w:kern w:val="2"/>
          <w:sz w:val="32"/>
          <w:szCs w:val="32"/>
          <w:u w:val="none"/>
          <w:lang w:val="en-US" w:eastAsia="zh-CN" w:bidi="ar-SA"/>
        </w:rPr>
        <w:t>文件</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11．</w:t>
      </w:r>
      <w:r>
        <w:rPr>
          <w:rFonts w:hint="eastAsia" w:ascii="宋体" w:hAnsi="宋体" w:eastAsia="宋体" w:cs="Times New Roman"/>
          <w:b/>
          <w:bCs/>
          <w:szCs w:val="21"/>
          <w:lang w:val="en-US" w:eastAsia="zh-CN"/>
        </w:rPr>
        <w:t>采购</w:t>
      </w:r>
      <w:r>
        <w:rPr>
          <w:rFonts w:hint="default" w:ascii="宋体" w:hAnsi="宋体" w:eastAsia="宋体" w:cs="Times New Roman"/>
          <w:b/>
          <w:bCs/>
          <w:szCs w:val="21"/>
          <w:lang w:val="en-US" w:eastAsia="zh-CN"/>
        </w:rPr>
        <w:t>文件的编制与组成</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11.1</w:t>
      </w:r>
      <w:r>
        <w:rPr>
          <w:rFonts w:hint="eastAsia" w:ascii="宋体" w:hAnsi="宋体" w:eastAsia="宋体" w:cs="Times New Roman"/>
          <w:szCs w:val="21"/>
          <w:lang w:val="en-US" w:eastAsia="zh-CN"/>
        </w:rPr>
        <w:t>采购</w:t>
      </w:r>
      <w:r>
        <w:rPr>
          <w:rFonts w:hint="default" w:ascii="宋体" w:hAnsi="宋体" w:eastAsia="宋体" w:cs="Times New Roman"/>
          <w:szCs w:val="21"/>
          <w:lang w:val="en-US" w:eastAsia="zh-CN"/>
        </w:rPr>
        <w:t>文件除以下内容外，</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在招标期间发出的答疑、澄清或修改等相关公告或通知内容，均是</w:t>
      </w:r>
      <w:r>
        <w:rPr>
          <w:rFonts w:hint="eastAsia" w:ascii="宋体" w:hAnsi="宋体" w:eastAsia="宋体" w:cs="Times New Roman"/>
          <w:szCs w:val="21"/>
          <w:lang w:val="en-US" w:eastAsia="zh-CN"/>
        </w:rPr>
        <w:t>采购</w:t>
      </w:r>
      <w:r>
        <w:rPr>
          <w:rFonts w:hint="default" w:ascii="宋体" w:hAnsi="宋体" w:eastAsia="宋体" w:cs="Times New Roman"/>
          <w:szCs w:val="21"/>
          <w:lang w:val="en-US" w:eastAsia="zh-CN"/>
        </w:rPr>
        <w:t>文件的组成部分，对投标人起约束作用；</w:t>
      </w:r>
    </w:p>
    <w:p>
      <w:pPr>
        <w:keepNext w:val="0"/>
        <w:keepLines w:val="0"/>
        <w:pageBreakBefore w:val="0"/>
        <w:widowControl w:val="0"/>
        <w:kinsoku/>
        <w:wordWrap/>
        <w:overflowPunct/>
        <w:topLinePunct w:val="0"/>
        <w:autoSpaceDE/>
        <w:autoSpaceDN/>
        <w:bidi w:val="0"/>
        <w:adjustRightInd/>
        <w:snapToGrid/>
        <w:spacing w:before="157" w:beforeLines="50" w:after="157" w:afterLines="50"/>
        <w:ind w:firstLine="421" w:firstLineChars="200"/>
        <w:textAlignment w:val="auto"/>
        <w:rPr>
          <w:rFonts w:hint="default" w:ascii="宋体" w:hAnsi="宋体" w:eastAsia="宋体" w:cs="Times New Roman"/>
          <w:b/>
          <w:bCs/>
          <w:szCs w:val="21"/>
          <w:lang w:val="en-US" w:eastAsia="zh-CN"/>
        </w:rPr>
      </w:pPr>
      <w:r>
        <w:rPr>
          <w:rFonts w:hint="eastAsia" w:ascii="宋体" w:hAnsi="宋体" w:eastAsia="宋体" w:cs="Times New Roman"/>
          <w:b/>
          <w:bCs/>
          <w:szCs w:val="21"/>
          <w:lang w:val="en-US" w:eastAsia="zh-CN"/>
        </w:rPr>
        <w:t>采购文件</w:t>
      </w:r>
      <w:r>
        <w:rPr>
          <w:rFonts w:hint="default" w:ascii="宋体" w:hAnsi="宋体" w:eastAsia="宋体" w:cs="Times New Roman"/>
          <w:b/>
          <w:bCs/>
          <w:szCs w:val="21"/>
          <w:lang w:val="en-US" w:eastAsia="zh-CN"/>
        </w:rPr>
        <w:t>包括下列内容：</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第一册  专用条款</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关键信息</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 xml:space="preserve">第一章  </w:t>
      </w:r>
      <w:r>
        <w:rPr>
          <w:rFonts w:hint="eastAsia" w:ascii="宋体" w:hAnsi="宋体" w:eastAsia="宋体" w:cs="Times New Roman"/>
          <w:szCs w:val="21"/>
          <w:lang w:val="en-US" w:eastAsia="zh-CN"/>
        </w:rPr>
        <w:t>自行采购</w:t>
      </w:r>
      <w:r>
        <w:rPr>
          <w:rFonts w:hint="default" w:ascii="宋体" w:hAnsi="宋体" w:eastAsia="宋体" w:cs="Times New Roman"/>
          <w:szCs w:val="21"/>
          <w:lang w:val="en-US" w:eastAsia="zh-CN"/>
        </w:rPr>
        <w:t>公告</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第二章  招标项目需求</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 xml:space="preserve">第三章  </w:t>
      </w:r>
      <w:r>
        <w:rPr>
          <w:rFonts w:hint="eastAsia" w:ascii="宋体" w:hAnsi="宋体" w:eastAsia="宋体" w:cs="Times New Roman"/>
          <w:szCs w:val="21"/>
          <w:lang w:val="en-US" w:eastAsia="zh-CN"/>
        </w:rPr>
        <w:t>合同</w:t>
      </w:r>
      <w:r>
        <w:rPr>
          <w:rFonts w:hint="default" w:ascii="宋体" w:hAnsi="宋体" w:eastAsia="宋体" w:cs="Times New Roman"/>
          <w:szCs w:val="21"/>
          <w:lang w:val="en-US" w:eastAsia="zh-CN"/>
        </w:rPr>
        <w:t>格式</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 xml:space="preserve">第四章  </w:t>
      </w:r>
      <w:r>
        <w:rPr>
          <w:rFonts w:hint="eastAsia" w:ascii="宋体" w:hAnsi="宋体" w:eastAsia="宋体" w:cs="Times New Roman"/>
          <w:szCs w:val="21"/>
          <w:lang w:val="en-US" w:eastAsia="zh-CN"/>
        </w:rPr>
        <w:t>投标文件格式</w:t>
      </w:r>
    </w:p>
    <w:p>
      <w:pPr>
        <w:ind w:firstLine="411" w:firstLineChars="196"/>
        <w:rPr>
          <w:rFonts w:hint="default" w:ascii="宋体" w:hAnsi="宋体" w:eastAsia="宋体" w:cs="Times New Roman"/>
          <w:szCs w:val="21"/>
          <w:lang w:val="en-US" w:eastAsia="zh-CN"/>
        </w:rPr>
      </w:pP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第二册  通用条款</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第一章 总则</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 xml:space="preserve">第二章 </w:t>
      </w:r>
      <w:r>
        <w:rPr>
          <w:rFonts w:hint="eastAsia" w:ascii="宋体" w:hAnsi="宋体" w:eastAsia="宋体" w:cs="Times New Roman"/>
          <w:szCs w:val="21"/>
          <w:lang w:val="en-US" w:eastAsia="zh-CN"/>
        </w:rPr>
        <w:t>采购文件</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第三章 投标文件的编制</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第四章 投标文件的递交</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第五章 开标</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 xml:space="preserve">第六章 </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要求</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 xml:space="preserve">第七章 </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程序及</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方法</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第八章 定标及公示</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第九章 合同的授予与备案</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第十章 质疑处理</w:t>
      </w:r>
    </w:p>
    <w:p>
      <w:pPr>
        <w:ind w:firstLine="411" w:firstLineChars="196"/>
        <w:rPr>
          <w:rFonts w:hint="default" w:ascii="宋体" w:hAnsi="宋体" w:eastAsia="宋体" w:cs="Times New Roman"/>
          <w:szCs w:val="21"/>
          <w:lang w:val="en-US" w:eastAsia="zh-CN"/>
        </w:rPr>
      </w:pP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11.2 投标人获得</w:t>
      </w:r>
      <w:r>
        <w:rPr>
          <w:rFonts w:hint="eastAsia" w:ascii="宋体" w:hAnsi="宋体" w:eastAsia="宋体" w:cs="Times New Roman"/>
          <w:szCs w:val="21"/>
          <w:lang w:val="en-US" w:eastAsia="zh-CN"/>
        </w:rPr>
        <w:t>采购</w:t>
      </w:r>
      <w:r>
        <w:rPr>
          <w:rFonts w:hint="default" w:ascii="宋体" w:hAnsi="宋体" w:eastAsia="宋体" w:cs="Times New Roman"/>
          <w:szCs w:val="21"/>
          <w:lang w:val="en-US" w:eastAsia="zh-CN"/>
        </w:rPr>
        <w:t>文件后，应仔细检查</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的所有内容，如有疑问应在答疑截止时间之前向</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提出，否则，由此引起的投标损失自负；投标人同时应认真审阅</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所有的事项、格式、条款和规范要求等，如果投标人的投标文件未按</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要求提交全部资料或者投标文件未对</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做出实质性响应，其风险应由投标人自行承担。</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11.3任何人或任何组织向投标人提交的任何书面或口头资料，未经</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在网上发布或书面通知，均作无效处理，不得作为</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的组成部分。</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对投标人由此而做出的推论、理解和结论概不负责。</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12．</w:t>
      </w:r>
      <w:r>
        <w:rPr>
          <w:rFonts w:hint="eastAsia" w:ascii="宋体" w:hAnsi="宋体" w:eastAsia="宋体" w:cs="Times New Roman"/>
          <w:b/>
          <w:bCs/>
          <w:szCs w:val="21"/>
          <w:lang w:val="en-US" w:eastAsia="zh-CN"/>
        </w:rPr>
        <w:t>采购文件</w:t>
      </w:r>
      <w:r>
        <w:rPr>
          <w:rFonts w:hint="default" w:ascii="宋体" w:hAnsi="宋体" w:eastAsia="宋体" w:cs="Times New Roman"/>
          <w:b/>
          <w:bCs/>
          <w:szCs w:val="21"/>
          <w:lang w:val="en-US" w:eastAsia="zh-CN"/>
        </w:rPr>
        <w:t>的澄清</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12.1投标人如对</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内容有疑问，必须在</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规定的答疑截止时间前以书面形式提交给向</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。不论是</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根据需要主动对</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进行必要的澄清或是根据投标人的要求对</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做出澄清，</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都将在投标截止日期前以书面形式（包括</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网站公开发布方式）答复或发送给所有投标人。</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12.2对于没有提出</w:t>
      </w:r>
      <w:r>
        <w:rPr>
          <w:rFonts w:hint="eastAsia" w:ascii="宋体" w:hAnsi="宋体" w:eastAsia="宋体" w:cs="Times New Roman"/>
          <w:szCs w:val="21"/>
          <w:lang w:val="en-US" w:eastAsia="zh-CN"/>
        </w:rPr>
        <w:t>澄清诉求</w:t>
      </w:r>
      <w:r>
        <w:rPr>
          <w:rFonts w:hint="default" w:ascii="宋体" w:hAnsi="宋体" w:eastAsia="宋体" w:cs="Times New Roman"/>
          <w:szCs w:val="21"/>
          <w:lang w:val="en-US" w:eastAsia="zh-CN"/>
        </w:rPr>
        <w:t>又参与了该项目投标的供应商将被视为完全认同该</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（含澄清</w:t>
      </w:r>
      <w:r>
        <w:rPr>
          <w:rFonts w:hint="eastAsia" w:ascii="宋体" w:hAnsi="宋体" w:eastAsia="宋体" w:cs="Times New Roman"/>
          <w:szCs w:val="21"/>
          <w:lang w:val="en-US" w:eastAsia="zh-CN"/>
        </w:rPr>
        <w:t>答复</w:t>
      </w:r>
      <w:r>
        <w:rPr>
          <w:rFonts w:hint="default" w:ascii="宋体" w:hAnsi="宋体" w:eastAsia="宋体" w:cs="Times New Roman"/>
          <w:szCs w:val="21"/>
          <w:lang w:val="en-US" w:eastAsia="zh-CN"/>
        </w:rPr>
        <w:t>），投标截止期后不再受理针对</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的相关质疑或投诉。</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12.3对</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中描述有歧义或前后不一致的地方，</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有权进行评判，但对同一条款的评判应适用于每个投标人。</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13．</w:t>
      </w:r>
      <w:r>
        <w:rPr>
          <w:rFonts w:hint="eastAsia" w:ascii="宋体" w:hAnsi="宋体" w:eastAsia="宋体" w:cs="Times New Roman"/>
          <w:b/>
          <w:bCs/>
          <w:szCs w:val="21"/>
          <w:lang w:val="en-US" w:eastAsia="zh-CN"/>
        </w:rPr>
        <w:t>采购文件</w:t>
      </w:r>
      <w:r>
        <w:rPr>
          <w:rFonts w:hint="default" w:ascii="宋体" w:hAnsi="宋体" w:eastAsia="宋体" w:cs="Times New Roman"/>
          <w:b/>
          <w:bCs/>
          <w:szCs w:val="21"/>
          <w:lang w:val="en-US" w:eastAsia="zh-CN"/>
        </w:rPr>
        <w:t>的修改</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13.1</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发出后，在投标截止日期前任何时候，确需要变更招标内容的，</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可主动或在解答投标人提出的澄清问题时对</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进行修改；</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13.2</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的修改以书面形式（包括网站公开发布方式）发送给所有投标人，</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的修改内容作为</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的组成部分，并具有约束力。</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13.3</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澄清（答疑）</w:t>
      </w:r>
      <w:r>
        <w:rPr>
          <w:rFonts w:hint="eastAsia" w:ascii="宋体" w:hAnsi="宋体" w:eastAsia="宋体" w:cs="Times New Roman"/>
          <w:szCs w:val="21"/>
          <w:lang w:val="en-US" w:eastAsia="zh-CN"/>
        </w:rPr>
        <w:t>答复</w:t>
      </w:r>
      <w:r>
        <w:rPr>
          <w:rFonts w:hint="default" w:ascii="宋体" w:hAnsi="宋体" w:eastAsia="宋体" w:cs="Times New Roman"/>
          <w:szCs w:val="21"/>
          <w:lang w:val="en-US" w:eastAsia="zh-CN"/>
        </w:rPr>
        <w:t>、</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修改补充通知内容均以书面（包括网站公开发布方式）明确的内容为准。当</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、修改补充通知、澄清（答疑）纪要内容相互矛盾时，以最后发出的内容为准；</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13.4</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保证</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澄清（答疑）</w:t>
      </w:r>
      <w:r>
        <w:rPr>
          <w:rFonts w:hint="eastAsia" w:ascii="宋体" w:hAnsi="宋体" w:eastAsia="宋体" w:cs="Times New Roman"/>
          <w:szCs w:val="21"/>
          <w:lang w:val="en-US" w:eastAsia="zh-CN"/>
        </w:rPr>
        <w:t>答复</w:t>
      </w:r>
      <w:r>
        <w:rPr>
          <w:rFonts w:hint="default" w:ascii="宋体" w:hAnsi="宋体" w:eastAsia="宋体" w:cs="Times New Roman"/>
          <w:szCs w:val="21"/>
          <w:lang w:val="en-US" w:eastAsia="zh-CN"/>
        </w:rPr>
        <w:t>和</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修改补充通知在投标截止时间前以网站公开发布形式或书面形式发送给所有投标人。为使投标人在编写投标文件时有充分时间对</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的修改部分进行研究，</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可以酌情延长递交投标文件的截止日期，具体时间将在修改补充通知中明确。</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default" w:ascii="方正小标宋简体" w:hAnsi="方正小标宋简体" w:eastAsia="方正小标宋简体" w:cs="方正小标宋简体"/>
          <w:b w:val="0"/>
          <w:bCs/>
          <w:kern w:val="2"/>
          <w:sz w:val="32"/>
          <w:szCs w:val="32"/>
          <w:u w:val="none"/>
          <w:lang w:val="en-US" w:eastAsia="zh-CN" w:bidi="ar-SA"/>
        </w:rPr>
      </w:pPr>
      <w:r>
        <w:rPr>
          <w:rFonts w:hint="default" w:ascii="方正小标宋简体" w:hAnsi="方正小标宋简体" w:eastAsia="方正小标宋简体" w:cs="方正小标宋简体"/>
          <w:b w:val="0"/>
          <w:bCs/>
          <w:kern w:val="2"/>
          <w:sz w:val="32"/>
          <w:szCs w:val="32"/>
          <w:u w:val="none"/>
          <w:lang w:val="en-US" w:eastAsia="zh-CN" w:bidi="ar-SA"/>
        </w:rPr>
        <w:t>第三章</w:t>
      </w:r>
      <w:r>
        <w:rPr>
          <w:rFonts w:hint="eastAsia" w:ascii="方正小标宋简体" w:hAnsi="方正小标宋简体" w:eastAsia="方正小标宋简体" w:cs="方正小标宋简体"/>
          <w:b w:val="0"/>
          <w:bCs/>
          <w:kern w:val="2"/>
          <w:sz w:val="32"/>
          <w:szCs w:val="32"/>
          <w:u w:val="none"/>
          <w:lang w:val="en-US" w:eastAsia="zh-CN" w:bidi="ar-SA"/>
        </w:rPr>
        <w:t xml:space="preserve">  </w:t>
      </w:r>
      <w:r>
        <w:rPr>
          <w:rFonts w:hint="default" w:ascii="方正小标宋简体" w:hAnsi="方正小标宋简体" w:eastAsia="方正小标宋简体" w:cs="方正小标宋简体"/>
          <w:b w:val="0"/>
          <w:bCs/>
          <w:kern w:val="2"/>
          <w:sz w:val="32"/>
          <w:szCs w:val="32"/>
          <w:u w:val="none"/>
          <w:lang w:val="en-US" w:eastAsia="zh-CN" w:bidi="ar-SA"/>
        </w:rPr>
        <w:t>投标文件的编制</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14．投标文件的语言及度量单位</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14.1投标人和</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14.2除技术规范另有规定外，投标文件使用的度量单位，均采用中华人民共和国法定计量单位。</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15．投标文件的组成</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具体内容请详见本项目</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第一册“专用条款”的相关内容。</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16．投标文件格式</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投标文件包括本通用条款第15条中规定的内容。如</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提供了投标文件格式，则投标人提交的投标文件应毫无例外地使用</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所提供的相应格式（表格可以按同样格式扩展）。</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17．投标货币</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如</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第一册“专用条款”无另外规定，本项目的投标应以人民币计。</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18．证明投标文件投标技术方案的合格性和符合</w:t>
      </w:r>
      <w:r>
        <w:rPr>
          <w:rFonts w:hint="eastAsia" w:ascii="宋体" w:hAnsi="宋体" w:eastAsia="宋体" w:cs="Times New Roman"/>
          <w:b/>
          <w:bCs/>
          <w:szCs w:val="21"/>
          <w:lang w:val="en-US" w:eastAsia="zh-CN"/>
        </w:rPr>
        <w:t>采购文件</w:t>
      </w:r>
      <w:r>
        <w:rPr>
          <w:rFonts w:hint="default" w:ascii="宋体" w:hAnsi="宋体" w:eastAsia="宋体" w:cs="Times New Roman"/>
          <w:b/>
          <w:bCs/>
          <w:szCs w:val="21"/>
          <w:lang w:val="en-US" w:eastAsia="zh-CN"/>
        </w:rPr>
        <w:t>规定的文件要求</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18.1投标人应按照本项目</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第一册“专用条款”的要求提交证明文件证明其投标技术方案项下的货物、工程和服务的合格性符合</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规定。该投标技术方案及其证明文件作为投标文件的一部分。</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18.2投标人提供证明投标技术方案与</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的要求相一致的文件，可以是文字资料、图纸、数据或数码照片、制造商公布的产品说明书、产品彩页和我国政府机构出具的产品检验和核准证件等，提供的文件应符合以下要求：</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18.2.1主要技术指标和性能的详细说明；</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18.2.2投标产品从采购人开始使用至</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中规定的周期内正常、连续地使用所必须的备件和专用工具清单，包括备件和专用工具的货源及现行价格；</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18.2.3对照</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技术规格，逐条说明投标技术方案已对采购人的技术规格做出了实质性的响应，或申明与技术规格条文的偏差和例外。投标人应详细说明投标技术方案中产品的具体参数，不得照搬照抄</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的技术要求；</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18.2.4产品说明书或彩页应为制造商公布或出具的中文产品说明书或彩页；提供外文说明书或彩页的，必须同时提供加盖制造商公章的对应中文翻译说明，</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依据以中文翻译内容为准，外文说明书或彩页仅供参考；产品说明书或彩页的尺寸和清晰度要求能够使用电脑阅读、识别和判断；</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18.2.5我国政府机构出具的产品检验和核准证件应为证件正面、背面和附件标注的全部具体内容；产品检验和核准证件的尺寸和清晰度应该能够被阅读、识别和判断，提供原件复印件。</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18.3相关资料不符合18.2款要求的，</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有权认定为投标技术方案不合格响应，其相关分数予以扣减或作投标无效处理。</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18.4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中技术规格的要求，是否满足要求，由</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来评判。</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18.5为保证公平公正，除非另有规定或说明，投标人对同一项目投标时，不得同时提供两套或两套以上的投标方案。</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19．投标文件其他证明文件的要求</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19.1对项目</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有权认定其投标文件未对</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有关需求进行响应，涉及资格性检查或符合性检查的予以投标无效处理，涉及《</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信息》打分项的则该项评分予以0分处理。</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对供应商投标资料是否异常、是否有效问题进行核查和判定，如认为供应商投标资料有异常或无效的，若涉及资格审查或符合性审查条款的，则应作投标无效处理；若涉及评分的，则作不得分处理。投标资料异常核查范围为：质疑函、被质疑供应商投标文件资料、被质疑供应商答辩说明、被质疑资料原件、被质疑资料相应官方查询渠道查询到的信息等。以下情形可由</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判定投标资料无效：</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（1）被质疑供应商未能在合理时间内提供资料原件核对，且不能合理说明的；</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（2）被质疑供应商提供的资料原件与投标文件资料不一致的；</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（3）被质疑供应商投标文件资料信息与在相应官方查询渠道查询到的信息不一致，且不能合理说明的。</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20．投标有效期</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20.1投标有效期为从投标截止之日算起的日历天数，具体见专用条款中投标有效期的天数要求。在此期限内，所有投标文件均保持有效；</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20.2在特殊的情况下，</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在原定的投标有效期满之前，可以根据需要以书面形式（包括网站公开发布方式）向投标人提出延长投标有效期的要求，对此要求投标人须以书面形式予以答复，投标人可以拒绝</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此项要求，其投标在原投标有效期满后不再有效。同意延长投标有效期的投标人不能要求也不允许修改其投标文件，但应当相应的延长投标担保的有效期；</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20.3中标单位的投标书有效期，截止于完成本</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规定的全部项目内容，并通过竣工验收及保修结束。</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21．关于投标保证金</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21.1为切实减轻企业负担，降低制度性交易成本，一般采购项目不收取投标保证金。</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21.2若为重大项目，</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可自行决定另外收取投标保证金，不受21.1款限制。是否另外收取投标保证金，请见本</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“专用条款”《对通用条款的补充内容》中的相关要求。</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22．投标人的替代方案</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22.1投标人所提交的投标文件应完全满足</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（包括图纸和技术规范所示的基本技术设计）的要求。除非招标的项目明确允许投标人提交替代方案，否则投标人有关替代方案的条款将初审不通过，投标无效。</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22.2如果允许投标人提交替代方案，则准备提交替代方案的投标人除应提交一份满足</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（包括图纸和技术规范所示的基本技术设计）要求的投标文件外，还应提交需评审其替代方案所需的全部资料，包括项目方案书、技术规范、替代方案报价书、所建议的项目方案及有关的其它详细资料。</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23．投标文件的制作要求</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23.1投标人需按项目采购文件要求准备所投项目的电子投标文件一份。此电子投标文件必须为pdf文件格式，其他格式的文件将被认定为无效投标文件。</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23.2投标人在编辑投标文件时，在投标文件目录中属于本节点内容的必须在本节点中填写；填写到其他节点或附件的，</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有权不予接受，一切后果由供应商自行承担。</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23.3资格证明文件提供扫描件，专用条款另有要求的除外。</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23.4电子投标文件不能带有病毒。</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将用杀毒软件对投标文件进行病毒检测，如果两种软件均报告发现病毒，则认定该电子投标文件带病毒。带病毒的电子投标文件将被认定为无效投标文件。</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23</w:t>
      </w:r>
      <w:r>
        <w:rPr>
          <w:rFonts w:hint="eastAsia" w:ascii="宋体" w:hAnsi="宋体" w:eastAsia="宋体" w:cs="Times New Roman"/>
          <w:szCs w:val="21"/>
          <w:lang w:val="en-US" w:eastAsia="zh-CN"/>
        </w:rPr>
        <w:t>.5</w:t>
      </w:r>
      <w:r>
        <w:rPr>
          <w:rFonts w:hint="default" w:ascii="宋体" w:hAnsi="宋体" w:eastAsia="宋体" w:cs="Times New Roman"/>
          <w:szCs w:val="21"/>
          <w:lang w:val="en-US" w:eastAsia="zh-CN"/>
        </w:rPr>
        <w:t>如果开标时出现网络故障、技术故障，影响了招投标活动，</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有权采取措施如延期、接受无法从网上上传的电子投标文件等，以保障招投标活动的公开、公平和公正。</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23.</w:t>
      </w:r>
      <w:r>
        <w:rPr>
          <w:rFonts w:hint="eastAsia" w:ascii="宋体" w:hAnsi="宋体" w:eastAsia="宋体" w:cs="Times New Roman"/>
          <w:szCs w:val="21"/>
          <w:lang w:val="en-US" w:eastAsia="zh-CN"/>
        </w:rPr>
        <w:t>6</w:t>
      </w:r>
      <w:r>
        <w:rPr>
          <w:rFonts w:hint="default" w:ascii="宋体" w:hAnsi="宋体" w:eastAsia="宋体" w:cs="Times New Roman"/>
          <w:szCs w:val="21"/>
          <w:lang w:val="en-US" w:eastAsia="zh-CN"/>
        </w:rPr>
        <w:t>电报、电话、传真形式的投标概不接受。</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default" w:ascii="方正小标宋简体" w:hAnsi="方正小标宋简体" w:eastAsia="方正小标宋简体" w:cs="方正小标宋简体"/>
          <w:b w:val="0"/>
          <w:bCs/>
          <w:kern w:val="2"/>
          <w:sz w:val="32"/>
          <w:szCs w:val="32"/>
          <w:u w:val="none"/>
          <w:lang w:val="en-US" w:eastAsia="zh-CN" w:bidi="ar-SA"/>
        </w:rPr>
      </w:pPr>
      <w:r>
        <w:rPr>
          <w:rFonts w:hint="default" w:ascii="方正小标宋简体" w:hAnsi="方正小标宋简体" w:eastAsia="方正小标宋简体" w:cs="方正小标宋简体"/>
          <w:b w:val="0"/>
          <w:bCs/>
          <w:kern w:val="2"/>
          <w:sz w:val="32"/>
          <w:szCs w:val="32"/>
          <w:u w:val="none"/>
          <w:lang w:val="en-US" w:eastAsia="zh-CN" w:bidi="ar-SA"/>
        </w:rPr>
        <w:t>第四章</w:t>
      </w:r>
      <w:r>
        <w:rPr>
          <w:rFonts w:hint="eastAsia" w:ascii="方正小标宋简体" w:hAnsi="方正小标宋简体" w:eastAsia="方正小标宋简体" w:cs="方正小标宋简体"/>
          <w:b w:val="0"/>
          <w:bCs/>
          <w:kern w:val="2"/>
          <w:sz w:val="32"/>
          <w:szCs w:val="32"/>
          <w:u w:val="none"/>
          <w:lang w:val="en-US" w:eastAsia="zh-CN" w:bidi="ar-SA"/>
        </w:rPr>
        <w:t xml:space="preserve">  </w:t>
      </w:r>
      <w:r>
        <w:rPr>
          <w:rFonts w:hint="default" w:ascii="方正小标宋简体" w:hAnsi="方正小标宋简体" w:eastAsia="方正小标宋简体" w:cs="方正小标宋简体"/>
          <w:b w:val="0"/>
          <w:bCs/>
          <w:kern w:val="2"/>
          <w:sz w:val="32"/>
          <w:szCs w:val="32"/>
          <w:u w:val="none"/>
          <w:lang w:val="en-US" w:eastAsia="zh-CN" w:bidi="ar-SA"/>
        </w:rPr>
        <w:t>投标文件的递交</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24．投标文件的保密</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24.1</w:t>
      </w:r>
      <w:r>
        <w:rPr>
          <w:rFonts w:hint="eastAsia" w:ascii="宋体" w:hAnsi="宋体" w:eastAsia="宋体" w:cs="Times New Roman"/>
          <w:szCs w:val="21"/>
          <w:lang w:val="en-US" w:eastAsia="zh-CN"/>
        </w:rPr>
        <w:t>纸质</w:t>
      </w:r>
      <w:r>
        <w:rPr>
          <w:rFonts w:hint="default" w:ascii="宋体" w:hAnsi="宋体" w:eastAsia="宋体" w:cs="Times New Roman"/>
          <w:szCs w:val="21"/>
          <w:lang w:val="en-US" w:eastAsia="zh-CN"/>
        </w:rPr>
        <w:t>投标文件需密封并移交采购联系人，未作密封的视为无效标。</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25．投标文件的递交</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25.1本项目实行</w:t>
      </w:r>
      <w:r>
        <w:rPr>
          <w:rFonts w:hint="eastAsia" w:ascii="宋体" w:hAnsi="宋体" w:eastAsia="宋体" w:cs="Times New Roman"/>
          <w:szCs w:val="21"/>
          <w:lang w:val="en-US" w:eastAsia="zh-CN"/>
        </w:rPr>
        <w:t>线下</w:t>
      </w:r>
      <w:r>
        <w:rPr>
          <w:rFonts w:hint="default" w:ascii="宋体" w:hAnsi="宋体" w:eastAsia="宋体" w:cs="Times New Roman"/>
          <w:szCs w:val="21"/>
          <w:lang w:val="en-US" w:eastAsia="zh-CN"/>
        </w:rPr>
        <w:t>投标，投标人必须在</w:t>
      </w:r>
      <w:r>
        <w:rPr>
          <w:rFonts w:hint="eastAsia" w:ascii="宋体" w:hAnsi="宋体" w:eastAsia="宋体" w:cs="Times New Roman"/>
          <w:szCs w:val="21"/>
          <w:lang w:val="en-US" w:eastAsia="zh-CN"/>
        </w:rPr>
        <w:t>自行采购公告</w:t>
      </w:r>
      <w:r>
        <w:rPr>
          <w:rFonts w:hint="default" w:ascii="宋体" w:hAnsi="宋体" w:eastAsia="宋体" w:cs="Times New Roman"/>
          <w:szCs w:val="21"/>
          <w:lang w:val="en-US" w:eastAsia="zh-CN"/>
        </w:rPr>
        <w:t>规定的投标截止时间前</w:t>
      </w:r>
      <w:r>
        <w:rPr>
          <w:rFonts w:hint="eastAsia" w:ascii="宋体" w:hAnsi="宋体" w:eastAsia="宋体" w:cs="Times New Roman"/>
          <w:szCs w:val="21"/>
          <w:lang w:val="en-US" w:eastAsia="zh-CN"/>
        </w:rPr>
        <w:t>，将密封好的纸质投标文件</w:t>
      </w:r>
      <w:r>
        <w:rPr>
          <w:rFonts w:hint="default" w:ascii="宋体" w:hAnsi="宋体" w:eastAsia="宋体" w:cs="Times New Roman"/>
          <w:szCs w:val="21"/>
          <w:lang w:val="en-US" w:eastAsia="zh-CN"/>
        </w:rPr>
        <w:t>并移交</w:t>
      </w:r>
      <w:r>
        <w:rPr>
          <w:rFonts w:hint="eastAsia" w:ascii="宋体" w:hAnsi="宋体" w:eastAsia="宋体" w:cs="Times New Roman"/>
          <w:szCs w:val="21"/>
          <w:lang w:val="en-US" w:eastAsia="zh-CN"/>
        </w:rPr>
        <w:t>至</w:t>
      </w:r>
      <w:r>
        <w:rPr>
          <w:rFonts w:hint="default" w:ascii="宋体" w:hAnsi="宋体" w:eastAsia="宋体" w:cs="Times New Roman"/>
          <w:szCs w:val="21"/>
          <w:lang w:val="en-US" w:eastAsia="zh-CN"/>
        </w:rPr>
        <w:t>采购联系人。</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25.2</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可以按本通用条款第13条规定，通过修改</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自行决定酌情延长投标截止期。在此情况下，</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、采购人和投标人受投标截止期制约的所有权利和义务均应延长至新的截止期。</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25.3</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不接受投标截止时间后递交的投标文件。</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26.样品的递交</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26.1如确有必要，采购人可以要求投标人提供能反映货物材质或关键部分的尺寸、价值不大的样品</w:t>
      </w:r>
      <w:r>
        <w:rPr>
          <w:rFonts w:hint="eastAsia" w:ascii="宋体" w:hAnsi="宋体" w:eastAsia="宋体" w:cs="Times New Roman"/>
          <w:szCs w:val="21"/>
          <w:lang w:val="en-US" w:eastAsia="zh-CN"/>
        </w:rPr>
        <w:t>，</w:t>
      </w:r>
      <w:r>
        <w:rPr>
          <w:rFonts w:hint="default" w:ascii="宋体" w:hAnsi="宋体" w:eastAsia="宋体" w:cs="Times New Roman"/>
          <w:szCs w:val="21"/>
          <w:lang w:val="en-US" w:eastAsia="zh-CN"/>
        </w:rPr>
        <w:t>具体见第一册专用条款相关内容。</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26.2投标样品上必须标注“项目名称及项目编号、样品编号、样品名称”等信息，但不得显示指向任何投标供应商的信息、生产厂家的商标，或者其他的标记标识。需要安装的投标样品必须为安装完整的成品，由投标供应商自行组织安装。</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26.2.1样品递交签到：</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投标供应商的受托人需在本项目投标截止时间前，提供法定代表人证明书（盖公章）、法定代表人授权委托书（盖公章）、受托人身份证原件和复印件、样品清单（加盖公章），到</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，按工作人员指引进行样品递交签到。</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特别注意事项：（1）上述资料提供不齐全的，不予签到；（2）本项目投标截止时间后，不再受理签到；（3）未进行签到的，样品不予接收。</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26.2.2样品接收</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 xml:space="preserve">本项目投标截止时间后进行投标样品接收。投标样品接收必须进行身份核对、样品核对、登记确认、顺序编号。 </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（1）身份核对。</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核对投标供应商受托人提供的“法定代表人证明书（盖公章）、法定代表人授权委托书（盖公章）、受托人身份证原件和复印件”。资料不齐全的，不得接收投标样品。</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（2）样品核对。</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工作人员将投标样品与投标供应商提供的《样品清单》（盖公章）进行一一核对。有不一致的或损坏情况的，将要求供应商受托人在《样品清单》上注明。</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（3）登记确认。在完成身份核对及样品核对后，投标供应商受托人必须在《样品接收登记表》上登记确认。</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（4）顺序编号。</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工作人员按投标样品接收的先后顺序进行编号。</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26.3</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工作人员负责组织投标样品摆样，指引供应商受托人将投标样品搬运到指定地点摆放、拆除包装，按要求摆放整齐。完成样品摆样后，供应商受托人应及时离场，不得在摆样现场滞留。</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26.4样品的退回：未中标的供应商投标样品，</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工作人员将按规定进行通知，并要求供应商受托人在项目完成评审后的三个工作日内凭身份证及样品受理回执原件办理退回手续</w:t>
      </w:r>
      <w:r>
        <w:rPr>
          <w:rFonts w:hint="eastAsia" w:ascii="宋体" w:hAnsi="宋体" w:eastAsia="宋体" w:cs="Times New Roman"/>
          <w:szCs w:val="21"/>
          <w:lang w:val="en-US" w:eastAsia="zh-CN"/>
        </w:rPr>
        <w:t>。</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投标样品移交时，</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工作人员将再次核对供应商受托人或采购人代表身份、核对《样品清单》，签字确认后并取走样品。</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26.5未能及时退回的样品的处理：未中标供应商未在规定时间内（项目完成评审后三个工作日）内取回投标样品的，视为放弃取回，</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将定期清理。</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27．投标文件的修改和撤销</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27.1投标截止时间以后不得修改投标文件。</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27.</w:t>
      </w:r>
      <w:r>
        <w:rPr>
          <w:rFonts w:hint="eastAsia" w:ascii="宋体" w:hAnsi="宋体" w:eastAsia="宋体" w:cs="Times New Roman"/>
          <w:szCs w:val="21"/>
          <w:lang w:val="en-US" w:eastAsia="zh-CN"/>
        </w:rPr>
        <w:t>2</w:t>
      </w:r>
      <w:r>
        <w:rPr>
          <w:rFonts w:hint="default" w:ascii="宋体" w:hAnsi="宋体" w:eastAsia="宋体" w:cs="Times New Roman"/>
          <w:szCs w:val="21"/>
          <w:lang w:val="en-US" w:eastAsia="zh-CN"/>
        </w:rPr>
        <w:t>从投标截止期至投标人在投标书中确定的投标有效期之间的这段时间内，投标人不得撤回其投标。</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27.</w:t>
      </w:r>
      <w:r>
        <w:rPr>
          <w:rFonts w:hint="eastAsia" w:ascii="宋体" w:hAnsi="宋体" w:eastAsia="宋体" w:cs="Times New Roman"/>
          <w:szCs w:val="21"/>
          <w:lang w:val="en-US" w:eastAsia="zh-CN"/>
        </w:rPr>
        <w:t>3采购人</w:t>
      </w:r>
      <w:r>
        <w:rPr>
          <w:rFonts w:hint="default" w:ascii="宋体" w:hAnsi="宋体" w:eastAsia="宋体" w:cs="Times New Roman"/>
          <w:szCs w:val="21"/>
          <w:lang w:val="en-US" w:eastAsia="zh-CN"/>
        </w:rPr>
        <w:t>不退还投标文件，专用条款另有规定的除外。</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default" w:ascii="方正小标宋简体" w:hAnsi="方正小标宋简体" w:eastAsia="方正小标宋简体" w:cs="方正小标宋简体"/>
          <w:b w:val="0"/>
          <w:bCs/>
          <w:kern w:val="2"/>
          <w:sz w:val="32"/>
          <w:szCs w:val="32"/>
          <w:u w:val="none"/>
          <w:lang w:val="en-US" w:eastAsia="zh-CN" w:bidi="ar-SA"/>
        </w:rPr>
      </w:pPr>
      <w:r>
        <w:rPr>
          <w:rFonts w:hint="default" w:ascii="方正小标宋简体" w:hAnsi="方正小标宋简体" w:eastAsia="方正小标宋简体" w:cs="方正小标宋简体"/>
          <w:b w:val="0"/>
          <w:bCs/>
          <w:kern w:val="2"/>
          <w:sz w:val="32"/>
          <w:szCs w:val="32"/>
          <w:u w:val="none"/>
          <w:lang w:val="en-US" w:eastAsia="zh-CN" w:bidi="ar-SA"/>
        </w:rPr>
        <w:t>第五章</w:t>
      </w:r>
      <w:r>
        <w:rPr>
          <w:rFonts w:hint="eastAsia" w:ascii="方正小标宋简体" w:hAnsi="方正小标宋简体" w:eastAsia="方正小标宋简体" w:cs="方正小标宋简体"/>
          <w:b w:val="0"/>
          <w:bCs/>
          <w:kern w:val="2"/>
          <w:sz w:val="32"/>
          <w:szCs w:val="32"/>
          <w:u w:val="none"/>
          <w:lang w:val="en-US" w:eastAsia="zh-CN" w:bidi="ar-SA"/>
        </w:rPr>
        <w:t xml:space="preserve">  </w:t>
      </w:r>
      <w:r>
        <w:rPr>
          <w:rFonts w:hint="default" w:ascii="方正小标宋简体" w:hAnsi="方正小标宋简体" w:eastAsia="方正小标宋简体" w:cs="方正小标宋简体"/>
          <w:b w:val="0"/>
          <w:bCs/>
          <w:kern w:val="2"/>
          <w:sz w:val="32"/>
          <w:szCs w:val="32"/>
          <w:u w:val="none"/>
          <w:lang w:val="en-US" w:eastAsia="zh-CN" w:bidi="ar-SA"/>
        </w:rPr>
        <w:t>开标</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28．开标</w:t>
      </w:r>
    </w:p>
    <w:p>
      <w:pPr>
        <w:ind w:firstLine="411" w:firstLineChars="196"/>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将在投标截止时间后进行</w:t>
      </w:r>
      <w:r>
        <w:rPr>
          <w:rFonts w:hint="eastAsia" w:ascii="宋体" w:hAnsi="宋体" w:eastAsia="宋体" w:cs="Times New Roman"/>
          <w:szCs w:val="21"/>
          <w:lang w:val="en-US" w:eastAsia="zh-CN"/>
        </w:rPr>
        <w:t>项目评审</w:t>
      </w:r>
      <w:r>
        <w:rPr>
          <w:rFonts w:hint="default" w:ascii="宋体" w:hAnsi="宋体" w:eastAsia="宋体" w:cs="Times New Roman"/>
          <w:szCs w:val="21"/>
          <w:lang w:val="en-US" w:eastAsia="zh-CN"/>
        </w:rPr>
        <w:t>，并在网上公布</w:t>
      </w:r>
      <w:r>
        <w:rPr>
          <w:rFonts w:hint="eastAsia" w:ascii="宋体" w:hAnsi="宋体" w:eastAsia="宋体" w:cs="Times New Roman"/>
          <w:szCs w:val="21"/>
          <w:lang w:val="en-US" w:eastAsia="zh-CN"/>
        </w:rPr>
        <w:t>中标（成交）</w:t>
      </w:r>
      <w:r>
        <w:rPr>
          <w:rFonts w:hint="default" w:ascii="宋体" w:hAnsi="宋体" w:eastAsia="宋体" w:cs="Times New Roman"/>
          <w:szCs w:val="21"/>
          <w:lang w:val="en-US" w:eastAsia="zh-CN"/>
        </w:rPr>
        <w:t>结果。</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r>
        <w:rPr>
          <w:rFonts w:hint="default" w:ascii="宋体" w:hAnsi="宋体" w:eastAsia="宋体" w:cs="Times New Roman"/>
          <w:szCs w:val="21"/>
          <w:lang w:val="en-US" w:eastAsia="zh-CN"/>
        </w:rPr>
        <w:tab/>
      </w: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default" w:ascii="方正小标宋简体" w:hAnsi="方正小标宋简体" w:eastAsia="方正小标宋简体" w:cs="方正小标宋简体"/>
          <w:b w:val="0"/>
          <w:bCs/>
          <w:kern w:val="2"/>
          <w:sz w:val="32"/>
          <w:szCs w:val="32"/>
          <w:u w:val="none"/>
          <w:lang w:val="en-US" w:eastAsia="zh-CN" w:bidi="ar-SA"/>
        </w:rPr>
      </w:pPr>
      <w:r>
        <w:rPr>
          <w:rFonts w:hint="default" w:ascii="方正小标宋简体" w:hAnsi="方正小标宋简体" w:eastAsia="方正小标宋简体" w:cs="方正小标宋简体"/>
          <w:b w:val="0"/>
          <w:bCs/>
          <w:kern w:val="2"/>
          <w:sz w:val="32"/>
          <w:szCs w:val="32"/>
          <w:u w:val="none"/>
          <w:lang w:val="en-US" w:eastAsia="zh-CN" w:bidi="ar-SA"/>
        </w:rPr>
        <w:t>第六章</w:t>
      </w:r>
      <w:r>
        <w:rPr>
          <w:rFonts w:hint="eastAsia" w:ascii="方正小标宋简体" w:hAnsi="方正小标宋简体" w:eastAsia="方正小标宋简体" w:cs="方正小标宋简体"/>
          <w:b w:val="0"/>
          <w:bCs/>
          <w:kern w:val="2"/>
          <w:sz w:val="32"/>
          <w:szCs w:val="32"/>
          <w:u w:val="none"/>
          <w:lang w:val="en-US" w:eastAsia="zh-CN" w:bidi="ar-SA"/>
        </w:rPr>
        <w:t xml:space="preserve">  评审</w:t>
      </w:r>
      <w:r>
        <w:rPr>
          <w:rFonts w:hint="default" w:ascii="方正小标宋简体" w:hAnsi="方正小标宋简体" w:eastAsia="方正小标宋简体" w:cs="方正小标宋简体"/>
          <w:b w:val="0"/>
          <w:bCs/>
          <w:kern w:val="2"/>
          <w:sz w:val="32"/>
          <w:szCs w:val="32"/>
          <w:u w:val="none"/>
          <w:lang w:val="en-US" w:eastAsia="zh-CN" w:bidi="ar-SA"/>
        </w:rPr>
        <w:t>要求</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29．</w:t>
      </w:r>
      <w:r>
        <w:rPr>
          <w:rFonts w:hint="eastAsia" w:ascii="宋体" w:hAnsi="宋体" w:eastAsia="宋体" w:cs="Times New Roman"/>
          <w:b/>
          <w:bCs/>
          <w:szCs w:val="21"/>
          <w:lang w:val="en-US" w:eastAsia="zh-CN"/>
        </w:rPr>
        <w:t>采购评审小组</w:t>
      </w:r>
      <w:r>
        <w:rPr>
          <w:rFonts w:hint="default" w:ascii="宋体" w:hAnsi="宋体" w:eastAsia="宋体" w:cs="Times New Roman"/>
          <w:b/>
          <w:bCs/>
          <w:szCs w:val="21"/>
          <w:lang w:val="en-US" w:eastAsia="zh-CN"/>
        </w:rPr>
        <w:t>组成</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29.1开标结束后召开</w:t>
      </w:r>
      <w:r>
        <w:rPr>
          <w:rFonts w:hint="eastAsia" w:ascii="宋体" w:hAnsi="宋体" w:eastAsia="宋体" w:cs="Times New Roman"/>
          <w:szCs w:val="21"/>
          <w:lang w:val="en-US" w:eastAsia="zh-CN"/>
        </w:rPr>
        <w:t>项目评审</w:t>
      </w:r>
      <w:r>
        <w:rPr>
          <w:rFonts w:hint="default" w:ascii="宋体" w:hAnsi="宋体" w:eastAsia="宋体" w:cs="Times New Roman"/>
          <w:szCs w:val="21"/>
          <w:lang w:val="en-US" w:eastAsia="zh-CN"/>
        </w:rPr>
        <w:t>会议，</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由</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依法组建，负责</w:t>
      </w:r>
      <w:r>
        <w:rPr>
          <w:rFonts w:hint="eastAsia" w:ascii="宋体" w:hAnsi="宋体" w:eastAsia="宋体" w:cs="Times New Roman"/>
          <w:szCs w:val="21"/>
          <w:lang w:val="en-US" w:eastAsia="zh-CN"/>
        </w:rPr>
        <w:t>项目采购评审</w:t>
      </w:r>
      <w:r>
        <w:rPr>
          <w:rFonts w:hint="default" w:ascii="宋体" w:hAnsi="宋体" w:eastAsia="宋体" w:cs="Times New Roman"/>
          <w:szCs w:val="21"/>
          <w:lang w:val="en-US" w:eastAsia="zh-CN"/>
        </w:rPr>
        <w:t>。</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29.2</w:t>
      </w:r>
      <w:r>
        <w:rPr>
          <w:rFonts w:hint="eastAsia" w:ascii="宋体" w:hAnsi="宋体" w:eastAsia="宋体" w:cs="Times New Roman"/>
          <w:szCs w:val="21"/>
          <w:lang w:val="en-US" w:eastAsia="zh-CN"/>
        </w:rPr>
        <w:t>项目评审</w:t>
      </w:r>
      <w:r>
        <w:rPr>
          <w:rFonts w:hint="default" w:ascii="宋体" w:hAnsi="宋体" w:eastAsia="宋体" w:cs="Times New Roman"/>
          <w:szCs w:val="21"/>
          <w:lang w:val="en-US" w:eastAsia="zh-CN"/>
        </w:rPr>
        <w:t>应当遵循公平、公正、科学、择优的原则。</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29.3</w:t>
      </w:r>
      <w:r>
        <w:rPr>
          <w:rFonts w:hint="eastAsia" w:ascii="宋体" w:hAnsi="宋体" w:eastAsia="宋体" w:cs="Times New Roman"/>
          <w:szCs w:val="21"/>
          <w:lang w:val="en-US" w:eastAsia="zh-CN"/>
        </w:rPr>
        <w:t>项目评审</w:t>
      </w:r>
      <w:r>
        <w:rPr>
          <w:rFonts w:hint="default" w:ascii="宋体" w:hAnsi="宋体" w:eastAsia="宋体" w:cs="Times New Roman"/>
          <w:szCs w:val="21"/>
          <w:lang w:val="en-US" w:eastAsia="zh-CN"/>
        </w:rPr>
        <w:t>依法进行，任何单位和个人不得非法干预</w:t>
      </w:r>
      <w:r>
        <w:rPr>
          <w:rFonts w:hint="eastAsia" w:ascii="宋体" w:hAnsi="宋体" w:eastAsia="宋体" w:cs="Times New Roman"/>
          <w:szCs w:val="21"/>
          <w:lang w:val="en-US" w:eastAsia="zh-CN"/>
        </w:rPr>
        <w:t>项目评审</w:t>
      </w:r>
      <w:r>
        <w:rPr>
          <w:rFonts w:hint="default" w:ascii="宋体" w:hAnsi="宋体" w:eastAsia="宋体" w:cs="Times New Roman"/>
          <w:szCs w:val="21"/>
          <w:lang w:val="en-US" w:eastAsia="zh-CN"/>
        </w:rPr>
        <w:t>过程和结果。</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29.4</w:t>
      </w:r>
      <w:r>
        <w:rPr>
          <w:rFonts w:hint="eastAsia" w:ascii="宋体" w:hAnsi="宋体" w:eastAsia="宋体" w:cs="Times New Roman"/>
          <w:szCs w:val="21"/>
          <w:lang w:val="en-US" w:eastAsia="zh-CN"/>
        </w:rPr>
        <w:t>项目评审</w:t>
      </w:r>
      <w:r>
        <w:rPr>
          <w:rFonts w:hint="default" w:ascii="宋体" w:hAnsi="宋体" w:eastAsia="宋体" w:cs="Times New Roman"/>
          <w:szCs w:val="21"/>
          <w:lang w:val="en-US" w:eastAsia="zh-CN"/>
        </w:rPr>
        <w:t>过程中不允许违背</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程序或采用</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未载明的</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方法或</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因素进行</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29.5开标后，直到签订合同为止，凡属于对投标文件的审查、澄清、评价和比较的有关资料以及中标候选人的推荐情况、与</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有关的其他任何情况均严格保密（信息公开的内容除外）。</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30．向</w:t>
      </w:r>
      <w:r>
        <w:rPr>
          <w:rFonts w:hint="eastAsia" w:ascii="宋体" w:hAnsi="宋体" w:eastAsia="宋体" w:cs="Times New Roman"/>
          <w:b/>
          <w:bCs/>
          <w:szCs w:val="21"/>
          <w:lang w:val="en-US" w:eastAsia="zh-CN"/>
        </w:rPr>
        <w:t>采购评审小组</w:t>
      </w:r>
      <w:r>
        <w:rPr>
          <w:rFonts w:hint="default" w:ascii="宋体" w:hAnsi="宋体" w:eastAsia="宋体" w:cs="Times New Roman"/>
          <w:b/>
          <w:bCs/>
          <w:szCs w:val="21"/>
          <w:lang w:val="en-US" w:eastAsia="zh-CN"/>
        </w:rPr>
        <w:t>提供的资料</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30.1公开发布的</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，包括图纸、服务清单、答疑文件等；</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30.2其他</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必须的资料。</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30.3</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应当认真研究</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，至少应了解熟悉以下内容：</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（1）招标的目的；</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（2）招标项目需求的范围和性质；</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规定的投标人的资格、预算限额、商务条款；</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（4）</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规定的</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程序、</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方法和</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因素；</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（5）</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所列示的资格性审查表及符合性审查表；</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31．独立</w:t>
      </w:r>
      <w:r>
        <w:rPr>
          <w:rFonts w:hint="eastAsia" w:ascii="宋体" w:hAnsi="宋体" w:eastAsia="宋体" w:cs="Times New Roman"/>
          <w:b/>
          <w:bCs/>
          <w:szCs w:val="21"/>
          <w:lang w:val="en-US" w:eastAsia="zh-CN"/>
        </w:rPr>
        <w:t>评审</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30.1</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成员的</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活动应当独立进行，并应遵循投标文件初审、澄清有关问题、比较与评价、确定</w:t>
      </w:r>
      <w:r>
        <w:rPr>
          <w:rFonts w:hint="eastAsia" w:ascii="宋体" w:hAnsi="宋体" w:eastAsia="宋体" w:cs="Times New Roman"/>
          <w:szCs w:val="21"/>
          <w:lang w:val="en-US" w:eastAsia="zh-CN"/>
        </w:rPr>
        <w:t>拟</w:t>
      </w:r>
      <w:r>
        <w:rPr>
          <w:rFonts w:hint="default" w:ascii="宋体" w:hAnsi="宋体" w:eastAsia="宋体" w:cs="Times New Roman"/>
          <w:szCs w:val="21"/>
          <w:lang w:val="en-US" w:eastAsia="zh-CN"/>
        </w:rPr>
        <w:t>中标供应商、编写</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报告的工作程序。</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default" w:ascii="方正小标宋简体" w:hAnsi="方正小标宋简体" w:eastAsia="方正小标宋简体" w:cs="方正小标宋简体"/>
          <w:b w:val="0"/>
          <w:bCs/>
          <w:kern w:val="2"/>
          <w:sz w:val="32"/>
          <w:szCs w:val="32"/>
          <w:u w:val="none"/>
          <w:lang w:val="en-US" w:eastAsia="zh-CN" w:bidi="ar-SA"/>
        </w:rPr>
      </w:pPr>
      <w:r>
        <w:rPr>
          <w:rFonts w:hint="default" w:ascii="方正小标宋简体" w:hAnsi="方正小标宋简体" w:eastAsia="方正小标宋简体" w:cs="方正小标宋简体"/>
          <w:b w:val="0"/>
          <w:bCs/>
          <w:kern w:val="2"/>
          <w:sz w:val="32"/>
          <w:szCs w:val="32"/>
          <w:u w:val="none"/>
          <w:lang w:val="en-US" w:eastAsia="zh-CN" w:bidi="ar-SA"/>
        </w:rPr>
        <w:t>第七章</w:t>
      </w:r>
      <w:r>
        <w:rPr>
          <w:rFonts w:hint="eastAsia" w:ascii="方正小标宋简体" w:hAnsi="方正小标宋简体" w:eastAsia="方正小标宋简体" w:cs="方正小标宋简体"/>
          <w:b w:val="0"/>
          <w:bCs/>
          <w:kern w:val="2"/>
          <w:sz w:val="32"/>
          <w:szCs w:val="32"/>
          <w:u w:val="none"/>
          <w:lang w:val="en-US" w:eastAsia="zh-CN" w:bidi="ar-SA"/>
        </w:rPr>
        <w:t xml:space="preserve">  评审</w:t>
      </w:r>
      <w:r>
        <w:rPr>
          <w:rFonts w:hint="default" w:ascii="方正小标宋简体" w:hAnsi="方正小标宋简体" w:eastAsia="方正小标宋简体" w:cs="方正小标宋简体"/>
          <w:b w:val="0"/>
          <w:bCs/>
          <w:kern w:val="2"/>
          <w:sz w:val="32"/>
          <w:szCs w:val="32"/>
          <w:u w:val="none"/>
          <w:lang w:val="en-US" w:eastAsia="zh-CN" w:bidi="ar-SA"/>
        </w:rPr>
        <w:t>程序及</w:t>
      </w:r>
      <w:r>
        <w:rPr>
          <w:rFonts w:hint="eastAsia" w:ascii="方正小标宋简体" w:hAnsi="方正小标宋简体" w:eastAsia="方正小标宋简体" w:cs="方正小标宋简体"/>
          <w:b w:val="0"/>
          <w:bCs/>
          <w:kern w:val="2"/>
          <w:sz w:val="32"/>
          <w:szCs w:val="32"/>
          <w:u w:val="none"/>
          <w:lang w:val="en-US" w:eastAsia="zh-CN" w:bidi="ar-SA"/>
        </w:rPr>
        <w:t>评审</w:t>
      </w:r>
      <w:r>
        <w:rPr>
          <w:rFonts w:hint="default" w:ascii="方正小标宋简体" w:hAnsi="方正小标宋简体" w:eastAsia="方正小标宋简体" w:cs="方正小标宋简体"/>
          <w:b w:val="0"/>
          <w:bCs/>
          <w:kern w:val="2"/>
          <w:sz w:val="32"/>
          <w:szCs w:val="32"/>
          <w:u w:val="none"/>
          <w:lang w:val="en-US" w:eastAsia="zh-CN" w:bidi="ar-SA"/>
        </w:rPr>
        <w:t>方法</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32．投标文件初审</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32.1投标文件初审包括资格性审查和符合性审查。资格性审查：依据法律法规和</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的规定，对投标文件中的资格证明等进行审查，以确定投标供应商是否具备投标资格。符合性审查：依据</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的规定，对投标文件的有效性、完整性和对</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的响应程度进行审查，以确定是否满足符合性审查的要求。</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32.2投标文件初审内容请详见《资格性审查表》和《符合性审查表》部分。投标人若有一条审查不通过则按投标无效处理。</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对投标单位打√为通过审查，打×为未通过审查。</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32.3投标文件初审中关于供应商家数的计算:</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32.3.1采用最低</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价法的采购项目，提供相同品牌产品的不同投标人参加同一合同项下投标的，以其中通过资格审查、符合性审查且报价最低的参加</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；报价相同的，由采购人按照</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规定的方式确定一个参加</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的投标人，</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未规定的采取随机抽取方式确定，其他投标无效。</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按照</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规定的方式确定一个投标人获得中标人推荐资格，</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未规定的采取随机抽取方式确定，其他同品牌投标人不作为中标候选人。</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32.3.3非单一产品采购项目，采购人应当根据采购项目技术构成、产品价格比重等合理确定核心产品，并在</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中载明。多家投标人提供的核心产品品牌相同的，按前两款规定处理。</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32.4</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认为投标人的报价明显低于其他通过符合性审查投标人的报价，有可能影响产品质量或者不能诚信履约的，应当要求其在</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现场合理的时间内提供书面说明，必要时提交相关证明材料；投标人不能证明其报价合理性的，</w:t>
      </w:r>
      <w:r>
        <w:rPr>
          <w:rFonts w:hint="eastAsia" w:ascii="宋体" w:hAnsi="宋体" w:cs="Times New Roman"/>
          <w:szCs w:val="21"/>
          <w:lang w:val="en-US" w:eastAsia="zh-CN"/>
        </w:rPr>
        <w:t>采购评审小组</w:t>
      </w:r>
      <w:r>
        <w:rPr>
          <w:rFonts w:hint="default" w:ascii="宋体" w:hAnsi="宋体" w:eastAsia="宋体" w:cs="Times New Roman"/>
          <w:szCs w:val="21"/>
          <w:lang w:val="en-US" w:eastAsia="zh-CN"/>
        </w:rPr>
        <w:t>应当将其作为无效投标处理。</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32.5投标人投标文件作无效处理的情形，具体包括但不限于以下：</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32.5.1不同投标人的投标文件由同一单位或者同一个人编制，或者由同一个人分阶段参与编制；</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32.5.2不同投标人委托同一单位或者个人办理投标事宜；</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32.5.3不同投标人的投标文件载明的项目管理成员或者联系人员为同一人；</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32.5.4不同投标人的投标文件异常一致或者投标报价呈规律性差异；</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32.5.5不同投标人的投标文件或部分投标文件相互混装；</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32.5.6投标供应商之间相互约定给予未中标的供应商利益补偿；</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32.5.7不同投标供应商的法定代表人、主要经营负责人、项目投标授权代表人、项目负责人、主要技术人员为同一人、属同一单位或者同一单位缴纳社会保险；</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32.5.8不同投标供应商的投标文件内容存在非正常一致；</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32.5.9在同一单位工作人员为两家以上（含两家）供应商进行同一项投标活动；</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32.5.10主管部门依照法律、法规认定的其他情形。</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32.6对不属于《资格性审查表》和《符合性审查表》所列的其他情形，除专用条款另有规定和32.5条款所列情形外，不得作为投标无效的理由。</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33．澄清有关问题</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对于投标文件中含义不明确、同类问题表述不一致或者有明显文字和计算错误的内容，</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应当以书面形式要求投标人作出必要的澄清、说明或者补正。</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投标人的澄清、说明或者补正应当采用书面形式，并加盖公章，或者由法定代表人或其授权的代表签字。投标人的澄清、说明或者补正不得超出投标文件的范围或者改变投标文件的实质性内容。</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根据本通用条款第34条，凡属于</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在评审中发现的算术错误进行核实的修改不在此列。</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34．错误的修正</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投标文件报价出现前后不一致的，除专用条款另有规定外，按照下列规定修正：</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34.1投标文件中开标一览表内容与投标文件中相应内容不一致的，以开标一览表为准；</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34.2大写金额和小写金额不一致的，以大写金额为准；</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34.3单价金额小数点或者百分比有明显错位，以开标一览表的总价为准，并修改单价；</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34.4总价金额与按单价汇总金额不一致的，以单价金额计算结果为准。</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34.5同时出现两种以上不一致的，按照前款规定的顺序修正。修正后的报价按照本通用条款33条的规定，经投标人确认后产生约束力，投标人不确认的，其投标无效。</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35．投标文件的比较与评价</w:t>
      </w:r>
    </w:p>
    <w:p>
      <w:pPr>
        <w:ind w:firstLine="411" w:firstLineChars="196"/>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将按照《深圳经济特区政府采购条例》和《深圳经济特区政府采购条例实施细则》，参照相关法律、法规、规定，仅对通过资格性审查和符合性审查的投标文件进行综合比较与评价。</w:t>
      </w:r>
    </w:p>
    <w:p>
      <w:pPr>
        <w:ind w:firstLine="411" w:firstLineChars="196"/>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成员对需要共同认定的事项存在争议的，应当按照少数服从多数的原则作出结论。持不同意见的</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成员应当在</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报告上签署不同意见及理由，否则视为同意</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报告。</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36.实地考察、演示或设备测试</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36.1在招标过程中，</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有权决定是否对本项目投标人进行现场勘察或实地考察或检验有关证明材料的原件。投标人应随时做好接受检查的准备。</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36.2若</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要求进行现场演示或设备测试的，投标人应做好相应准备。</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37．</w:t>
      </w:r>
      <w:r>
        <w:rPr>
          <w:rFonts w:hint="eastAsia" w:ascii="宋体" w:hAnsi="宋体" w:eastAsia="宋体" w:cs="Times New Roman"/>
          <w:b/>
          <w:bCs/>
          <w:szCs w:val="21"/>
          <w:lang w:val="en-US" w:eastAsia="zh-CN"/>
        </w:rPr>
        <w:t>评审</w:t>
      </w:r>
      <w:r>
        <w:rPr>
          <w:rFonts w:hint="default" w:ascii="宋体" w:hAnsi="宋体" w:eastAsia="宋体" w:cs="Times New Roman"/>
          <w:b/>
          <w:bCs/>
          <w:szCs w:val="21"/>
          <w:lang w:val="en-US" w:eastAsia="zh-CN"/>
        </w:rPr>
        <w:t>方法</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37.1最低价法</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最低</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价法，是指投标文件满足</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全部实质性要求，按报价进行排序且投标报价最低的投标人为中标候选人的</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方法（排名第二的投标人为第一递补中标候选人、排名第三的投标人为第二递补中标候选人）。</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37.2综合评分法</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综合评分法，是指投标文件满足</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全部实质性要求，且按照评审因素的量化指标评审得分最高的投标人为中标候选人的</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方法（排名第二的投标人为第一递补中标候选人、排名第三的投标人为第二递补中标候选人）。</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37.3定性评审法</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定性评审法，是指按照</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规定的各项因素进行技术商务定性评审，对各投标文件是否满足</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实质性要求提出意见，指出投标文件的优点、缺陷、问题以及签订合同前应注意和澄清的事项，并形成评审报告。所有递交的投标文件不被判定为投标无效的投标人，均推荐为候选中标供应商。</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37.4本项目采用的</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方法见本项目</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第一册“专用条款”的相关内容。</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37.5重新评审的情形</w:t>
      </w:r>
    </w:p>
    <w:p>
      <w:pPr>
        <w:ind w:firstLine="411" w:firstLineChars="196"/>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结果汇总完成后，除下列情形外，任何人不得修改</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结果：</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（1）分值汇总计算错误的；</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（2）分项评分超出评分标准范围的；</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成员对客观评审因素评分不一致的；</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（4）经</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认定评分畸高、畸低的。</w:t>
      </w:r>
    </w:p>
    <w:p>
      <w:pPr>
        <w:ind w:firstLine="411" w:firstLineChars="196"/>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报告签署前，经复核发现存在以上情形之一的，</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应当当场修改</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结果，并在</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报告中记载；</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报告签署后，采购人或者</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发现存在以上情形之一的，应当组织原</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进行重新评审。</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投标人对本条第一款情形提出质疑的，采购人可以组织原</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进行重新评审。</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37.6重新组建</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的情形</w:t>
      </w:r>
    </w:p>
    <w:p>
      <w:pPr>
        <w:ind w:firstLine="411" w:firstLineChars="196"/>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或者其成员存在下列情形导致</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结果无效的，重新组建</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进行</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组成不符合相关规定的；</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（2）有《政府采购货物和服务招标投标管理办法》第六十二条第一至五项情形的；</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及其成员独立</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受到非法干预的；</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（4）有政府采购法实施条例第七十五条规定的违法行为的。</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有违法违规行为的原</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成员不得参加重新组建的</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default" w:ascii="方正小标宋简体" w:hAnsi="方正小标宋简体" w:eastAsia="方正小标宋简体" w:cs="方正小标宋简体"/>
          <w:b w:val="0"/>
          <w:bCs/>
          <w:kern w:val="2"/>
          <w:sz w:val="32"/>
          <w:szCs w:val="32"/>
          <w:u w:val="none"/>
          <w:lang w:val="en-US" w:eastAsia="zh-CN" w:bidi="ar-SA"/>
        </w:rPr>
      </w:pPr>
      <w:r>
        <w:rPr>
          <w:rFonts w:hint="default" w:ascii="方正小标宋简体" w:hAnsi="方正小标宋简体" w:eastAsia="方正小标宋简体" w:cs="方正小标宋简体"/>
          <w:b w:val="0"/>
          <w:bCs/>
          <w:kern w:val="2"/>
          <w:sz w:val="32"/>
          <w:szCs w:val="32"/>
          <w:u w:val="none"/>
          <w:lang w:val="en-US" w:eastAsia="zh-CN" w:bidi="ar-SA"/>
        </w:rPr>
        <w:t>第八章</w:t>
      </w:r>
      <w:r>
        <w:rPr>
          <w:rFonts w:hint="eastAsia" w:ascii="方正小标宋简体" w:hAnsi="方正小标宋简体" w:eastAsia="方正小标宋简体" w:cs="方正小标宋简体"/>
          <w:b w:val="0"/>
          <w:bCs/>
          <w:kern w:val="2"/>
          <w:sz w:val="32"/>
          <w:szCs w:val="32"/>
          <w:u w:val="none"/>
          <w:lang w:val="en-US" w:eastAsia="zh-CN" w:bidi="ar-SA"/>
        </w:rPr>
        <w:t xml:space="preserve">  </w:t>
      </w:r>
      <w:r>
        <w:rPr>
          <w:rFonts w:hint="default" w:ascii="方正小标宋简体" w:hAnsi="方正小标宋简体" w:eastAsia="方正小标宋简体" w:cs="方正小标宋简体"/>
          <w:b w:val="0"/>
          <w:bCs/>
          <w:kern w:val="2"/>
          <w:sz w:val="32"/>
          <w:szCs w:val="32"/>
          <w:u w:val="none"/>
          <w:lang w:val="en-US" w:eastAsia="zh-CN" w:bidi="ar-SA"/>
        </w:rPr>
        <w:t>定标及公示</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38．定标方法</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38.1</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依据本项目</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所约定的</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方法进行评审和比较，向</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提交书面</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报告，并根据</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方法比较评价结果从优到劣进行排序，并推荐中标候选人。</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38.2采用最低</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价法的，</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结果按投标报价由低到高顺序排列。投标报价相同的并列。投标文件满足</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全部实质性要求且投标报价最低的投标人为排名第一的中标候选人（排名第二的投标人为第一递补中标候选人、排名第三的投标人为第二递补中标候选人）。</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38.3采用综合评分法的，</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结果按评审后得分由高到低顺序排列。得分相同的，按投标报价由低到高顺序排列。得分且投标报价相同的并列。投标文件满足</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全部实质性要求，且按照评审因素的量化指标评审得分最高的投标人为为排名第一的中标候选人（排名第二的投标人为第一递补中标候选人、排名第三的投标人为第二递补中标候选人）。</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38.4出现并列的情况时，采取随机抽取的方式或</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成员投票方式确定并列的投标人的排序，具体操作办法及流程由</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确定。</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38.5专用条款另有规定的，按专用条款相关要求定标。</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39．编写</w:t>
      </w:r>
      <w:r>
        <w:rPr>
          <w:rFonts w:hint="eastAsia" w:ascii="宋体" w:hAnsi="宋体" w:eastAsia="宋体" w:cs="Times New Roman"/>
          <w:b/>
          <w:bCs/>
          <w:szCs w:val="21"/>
          <w:lang w:val="en-US" w:eastAsia="zh-CN"/>
        </w:rPr>
        <w:t>评审</w:t>
      </w:r>
      <w:r>
        <w:rPr>
          <w:rFonts w:hint="default" w:ascii="宋体" w:hAnsi="宋体" w:eastAsia="宋体" w:cs="Times New Roman"/>
          <w:b/>
          <w:bCs/>
          <w:szCs w:val="21"/>
          <w:lang w:val="en-US" w:eastAsia="zh-CN"/>
        </w:rPr>
        <w:t>报告</w:t>
      </w:r>
    </w:p>
    <w:p>
      <w:pPr>
        <w:ind w:firstLine="411" w:firstLineChars="196"/>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报告是</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根据全体</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成员签字的原始</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记录和</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结果编写的报告，</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报告由</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全体成员签字。对</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结论持有异议的</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成员可以书面方式阐述其不同意见和理由。</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成员拒绝在</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报告上签字且不陈述其不同意见和理由的，视为同意</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结论。</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应当对此作出书面说明并记录存档。</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40．中标公告</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40.1为体现“公开、公平、公正”的原则，</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结束后，</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将在深圳盐田政府在线网站（http://www.yantian.gov.cn/）上发布中标结果公告。供应商如对</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结果有异议，可在发布公示日期起</w:t>
      </w:r>
      <w:r>
        <w:rPr>
          <w:rFonts w:hint="eastAsia" w:ascii="宋体" w:hAnsi="宋体" w:eastAsia="宋体" w:cs="Times New Roman"/>
          <w:szCs w:val="21"/>
          <w:lang w:val="en-US" w:eastAsia="zh-CN"/>
        </w:rPr>
        <w:t>3</w:t>
      </w:r>
      <w:r>
        <w:rPr>
          <w:rFonts w:hint="default" w:ascii="宋体" w:hAnsi="宋体" w:eastAsia="宋体" w:cs="Times New Roman"/>
          <w:szCs w:val="21"/>
          <w:lang w:val="en-US" w:eastAsia="zh-CN"/>
        </w:rPr>
        <w:t>日内向</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提出。若在规定期限内未提出质疑，则视为认同该</w:t>
      </w:r>
      <w:r>
        <w:rPr>
          <w:rFonts w:hint="eastAsia" w:ascii="宋体" w:hAnsi="宋体" w:eastAsia="宋体" w:cs="Times New Roman"/>
          <w:szCs w:val="21"/>
          <w:lang w:val="en-US" w:eastAsia="zh-CN"/>
        </w:rPr>
        <w:t>评审</w:t>
      </w:r>
      <w:r>
        <w:rPr>
          <w:rFonts w:hint="default" w:ascii="宋体" w:hAnsi="宋体" w:eastAsia="宋体" w:cs="Times New Roman"/>
          <w:szCs w:val="21"/>
          <w:lang w:val="en-US" w:eastAsia="zh-CN"/>
        </w:rPr>
        <w:t>结果。</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40.2质疑投诉人应保证质疑投诉内容的真实性和可靠性，并承担相应的法律责任。</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41．中标通知书</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41.1中标公告公布以后</w:t>
      </w:r>
      <w:r>
        <w:rPr>
          <w:rFonts w:hint="eastAsia" w:ascii="宋体" w:hAnsi="宋体" w:eastAsia="宋体" w:cs="Times New Roman"/>
          <w:szCs w:val="21"/>
          <w:lang w:val="en-US" w:eastAsia="zh-CN"/>
        </w:rPr>
        <w:t>，</w:t>
      </w:r>
      <w:r>
        <w:rPr>
          <w:rFonts w:hint="default" w:ascii="宋体" w:hAnsi="宋体" w:eastAsia="宋体" w:cs="Times New Roman"/>
          <w:szCs w:val="21"/>
          <w:lang w:val="en-US" w:eastAsia="zh-CN"/>
        </w:rPr>
        <w:t>在公示期内无有效质疑投诉</w:t>
      </w:r>
      <w:r>
        <w:rPr>
          <w:rFonts w:hint="eastAsia" w:ascii="宋体" w:hAnsi="宋体" w:eastAsia="宋体" w:cs="Times New Roman"/>
          <w:szCs w:val="21"/>
          <w:lang w:val="en-US" w:eastAsia="zh-CN"/>
        </w:rPr>
        <w:t>，</w:t>
      </w:r>
      <w:r>
        <w:rPr>
          <w:rFonts w:hint="default" w:ascii="宋体" w:hAnsi="宋体" w:eastAsia="宋体" w:cs="Times New Roman"/>
          <w:szCs w:val="21"/>
          <w:lang w:val="en-US" w:eastAsia="zh-CN"/>
        </w:rPr>
        <w:t>中标供应商可</w:t>
      </w:r>
      <w:r>
        <w:rPr>
          <w:rFonts w:hint="eastAsia" w:ascii="宋体" w:hAnsi="宋体" w:eastAsia="宋体" w:cs="Times New Roman"/>
          <w:szCs w:val="21"/>
          <w:lang w:val="en-US" w:eastAsia="zh-CN"/>
        </w:rPr>
        <w:t>联系采购人</w:t>
      </w:r>
      <w:r>
        <w:rPr>
          <w:rFonts w:hint="default" w:ascii="宋体" w:hAnsi="宋体" w:eastAsia="宋体" w:cs="Times New Roman"/>
          <w:szCs w:val="21"/>
          <w:lang w:val="en-US" w:eastAsia="zh-CN"/>
        </w:rPr>
        <w:t>领取《中标通知书》（地点：</w:t>
      </w:r>
      <w:r>
        <w:rPr>
          <w:rFonts w:hint="eastAsia" w:ascii="宋体" w:hAnsi="宋体" w:eastAsia="宋体" w:cs="Times New Roman"/>
          <w:szCs w:val="21"/>
          <w:lang w:val="en-US" w:eastAsia="zh-CN"/>
        </w:rPr>
        <w:t>广东省深圳市盐田区沙头角镇内碧海路8号</w:t>
      </w:r>
      <w:r>
        <w:rPr>
          <w:rFonts w:hint="default" w:ascii="宋体" w:hAnsi="宋体" w:eastAsia="宋体" w:cs="Times New Roman"/>
          <w:szCs w:val="21"/>
          <w:lang w:val="en-US" w:eastAsia="zh-CN"/>
        </w:rPr>
        <w:t>）。</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41.2中标通知书是合同的重要组成部分。</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41.3因质疑投诉或其它原因导致项目结果变更或采购终止的，</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有权吊销中标通知书或终止采购合同。</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default" w:ascii="方正小标宋简体" w:hAnsi="方正小标宋简体" w:eastAsia="方正小标宋简体" w:cs="方正小标宋简体"/>
          <w:b w:val="0"/>
          <w:bCs/>
          <w:kern w:val="2"/>
          <w:sz w:val="32"/>
          <w:szCs w:val="32"/>
          <w:u w:val="none"/>
          <w:lang w:val="en-US" w:eastAsia="zh-CN" w:bidi="ar-SA"/>
        </w:rPr>
      </w:pPr>
      <w:r>
        <w:rPr>
          <w:rFonts w:hint="default" w:ascii="方正小标宋简体" w:hAnsi="方正小标宋简体" w:eastAsia="方正小标宋简体" w:cs="方正小标宋简体"/>
          <w:b w:val="0"/>
          <w:bCs/>
          <w:kern w:val="2"/>
          <w:sz w:val="32"/>
          <w:szCs w:val="32"/>
          <w:u w:val="none"/>
          <w:lang w:val="en-US" w:eastAsia="zh-CN" w:bidi="ar-SA"/>
        </w:rPr>
        <w:t>第九章</w:t>
      </w:r>
      <w:r>
        <w:rPr>
          <w:rFonts w:hint="eastAsia" w:ascii="方正小标宋简体" w:hAnsi="方正小标宋简体" w:eastAsia="方正小标宋简体" w:cs="方正小标宋简体"/>
          <w:b w:val="0"/>
          <w:bCs/>
          <w:kern w:val="2"/>
          <w:sz w:val="32"/>
          <w:szCs w:val="32"/>
          <w:u w:val="none"/>
          <w:lang w:val="en-US" w:eastAsia="zh-CN" w:bidi="ar-SA"/>
        </w:rPr>
        <w:t xml:space="preserve">  </w:t>
      </w:r>
      <w:r>
        <w:rPr>
          <w:rFonts w:hint="default" w:ascii="方正小标宋简体" w:hAnsi="方正小标宋简体" w:eastAsia="方正小标宋简体" w:cs="方正小标宋简体"/>
          <w:b w:val="0"/>
          <w:bCs/>
          <w:kern w:val="2"/>
          <w:sz w:val="32"/>
          <w:szCs w:val="32"/>
          <w:u w:val="none"/>
          <w:lang w:val="en-US" w:eastAsia="zh-CN" w:bidi="ar-SA"/>
        </w:rPr>
        <w:t>合同的授予与备案</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4</w:t>
      </w:r>
      <w:r>
        <w:rPr>
          <w:rFonts w:hint="eastAsia" w:ascii="宋体" w:hAnsi="宋体" w:eastAsia="宋体" w:cs="Times New Roman"/>
          <w:b/>
          <w:bCs/>
          <w:szCs w:val="21"/>
          <w:lang w:val="en-US" w:eastAsia="zh-CN"/>
        </w:rPr>
        <w:t>2</w:t>
      </w:r>
      <w:r>
        <w:rPr>
          <w:rFonts w:hint="default" w:ascii="宋体" w:hAnsi="宋体" w:eastAsia="宋体" w:cs="Times New Roman"/>
          <w:b/>
          <w:bCs/>
          <w:szCs w:val="21"/>
          <w:lang w:val="en-US" w:eastAsia="zh-CN"/>
        </w:rPr>
        <w:t>．合同授予标准</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本项目的合同将授予按本</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规定评审确定的中标人。</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4</w:t>
      </w:r>
      <w:r>
        <w:rPr>
          <w:rFonts w:hint="eastAsia" w:ascii="宋体" w:hAnsi="宋体" w:eastAsia="宋体" w:cs="Times New Roman"/>
          <w:b/>
          <w:bCs/>
          <w:szCs w:val="21"/>
          <w:lang w:val="en-US" w:eastAsia="zh-CN"/>
        </w:rPr>
        <w:t>3</w:t>
      </w:r>
      <w:r>
        <w:rPr>
          <w:rFonts w:hint="default" w:ascii="宋体" w:hAnsi="宋体" w:eastAsia="宋体" w:cs="Times New Roman"/>
          <w:b/>
          <w:bCs/>
          <w:szCs w:val="21"/>
          <w:lang w:val="en-US" w:eastAsia="zh-CN"/>
        </w:rPr>
        <w:t>．接受和拒绝任何或所有投标的权力</w:t>
      </w:r>
    </w:p>
    <w:p>
      <w:pPr>
        <w:ind w:firstLine="411" w:firstLineChars="196"/>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保留在签订合同之前任何时候接受或拒绝任何投标或所有投标，以及宣布招标无效的权力，对受影响的投标人不承担任何责任，也无义务向受影响的投标人解释采取这一行动的理由。</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4</w:t>
      </w:r>
      <w:r>
        <w:rPr>
          <w:rFonts w:hint="eastAsia" w:ascii="宋体" w:hAnsi="宋体" w:eastAsia="宋体" w:cs="Times New Roman"/>
          <w:b/>
          <w:bCs/>
          <w:szCs w:val="21"/>
          <w:lang w:val="en-US" w:eastAsia="zh-CN"/>
        </w:rPr>
        <w:t>4</w:t>
      </w:r>
      <w:r>
        <w:rPr>
          <w:rFonts w:hint="default" w:ascii="宋体" w:hAnsi="宋体" w:eastAsia="宋体" w:cs="Times New Roman"/>
          <w:b/>
          <w:bCs/>
          <w:szCs w:val="21"/>
          <w:lang w:val="en-US" w:eastAsia="zh-CN"/>
        </w:rPr>
        <w:t>．合同协议书的签订</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4</w:t>
      </w:r>
      <w:r>
        <w:rPr>
          <w:rFonts w:hint="eastAsia" w:ascii="宋体" w:hAnsi="宋体" w:eastAsia="宋体" w:cs="Times New Roman"/>
          <w:szCs w:val="21"/>
          <w:lang w:val="en-US" w:eastAsia="zh-CN"/>
        </w:rPr>
        <w:t>4</w:t>
      </w:r>
      <w:r>
        <w:rPr>
          <w:rFonts w:hint="default" w:ascii="宋体" w:hAnsi="宋体" w:eastAsia="宋体" w:cs="Times New Roman"/>
          <w:szCs w:val="21"/>
          <w:lang w:val="en-US" w:eastAsia="zh-CN"/>
        </w:rPr>
        <w:t>.1中标人将于中标通知书发出之日起十个工作日内，按照采购文件（</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和投标文件等）内容与采购人签订政府采购合同；合同的实质性内容应当符合</w:t>
      </w:r>
      <w:r>
        <w:rPr>
          <w:rFonts w:hint="eastAsia" w:ascii="宋体" w:hAnsi="宋体" w:eastAsia="宋体" w:cs="Times New Roman"/>
          <w:szCs w:val="21"/>
          <w:lang w:val="en-US" w:eastAsia="zh-CN"/>
        </w:rPr>
        <w:t>采购文件</w:t>
      </w:r>
      <w:r>
        <w:rPr>
          <w:rFonts w:hint="default" w:ascii="宋体" w:hAnsi="宋体" w:eastAsia="宋体" w:cs="Times New Roman"/>
          <w:szCs w:val="21"/>
          <w:lang w:val="en-US" w:eastAsia="zh-CN"/>
        </w:rPr>
        <w:t>的规定。</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4</w:t>
      </w:r>
      <w:r>
        <w:rPr>
          <w:rFonts w:hint="eastAsia" w:ascii="宋体" w:hAnsi="宋体" w:eastAsia="宋体" w:cs="Times New Roman"/>
          <w:szCs w:val="21"/>
          <w:lang w:val="en-US" w:eastAsia="zh-CN"/>
        </w:rPr>
        <w:t>4</w:t>
      </w:r>
      <w:r>
        <w:rPr>
          <w:rFonts w:hint="default" w:ascii="宋体" w:hAnsi="宋体" w:eastAsia="宋体" w:cs="Times New Roman"/>
          <w:szCs w:val="21"/>
          <w:lang w:val="en-US" w:eastAsia="zh-CN"/>
        </w:rPr>
        <w:t>.2中标人如不按本通用条款第4</w:t>
      </w:r>
      <w:r>
        <w:rPr>
          <w:rFonts w:hint="eastAsia" w:ascii="宋体" w:hAnsi="宋体" w:eastAsia="宋体" w:cs="Times New Roman"/>
          <w:szCs w:val="21"/>
          <w:lang w:val="en-US" w:eastAsia="zh-CN"/>
        </w:rPr>
        <w:t>4</w:t>
      </w:r>
      <w:r>
        <w:rPr>
          <w:rFonts w:hint="default" w:ascii="宋体" w:hAnsi="宋体" w:eastAsia="宋体" w:cs="Times New Roman"/>
          <w:szCs w:val="21"/>
          <w:lang w:val="en-US" w:eastAsia="zh-CN"/>
        </w:rPr>
        <w:t>.1款的规定与采购人签订合同，</w:t>
      </w: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将有充分的理由取消中标人的中标，并计入供应商诚信档案。</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4</w:t>
      </w:r>
      <w:r>
        <w:rPr>
          <w:rFonts w:hint="eastAsia" w:ascii="宋体" w:hAnsi="宋体" w:eastAsia="宋体" w:cs="Times New Roman"/>
          <w:szCs w:val="21"/>
          <w:lang w:val="en-US" w:eastAsia="zh-CN"/>
        </w:rPr>
        <w:t>4</w:t>
      </w:r>
      <w:r>
        <w:rPr>
          <w:rFonts w:hint="default" w:ascii="宋体" w:hAnsi="宋体" w:eastAsia="宋体" w:cs="Times New Roman"/>
          <w:szCs w:val="21"/>
          <w:lang w:val="en-US" w:eastAsia="zh-CN"/>
        </w:rPr>
        <w:t>.3中标人应当按照合同约定履行义务，完成中标项目，不得将中标项目转让（转包）给他人。</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default" w:ascii="宋体" w:hAnsi="宋体" w:eastAsia="宋体" w:cs="Times New Roman"/>
          <w:b/>
          <w:bCs/>
          <w:szCs w:val="21"/>
          <w:lang w:val="en-US" w:eastAsia="zh-CN"/>
        </w:rPr>
        <w:t>4</w:t>
      </w:r>
      <w:r>
        <w:rPr>
          <w:rFonts w:hint="eastAsia" w:ascii="宋体" w:hAnsi="宋体" w:eastAsia="宋体" w:cs="Times New Roman"/>
          <w:b/>
          <w:bCs/>
          <w:szCs w:val="21"/>
          <w:lang w:val="en-US" w:eastAsia="zh-CN"/>
        </w:rPr>
        <w:t>5</w:t>
      </w:r>
      <w:r>
        <w:rPr>
          <w:rFonts w:hint="default" w:ascii="宋体" w:hAnsi="宋体" w:eastAsia="宋体" w:cs="Times New Roman"/>
          <w:b/>
          <w:bCs/>
          <w:szCs w:val="21"/>
          <w:lang w:val="en-US" w:eastAsia="zh-CN"/>
        </w:rPr>
        <w:t>．供应商违法行为</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（1）在采购活动中应当回避而未回避的；</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（2）未按本条例规定签订、履行采购合同，造成严重后果的；</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（3）隐瞒真实情况，提供虚假资料的；</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（4）以非法手段排斥其他供应商参与竞争的；</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（5）与其他采购参加人串通投标的；</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（6）恶意投诉的；</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（7）向采购项目相关人行贿或者提供其他不当利益的；</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（8）阻碍、抗拒主管部门监督检查的；</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（9）其他违反本条例规定的行为。</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default" w:ascii="方正小标宋简体" w:hAnsi="方正小标宋简体" w:eastAsia="方正小标宋简体" w:cs="方正小标宋简体"/>
          <w:b w:val="0"/>
          <w:bCs/>
          <w:kern w:val="2"/>
          <w:sz w:val="32"/>
          <w:szCs w:val="32"/>
          <w:u w:val="none"/>
          <w:lang w:val="en-US" w:eastAsia="zh-CN" w:bidi="ar-SA"/>
        </w:rPr>
      </w:pPr>
      <w:r>
        <w:rPr>
          <w:rFonts w:hint="default" w:ascii="方正小标宋简体" w:hAnsi="方正小标宋简体" w:eastAsia="方正小标宋简体" w:cs="方正小标宋简体"/>
          <w:b w:val="0"/>
          <w:bCs/>
          <w:kern w:val="2"/>
          <w:sz w:val="32"/>
          <w:szCs w:val="32"/>
          <w:u w:val="none"/>
          <w:lang w:val="en-US" w:eastAsia="zh-CN" w:bidi="ar-SA"/>
        </w:rPr>
        <w:t>第十章</w:t>
      </w:r>
      <w:r>
        <w:rPr>
          <w:rFonts w:hint="eastAsia" w:ascii="方正小标宋简体" w:hAnsi="方正小标宋简体" w:eastAsia="方正小标宋简体" w:cs="方正小标宋简体"/>
          <w:b w:val="0"/>
          <w:bCs/>
          <w:kern w:val="2"/>
          <w:sz w:val="32"/>
          <w:szCs w:val="32"/>
          <w:u w:val="none"/>
          <w:lang w:val="en-US" w:eastAsia="zh-CN" w:bidi="ar-SA"/>
        </w:rPr>
        <w:t xml:space="preserve">  </w:t>
      </w:r>
      <w:r>
        <w:rPr>
          <w:rFonts w:hint="default" w:ascii="方正小标宋简体" w:hAnsi="方正小标宋简体" w:eastAsia="方正小标宋简体" w:cs="方正小标宋简体"/>
          <w:b w:val="0"/>
          <w:bCs/>
          <w:kern w:val="2"/>
          <w:sz w:val="32"/>
          <w:szCs w:val="32"/>
          <w:u w:val="none"/>
          <w:lang w:val="en-US" w:eastAsia="zh-CN" w:bidi="ar-SA"/>
        </w:rPr>
        <w:t>质疑处理</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eastAsia" w:ascii="宋体" w:hAnsi="宋体" w:eastAsia="宋体" w:cs="Times New Roman"/>
          <w:b/>
          <w:bCs/>
          <w:szCs w:val="21"/>
          <w:lang w:val="en-US" w:eastAsia="zh-CN"/>
        </w:rPr>
        <w:t>46.</w:t>
      </w:r>
      <w:r>
        <w:rPr>
          <w:rFonts w:hint="default" w:ascii="宋体" w:hAnsi="宋体" w:eastAsia="宋体" w:cs="Times New Roman"/>
          <w:b/>
          <w:bCs/>
          <w:szCs w:val="21"/>
          <w:lang w:val="en-US" w:eastAsia="zh-CN"/>
        </w:rPr>
        <w:t>质疑处理原则</w:t>
      </w:r>
    </w:p>
    <w:p>
      <w:pPr>
        <w:ind w:firstLine="411" w:firstLineChars="196"/>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46</w:t>
      </w:r>
      <w:r>
        <w:rPr>
          <w:rFonts w:hint="default" w:ascii="宋体" w:hAnsi="宋体" w:eastAsia="宋体" w:cs="Times New Roman"/>
          <w:szCs w:val="21"/>
          <w:lang w:val="en-US" w:eastAsia="zh-CN"/>
        </w:rPr>
        <w:t>.1提出质疑</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参与政府采购活动的供应商认为自己的权益在采购活动中受到损害的，应当自知道或者应当知道其权益受到损害之日起</w:t>
      </w:r>
      <w:r>
        <w:rPr>
          <w:rFonts w:hint="eastAsia" w:ascii="宋体" w:hAnsi="宋体" w:eastAsia="宋体" w:cs="Times New Roman"/>
          <w:szCs w:val="21"/>
          <w:lang w:val="en-US" w:eastAsia="zh-CN"/>
        </w:rPr>
        <w:t>3</w:t>
      </w:r>
      <w:r>
        <w:rPr>
          <w:rFonts w:hint="default" w:ascii="宋体" w:hAnsi="宋体" w:eastAsia="宋体" w:cs="Times New Roman"/>
          <w:szCs w:val="21"/>
          <w:lang w:val="en-US" w:eastAsia="zh-CN"/>
        </w:rPr>
        <w:t>个工作日内向采购人以书面形式提出质疑。</w:t>
      </w:r>
    </w:p>
    <w:p>
      <w:pPr>
        <w:ind w:firstLine="411" w:firstLineChars="196"/>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46</w:t>
      </w:r>
      <w:r>
        <w:rPr>
          <w:rFonts w:hint="default" w:ascii="宋体" w:hAnsi="宋体" w:eastAsia="宋体" w:cs="Times New Roman"/>
          <w:szCs w:val="21"/>
          <w:lang w:val="en-US" w:eastAsia="zh-CN"/>
        </w:rPr>
        <w:t>.2法律依据</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中华人民共和国政府采购法》、《中华人民共和国政府采购法实施条例》、《深圳经济特区政府采购条例》、《深圳经济特区政府采购条例实施细则》、《政府采购质疑和投诉办法》（财政部令第94号）和其他有关法律法规规定。</w:t>
      </w:r>
    </w:p>
    <w:p>
      <w:pPr>
        <w:ind w:firstLine="411" w:firstLineChars="196"/>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46</w:t>
      </w:r>
      <w:r>
        <w:rPr>
          <w:rFonts w:hint="default" w:ascii="宋体" w:hAnsi="宋体" w:eastAsia="宋体" w:cs="Times New Roman"/>
          <w:szCs w:val="21"/>
          <w:lang w:val="en-US" w:eastAsia="zh-CN"/>
        </w:rPr>
        <w:t>.3质疑条件</w:t>
      </w:r>
    </w:p>
    <w:p>
      <w:pPr>
        <w:ind w:firstLine="411" w:firstLineChars="196"/>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46</w:t>
      </w:r>
      <w:r>
        <w:rPr>
          <w:rFonts w:hint="default" w:ascii="宋体" w:hAnsi="宋体" w:eastAsia="宋体" w:cs="Times New Roman"/>
          <w:szCs w:val="21"/>
          <w:lang w:val="en-US" w:eastAsia="zh-CN"/>
        </w:rPr>
        <w:t>.3.1提出质疑的供应商应当是参与所质疑项目采购活动的供应商；</w:t>
      </w:r>
    </w:p>
    <w:p>
      <w:pPr>
        <w:ind w:firstLine="411" w:firstLineChars="196"/>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46</w:t>
      </w:r>
      <w:r>
        <w:rPr>
          <w:rFonts w:hint="default" w:ascii="宋体" w:hAnsi="宋体" w:eastAsia="宋体" w:cs="Times New Roman"/>
          <w:szCs w:val="21"/>
          <w:lang w:val="en-US" w:eastAsia="zh-CN"/>
        </w:rPr>
        <w:t>.3.2应当在法定质疑期内一次性提出针对同一采购程序环节的质疑，法定质疑期为自知道或应当知道权益受到损害之日起</w:t>
      </w:r>
      <w:r>
        <w:rPr>
          <w:rFonts w:hint="eastAsia" w:ascii="宋体" w:hAnsi="宋体" w:eastAsia="宋体" w:cs="Times New Roman"/>
          <w:szCs w:val="21"/>
          <w:lang w:val="en-US" w:eastAsia="zh-CN"/>
        </w:rPr>
        <w:t>3</w:t>
      </w:r>
      <w:r>
        <w:rPr>
          <w:rFonts w:hint="default" w:ascii="宋体" w:hAnsi="宋体" w:eastAsia="宋体" w:cs="Times New Roman"/>
          <w:szCs w:val="21"/>
          <w:lang w:val="en-US" w:eastAsia="zh-CN"/>
        </w:rPr>
        <w:t>个工作日内。应当知道其权益受到损害之日是指：对采购文件的质疑，为采购文件公布之日；对采购过程的质疑，为各采购程序环节结束之日；对中标或者成交结果以及</w:t>
      </w:r>
      <w:r>
        <w:rPr>
          <w:rFonts w:hint="eastAsia" w:ascii="宋体" w:hAnsi="宋体" w:eastAsia="宋体" w:cs="Times New Roman"/>
          <w:szCs w:val="21"/>
          <w:lang w:val="en-US" w:eastAsia="zh-CN"/>
        </w:rPr>
        <w:t>采购评审小组</w:t>
      </w:r>
      <w:r>
        <w:rPr>
          <w:rFonts w:hint="default" w:ascii="宋体" w:hAnsi="宋体" w:eastAsia="宋体" w:cs="Times New Roman"/>
          <w:szCs w:val="21"/>
          <w:lang w:val="en-US" w:eastAsia="zh-CN"/>
        </w:rPr>
        <w:t>组成人员的质疑，为中标</w:t>
      </w:r>
      <w:r>
        <w:rPr>
          <w:rFonts w:hint="eastAsia" w:ascii="宋体" w:hAnsi="宋体" w:eastAsia="宋体" w:cs="Times New Roman"/>
          <w:szCs w:val="21"/>
          <w:lang w:val="en-US" w:eastAsia="zh-CN"/>
        </w:rPr>
        <w:t>（</w:t>
      </w:r>
      <w:r>
        <w:rPr>
          <w:rFonts w:hint="default" w:ascii="宋体" w:hAnsi="宋体" w:eastAsia="宋体" w:cs="Times New Roman"/>
          <w:szCs w:val="21"/>
          <w:lang w:val="en-US" w:eastAsia="zh-CN"/>
        </w:rPr>
        <w:t>成交</w:t>
      </w:r>
      <w:r>
        <w:rPr>
          <w:rFonts w:hint="eastAsia" w:ascii="宋体" w:hAnsi="宋体" w:eastAsia="宋体" w:cs="Times New Roman"/>
          <w:szCs w:val="21"/>
          <w:lang w:val="en-US" w:eastAsia="zh-CN"/>
        </w:rPr>
        <w:t>）</w:t>
      </w:r>
      <w:r>
        <w:rPr>
          <w:rFonts w:hint="default" w:ascii="宋体" w:hAnsi="宋体" w:eastAsia="宋体" w:cs="Times New Roman"/>
          <w:szCs w:val="21"/>
          <w:lang w:val="en-US" w:eastAsia="zh-CN"/>
        </w:rPr>
        <w:t>结果公示之日；</w:t>
      </w:r>
    </w:p>
    <w:p>
      <w:pPr>
        <w:ind w:firstLine="411" w:firstLineChars="196"/>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46</w:t>
      </w:r>
      <w:r>
        <w:rPr>
          <w:rFonts w:hint="default" w:ascii="宋体" w:hAnsi="宋体" w:eastAsia="宋体" w:cs="Times New Roman"/>
          <w:szCs w:val="21"/>
          <w:lang w:val="en-US" w:eastAsia="zh-CN"/>
        </w:rPr>
        <w:t xml:space="preserve">.3.3应提交书面质疑函，质疑函应当包括以下内容： </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（1）供应商的名称（或者姓名）、地址、邮编、邮箱、联系人及联系电话；</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（2）质疑项目的名称、编号；</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（3）具体、明确的质疑对象、质疑事项和质疑请求；</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（4）因质疑事项而受损害的权益；</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（5）事实依据；</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（6）必要的法律依据；</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（7）提出质疑的日期。</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供应商为自然人的，应当由本人签字；供应商为法人或者其他组织的，应当由法定代表人（负责人），或者其授权代理人签字或者盖章，并加盖公章。</w:t>
      </w:r>
    </w:p>
    <w:p>
      <w:pPr>
        <w:ind w:firstLine="411" w:firstLineChars="196"/>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46</w:t>
      </w:r>
      <w:r>
        <w:rPr>
          <w:rFonts w:hint="default" w:ascii="宋体" w:hAnsi="宋体" w:eastAsia="宋体" w:cs="Times New Roman"/>
          <w:szCs w:val="21"/>
          <w:lang w:val="en-US" w:eastAsia="zh-CN"/>
        </w:rPr>
        <w:t>.</w:t>
      </w:r>
      <w:r>
        <w:rPr>
          <w:rFonts w:hint="eastAsia" w:ascii="宋体" w:hAnsi="宋体" w:eastAsia="宋体" w:cs="Times New Roman"/>
          <w:szCs w:val="21"/>
          <w:lang w:val="en-US" w:eastAsia="zh-CN"/>
        </w:rPr>
        <w:t>4</w:t>
      </w:r>
      <w:r>
        <w:rPr>
          <w:rFonts w:hint="default" w:ascii="宋体" w:hAnsi="宋体" w:eastAsia="宋体" w:cs="Times New Roman"/>
          <w:szCs w:val="21"/>
          <w:lang w:val="en-US" w:eastAsia="zh-CN"/>
        </w:rPr>
        <w:t>提交材料</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供应商质疑实行实名制。质疑（投诉）人应保证质疑、投诉的真实性，其在质疑或投诉时应当有具体的事项及证明利益受损的事实根据，实行“谁质疑，谁举证”的原则。</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供应商为自然人的，应当提交本人身份证复印件；供应商为法人或者其他组织的，应当根据自身性质提交营业执照复印件或者其他证明文件（如事业单位法人证书等）复印件。</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w:t>
      </w:r>
    </w:p>
    <w:p>
      <w:pPr>
        <w:ind w:firstLine="411" w:firstLineChars="196"/>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46</w:t>
      </w:r>
      <w:r>
        <w:rPr>
          <w:rFonts w:hint="default" w:ascii="宋体" w:hAnsi="宋体" w:eastAsia="宋体" w:cs="Times New Roman"/>
          <w:szCs w:val="21"/>
          <w:lang w:val="en-US" w:eastAsia="zh-CN"/>
        </w:rPr>
        <w:t>.5收文部门</w:t>
      </w:r>
    </w:p>
    <w:p>
      <w:pPr>
        <w:ind w:firstLine="411" w:firstLineChars="196"/>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采购人</w:t>
      </w:r>
      <w:r>
        <w:rPr>
          <w:rFonts w:hint="default" w:ascii="宋体" w:hAnsi="宋体" w:eastAsia="宋体" w:cs="Times New Roman"/>
          <w:szCs w:val="21"/>
          <w:lang w:val="en-US" w:eastAsia="zh-CN"/>
        </w:rPr>
        <w:t>，地址：广东省深圳市盐田区沙头角镇内碧海路8号</w:t>
      </w:r>
      <w:r>
        <w:rPr>
          <w:rFonts w:hint="eastAsia" w:ascii="宋体" w:hAnsi="宋体" w:eastAsia="宋体" w:cs="Times New Roman"/>
          <w:szCs w:val="21"/>
          <w:lang w:val="en-US" w:eastAsia="zh-CN"/>
        </w:rPr>
        <w:t>2楼</w:t>
      </w:r>
      <w:r>
        <w:rPr>
          <w:rFonts w:hint="default" w:ascii="宋体" w:hAnsi="宋体" w:eastAsia="宋体" w:cs="Times New Roman"/>
          <w:szCs w:val="21"/>
          <w:lang w:val="en-US" w:eastAsia="zh-CN"/>
        </w:rPr>
        <w:t>，质疑咨询电话：0755-</w:t>
      </w:r>
      <w:r>
        <w:rPr>
          <w:rFonts w:hint="eastAsia" w:ascii="宋体" w:hAnsi="宋体" w:eastAsia="宋体" w:cs="Times New Roman"/>
          <w:szCs w:val="21"/>
          <w:lang w:val="en-US" w:eastAsia="zh-CN"/>
        </w:rPr>
        <w:t>22327442</w:t>
      </w:r>
      <w:r>
        <w:rPr>
          <w:rFonts w:hint="default" w:ascii="宋体" w:hAnsi="宋体" w:eastAsia="宋体" w:cs="Times New Roman"/>
          <w:szCs w:val="21"/>
          <w:lang w:val="en-US" w:eastAsia="zh-CN"/>
        </w:rPr>
        <w:t>。</w:t>
      </w:r>
    </w:p>
    <w:p>
      <w:pPr>
        <w:ind w:firstLine="411" w:firstLineChars="196"/>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46</w:t>
      </w:r>
      <w:r>
        <w:rPr>
          <w:rFonts w:hint="default" w:ascii="宋体" w:hAnsi="宋体" w:eastAsia="宋体" w:cs="Times New Roman"/>
          <w:szCs w:val="21"/>
          <w:lang w:val="en-US" w:eastAsia="zh-CN"/>
        </w:rPr>
        <w:t>.6收文办理程序</w:t>
      </w:r>
    </w:p>
    <w:p>
      <w:pPr>
        <w:ind w:firstLine="411" w:firstLineChars="196"/>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46</w:t>
      </w:r>
      <w:r>
        <w:rPr>
          <w:rFonts w:hint="default" w:ascii="宋体" w:hAnsi="宋体" w:eastAsia="宋体" w:cs="Times New Roman"/>
          <w:szCs w:val="21"/>
          <w:lang w:val="en-US" w:eastAsia="zh-CN"/>
        </w:rPr>
        <w:t>.6.1供应商提交的质疑材料符合质疑条件的办理收文，出具收文回执；</w:t>
      </w:r>
    </w:p>
    <w:p>
      <w:pPr>
        <w:ind w:firstLine="411" w:firstLineChars="196"/>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46</w:t>
      </w:r>
      <w:r>
        <w:rPr>
          <w:rFonts w:hint="default" w:ascii="宋体" w:hAnsi="宋体" w:eastAsia="宋体" w:cs="Times New Roman"/>
          <w:szCs w:val="21"/>
          <w:lang w:val="en-US" w:eastAsia="zh-CN"/>
        </w:rPr>
        <w:t>.6.2供应商提交的质疑材料不符合质疑条件的，视情况处理：（1）质疑主体、时限不符合的，不予收文；（2）质疑函内容、提交人身份证明不符合的，开具补正告知书，供应商可在质疑期内补正后重新提交。</w:t>
      </w:r>
    </w:p>
    <w:p>
      <w:pPr>
        <w:ind w:firstLine="411" w:firstLineChars="196"/>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46</w:t>
      </w:r>
      <w:r>
        <w:rPr>
          <w:rFonts w:hint="default" w:ascii="宋体" w:hAnsi="宋体" w:eastAsia="宋体" w:cs="Times New Roman"/>
          <w:szCs w:val="21"/>
          <w:lang w:val="en-US" w:eastAsia="zh-CN"/>
        </w:rPr>
        <w:t>.7质疑答复时限</w:t>
      </w:r>
    </w:p>
    <w:p>
      <w:pPr>
        <w:ind w:firstLine="411" w:firstLineChars="196"/>
        <w:rPr>
          <w:rFonts w:hint="default" w:ascii="宋体" w:hAnsi="宋体" w:eastAsia="宋体" w:cs="Times New Roman"/>
          <w:szCs w:val="21"/>
          <w:lang w:val="en-US" w:eastAsia="zh-CN"/>
        </w:rPr>
      </w:pPr>
      <w:r>
        <w:rPr>
          <w:rFonts w:hint="default" w:ascii="宋体" w:hAnsi="宋体" w:eastAsia="宋体" w:cs="Times New Roman"/>
          <w:szCs w:val="21"/>
          <w:lang w:val="en-US" w:eastAsia="zh-CN"/>
        </w:rPr>
        <w:t>自收文之日起</w:t>
      </w:r>
      <w:r>
        <w:rPr>
          <w:rFonts w:hint="eastAsia" w:ascii="宋体" w:hAnsi="宋体" w:eastAsia="宋体" w:cs="Times New Roman"/>
          <w:szCs w:val="21"/>
          <w:lang w:val="en-US" w:eastAsia="zh-CN"/>
        </w:rPr>
        <w:t>7</w:t>
      </w:r>
      <w:r>
        <w:rPr>
          <w:rFonts w:hint="default" w:ascii="宋体" w:hAnsi="宋体" w:eastAsia="宋体" w:cs="Times New Roman"/>
          <w:szCs w:val="21"/>
          <w:lang w:val="en-US" w:eastAsia="zh-CN"/>
        </w:rPr>
        <w:t>个工作日内。</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宋体" w:hAnsi="宋体" w:eastAsia="宋体" w:cs="Times New Roman"/>
          <w:b/>
          <w:bCs/>
          <w:szCs w:val="21"/>
          <w:lang w:val="en-US" w:eastAsia="zh-CN"/>
        </w:rPr>
      </w:pPr>
      <w:r>
        <w:rPr>
          <w:rFonts w:hint="eastAsia" w:ascii="宋体" w:hAnsi="宋体" w:eastAsia="宋体" w:cs="Times New Roman"/>
          <w:b/>
          <w:bCs/>
          <w:szCs w:val="21"/>
          <w:lang w:val="en-US" w:eastAsia="zh-CN"/>
        </w:rPr>
        <w:t>47</w:t>
      </w:r>
      <w:r>
        <w:rPr>
          <w:rFonts w:hint="default" w:ascii="宋体" w:hAnsi="宋体" w:eastAsia="宋体" w:cs="Times New Roman"/>
          <w:b/>
          <w:bCs/>
          <w:szCs w:val="21"/>
          <w:lang w:val="en-US" w:eastAsia="zh-CN"/>
        </w:rPr>
        <w:t>.质疑后续处理</w:t>
      </w:r>
    </w:p>
    <w:p>
      <w:pPr>
        <w:ind w:firstLine="411" w:firstLineChars="196"/>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47</w:t>
      </w:r>
      <w:r>
        <w:rPr>
          <w:rFonts w:hint="default" w:ascii="宋体" w:hAnsi="宋体" w:eastAsia="宋体" w:cs="Times New Roman"/>
          <w:szCs w:val="21"/>
          <w:lang w:val="en-US" w:eastAsia="zh-CN"/>
        </w:rPr>
        <w:t>.1供应商质疑不成立，或者成立但未对中标、成交结果构成影响的，继续开展采购活动。</w:t>
      </w:r>
    </w:p>
    <w:p>
      <w:pPr>
        <w:ind w:firstLine="411" w:firstLineChars="196"/>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47</w:t>
      </w:r>
      <w:r>
        <w:rPr>
          <w:rFonts w:hint="default" w:ascii="宋体" w:hAnsi="宋体" w:eastAsia="宋体" w:cs="Times New Roman"/>
          <w:szCs w:val="21"/>
          <w:lang w:val="en-US" w:eastAsia="zh-CN"/>
        </w:rPr>
        <w:t>.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文鼎小标宋简">
    <w:altName w:val="方正小标宋_GBK"/>
    <w:panose1 w:val="00000000000000000000"/>
    <w:charset w:val="86"/>
    <w:family w:val="modern"/>
    <w:pitch w:val="default"/>
    <w:sig w:usb0="00000000" w:usb1="00000000" w:usb2="00000010" w:usb3="00000000" w:csb0="00040000" w:csb1="00000000"/>
  </w:font>
  <w:font w:name="方正小标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隶书">
    <w:altName w:val="方正隶书_GBK"/>
    <w:panose1 w:val="02010509060101010101"/>
    <w:charset w:val="00"/>
    <w:family w:val="modern"/>
    <w:pitch w:val="default"/>
    <w:sig w:usb0="00000000" w:usb1="00000000" w:usb2="00000000" w:usb3="00000000" w:csb0="00040000" w:csb1="00000000"/>
  </w:font>
  <w:font w:name="方正隶书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modern"/>
    <w:pitch w:val="default"/>
    <w:sig w:usb0="00000000" w:usb1="0000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MS Sans Serif">
    <w:altName w:val="DejaVu Math TeX Gyre"/>
    <w:panose1 w:val="020B0500000000000000"/>
    <w:charset w:val="00"/>
    <w:family w:val="swiss"/>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81C32"/>
    <w:rsid w:val="00074814"/>
    <w:rsid w:val="00086359"/>
    <w:rsid w:val="000E0330"/>
    <w:rsid w:val="000E16C7"/>
    <w:rsid w:val="00135E3C"/>
    <w:rsid w:val="00153D56"/>
    <w:rsid w:val="00161A3D"/>
    <w:rsid w:val="00161CC7"/>
    <w:rsid w:val="001778B0"/>
    <w:rsid w:val="00181C32"/>
    <w:rsid w:val="001C3C9B"/>
    <w:rsid w:val="001D61C4"/>
    <w:rsid w:val="001E7FAC"/>
    <w:rsid w:val="00217A2C"/>
    <w:rsid w:val="0022544A"/>
    <w:rsid w:val="0027722F"/>
    <w:rsid w:val="0029013A"/>
    <w:rsid w:val="003279CF"/>
    <w:rsid w:val="0036480A"/>
    <w:rsid w:val="00396F44"/>
    <w:rsid w:val="003B04FB"/>
    <w:rsid w:val="003B6C0B"/>
    <w:rsid w:val="003C6E63"/>
    <w:rsid w:val="00413707"/>
    <w:rsid w:val="00424F07"/>
    <w:rsid w:val="004B6AC6"/>
    <w:rsid w:val="004B73E0"/>
    <w:rsid w:val="004C3A1E"/>
    <w:rsid w:val="004D3E32"/>
    <w:rsid w:val="004E5A98"/>
    <w:rsid w:val="004F1304"/>
    <w:rsid w:val="004F141D"/>
    <w:rsid w:val="0051640A"/>
    <w:rsid w:val="005537FA"/>
    <w:rsid w:val="00556B01"/>
    <w:rsid w:val="005A1F97"/>
    <w:rsid w:val="005B25FE"/>
    <w:rsid w:val="005B3953"/>
    <w:rsid w:val="005F34DE"/>
    <w:rsid w:val="00613AB4"/>
    <w:rsid w:val="00613CE5"/>
    <w:rsid w:val="00623BBB"/>
    <w:rsid w:val="00630797"/>
    <w:rsid w:val="006341EF"/>
    <w:rsid w:val="006348BF"/>
    <w:rsid w:val="006B3439"/>
    <w:rsid w:val="006D426A"/>
    <w:rsid w:val="006F0BCA"/>
    <w:rsid w:val="006F3D6C"/>
    <w:rsid w:val="00706F98"/>
    <w:rsid w:val="007230E5"/>
    <w:rsid w:val="0077439D"/>
    <w:rsid w:val="00774C1C"/>
    <w:rsid w:val="007C22B0"/>
    <w:rsid w:val="0083459F"/>
    <w:rsid w:val="0086279C"/>
    <w:rsid w:val="008D4465"/>
    <w:rsid w:val="008D7B88"/>
    <w:rsid w:val="008E7954"/>
    <w:rsid w:val="0096687C"/>
    <w:rsid w:val="0099245F"/>
    <w:rsid w:val="009930E4"/>
    <w:rsid w:val="00996332"/>
    <w:rsid w:val="009969C3"/>
    <w:rsid w:val="009B14B0"/>
    <w:rsid w:val="00A44398"/>
    <w:rsid w:val="00A63004"/>
    <w:rsid w:val="00A7732D"/>
    <w:rsid w:val="00AE7919"/>
    <w:rsid w:val="00B720BF"/>
    <w:rsid w:val="00BC591C"/>
    <w:rsid w:val="00BD35D7"/>
    <w:rsid w:val="00BD3F66"/>
    <w:rsid w:val="00BD6006"/>
    <w:rsid w:val="00BF1E03"/>
    <w:rsid w:val="00C15654"/>
    <w:rsid w:val="00C42619"/>
    <w:rsid w:val="00C770AC"/>
    <w:rsid w:val="00CE26FD"/>
    <w:rsid w:val="00D16E2F"/>
    <w:rsid w:val="00D67331"/>
    <w:rsid w:val="00D82DF9"/>
    <w:rsid w:val="00D921F6"/>
    <w:rsid w:val="00D965C6"/>
    <w:rsid w:val="00DA1E30"/>
    <w:rsid w:val="00E3292A"/>
    <w:rsid w:val="00E575B8"/>
    <w:rsid w:val="00E747F1"/>
    <w:rsid w:val="00EA15F3"/>
    <w:rsid w:val="00ED2A66"/>
    <w:rsid w:val="00F4273A"/>
    <w:rsid w:val="00FF7558"/>
    <w:rsid w:val="02EE513F"/>
    <w:rsid w:val="04275653"/>
    <w:rsid w:val="04E854C5"/>
    <w:rsid w:val="07C66F31"/>
    <w:rsid w:val="0E5D3935"/>
    <w:rsid w:val="106622B6"/>
    <w:rsid w:val="13A7639D"/>
    <w:rsid w:val="13E4721A"/>
    <w:rsid w:val="13F310AE"/>
    <w:rsid w:val="14507177"/>
    <w:rsid w:val="18591450"/>
    <w:rsid w:val="1A516B2E"/>
    <w:rsid w:val="1A8F02A3"/>
    <w:rsid w:val="1C47643B"/>
    <w:rsid w:val="2138344A"/>
    <w:rsid w:val="23AE4FF1"/>
    <w:rsid w:val="24771887"/>
    <w:rsid w:val="260544E4"/>
    <w:rsid w:val="285578EF"/>
    <w:rsid w:val="2A8E16D9"/>
    <w:rsid w:val="2DEB7DEB"/>
    <w:rsid w:val="2EB7DC5D"/>
    <w:rsid w:val="2FC802ED"/>
    <w:rsid w:val="33B51311"/>
    <w:rsid w:val="3493264E"/>
    <w:rsid w:val="3720190B"/>
    <w:rsid w:val="37FB0141"/>
    <w:rsid w:val="3AA47EC1"/>
    <w:rsid w:val="3B3C32D2"/>
    <w:rsid w:val="3E422918"/>
    <w:rsid w:val="3E7C0959"/>
    <w:rsid w:val="3ED2798E"/>
    <w:rsid w:val="3F8F3AD1"/>
    <w:rsid w:val="458832A1"/>
    <w:rsid w:val="45B47DEE"/>
    <w:rsid w:val="48D80297"/>
    <w:rsid w:val="4A825948"/>
    <w:rsid w:val="4D65577E"/>
    <w:rsid w:val="4FFFB7BE"/>
    <w:rsid w:val="51257DF2"/>
    <w:rsid w:val="518E007E"/>
    <w:rsid w:val="526B5CD8"/>
    <w:rsid w:val="53042DB3"/>
    <w:rsid w:val="542412B3"/>
    <w:rsid w:val="542E3461"/>
    <w:rsid w:val="545A4256"/>
    <w:rsid w:val="554A42CB"/>
    <w:rsid w:val="573B3D20"/>
    <w:rsid w:val="578A6C00"/>
    <w:rsid w:val="57D77424"/>
    <w:rsid w:val="58DC7930"/>
    <w:rsid w:val="5AEB5C08"/>
    <w:rsid w:val="5BD91F04"/>
    <w:rsid w:val="5E7E36FE"/>
    <w:rsid w:val="5FF27A39"/>
    <w:rsid w:val="6638F3AE"/>
    <w:rsid w:val="6B8D6867"/>
    <w:rsid w:val="6DDF374D"/>
    <w:rsid w:val="6F7F342B"/>
    <w:rsid w:val="73463ECB"/>
    <w:rsid w:val="74B82BA7"/>
    <w:rsid w:val="75023E22"/>
    <w:rsid w:val="76742AFE"/>
    <w:rsid w:val="7AFFAC5D"/>
    <w:rsid w:val="7B5FE912"/>
    <w:rsid w:val="7BBD96FD"/>
    <w:rsid w:val="7C2EB0AC"/>
    <w:rsid w:val="7E2E33F3"/>
    <w:rsid w:val="7F3F9E7F"/>
    <w:rsid w:val="7FEF84A5"/>
    <w:rsid w:val="9FF85322"/>
    <w:rsid w:val="A367D3AE"/>
    <w:rsid w:val="AD6C3B1E"/>
    <w:rsid w:val="B75D19E9"/>
    <w:rsid w:val="B8F34336"/>
    <w:rsid w:val="C2B7D3B2"/>
    <w:rsid w:val="E955D3B8"/>
    <w:rsid w:val="EBBF5875"/>
    <w:rsid w:val="ED769E19"/>
    <w:rsid w:val="EDF5BE84"/>
    <w:rsid w:val="EF9D8F18"/>
    <w:rsid w:val="F5F3AD99"/>
    <w:rsid w:val="F5F92E26"/>
    <w:rsid w:val="F76D298B"/>
    <w:rsid w:val="FA4D76B9"/>
    <w:rsid w:val="FBFFC581"/>
    <w:rsid w:val="FFD68EB2"/>
    <w:rsid w:val="FFFFF2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3"/>
    <w:next w:val="1"/>
    <w:qFormat/>
    <w:uiPriority w:val="0"/>
    <w:pPr>
      <w:keepNext/>
      <w:keepLines/>
      <w:adjustRightInd w:val="0"/>
      <w:jc w:val="distribute"/>
      <w:outlineLvl w:val="0"/>
    </w:pPr>
    <w:rPr>
      <w:rFonts w:eastAsia="文鼎小标宋简"/>
      <w:color w:val="FF0000"/>
      <w:kern w:val="44"/>
      <w:sz w:val="72"/>
      <w:szCs w:val="20"/>
    </w:rPr>
  </w:style>
  <w:style w:type="paragraph" w:styleId="5">
    <w:name w:val="heading 2"/>
    <w:basedOn w:val="3"/>
    <w:next w:val="4"/>
    <w:qFormat/>
    <w:uiPriority w:val="0"/>
    <w:pPr>
      <w:adjustRightInd w:val="0"/>
      <w:jc w:val="center"/>
      <w:textAlignment w:val="baseline"/>
      <w:outlineLvl w:val="1"/>
    </w:pPr>
    <w:rPr>
      <w:bCs/>
      <w:kern w:val="0"/>
      <w:sz w:val="24"/>
      <w:szCs w:val="20"/>
    </w:rPr>
  </w:style>
  <w:style w:type="paragraph" w:styleId="3">
    <w:name w:val="heading 3"/>
    <w:basedOn w:val="4"/>
    <w:next w:val="1"/>
    <w:qFormat/>
    <w:uiPriority w:val="0"/>
    <w:pPr>
      <w:spacing w:before="260" w:after="260" w:line="240" w:lineRule="auto"/>
      <w:outlineLvl w:val="2"/>
    </w:pPr>
    <w:rPr>
      <w:rFonts w:ascii="宋体" w:hAnsi="宋体" w:eastAsia="宋体"/>
      <w:bCs w:val="0"/>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szCs w:val="24"/>
    </w:rPr>
  </w:style>
  <w:style w:type="paragraph" w:styleId="7">
    <w:name w:val="Body Text"/>
    <w:basedOn w:val="1"/>
    <w:next w:val="8"/>
    <w:qFormat/>
    <w:uiPriority w:val="0"/>
    <w:pPr>
      <w:spacing w:line="360" w:lineRule="auto"/>
    </w:pPr>
    <w:rPr>
      <w:b/>
      <w:bCs/>
      <w:sz w:val="24"/>
    </w:rPr>
  </w:style>
  <w:style w:type="paragraph" w:styleId="8">
    <w:name w:val="Title"/>
    <w:basedOn w:val="1"/>
    <w:qFormat/>
    <w:uiPriority w:val="0"/>
    <w:pPr>
      <w:spacing w:before="240" w:after="60"/>
      <w:jc w:val="center"/>
      <w:outlineLvl w:val="0"/>
    </w:pPr>
    <w:rPr>
      <w:rFonts w:ascii="Arial" w:hAnsi="Arial" w:eastAsia="隶书" w:cs="Arial"/>
      <w:b/>
      <w:bCs/>
      <w:sz w:val="32"/>
      <w:szCs w:val="32"/>
    </w:rPr>
  </w:style>
  <w:style w:type="paragraph" w:styleId="9">
    <w:name w:val="toc 3"/>
    <w:basedOn w:val="1"/>
    <w:next w:val="1"/>
    <w:qFormat/>
    <w:uiPriority w:val="39"/>
    <w:pPr>
      <w:ind w:left="420"/>
      <w:jc w:val="left"/>
    </w:pPr>
    <w:rPr>
      <w:i/>
      <w:iCs/>
    </w:rPr>
  </w:style>
  <w:style w:type="paragraph" w:styleId="10">
    <w:name w:val="Plain Text"/>
    <w:basedOn w:val="1"/>
    <w:qFormat/>
    <w:uiPriority w:val="0"/>
    <w:rPr>
      <w:rFonts w:ascii="宋体" w:hAnsi="Courier New"/>
      <w:szCs w:val="20"/>
    </w:rPr>
  </w:style>
  <w:style w:type="paragraph" w:styleId="11">
    <w:name w:val="footer"/>
    <w:basedOn w:val="1"/>
    <w:link w:val="21"/>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3">
    <w:name w:val="toc 2"/>
    <w:basedOn w:val="1"/>
    <w:next w:val="1"/>
    <w:qFormat/>
    <w:uiPriority w:val="39"/>
    <w:pPr>
      <w:tabs>
        <w:tab w:val="right" w:leader="dot" w:pos="8296"/>
      </w:tabs>
      <w:ind w:left="210"/>
      <w:jc w:val="left"/>
    </w:pPr>
    <w:rPr>
      <w:smallCaps/>
    </w:rPr>
  </w:style>
  <w:style w:type="paragraph" w:styleId="14">
    <w:name w:val="Body Text 2"/>
    <w:basedOn w:val="1"/>
    <w:qFormat/>
    <w:uiPriority w:val="0"/>
    <w:pPr>
      <w:spacing w:line="360" w:lineRule="auto"/>
    </w:pPr>
    <w:rPr>
      <w:sz w:val="24"/>
    </w:rPr>
  </w:style>
  <w:style w:type="paragraph" w:styleId="15">
    <w:name w:val="Normal (Web)"/>
    <w:basedOn w:val="1"/>
    <w:qFormat/>
    <w:uiPriority w:val="99"/>
    <w:rPr>
      <w:sz w:val="24"/>
    </w:rPr>
  </w:style>
  <w:style w:type="table" w:styleId="17">
    <w:name w:val="Table Grid"/>
    <w:basedOn w:val="16"/>
    <w:unhideWhenUsed/>
    <w:qFormat/>
    <w:uiPriority w:val="99"/>
    <w:rPr>
      <w:rFonts w:ascii="Calibri" w:hAnsi="Calibri" w:eastAsia="宋体" w:cs="Times New Roman"/>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annotation reference"/>
    <w:qFormat/>
    <w:uiPriority w:val="0"/>
    <w:rPr>
      <w:sz w:val="21"/>
      <w:szCs w:val="21"/>
    </w:rPr>
  </w:style>
  <w:style w:type="character" w:customStyle="1" w:styleId="20">
    <w:name w:val="页眉 Char"/>
    <w:basedOn w:val="18"/>
    <w:link w:val="12"/>
    <w:semiHidden/>
    <w:qFormat/>
    <w:uiPriority w:val="99"/>
    <w:rPr>
      <w:sz w:val="18"/>
      <w:szCs w:val="18"/>
    </w:rPr>
  </w:style>
  <w:style w:type="character" w:customStyle="1" w:styleId="21">
    <w:name w:val="页脚 Char"/>
    <w:basedOn w:val="18"/>
    <w:link w:val="11"/>
    <w:semiHidden/>
    <w:qFormat/>
    <w:uiPriority w:val="99"/>
    <w:rPr>
      <w:sz w:val="18"/>
      <w:szCs w:val="18"/>
    </w:rPr>
  </w:style>
  <w:style w:type="paragraph" w:customStyle="1" w:styleId="22">
    <w:name w:val="Table Paragraph"/>
    <w:qFormat/>
    <w:uiPriority w:val="1"/>
    <w:pPr>
      <w:widowControl w:val="0"/>
      <w:jc w:val="both"/>
    </w:pPr>
    <w:rPr>
      <w:rFonts w:ascii="宋体" w:hAnsi="宋体" w:eastAsia="宋体" w:cs="宋体"/>
      <w:kern w:val="2"/>
      <w:sz w:val="21"/>
      <w:szCs w:val="24"/>
      <w:lang w:val="en-US" w:eastAsia="zh-CN" w:bidi="ar-SA"/>
    </w:rPr>
  </w:style>
  <w:style w:type="paragraph" w:styleId="23">
    <w:name w:val="List Paragraph"/>
    <w:basedOn w:val="1"/>
    <w:qFormat/>
    <w:uiPriority w:val="34"/>
    <w:pPr>
      <w:ind w:firstLine="420" w:firstLineChars="200"/>
    </w:pPr>
    <w:rPr>
      <w:rFonts w:ascii="Calibri" w:hAnsi="Calibri"/>
      <w:szCs w:val="22"/>
    </w:rPr>
  </w:style>
  <w:style w:type="character" w:customStyle="1" w:styleId="24">
    <w:name w:val="标题 3 Char"/>
    <w:qFormat/>
    <w:uiPriority w:val="0"/>
    <w:rPr>
      <w:rFonts w:ascii="黑体" w:eastAsia="黑体"/>
      <w:bCs/>
      <w:sz w:val="3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12</Pages>
  <Words>709</Words>
  <Characters>721</Characters>
  <Lines>14</Lines>
  <Paragraphs>4</Paragraphs>
  <TotalTime>0</TotalTime>
  <ScaleCrop>false</ScaleCrop>
  <LinksUpToDate>false</LinksUpToDate>
  <CharactersWithSpaces>721</CharactersWithSpaces>
  <Application>WPS Office_11.8.2.12219_F1E327BC-269C-435d-A152-05C5408002CA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2024-12-23T18:50:00Z</dcterms:created>
  <dc:creator>黄文彬</dc:creator>
  <cp:lastModifiedBy>yt</cp:lastModifiedBy>
  <dcterms:modified xsi:type="dcterms:W3CDTF">2026-06-22T09:28:21Z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2052-11.8.2.12219</vt:lpwstr>
  </property>
  <property fmtid="{D5CDD505-2E9C-101B-9397-08002B2CF9AE}" pid="3" name="ICV">
    <vt:lpwstr>C52D251A45654D2EB15B24D279DCC531</vt:lpwstr>
  </property>
</Properties>
</file>