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spacing w:before="231" w:beforeLines="50" w:after="231" w:afterLines="50"/>
        <w:rPr>
          <w:rFonts w:hint="eastAsia" w:ascii="方正小标宋简体" w:hAnsi="方正小标宋简体" w:eastAsia="方正小标宋简体" w:cs="方正小标宋简体"/>
          <w:b w:val="0"/>
          <w:bCs/>
          <w:kern w:val="2"/>
          <w:sz w:val="32"/>
          <w:szCs w:val="32"/>
          <w:u w:val="none"/>
          <w:lang w:val="en-US" w:eastAsia="zh-CN" w:bidi="ar-SA"/>
        </w:rPr>
      </w:pPr>
      <w:r>
        <w:rPr>
          <w:rFonts w:hint="eastAsia" w:ascii="方正小标宋简体" w:hAnsi="方正小标宋简体" w:eastAsia="方正小标宋简体" w:cs="方正小标宋简体"/>
          <w:b w:val="0"/>
          <w:bCs/>
          <w:kern w:val="2"/>
          <w:sz w:val="32"/>
          <w:szCs w:val="32"/>
          <w:u w:val="none"/>
          <w:lang w:val="en-US" w:eastAsia="zh-CN" w:bidi="ar-SA"/>
        </w:rPr>
        <w:t>自行采购公告</w:t>
      </w:r>
    </w:p>
    <w:p>
      <w:pPr>
        <w:keepNext w:val="0"/>
        <w:keepLines w:val="0"/>
        <w:pageBreakBefore w:val="0"/>
        <w:widowControl w:val="0"/>
        <w:kinsoku/>
        <w:wordWrap/>
        <w:overflowPunct/>
        <w:topLinePunct w:val="0"/>
        <w:autoSpaceDE w:val="0"/>
        <w:autoSpaceDN/>
        <w:bidi w:val="0"/>
        <w:adjustRightInd/>
        <w:snapToGrid/>
        <w:spacing w:line="500" w:lineRule="exact"/>
        <w:ind w:firstLine="560" w:firstLineChars="200"/>
        <w:jc w:val="left"/>
        <w:textAlignment w:val="auto"/>
        <w:rPr>
          <w:rFonts w:hint="eastAsia" w:ascii="黑体" w:hAnsi="黑体" w:eastAsia="黑体"/>
          <w:sz w:val="28"/>
          <w:szCs w:val="28"/>
        </w:rPr>
      </w:pPr>
      <w:r>
        <w:rPr>
          <w:rFonts w:hint="eastAsia" w:ascii="仿宋_GB2312" w:hAnsi="仿宋_GB2312" w:eastAsia="仿宋_GB2312" w:cs="仿宋_GB2312"/>
          <w:sz w:val="28"/>
          <w:szCs w:val="28"/>
          <w:lang w:val="en-US" w:eastAsia="zh-CN"/>
        </w:rPr>
        <w:t>根据</w:t>
      </w:r>
      <w:r>
        <w:rPr>
          <w:rFonts w:hint="default" w:ascii="仿宋_GB2312" w:hAnsi="仿宋" w:eastAsia="仿宋_GB2312"/>
          <w:sz w:val="28"/>
          <w:szCs w:val="28"/>
          <w:lang w:val="en-US" w:eastAsia="zh-CN"/>
        </w:rPr>
        <w:t>《深圳市盐田区中英街管理局政府采购管理办法》</w:t>
      </w:r>
      <w:r>
        <w:rPr>
          <w:rFonts w:hint="eastAsia" w:ascii="仿宋_GB2312" w:hAnsi="仿宋_GB2312" w:eastAsia="仿宋_GB2312" w:cs="仿宋_GB2312"/>
          <w:sz w:val="28"/>
          <w:szCs w:val="28"/>
          <w:lang w:val="en-US" w:eastAsia="zh-CN"/>
        </w:rPr>
        <w:t>规定，</w:t>
      </w:r>
      <w:r>
        <w:rPr>
          <w:rFonts w:hint="default" w:ascii="仿宋_GB2312" w:hAnsi="仿宋" w:eastAsia="仿宋_GB2312"/>
          <w:sz w:val="28"/>
          <w:szCs w:val="28"/>
          <w:lang w:val="en-US" w:eastAsia="zh-CN"/>
        </w:rPr>
        <w:t>深圳市盐田区中英街管理局</w:t>
      </w:r>
      <w:r>
        <w:rPr>
          <w:rFonts w:hint="eastAsia" w:ascii="仿宋_GB2312" w:hAnsi="仿宋_GB2312" w:eastAsia="仿宋_GB2312" w:cs="仿宋_GB2312"/>
          <w:sz w:val="28"/>
          <w:szCs w:val="28"/>
          <w:lang w:val="en-US" w:eastAsia="zh-CN"/>
        </w:rPr>
        <w:t>就</w:t>
      </w:r>
      <w:r>
        <w:rPr>
          <w:rFonts w:hint="default" w:ascii="仿宋_GB2312" w:hAnsi="仿宋" w:eastAsia="仿宋_GB2312"/>
          <w:sz w:val="28"/>
          <w:szCs w:val="28"/>
          <w:lang w:val="en-US" w:eastAsia="zh-CN"/>
        </w:rPr>
        <w:t>碧海花园周边环境提升及人行路面修缮工程</w:t>
      </w:r>
      <w:r>
        <w:rPr>
          <w:rFonts w:hint="eastAsia" w:ascii="仿宋_GB2312" w:hAnsi="仿宋_GB2312" w:eastAsia="仿宋_GB2312" w:cs="仿宋_GB2312"/>
          <w:sz w:val="28"/>
          <w:szCs w:val="28"/>
          <w:lang w:val="en-US" w:eastAsia="zh-CN"/>
        </w:rPr>
        <w:t>进行公开征集，欢迎符合资格的供应商参加投标。</w:t>
      </w:r>
    </w:p>
    <w:p>
      <w:pPr>
        <w:keepNext w:val="0"/>
        <w:keepLines w:val="0"/>
        <w:pageBreakBefore w:val="0"/>
        <w:widowControl w:val="0"/>
        <w:kinsoku/>
        <w:wordWrap/>
        <w:overflowPunct/>
        <w:topLinePunct w:val="0"/>
        <w:autoSpaceDE w:val="0"/>
        <w:autoSpaceDN/>
        <w:bidi w:val="0"/>
        <w:adjustRightInd/>
        <w:snapToGrid/>
        <w:spacing w:line="500" w:lineRule="exact"/>
        <w:ind w:firstLine="560" w:firstLineChars="200"/>
        <w:jc w:val="left"/>
        <w:textAlignment w:val="auto"/>
        <w:rPr>
          <w:rFonts w:ascii="黑体" w:hAnsi="黑体" w:eastAsia="黑体"/>
          <w:sz w:val="28"/>
          <w:szCs w:val="28"/>
        </w:rPr>
      </w:pPr>
      <w:r>
        <w:rPr>
          <w:rFonts w:hint="eastAsia" w:ascii="黑体" w:hAnsi="黑体" w:eastAsia="黑体"/>
          <w:sz w:val="28"/>
          <w:szCs w:val="28"/>
        </w:rPr>
        <w:t>一、项目基本情况</w:t>
      </w:r>
    </w:p>
    <w:p>
      <w:pPr>
        <w:keepNext w:val="0"/>
        <w:keepLines w:val="0"/>
        <w:pageBreakBefore w:val="0"/>
        <w:kinsoku/>
        <w:wordWrap/>
        <w:overflowPunct/>
        <w:topLinePunct w:val="0"/>
        <w:autoSpaceDE w:val="0"/>
        <w:autoSpaceDN/>
        <w:bidi w:val="0"/>
        <w:adjustRightInd/>
        <w:snapToGrid/>
        <w:spacing w:line="500" w:lineRule="exact"/>
        <w:ind w:firstLine="560" w:firstLineChars="200"/>
        <w:jc w:val="left"/>
        <w:textAlignment w:val="auto"/>
        <w:rPr>
          <w:rFonts w:ascii="仿宋" w:hAnsi="仿宋" w:eastAsia="仿宋"/>
          <w:sz w:val="28"/>
          <w:szCs w:val="28"/>
        </w:rPr>
      </w:pPr>
      <w:r>
        <w:rPr>
          <w:rFonts w:hint="eastAsia" w:ascii="楷体" w:hAnsi="楷体" w:eastAsia="楷体" w:cs="楷体"/>
          <w:sz w:val="28"/>
          <w:szCs w:val="28"/>
          <w:lang w:eastAsia="zh-CN"/>
        </w:rPr>
        <w:t>（一）</w:t>
      </w:r>
      <w:r>
        <w:rPr>
          <w:rFonts w:hint="eastAsia" w:ascii="楷体" w:hAnsi="楷体" w:eastAsia="楷体" w:cs="楷体"/>
          <w:sz w:val="28"/>
          <w:szCs w:val="28"/>
        </w:rPr>
        <w:t>项目名称：</w:t>
      </w:r>
      <w:r>
        <w:rPr>
          <w:rFonts w:hint="eastAsia" w:ascii="仿宋_GB2312" w:hAnsi="仿宋_GB2312" w:eastAsia="仿宋_GB2312" w:cs="仿宋_GB2312"/>
          <w:sz w:val="28"/>
          <w:szCs w:val="28"/>
        </w:rPr>
        <w:t>碧海花园周边环境提升及人行路面修缮工程</w:t>
      </w:r>
    </w:p>
    <w:p>
      <w:pPr>
        <w:keepNext w:val="0"/>
        <w:keepLines w:val="0"/>
        <w:pageBreakBefore w:val="0"/>
        <w:kinsoku/>
        <w:wordWrap/>
        <w:overflowPunct/>
        <w:topLinePunct w:val="0"/>
        <w:autoSpaceDE w:val="0"/>
        <w:autoSpaceDN/>
        <w:bidi w:val="0"/>
        <w:adjustRightInd/>
        <w:snapToGrid/>
        <w:spacing w:line="500" w:lineRule="exact"/>
        <w:ind w:firstLine="560" w:firstLineChars="200"/>
        <w:jc w:val="left"/>
        <w:textAlignment w:val="auto"/>
        <w:rPr>
          <w:rFonts w:ascii="仿宋_GB2312" w:hAnsi="仿宋_GB2312" w:eastAsia="仿宋_GB2312" w:cs="仿宋_GB2312"/>
          <w:sz w:val="28"/>
          <w:szCs w:val="28"/>
        </w:rPr>
      </w:pPr>
      <w:r>
        <w:rPr>
          <w:rFonts w:hint="eastAsia" w:ascii="楷体" w:hAnsi="楷体" w:eastAsia="楷体" w:cs="楷体"/>
          <w:sz w:val="28"/>
          <w:szCs w:val="28"/>
          <w:lang w:eastAsia="zh-CN"/>
        </w:rPr>
        <w:t>（二）投标最高限额</w:t>
      </w:r>
      <w:r>
        <w:rPr>
          <w:rFonts w:hint="eastAsia" w:ascii="楷体" w:hAnsi="楷体" w:eastAsia="楷体" w:cs="楷体"/>
          <w:sz w:val="28"/>
          <w:szCs w:val="28"/>
          <w:lang w:val="en-US" w:eastAsia="zh-CN"/>
        </w:rPr>
        <w:t>：</w:t>
      </w:r>
      <w:r>
        <w:rPr>
          <w:rFonts w:hint="eastAsia" w:ascii="仿宋_GB2312" w:hAnsi="仿宋_GB2312" w:eastAsia="仿宋_GB2312" w:cs="仿宋_GB2312"/>
          <w:sz w:val="28"/>
          <w:szCs w:val="28"/>
          <w:lang w:val="en-US" w:eastAsia="zh-CN"/>
        </w:rPr>
        <w:t>合计人民币337036.95元。</w:t>
      </w:r>
    </w:p>
    <w:p>
      <w:pPr>
        <w:keepNext w:val="0"/>
        <w:keepLines w:val="0"/>
        <w:pageBreakBefore w:val="0"/>
        <w:kinsoku/>
        <w:wordWrap/>
        <w:overflowPunct/>
        <w:topLinePunct w:val="0"/>
        <w:autoSpaceDE w:val="0"/>
        <w:autoSpaceDN/>
        <w:bidi w:val="0"/>
        <w:adjustRightInd/>
        <w:snapToGrid/>
        <w:spacing w:line="500" w:lineRule="exact"/>
        <w:ind w:firstLine="560" w:firstLineChars="200"/>
        <w:jc w:val="left"/>
        <w:textAlignment w:val="auto"/>
        <w:rPr>
          <w:rFonts w:ascii="楷体_GB2312" w:hAnsi="方正楷体_GBK" w:eastAsia="楷体_GB2312" w:cs="方正楷体_GBK"/>
          <w:sz w:val="28"/>
          <w:szCs w:val="28"/>
        </w:rPr>
      </w:pPr>
      <w:r>
        <w:rPr>
          <w:rFonts w:hint="eastAsia" w:ascii="楷体" w:hAnsi="楷体" w:eastAsia="楷体" w:cs="楷体"/>
          <w:sz w:val="28"/>
          <w:szCs w:val="28"/>
          <w:lang w:eastAsia="zh-CN"/>
        </w:rPr>
        <w:t>（三）服务内容</w:t>
      </w:r>
      <w:r>
        <w:rPr>
          <w:rFonts w:hint="eastAsia" w:ascii="楷体" w:hAnsi="楷体" w:eastAsia="楷体" w:cs="楷体"/>
          <w:sz w:val="28"/>
          <w:szCs w:val="28"/>
        </w:rPr>
        <w:t>：</w:t>
      </w:r>
    </w:p>
    <w:p>
      <w:pPr>
        <w:keepNext w:val="0"/>
        <w:keepLines w:val="0"/>
        <w:pageBreakBefore w:val="0"/>
        <w:kinsoku/>
        <w:wordWrap/>
        <w:overflowPunct/>
        <w:topLinePunct w:val="0"/>
        <w:autoSpaceDE/>
        <w:autoSpaceDN/>
        <w:bidi w:val="0"/>
        <w:adjustRightInd/>
        <w:snapToGrid/>
        <w:spacing w:beforeAutospacing="0" w:afterAutospacing="0" w:line="500" w:lineRule="exact"/>
        <w:ind w:firstLine="560" w:firstLineChars="200"/>
        <w:jc w:val="left"/>
        <w:textAlignment w:val="auto"/>
        <w:rPr>
          <w:rFonts w:hint="default" w:ascii="仿宋_GB2312" w:hAnsi="仿宋" w:eastAsia="仿宋_GB2312" w:cs="Times New Roman"/>
          <w:kern w:val="2"/>
          <w:sz w:val="28"/>
          <w:szCs w:val="28"/>
          <w:lang w:val="en-US" w:eastAsia="zh-CN" w:bidi="ar-SA"/>
        </w:rPr>
      </w:pPr>
      <w:r>
        <w:rPr>
          <w:rFonts w:hint="eastAsia" w:ascii="仿宋_GB2312" w:hAnsi="仿宋" w:eastAsia="仿宋_GB2312" w:cs="Times New Roman"/>
          <w:kern w:val="2"/>
          <w:sz w:val="28"/>
          <w:szCs w:val="28"/>
          <w:lang w:val="en-US" w:eastAsia="zh-CN" w:bidi="ar-SA"/>
        </w:rPr>
        <w:t>1.主要建设内容：拆除原有破损塌陷混凝土地面，新做混凝土地面，墙面做乳胶漆，原护栏破损重新安装原有路缘石及人行道拆除新做路缘石和人行道等。具体详见采购文件。</w:t>
      </w:r>
    </w:p>
    <w:p>
      <w:pPr>
        <w:keepNext w:val="0"/>
        <w:keepLines w:val="0"/>
        <w:pageBreakBefore w:val="0"/>
        <w:numPr>
          <w:ilvl w:val="0"/>
          <w:numId w:val="0"/>
        </w:numPr>
        <w:kinsoku/>
        <w:wordWrap/>
        <w:overflowPunct/>
        <w:topLinePunct w:val="0"/>
        <w:autoSpaceDE w:val="0"/>
        <w:autoSpaceDN/>
        <w:bidi w:val="0"/>
        <w:adjustRightInd/>
        <w:snapToGrid/>
        <w:spacing w:line="500" w:lineRule="exact"/>
        <w:ind w:firstLine="560" w:firstLineChars="200"/>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2.</w:t>
      </w:r>
      <w:r>
        <w:rPr>
          <w:rFonts w:hint="eastAsia" w:ascii="仿宋_GB2312" w:hAnsi="仿宋_GB2312" w:eastAsia="仿宋_GB2312" w:cs="仿宋_GB2312"/>
          <w:sz w:val="28"/>
          <w:szCs w:val="28"/>
          <w:lang w:eastAsia="zh-CN"/>
        </w:rPr>
        <w:t>工期要求：总工期为</w:t>
      </w:r>
      <w:r>
        <w:rPr>
          <w:rFonts w:hint="eastAsia" w:ascii="仿宋_GB2312" w:hAnsi="仿宋_GB2312" w:eastAsia="仿宋_GB2312" w:cs="仿宋_GB2312"/>
          <w:sz w:val="28"/>
          <w:szCs w:val="28"/>
          <w:lang w:val="en-US" w:eastAsia="zh-CN"/>
        </w:rPr>
        <w:t>90</w:t>
      </w:r>
      <w:r>
        <w:rPr>
          <w:rFonts w:hint="eastAsia" w:ascii="仿宋_GB2312" w:hAnsi="仿宋_GB2312" w:eastAsia="仿宋_GB2312" w:cs="仿宋_GB2312"/>
          <w:sz w:val="28"/>
          <w:szCs w:val="28"/>
          <w:lang w:eastAsia="zh-CN"/>
        </w:rPr>
        <w:t>天（日历日）以内，具体开工时间以建设方通知为准</w:t>
      </w:r>
      <w:r>
        <w:rPr>
          <w:rFonts w:hint="eastAsia" w:ascii="仿宋_GB2312" w:hAnsi="仿宋_GB2312" w:eastAsia="仿宋_GB2312" w:cs="仿宋_GB2312"/>
          <w:sz w:val="28"/>
          <w:szCs w:val="28"/>
        </w:rPr>
        <w:t>。</w:t>
      </w:r>
    </w:p>
    <w:p>
      <w:pPr>
        <w:pStyle w:val="5"/>
        <w:keepNext w:val="0"/>
        <w:keepLines w:val="0"/>
        <w:pageBreakBefore w:val="0"/>
        <w:widowControl w:val="0"/>
        <w:kinsoku/>
        <w:wordWrap/>
        <w:overflowPunct/>
        <w:topLinePunct w:val="0"/>
        <w:autoSpaceDE/>
        <w:autoSpaceDN/>
        <w:bidi w:val="0"/>
        <w:adjustRightInd/>
        <w:snapToGrid/>
        <w:spacing w:line="500" w:lineRule="exact"/>
        <w:jc w:val="left"/>
        <w:textAlignment w:val="auto"/>
        <w:rPr>
          <w:rFonts w:hint="eastAsia"/>
          <w:sz w:val="20"/>
          <w:szCs w:val="22"/>
          <w:lang w:val="en-US" w:eastAsia="zh-CN"/>
        </w:rPr>
      </w:pPr>
      <w:r>
        <w:rPr>
          <w:rFonts w:hint="eastAsia" w:ascii="楷体" w:hAnsi="楷体" w:eastAsia="楷体" w:cs="楷体"/>
          <w:color w:val="auto"/>
          <w:kern w:val="2"/>
          <w:sz w:val="28"/>
          <w:szCs w:val="36"/>
          <w:lang w:val="en-US" w:eastAsia="zh-CN" w:bidi="ar-SA"/>
        </w:rPr>
        <w:t>（四）评定方式：</w:t>
      </w:r>
      <w:r>
        <w:rPr>
          <w:rFonts w:hint="eastAsia" w:ascii="仿宋_GB2312" w:hAnsi="仿宋_GB2312" w:eastAsia="仿宋_GB2312" w:cs="仿宋_GB2312"/>
          <w:color w:val="auto"/>
          <w:sz w:val="28"/>
          <w:szCs w:val="36"/>
          <w:lang w:val="en-US" w:eastAsia="zh-CN"/>
        </w:rPr>
        <w:t>综合评分法。</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jc w:val="left"/>
        <w:textAlignment w:val="auto"/>
        <w:rPr>
          <w:rFonts w:hint="eastAsia" w:ascii="仿宋_GB2312" w:hAnsi="仿宋_GB2312" w:eastAsia="仿宋_GB2312" w:cs="仿宋_GB2312"/>
          <w:color w:val="auto"/>
          <w:kern w:val="2"/>
          <w:sz w:val="28"/>
          <w:szCs w:val="36"/>
          <w:highlight w:val="none"/>
          <w:lang w:val="en-US" w:eastAsia="zh-CN" w:bidi="ar-SA"/>
        </w:rPr>
      </w:pPr>
      <w:r>
        <w:rPr>
          <w:rFonts w:hint="eastAsia" w:ascii="楷体" w:hAnsi="楷体" w:eastAsia="楷体" w:cs="楷体"/>
          <w:color w:val="auto"/>
          <w:sz w:val="28"/>
          <w:szCs w:val="36"/>
          <w:highlight w:val="none"/>
          <w:lang w:val="en-US" w:eastAsia="zh-CN"/>
        </w:rPr>
        <w:t>（五）供应商资格审查：</w:t>
      </w:r>
      <w:r>
        <w:rPr>
          <w:rFonts w:hint="eastAsia" w:ascii="仿宋_GB2312" w:hAnsi="仿宋_GB2312" w:eastAsia="仿宋_GB2312" w:cs="仿宋_GB2312"/>
          <w:color w:val="auto"/>
          <w:kern w:val="2"/>
          <w:sz w:val="28"/>
          <w:szCs w:val="36"/>
          <w:lang w:val="en-US" w:eastAsia="zh-CN" w:bidi="ar-SA"/>
        </w:rPr>
        <w:t>采购评审小组将按照法律法规以及采购文件的要求对项目投标（响应）供应商资格审查。审查内容包括但不限于：投标（响应）供应商是否符合项目资质要求，投标报价是否超预算上限，是否存在因违法行为而被禁止参加政府采购活动情形，不同投标供应商的法定代表人、主要经营负责人、投标授权代表人、项目负责人、主要技术人员是否为同一人、属同一单位或者在同一单位缴纳社会保险，不同投标供应商是否存在直接控股、管理关系。如存在上述情形，供应商资格审查不通过，不得参与本次自行采购活动。</w:t>
      </w:r>
    </w:p>
    <w:p>
      <w:pPr>
        <w:keepNext w:val="0"/>
        <w:keepLines w:val="0"/>
        <w:pageBreakBefore w:val="0"/>
        <w:widowControl w:val="0"/>
        <w:kinsoku/>
        <w:wordWrap/>
        <w:overflowPunct/>
        <w:topLinePunct w:val="0"/>
        <w:autoSpaceDE w:val="0"/>
        <w:autoSpaceDN/>
        <w:bidi w:val="0"/>
        <w:adjustRightInd/>
        <w:snapToGrid/>
        <w:spacing w:line="500" w:lineRule="exact"/>
        <w:ind w:firstLine="560" w:firstLineChars="200"/>
        <w:jc w:val="left"/>
        <w:textAlignment w:val="auto"/>
        <w:rPr>
          <w:rFonts w:hint="eastAsia" w:ascii="黑体" w:hAnsi="黑体" w:eastAsia="黑体"/>
          <w:sz w:val="28"/>
          <w:szCs w:val="28"/>
          <w:lang w:val="en-US" w:eastAsia="zh-CN"/>
        </w:rPr>
      </w:pPr>
      <w:r>
        <w:rPr>
          <w:rFonts w:hint="eastAsia" w:ascii="黑体" w:hAnsi="黑体" w:eastAsia="黑体"/>
          <w:sz w:val="28"/>
          <w:szCs w:val="28"/>
          <w:lang w:val="en-US" w:eastAsia="zh-CN"/>
        </w:rPr>
        <w:t>二、供应商资格要求</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jc w:val="left"/>
        <w:textAlignment w:val="auto"/>
        <w:rPr>
          <w:rFonts w:hint="eastAsia" w:ascii="仿宋_GB2312" w:hAnsi="仿宋_GB2312" w:eastAsia="仿宋_GB2312" w:cs="仿宋_GB2312"/>
          <w:color w:val="auto"/>
          <w:kern w:val="2"/>
          <w:sz w:val="28"/>
          <w:szCs w:val="36"/>
          <w:lang w:val="en-US" w:eastAsia="zh-CN" w:bidi="ar-SA"/>
        </w:rPr>
      </w:pPr>
      <w:r>
        <w:rPr>
          <w:rFonts w:hint="eastAsia" w:ascii="仿宋_GB2312" w:hAnsi="仿宋_GB2312" w:eastAsia="仿宋_GB2312" w:cs="仿宋_GB2312"/>
          <w:color w:val="auto"/>
          <w:kern w:val="2"/>
          <w:sz w:val="28"/>
          <w:szCs w:val="36"/>
          <w:lang w:val="en-US" w:eastAsia="zh-CN" w:bidi="ar-SA"/>
        </w:rPr>
        <w:t>1.具有独立法人资格或具有独立承担民事责任的能力的其它组织</w:t>
      </w:r>
      <w:r>
        <w:rPr>
          <w:rFonts w:hint="eastAsia" w:ascii="仿宋_GB2312" w:hAnsi="仿宋_GB2312" w:eastAsia="仿宋_GB2312" w:cs="仿宋_GB2312"/>
          <w:color w:val="FF0000"/>
          <w:kern w:val="2"/>
          <w:sz w:val="28"/>
          <w:szCs w:val="36"/>
          <w:lang w:val="en-US" w:eastAsia="zh-CN" w:bidi="ar-SA"/>
        </w:rPr>
        <w:t>（提供营业执照或事业单位法人证等法人证明扫描件，原件备查）</w:t>
      </w:r>
      <w:r>
        <w:rPr>
          <w:rFonts w:hint="eastAsia" w:ascii="仿宋_GB2312" w:hAnsi="仿宋_GB2312" w:eastAsia="仿宋_GB2312" w:cs="仿宋_GB2312"/>
          <w:color w:val="auto"/>
          <w:kern w:val="2"/>
          <w:sz w:val="28"/>
          <w:szCs w:val="36"/>
          <w:lang w:val="en-US" w:eastAsia="zh-CN" w:bidi="ar-SA"/>
        </w:rPr>
        <w:t>。</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jc w:val="left"/>
        <w:textAlignment w:val="auto"/>
        <w:rPr>
          <w:rFonts w:hint="eastAsia" w:ascii="仿宋_GB2312" w:hAnsi="仿宋_GB2312" w:eastAsia="仿宋_GB2312" w:cs="仿宋_GB2312"/>
          <w:color w:val="auto"/>
          <w:kern w:val="2"/>
          <w:sz w:val="28"/>
          <w:szCs w:val="36"/>
          <w:lang w:val="en-US" w:eastAsia="zh-CN" w:bidi="ar-SA"/>
        </w:rPr>
      </w:pPr>
      <w:r>
        <w:rPr>
          <w:rFonts w:hint="eastAsia" w:ascii="仿宋_GB2312" w:hAnsi="仿宋_GB2312" w:eastAsia="仿宋_GB2312" w:cs="仿宋_GB2312"/>
          <w:color w:val="auto"/>
          <w:kern w:val="2"/>
          <w:sz w:val="28"/>
          <w:szCs w:val="36"/>
          <w:lang w:val="en-US" w:eastAsia="zh-CN" w:bidi="ar-SA"/>
        </w:rPr>
        <w:t>2.具有建设行政主管部门颁发的有效期内的建筑装修装饰工程专业承包</w:t>
      </w:r>
      <w:r>
        <w:rPr>
          <w:rFonts w:hint="eastAsia" w:ascii="仿宋_GB2312" w:hAnsi="仿宋_GB2312" w:eastAsia="仿宋_GB2312" w:cs="仿宋_GB2312"/>
          <w:color w:val="auto"/>
          <w:kern w:val="2"/>
          <w:sz w:val="28"/>
          <w:szCs w:val="36"/>
          <w:highlight w:val="none"/>
          <w:lang w:val="en-US" w:eastAsia="zh-CN" w:bidi="ar-SA"/>
        </w:rPr>
        <w:t>二级</w:t>
      </w:r>
      <w:r>
        <w:rPr>
          <w:rFonts w:hint="eastAsia" w:ascii="仿宋_GB2312" w:hAnsi="仿宋_GB2312" w:eastAsia="仿宋_GB2312" w:cs="仿宋_GB2312"/>
          <w:color w:val="auto"/>
          <w:kern w:val="2"/>
          <w:sz w:val="28"/>
          <w:szCs w:val="36"/>
          <w:lang w:val="en-US" w:eastAsia="zh-CN" w:bidi="ar-SA"/>
        </w:rPr>
        <w:t>‌及以上资质</w:t>
      </w:r>
      <w:r>
        <w:rPr>
          <w:rFonts w:hint="eastAsia" w:ascii="仿宋_GB2312" w:hAnsi="仿宋_GB2312" w:eastAsia="仿宋_GB2312" w:cs="仿宋_GB2312"/>
          <w:color w:val="FF0000"/>
          <w:kern w:val="2"/>
          <w:sz w:val="28"/>
          <w:szCs w:val="36"/>
          <w:lang w:val="en-US" w:eastAsia="zh-CN" w:bidi="ar-SA"/>
        </w:rPr>
        <w:t>(提供有效的资质证书扫描件加盖投标人公章，原件备查)</w:t>
      </w:r>
      <w:r>
        <w:rPr>
          <w:rFonts w:hint="eastAsia" w:ascii="仿宋_GB2312" w:hAnsi="仿宋_GB2312" w:eastAsia="仿宋_GB2312" w:cs="仿宋_GB2312"/>
          <w:color w:val="auto"/>
          <w:kern w:val="2"/>
          <w:sz w:val="28"/>
          <w:szCs w:val="36"/>
          <w:lang w:val="en-US" w:eastAsia="zh-CN" w:bidi="ar-SA"/>
        </w:rPr>
        <w:t>；</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jc w:val="left"/>
        <w:textAlignment w:val="auto"/>
        <w:rPr>
          <w:rFonts w:hint="eastAsia" w:ascii="仿宋_GB2312" w:hAnsi="仿宋_GB2312" w:eastAsia="仿宋_GB2312" w:cs="仿宋_GB2312"/>
          <w:color w:val="auto"/>
          <w:kern w:val="2"/>
          <w:sz w:val="28"/>
          <w:szCs w:val="36"/>
          <w:lang w:val="en-US" w:eastAsia="zh-CN" w:bidi="ar-SA"/>
        </w:rPr>
      </w:pPr>
      <w:r>
        <w:rPr>
          <w:rFonts w:hint="eastAsia" w:ascii="仿宋_GB2312" w:hAnsi="仿宋_GB2312" w:eastAsia="仿宋_GB2312" w:cs="仿宋_GB2312"/>
          <w:color w:val="auto"/>
          <w:kern w:val="2"/>
          <w:sz w:val="28"/>
          <w:szCs w:val="36"/>
          <w:lang w:val="en-US" w:eastAsia="zh-CN" w:bidi="ar-SA"/>
        </w:rPr>
        <w:t>3.具有建设行政主管部门颁发的有效期内的《安全生产许可证》</w:t>
      </w:r>
      <w:r>
        <w:rPr>
          <w:rFonts w:hint="eastAsia" w:ascii="仿宋_GB2312" w:hAnsi="仿宋_GB2312" w:eastAsia="仿宋_GB2312" w:cs="仿宋_GB2312"/>
          <w:color w:val="FF0000"/>
          <w:kern w:val="2"/>
          <w:sz w:val="28"/>
          <w:szCs w:val="36"/>
          <w:lang w:val="en-US" w:eastAsia="zh-CN" w:bidi="ar-SA"/>
        </w:rPr>
        <w:t>(提供有效的证书扫描件加盖投标人公章，原件备查)</w:t>
      </w:r>
      <w:r>
        <w:rPr>
          <w:rFonts w:hint="eastAsia" w:ascii="仿宋_GB2312" w:hAnsi="仿宋_GB2312" w:eastAsia="仿宋_GB2312" w:cs="仿宋_GB2312"/>
          <w:color w:val="auto"/>
          <w:kern w:val="2"/>
          <w:sz w:val="28"/>
          <w:szCs w:val="36"/>
          <w:lang w:val="en-US" w:eastAsia="zh-CN" w:bidi="ar-SA"/>
        </w:rPr>
        <w:t>；</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jc w:val="left"/>
        <w:textAlignment w:val="auto"/>
        <w:rPr>
          <w:rFonts w:hint="eastAsia" w:ascii="仿宋_GB2312" w:hAnsi="仿宋_GB2312" w:eastAsia="仿宋_GB2312" w:cs="仿宋_GB2312"/>
          <w:color w:val="auto"/>
          <w:kern w:val="2"/>
          <w:sz w:val="28"/>
          <w:szCs w:val="36"/>
          <w:lang w:val="en-US" w:eastAsia="zh-CN" w:bidi="ar-SA"/>
        </w:rPr>
      </w:pPr>
      <w:r>
        <w:rPr>
          <w:rFonts w:hint="eastAsia" w:ascii="仿宋_GB2312" w:hAnsi="仿宋_GB2312" w:eastAsia="仿宋_GB2312" w:cs="仿宋_GB2312"/>
          <w:color w:val="auto"/>
          <w:kern w:val="2"/>
          <w:sz w:val="28"/>
          <w:szCs w:val="36"/>
          <w:lang w:val="en-US" w:eastAsia="zh-CN" w:bidi="ar-SA"/>
        </w:rPr>
        <w:t>4.参与本项目投标前三年内，在经营活动中没有重大违法记录</w:t>
      </w:r>
      <w:r>
        <w:rPr>
          <w:rFonts w:hint="eastAsia" w:ascii="仿宋_GB2312" w:hAnsi="仿宋_GB2312" w:eastAsia="仿宋_GB2312" w:cs="仿宋_GB2312"/>
          <w:color w:val="FF0000"/>
          <w:kern w:val="2"/>
          <w:sz w:val="28"/>
          <w:szCs w:val="36"/>
          <w:lang w:val="en-US" w:eastAsia="zh-CN" w:bidi="ar-SA"/>
        </w:rPr>
        <w:t>（由供应商在《投标及履约承诺函》中作出声明）</w:t>
      </w:r>
      <w:r>
        <w:rPr>
          <w:rFonts w:hint="eastAsia" w:ascii="仿宋_GB2312" w:hAnsi="仿宋_GB2312" w:eastAsia="仿宋_GB2312" w:cs="仿宋_GB2312"/>
          <w:color w:val="auto"/>
          <w:kern w:val="2"/>
          <w:sz w:val="28"/>
          <w:szCs w:val="36"/>
          <w:lang w:val="en-US" w:eastAsia="zh-CN" w:bidi="ar-SA"/>
        </w:rPr>
        <w:t>。</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jc w:val="left"/>
        <w:textAlignment w:val="auto"/>
        <w:rPr>
          <w:rFonts w:hint="eastAsia" w:ascii="仿宋_GB2312" w:hAnsi="仿宋_GB2312" w:eastAsia="仿宋_GB2312" w:cs="仿宋_GB2312"/>
          <w:color w:val="auto"/>
          <w:kern w:val="2"/>
          <w:sz w:val="28"/>
          <w:szCs w:val="36"/>
          <w:lang w:val="en-US" w:eastAsia="zh-CN" w:bidi="ar-SA"/>
        </w:rPr>
      </w:pPr>
      <w:r>
        <w:rPr>
          <w:rFonts w:hint="eastAsia" w:ascii="仿宋_GB2312" w:hAnsi="仿宋_GB2312" w:eastAsia="仿宋_GB2312" w:cs="仿宋_GB2312"/>
          <w:color w:val="auto"/>
          <w:kern w:val="2"/>
          <w:sz w:val="28"/>
          <w:szCs w:val="36"/>
          <w:lang w:val="en-US" w:eastAsia="zh-CN" w:bidi="ar-SA"/>
        </w:rPr>
        <w:t>5.参与本项目采购活动时不存在被有关部门禁止参与政府采购活动且在有效期内的情况</w:t>
      </w:r>
      <w:r>
        <w:rPr>
          <w:rFonts w:hint="eastAsia" w:ascii="仿宋_GB2312" w:hAnsi="仿宋_GB2312" w:eastAsia="仿宋_GB2312" w:cs="仿宋_GB2312"/>
          <w:color w:val="FF0000"/>
          <w:kern w:val="2"/>
          <w:sz w:val="28"/>
          <w:szCs w:val="36"/>
          <w:lang w:val="en-US" w:eastAsia="zh-CN" w:bidi="ar-SA"/>
        </w:rPr>
        <w:t>（由供应商在《投标及履约承诺函》中作出声明）</w:t>
      </w:r>
      <w:r>
        <w:rPr>
          <w:rFonts w:hint="eastAsia" w:ascii="仿宋_GB2312" w:hAnsi="仿宋_GB2312" w:eastAsia="仿宋_GB2312" w:cs="仿宋_GB2312"/>
          <w:color w:val="auto"/>
          <w:kern w:val="2"/>
          <w:sz w:val="28"/>
          <w:szCs w:val="36"/>
          <w:lang w:val="en-US" w:eastAsia="zh-CN" w:bidi="ar-SA"/>
        </w:rPr>
        <w:t>。</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jc w:val="left"/>
        <w:textAlignment w:val="auto"/>
        <w:rPr>
          <w:rFonts w:hint="eastAsia" w:ascii="仿宋_GB2312" w:hAnsi="仿宋_GB2312" w:eastAsia="仿宋_GB2312" w:cs="仿宋_GB2312"/>
          <w:color w:val="auto"/>
          <w:kern w:val="2"/>
          <w:sz w:val="28"/>
          <w:szCs w:val="36"/>
          <w:lang w:val="en-US" w:eastAsia="zh-CN" w:bidi="ar-SA"/>
        </w:rPr>
      </w:pPr>
      <w:r>
        <w:rPr>
          <w:rFonts w:hint="eastAsia" w:ascii="仿宋_GB2312" w:hAnsi="仿宋_GB2312" w:eastAsia="仿宋_GB2312" w:cs="仿宋_GB2312"/>
          <w:color w:val="auto"/>
          <w:kern w:val="2"/>
          <w:sz w:val="28"/>
          <w:szCs w:val="36"/>
          <w:lang w:val="en-US" w:eastAsia="zh-CN" w:bidi="ar-SA"/>
        </w:rPr>
        <w:t>6.参与本采购项目投标的供应商未被列入失信被执行人、重大税收违法失信主体、政府采购严重违法失信行为记录名单、不存在《深圳市财政局政府采购供应商信用信息管理办法》（深财规〔2023）3号）列明的严重违法失信行为</w:t>
      </w:r>
      <w:r>
        <w:rPr>
          <w:rFonts w:hint="eastAsia" w:ascii="仿宋_GB2312" w:hAnsi="仿宋_GB2312" w:eastAsia="仿宋_GB2312" w:cs="仿宋_GB2312"/>
          <w:color w:val="FF0000"/>
          <w:kern w:val="2"/>
          <w:sz w:val="28"/>
          <w:szCs w:val="36"/>
          <w:lang w:val="en-US" w:eastAsia="zh-CN" w:bidi="ar-SA"/>
        </w:rPr>
        <w:t>（由供应商在《投标及履约承诺函》中作出声明）</w:t>
      </w:r>
      <w:r>
        <w:rPr>
          <w:rFonts w:hint="eastAsia" w:ascii="仿宋_GB2312" w:hAnsi="仿宋_GB2312" w:eastAsia="仿宋_GB2312" w:cs="仿宋_GB2312"/>
          <w:color w:val="auto"/>
          <w:kern w:val="2"/>
          <w:sz w:val="28"/>
          <w:szCs w:val="36"/>
          <w:lang w:val="en-US" w:eastAsia="zh-CN" w:bidi="ar-SA"/>
        </w:rPr>
        <w:t>。</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81" w:firstLineChars="200"/>
        <w:jc w:val="left"/>
        <w:textAlignment w:val="auto"/>
        <w:rPr>
          <w:rFonts w:hint="eastAsia" w:ascii="仿宋_GB2312" w:hAnsi="仿宋_GB2312" w:eastAsia="仿宋_GB2312" w:cs="仿宋_GB2312"/>
          <w:b/>
          <w:bCs/>
          <w:color w:val="auto"/>
          <w:kern w:val="2"/>
          <w:sz w:val="24"/>
          <w:szCs w:val="32"/>
          <w:lang w:val="en-US" w:eastAsia="zh-CN" w:bidi="ar-SA"/>
        </w:rPr>
      </w:pPr>
      <w:r>
        <w:rPr>
          <w:rFonts w:hint="eastAsia" w:ascii="仿宋_GB2312" w:hAnsi="仿宋_GB2312" w:eastAsia="仿宋_GB2312" w:cs="仿宋_GB2312"/>
          <w:b/>
          <w:bCs/>
          <w:color w:val="auto"/>
          <w:kern w:val="2"/>
          <w:sz w:val="24"/>
          <w:szCs w:val="32"/>
          <w:lang w:val="en-US" w:eastAsia="zh-CN" w:bidi="ar-SA"/>
        </w:rPr>
        <w:t>注：“信用中国”、“中国政府采购网”以及“深圳市政府采购监管网”为供应商信用信息的查询渠道，相关信息以开标当日的查询结果为准。</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jc w:val="left"/>
        <w:textAlignment w:val="auto"/>
        <w:rPr>
          <w:rFonts w:hint="eastAsia" w:ascii="仿宋_GB2312" w:hAnsi="仿宋_GB2312" w:eastAsia="仿宋_GB2312" w:cs="仿宋_GB2312"/>
          <w:color w:val="auto"/>
          <w:kern w:val="2"/>
          <w:sz w:val="28"/>
          <w:szCs w:val="36"/>
          <w:lang w:val="en-US" w:eastAsia="zh-CN" w:bidi="ar-SA"/>
        </w:rPr>
      </w:pPr>
      <w:r>
        <w:rPr>
          <w:rFonts w:hint="eastAsia" w:ascii="仿宋_GB2312" w:hAnsi="仿宋_GB2312" w:eastAsia="仿宋_GB2312" w:cs="仿宋_GB2312"/>
          <w:color w:val="auto"/>
          <w:kern w:val="2"/>
          <w:sz w:val="28"/>
          <w:szCs w:val="36"/>
          <w:lang w:val="en-US" w:eastAsia="zh-CN" w:bidi="ar-SA"/>
        </w:rPr>
        <w:t>7.单位负责人为同一人或者存在直接控股、管理关系的不同供应商，不得参加同一合同项下的政府采购活动；为采购项目提供整体设计、规范编制或者项目管理、监理、检测等服务的供应商，不得再参加该采购项目的其他采购活动</w:t>
      </w:r>
      <w:r>
        <w:rPr>
          <w:rFonts w:hint="eastAsia" w:ascii="仿宋_GB2312" w:hAnsi="仿宋_GB2312" w:eastAsia="仿宋_GB2312" w:cs="仿宋_GB2312"/>
          <w:color w:val="FF0000"/>
          <w:kern w:val="2"/>
          <w:sz w:val="28"/>
          <w:szCs w:val="36"/>
          <w:lang w:val="en-US" w:eastAsia="zh-CN" w:bidi="ar-SA"/>
        </w:rPr>
        <w:t>（由供应商在《投标及履约承诺函》中作出声明并填写附表《供应商基本情况表》）</w:t>
      </w:r>
      <w:r>
        <w:rPr>
          <w:rFonts w:hint="eastAsia" w:ascii="仿宋_GB2312" w:hAnsi="仿宋_GB2312" w:eastAsia="仿宋_GB2312" w:cs="仿宋_GB2312"/>
          <w:color w:val="auto"/>
          <w:kern w:val="2"/>
          <w:sz w:val="28"/>
          <w:szCs w:val="36"/>
          <w:lang w:val="en-US" w:eastAsia="zh-CN" w:bidi="ar-SA"/>
        </w:rPr>
        <w:t>。</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jc w:val="left"/>
        <w:textAlignment w:val="auto"/>
        <w:rPr>
          <w:rFonts w:hint="eastAsia" w:ascii="仿宋_GB2312" w:hAnsi="仿宋_GB2312" w:eastAsia="仿宋_GB2312" w:cs="仿宋_GB2312"/>
          <w:color w:val="auto"/>
          <w:kern w:val="2"/>
          <w:sz w:val="28"/>
          <w:szCs w:val="36"/>
          <w:lang w:val="en-US" w:eastAsia="zh-CN" w:bidi="ar-SA"/>
        </w:rPr>
      </w:pPr>
      <w:r>
        <w:rPr>
          <w:rFonts w:hint="eastAsia" w:ascii="仿宋_GB2312" w:hAnsi="仿宋_GB2312" w:eastAsia="仿宋_GB2312" w:cs="仿宋_GB2312"/>
          <w:color w:val="auto"/>
          <w:kern w:val="2"/>
          <w:sz w:val="28"/>
          <w:szCs w:val="36"/>
          <w:lang w:val="en-US" w:eastAsia="zh-CN" w:bidi="ar-SA"/>
        </w:rPr>
        <w:t>8.本项目不接受联合体投标。</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jc w:val="left"/>
        <w:textAlignment w:val="auto"/>
        <w:rPr>
          <w:rFonts w:ascii="黑体" w:hAnsi="黑体" w:eastAsia="黑体"/>
          <w:sz w:val="28"/>
          <w:szCs w:val="28"/>
        </w:rPr>
      </w:pPr>
      <w:r>
        <w:rPr>
          <w:rFonts w:hint="eastAsia" w:ascii="黑体" w:hAnsi="黑体" w:eastAsia="黑体"/>
          <w:sz w:val="28"/>
          <w:szCs w:val="28"/>
          <w:lang w:eastAsia="zh-CN"/>
        </w:rPr>
        <w:t>三</w:t>
      </w:r>
      <w:r>
        <w:rPr>
          <w:rFonts w:hint="eastAsia" w:ascii="黑体" w:hAnsi="黑体" w:eastAsia="黑体"/>
          <w:sz w:val="28"/>
          <w:szCs w:val="28"/>
        </w:rPr>
        <w:t>、投标与开标注意事项</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jc w:val="left"/>
        <w:textAlignment w:val="auto"/>
        <w:rPr>
          <w:rFonts w:hint="eastAsia" w:ascii="仿宋_GB2312" w:hAnsi="仿宋_GB2312" w:eastAsia="仿宋_GB2312" w:cs="仿宋_GB2312"/>
          <w:b w:val="0"/>
          <w:color w:val="auto"/>
          <w:sz w:val="28"/>
          <w:szCs w:val="28"/>
          <w:lang w:eastAsia="zh-CN"/>
        </w:rPr>
      </w:pPr>
      <w:r>
        <w:rPr>
          <w:rFonts w:hint="eastAsia" w:ascii="楷体" w:hAnsi="楷体" w:eastAsia="楷体" w:cs="楷体"/>
          <w:sz w:val="28"/>
          <w:szCs w:val="28"/>
          <w:lang w:eastAsia="zh-CN"/>
        </w:rPr>
        <w:t>（一）采购文件获取方式</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jc w:val="left"/>
        <w:textAlignment w:val="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供应商可于2026年6月22日起至2026年6月25日18时</w:t>
      </w:r>
      <w:r>
        <w:rPr>
          <w:rFonts w:hint="eastAsia" w:ascii="仿宋_GB2312" w:hAnsi="仿宋_GB2312" w:eastAsia="仿宋_GB2312" w:cs="仿宋_GB2312"/>
          <w:sz w:val="28"/>
          <w:szCs w:val="28"/>
        </w:rPr>
        <w:t>整（北京时间）</w:t>
      </w:r>
      <w:r>
        <w:rPr>
          <w:rFonts w:hint="eastAsia" w:ascii="仿宋_GB2312" w:hAnsi="仿宋_GB2312" w:eastAsia="仿宋_GB2312" w:cs="仿宋_GB2312"/>
          <w:sz w:val="28"/>
          <w:szCs w:val="28"/>
          <w:lang w:val="en-US" w:eastAsia="zh-CN"/>
        </w:rPr>
        <w:t>期间，登录深圳盐田政府在线网站（http://www.yantian.gov.cn/）免费下载采购文件。</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jc w:val="left"/>
        <w:textAlignment w:val="auto"/>
        <w:rPr>
          <w:rFonts w:hint="eastAsia" w:ascii="楷体" w:hAnsi="楷体" w:eastAsia="楷体" w:cs="楷体"/>
          <w:sz w:val="28"/>
          <w:szCs w:val="28"/>
          <w:lang w:eastAsia="zh-CN"/>
        </w:rPr>
      </w:pPr>
      <w:r>
        <w:rPr>
          <w:rFonts w:hint="eastAsia" w:ascii="楷体" w:hAnsi="楷体" w:eastAsia="楷体" w:cs="楷体"/>
          <w:sz w:val="28"/>
          <w:szCs w:val="28"/>
          <w:lang w:val="en-US" w:eastAsia="zh-CN"/>
        </w:rPr>
        <w:t>（二）</w:t>
      </w:r>
      <w:r>
        <w:rPr>
          <w:rFonts w:hint="eastAsia" w:ascii="楷体" w:hAnsi="楷体" w:eastAsia="楷体" w:cs="楷体"/>
          <w:sz w:val="28"/>
          <w:szCs w:val="28"/>
          <w:lang w:eastAsia="zh-CN"/>
        </w:rPr>
        <w:t>现场踏勘</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jc w:val="left"/>
        <w:textAlignment w:val="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本项目不安排现场踏勘。</w:t>
      </w:r>
    </w:p>
    <w:p>
      <w:pPr>
        <w:keepNext w:val="0"/>
        <w:keepLines w:val="0"/>
        <w:pageBreakBefore w:val="0"/>
        <w:kinsoku/>
        <w:wordWrap/>
        <w:overflowPunct/>
        <w:topLinePunct w:val="0"/>
        <w:autoSpaceDE w:val="0"/>
        <w:autoSpaceDN/>
        <w:bidi w:val="0"/>
        <w:adjustRightInd/>
        <w:snapToGrid/>
        <w:spacing w:line="500" w:lineRule="exact"/>
        <w:ind w:firstLine="560" w:firstLineChars="200"/>
        <w:jc w:val="left"/>
        <w:textAlignment w:val="auto"/>
        <w:rPr>
          <w:rFonts w:hint="eastAsia" w:ascii="仿宋_GB2312" w:hAnsi="仿宋_GB2312" w:eastAsia="仿宋_GB2312" w:cs="仿宋_GB2312"/>
          <w:sz w:val="28"/>
          <w:szCs w:val="28"/>
          <w:lang w:val="en-US" w:eastAsia="zh-CN"/>
        </w:rPr>
      </w:pPr>
      <w:r>
        <w:rPr>
          <w:rFonts w:hint="eastAsia" w:ascii="楷体" w:hAnsi="楷体" w:eastAsia="楷体" w:cs="楷体"/>
          <w:sz w:val="28"/>
          <w:szCs w:val="28"/>
          <w:lang w:val="en-US" w:eastAsia="zh-CN"/>
        </w:rPr>
        <w:t>（三）投标截止时间、开标时间和地点</w:t>
      </w:r>
    </w:p>
    <w:p>
      <w:pPr>
        <w:keepNext w:val="0"/>
        <w:keepLines w:val="0"/>
        <w:pageBreakBefore w:val="0"/>
        <w:widowControl/>
        <w:kinsoku/>
        <w:wordWrap/>
        <w:overflowPunct/>
        <w:topLinePunct w:val="0"/>
        <w:autoSpaceDE w:val="0"/>
        <w:autoSpaceDN/>
        <w:bidi w:val="0"/>
        <w:adjustRightInd/>
        <w:snapToGrid/>
        <w:spacing w:line="500" w:lineRule="exact"/>
        <w:ind w:firstLine="560" w:firstLineChars="200"/>
        <w:jc w:val="left"/>
        <w:textAlignment w:val="auto"/>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rPr>
        <w:t>1.提交</w:t>
      </w:r>
      <w:r>
        <w:rPr>
          <w:rFonts w:hint="eastAsia" w:ascii="仿宋_GB2312" w:hAnsi="仿宋_GB2312" w:eastAsia="仿宋_GB2312" w:cs="仿宋_GB2312"/>
          <w:sz w:val="28"/>
          <w:szCs w:val="28"/>
          <w:lang w:eastAsia="zh-CN"/>
        </w:rPr>
        <w:t>投标</w:t>
      </w:r>
      <w:r>
        <w:rPr>
          <w:rFonts w:hint="eastAsia" w:ascii="仿宋_GB2312" w:hAnsi="仿宋_GB2312" w:eastAsia="仿宋_GB2312" w:cs="仿宋_GB2312"/>
          <w:sz w:val="28"/>
          <w:szCs w:val="28"/>
        </w:rPr>
        <w:t>文件截止时间：202</w:t>
      </w:r>
      <w:r>
        <w:rPr>
          <w:rFonts w:hint="eastAsia" w:ascii="仿宋_GB2312" w:hAnsi="仿宋_GB2312" w:eastAsia="仿宋_GB2312" w:cs="仿宋_GB2312"/>
          <w:sz w:val="28"/>
          <w:szCs w:val="28"/>
          <w:lang w:val="en-US" w:eastAsia="zh-CN"/>
        </w:rPr>
        <w:t>6</w:t>
      </w:r>
      <w:r>
        <w:rPr>
          <w:rFonts w:hint="eastAsia" w:ascii="仿宋_GB2312" w:hAnsi="仿宋_GB2312" w:eastAsia="仿宋_GB2312" w:cs="仿宋_GB2312"/>
          <w:sz w:val="28"/>
          <w:szCs w:val="28"/>
        </w:rPr>
        <w:t>年</w:t>
      </w:r>
      <w:r>
        <w:rPr>
          <w:rFonts w:hint="eastAsia" w:ascii="仿宋_GB2312" w:hAnsi="仿宋_GB2312" w:eastAsia="仿宋_GB2312" w:cs="仿宋_GB2312"/>
          <w:sz w:val="28"/>
          <w:szCs w:val="28"/>
          <w:lang w:val="en-US" w:eastAsia="zh-CN"/>
        </w:rPr>
        <w:t>6</w:t>
      </w:r>
      <w:r>
        <w:rPr>
          <w:rFonts w:hint="eastAsia" w:ascii="仿宋_GB2312" w:hAnsi="仿宋_GB2312" w:eastAsia="仿宋_GB2312" w:cs="仿宋_GB2312"/>
          <w:sz w:val="28"/>
          <w:szCs w:val="28"/>
        </w:rPr>
        <w:t>月</w:t>
      </w:r>
      <w:r>
        <w:rPr>
          <w:rFonts w:hint="eastAsia" w:ascii="仿宋_GB2312" w:hAnsi="仿宋_GB2312" w:eastAsia="仿宋_GB2312" w:cs="仿宋_GB2312"/>
          <w:sz w:val="28"/>
          <w:szCs w:val="28"/>
          <w:lang w:val="en-US" w:eastAsia="zh-CN"/>
        </w:rPr>
        <w:t>25</w:t>
      </w:r>
      <w:r>
        <w:rPr>
          <w:rFonts w:hint="eastAsia" w:ascii="仿宋_GB2312" w:hAnsi="仿宋_GB2312" w:eastAsia="仿宋_GB2312" w:cs="仿宋_GB2312"/>
          <w:sz w:val="28"/>
          <w:szCs w:val="28"/>
        </w:rPr>
        <w:t>日18点整（北京时间）</w:t>
      </w:r>
      <w:r>
        <w:rPr>
          <w:rFonts w:hint="eastAsia" w:ascii="仿宋_GB2312" w:hAnsi="仿宋_GB2312" w:eastAsia="仿宋_GB2312" w:cs="仿宋_GB2312"/>
          <w:sz w:val="28"/>
          <w:szCs w:val="28"/>
          <w:lang w:eastAsia="zh-CN"/>
        </w:rPr>
        <w:t>。</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w:t>
      </w:r>
      <w:r>
        <w:rPr>
          <w:rFonts w:hint="eastAsia" w:ascii="仿宋_GB2312" w:hAnsi="仿宋_GB2312" w:eastAsia="仿宋_GB2312" w:cs="仿宋_GB2312"/>
          <w:sz w:val="28"/>
          <w:szCs w:val="28"/>
          <w:lang w:eastAsia="zh-CN"/>
        </w:rPr>
        <w:t>投标</w:t>
      </w:r>
      <w:r>
        <w:rPr>
          <w:rFonts w:hint="eastAsia" w:ascii="仿宋_GB2312" w:hAnsi="仿宋_GB2312" w:eastAsia="仿宋_GB2312" w:cs="仿宋_GB2312"/>
          <w:sz w:val="28"/>
          <w:szCs w:val="28"/>
        </w:rPr>
        <w:t>文件提交方式：</w:t>
      </w:r>
      <w:r>
        <w:rPr>
          <w:rFonts w:hint="eastAsia" w:ascii="仿宋_GB2312" w:hAnsi="仿宋_GB2312" w:eastAsia="仿宋_GB2312" w:cs="仿宋_GB2312"/>
          <w:sz w:val="28"/>
          <w:szCs w:val="28"/>
          <w:lang w:eastAsia="zh-CN"/>
        </w:rPr>
        <w:t>投标</w:t>
      </w:r>
      <w:r>
        <w:rPr>
          <w:rFonts w:hint="eastAsia" w:ascii="仿宋_GB2312" w:hAnsi="仿宋_GB2312" w:eastAsia="仿宋_GB2312" w:cs="仿宋_GB2312"/>
          <w:sz w:val="28"/>
          <w:szCs w:val="28"/>
        </w:rPr>
        <w:t>文件一律密封并移交采购联系人，未作密封的视为无效标。</w:t>
      </w:r>
      <w:r>
        <w:rPr>
          <w:rFonts w:hint="eastAsia" w:ascii="仿宋_GB2312" w:hAnsi="仿宋_GB2312" w:eastAsia="仿宋_GB2312" w:cs="仿宋_GB2312"/>
          <w:sz w:val="28"/>
          <w:szCs w:val="28"/>
          <w:lang w:val="en-US" w:eastAsia="zh-CN"/>
        </w:rPr>
        <w:t>投标文件应于投标截止时间之前递交，逾期递交的投标文件恕不接受。</w:t>
      </w:r>
    </w:p>
    <w:p>
      <w:pPr>
        <w:keepNext w:val="0"/>
        <w:keepLines w:val="0"/>
        <w:pageBreakBefore w:val="0"/>
        <w:widowControl/>
        <w:kinsoku/>
        <w:wordWrap/>
        <w:overflowPunct/>
        <w:topLinePunct w:val="0"/>
        <w:autoSpaceDE w:val="0"/>
        <w:autoSpaceDN/>
        <w:bidi w:val="0"/>
        <w:adjustRightInd/>
        <w:snapToGrid/>
        <w:spacing w:line="500" w:lineRule="exact"/>
        <w:ind w:firstLine="560" w:firstLineChars="200"/>
        <w:jc w:val="left"/>
        <w:textAlignment w:val="auto"/>
        <w:rPr>
          <w:rFonts w:ascii="仿宋" w:hAnsi="仿宋" w:eastAsia="仿宋"/>
          <w:sz w:val="28"/>
          <w:szCs w:val="28"/>
        </w:rPr>
      </w:pPr>
      <w:r>
        <w:rPr>
          <w:rFonts w:hint="eastAsia" w:ascii="仿宋_GB2312" w:hAnsi="仿宋_GB2312" w:eastAsia="仿宋_GB2312" w:cs="仿宋_GB2312"/>
          <w:sz w:val="28"/>
          <w:szCs w:val="28"/>
        </w:rPr>
        <w:t>3.采购评审时间和地点：定于202</w:t>
      </w:r>
      <w:r>
        <w:rPr>
          <w:rFonts w:hint="eastAsia" w:ascii="仿宋_GB2312" w:hAnsi="仿宋_GB2312" w:eastAsia="仿宋_GB2312" w:cs="仿宋_GB2312"/>
          <w:sz w:val="28"/>
          <w:szCs w:val="28"/>
          <w:lang w:val="en-US" w:eastAsia="zh-CN"/>
        </w:rPr>
        <w:t>6</w:t>
      </w:r>
      <w:r>
        <w:rPr>
          <w:rFonts w:hint="eastAsia" w:ascii="仿宋_GB2312" w:hAnsi="仿宋_GB2312" w:eastAsia="仿宋_GB2312" w:cs="仿宋_GB2312"/>
          <w:sz w:val="28"/>
          <w:szCs w:val="28"/>
        </w:rPr>
        <w:t>年</w:t>
      </w:r>
      <w:r>
        <w:rPr>
          <w:rFonts w:hint="eastAsia" w:ascii="仿宋_GB2312" w:hAnsi="仿宋_GB2312" w:eastAsia="仿宋_GB2312" w:cs="仿宋_GB2312"/>
          <w:sz w:val="28"/>
          <w:szCs w:val="28"/>
          <w:lang w:val="en-US" w:eastAsia="zh-CN"/>
        </w:rPr>
        <w:t>6</w:t>
      </w:r>
      <w:r>
        <w:rPr>
          <w:rFonts w:hint="eastAsia" w:ascii="仿宋_GB2312" w:hAnsi="仿宋_GB2312" w:eastAsia="仿宋_GB2312" w:cs="仿宋_GB2312"/>
          <w:sz w:val="28"/>
          <w:szCs w:val="28"/>
        </w:rPr>
        <w:t>月</w:t>
      </w:r>
      <w:r>
        <w:rPr>
          <w:rFonts w:hint="eastAsia" w:ascii="仿宋_GB2312" w:hAnsi="仿宋_GB2312" w:eastAsia="仿宋_GB2312" w:cs="仿宋_GB2312"/>
          <w:sz w:val="28"/>
          <w:szCs w:val="28"/>
          <w:lang w:val="en-US" w:eastAsia="zh-CN"/>
        </w:rPr>
        <w:t>26</w:t>
      </w:r>
      <w:r>
        <w:rPr>
          <w:rFonts w:hint="eastAsia" w:ascii="仿宋_GB2312" w:hAnsi="仿宋_GB2312" w:eastAsia="仿宋_GB2312" w:cs="仿宋_GB2312"/>
          <w:sz w:val="28"/>
          <w:szCs w:val="28"/>
        </w:rPr>
        <w:t>日10点30分（北京时间）在</w:t>
      </w:r>
      <w:r>
        <w:rPr>
          <w:rFonts w:hint="eastAsia" w:ascii="仿宋_GB2312" w:hAnsi="仿宋_GB2312" w:eastAsia="仿宋_GB2312" w:cs="仿宋_GB2312"/>
          <w:sz w:val="28"/>
          <w:szCs w:val="28"/>
          <w:lang w:val="en-US" w:eastAsia="zh-CN"/>
        </w:rPr>
        <w:t>中英街社区党群服务中心3楼</w:t>
      </w:r>
      <w:r>
        <w:rPr>
          <w:rFonts w:hint="eastAsia" w:ascii="仿宋_GB2312" w:hAnsi="仿宋_GB2312" w:eastAsia="仿宋_GB2312" w:cs="仿宋_GB2312"/>
          <w:sz w:val="28"/>
          <w:szCs w:val="28"/>
        </w:rPr>
        <w:t>会议室进行项目评审。</w:t>
      </w:r>
    </w:p>
    <w:p>
      <w:pPr>
        <w:keepNext w:val="0"/>
        <w:keepLines w:val="0"/>
        <w:pageBreakBefore w:val="0"/>
        <w:kinsoku/>
        <w:wordWrap/>
        <w:overflowPunct/>
        <w:topLinePunct w:val="0"/>
        <w:autoSpaceDE w:val="0"/>
        <w:autoSpaceDN/>
        <w:bidi w:val="0"/>
        <w:adjustRightInd/>
        <w:snapToGrid/>
        <w:spacing w:line="500" w:lineRule="exact"/>
        <w:ind w:firstLine="560" w:firstLineChars="200"/>
        <w:jc w:val="left"/>
        <w:textAlignment w:val="auto"/>
        <w:rPr>
          <w:rFonts w:ascii="黑体" w:hAnsi="黑体" w:eastAsia="黑体"/>
          <w:sz w:val="28"/>
          <w:szCs w:val="28"/>
        </w:rPr>
      </w:pPr>
      <w:r>
        <w:rPr>
          <w:rFonts w:hint="eastAsia" w:ascii="黑体" w:hAnsi="黑体" w:eastAsia="黑体"/>
          <w:sz w:val="28"/>
          <w:szCs w:val="28"/>
          <w:lang w:eastAsia="zh-CN"/>
        </w:rPr>
        <w:t>四</w:t>
      </w:r>
      <w:r>
        <w:rPr>
          <w:rFonts w:hint="eastAsia" w:ascii="黑体" w:hAnsi="黑体" w:eastAsia="黑体"/>
          <w:sz w:val="28"/>
          <w:szCs w:val="28"/>
        </w:rPr>
        <w:t>、公告期限</w:t>
      </w:r>
    </w:p>
    <w:p>
      <w:pPr>
        <w:keepNext w:val="0"/>
        <w:keepLines w:val="0"/>
        <w:pageBreakBefore w:val="0"/>
        <w:kinsoku/>
        <w:wordWrap/>
        <w:overflowPunct/>
        <w:topLinePunct w:val="0"/>
        <w:autoSpaceDE w:val="0"/>
        <w:autoSpaceDN/>
        <w:bidi w:val="0"/>
        <w:adjustRightInd/>
        <w:snapToGrid/>
        <w:spacing w:line="500" w:lineRule="exact"/>
        <w:ind w:firstLine="560" w:firstLineChars="200"/>
        <w:jc w:val="left"/>
        <w:textAlignment w:val="auto"/>
        <w:rPr>
          <w:rFonts w:ascii="仿宋_GB2312" w:hAnsi="仿宋_GB2312" w:eastAsia="仿宋_GB2312" w:cs="仿宋_GB2312"/>
          <w:sz w:val="28"/>
          <w:szCs w:val="28"/>
        </w:rPr>
      </w:pPr>
      <w:r>
        <w:rPr>
          <w:rFonts w:hint="eastAsia" w:ascii="仿宋_GB2312" w:hAnsi="仿宋_GB2312" w:eastAsia="仿宋_GB2312" w:cs="仿宋_GB2312"/>
          <w:sz w:val="28"/>
          <w:szCs w:val="28"/>
        </w:rPr>
        <w:t>自本公告发布之日起</w:t>
      </w:r>
      <w:r>
        <w:rPr>
          <w:rFonts w:hint="eastAsia" w:ascii="仿宋_GB2312" w:hAnsi="仿宋_GB2312" w:eastAsia="仿宋_GB2312" w:cs="仿宋_GB2312"/>
          <w:sz w:val="28"/>
          <w:szCs w:val="28"/>
          <w:lang w:val="en-US" w:eastAsia="zh-CN"/>
        </w:rPr>
        <w:t>3</w:t>
      </w:r>
      <w:r>
        <w:rPr>
          <w:rFonts w:hint="eastAsia" w:ascii="仿宋_GB2312" w:hAnsi="仿宋_GB2312" w:eastAsia="仿宋_GB2312" w:cs="仿宋_GB2312"/>
          <w:sz w:val="28"/>
          <w:szCs w:val="28"/>
        </w:rPr>
        <w:t>个工作日。</w:t>
      </w:r>
    </w:p>
    <w:p>
      <w:pPr>
        <w:keepNext w:val="0"/>
        <w:keepLines w:val="0"/>
        <w:pageBreakBefore w:val="0"/>
        <w:kinsoku/>
        <w:wordWrap/>
        <w:overflowPunct/>
        <w:topLinePunct w:val="0"/>
        <w:autoSpaceDE w:val="0"/>
        <w:autoSpaceDN/>
        <w:bidi w:val="0"/>
        <w:adjustRightInd/>
        <w:snapToGrid/>
        <w:spacing w:line="500" w:lineRule="exact"/>
        <w:ind w:firstLine="560" w:firstLineChars="200"/>
        <w:jc w:val="left"/>
        <w:textAlignment w:val="auto"/>
        <w:rPr>
          <w:rFonts w:ascii="黑体" w:hAnsi="黑体" w:eastAsia="黑体"/>
          <w:sz w:val="28"/>
          <w:szCs w:val="28"/>
        </w:rPr>
      </w:pPr>
      <w:r>
        <w:rPr>
          <w:rFonts w:hint="eastAsia" w:ascii="黑体" w:hAnsi="黑体" w:eastAsia="黑体"/>
          <w:sz w:val="28"/>
          <w:szCs w:val="28"/>
          <w:lang w:eastAsia="zh-CN"/>
        </w:rPr>
        <w:t>五</w:t>
      </w:r>
      <w:r>
        <w:rPr>
          <w:rFonts w:hint="eastAsia" w:ascii="黑体" w:hAnsi="黑体" w:eastAsia="黑体"/>
          <w:sz w:val="28"/>
          <w:szCs w:val="28"/>
        </w:rPr>
        <w:t>、本单位负责对项目的询问、质疑和投诉进行处理。</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jc w:val="left"/>
        <w:textAlignment w:val="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供应商认为采购文件的内容损害其权益的，应在采购文件公布之日起3个工作日内以书面形式向我局提出，逾期不予受理。</w:t>
      </w:r>
    </w:p>
    <w:p>
      <w:pPr>
        <w:keepNext w:val="0"/>
        <w:keepLines w:val="0"/>
        <w:pageBreakBefore w:val="0"/>
        <w:widowControl/>
        <w:kinsoku/>
        <w:wordWrap/>
        <w:overflowPunct/>
        <w:topLinePunct w:val="0"/>
        <w:autoSpaceDE w:val="0"/>
        <w:autoSpaceDN/>
        <w:bidi w:val="0"/>
        <w:adjustRightInd/>
        <w:snapToGrid/>
        <w:spacing w:line="500" w:lineRule="exact"/>
        <w:ind w:firstLine="560" w:firstLineChars="200"/>
        <w:jc w:val="left"/>
        <w:textAlignment w:val="auto"/>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rPr>
        <w:t>联</w:t>
      </w:r>
      <w:r>
        <w:rPr>
          <w:rFonts w:hint="eastAsia" w:ascii="仿宋_GB2312" w:hAnsi="仿宋_GB2312" w:eastAsia="仿宋_GB2312" w:cs="仿宋_GB2312"/>
          <w:sz w:val="28"/>
          <w:szCs w:val="28"/>
          <w:lang w:val="en-US" w:eastAsia="zh-CN"/>
        </w:rPr>
        <w:t xml:space="preserve"> </w:t>
      </w:r>
      <w:r>
        <w:rPr>
          <w:rFonts w:hint="eastAsia" w:ascii="仿宋_GB2312" w:hAnsi="仿宋_GB2312" w:eastAsia="仿宋_GB2312" w:cs="仿宋_GB2312"/>
          <w:sz w:val="28"/>
          <w:szCs w:val="28"/>
        </w:rPr>
        <w:t>系</w:t>
      </w:r>
      <w:r>
        <w:rPr>
          <w:rFonts w:hint="eastAsia" w:ascii="仿宋_GB2312" w:hAnsi="仿宋_GB2312" w:eastAsia="仿宋_GB2312" w:cs="仿宋_GB2312"/>
          <w:sz w:val="28"/>
          <w:szCs w:val="28"/>
          <w:lang w:val="en-US" w:eastAsia="zh-CN"/>
        </w:rPr>
        <w:t xml:space="preserve"> </w:t>
      </w:r>
      <w:r>
        <w:rPr>
          <w:rFonts w:hint="eastAsia" w:ascii="仿宋_GB2312" w:hAnsi="仿宋_GB2312" w:eastAsia="仿宋_GB2312" w:cs="仿宋_GB2312"/>
          <w:sz w:val="28"/>
          <w:szCs w:val="28"/>
        </w:rPr>
        <w:t>人：</w:t>
      </w:r>
      <w:r>
        <w:rPr>
          <w:rFonts w:hint="eastAsia" w:ascii="仿宋_GB2312" w:hAnsi="仿宋_GB2312" w:eastAsia="仿宋_GB2312" w:cs="仿宋_GB2312"/>
          <w:sz w:val="28"/>
          <w:szCs w:val="28"/>
          <w:lang w:val="en-US" w:eastAsia="zh-CN"/>
        </w:rPr>
        <w:t>陈良玉</w:t>
      </w:r>
    </w:p>
    <w:p>
      <w:pPr>
        <w:keepNext w:val="0"/>
        <w:keepLines w:val="0"/>
        <w:pageBreakBefore w:val="0"/>
        <w:widowControl/>
        <w:kinsoku/>
        <w:wordWrap/>
        <w:overflowPunct/>
        <w:topLinePunct w:val="0"/>
        <w:autoSpaceDE w:val="0"/>
        <w:autoSpaceDN/>
        <w:bidi w:val="0"/>
        <w:adjustRightInd/>
        <w:snapToGrid/>
        <w:spacing w:line="500" w:lineRule="exact"/>
        <w:ind w:firstLine="560" w:firstLineChars="200"/>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联系方式：0755-25551748</w:t>
      </w:r>
    </w:p>
    <w:p>
      <w:pPr>
        <w:keepNext w:val="0"/>
        <w:keepLines w:val="0"/>
        <w:pageBreakBefore w:val="0"/>
        <w:widowControl/>
        <w:kinsoku/>
        <w:wordWrap/>
        <w:overflowPunct/>
        <w:topLinePunct w:val="0"/>
        <w:autoSpaceDE w:val="0"/>
        <w:autoSpaceDN/>
        <w:bidi w:val="0"/>
        <w:adjustRightInd/>
        <w:snapToGrid/>
        <w:spacing w:line="500" w:lineRule="exact"/>
        <w:ind w:firstLine="560" w:firstLineChars="200"/>
        <w:jc w:val="left"/>
        <w:textAlignment w:val="auto"/>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rPr>
        <w:t xml:space="preserve">地 </w:t>
      </w:r>
      <w:r>
        <w:rPr>
          <w:rFonts w:hint="eastAsia" w:ascii="仿宋_GB2312" w:hAnsi="仿宋_GB2312" w:eastAsia="仿宋_GB2312" w:cs="仿宋_GB2312"/>
          <w:sz w:val="28"/>
          <w:szCs w:val="28"/>
          <w:lang w:val="en-US" w:eastAsia="zh-CN"/>
        </w:rPr>
        <w:t xml:space="preserve">   </w:t>
      </w:r>
      <w:r>
        <w:rPr>
          <w:rFonts w:hint="eastAsia" w:ascii="仿宋_GB2312" w:hAnsi="仿宋_GB2312" w:eastAsia="仿宋_GB2312" w:cs="仿宋_GB2312"/>
          <w:sz w:val="28"/>
          <w:szCs w:val="28"/>
        </w:rPr>
        <w:t>址：中英街</w:t>
      </w:r>
      <w:r>
        <w:rPr>
          <w:rFonts w:hint="eastAsia" w:ascii="仿宋_GB2312" w:hAnsi="仿宋_GB2312" w:eastAsia="仿宋_GB2312" w:cs="仿宋_GB2312"/>
          <w:sz w:val="28"/>
          <w:szCs w:val="28"/>
          <w:lang w:val="en-US" w:eastAsia="zh-CN"/>
        </w:rPr>
        <w:t>环城路12</w:t>
      </w:r>
      <w:r>
        <w:rPr>
          <w:rFonts w:hint="eastAsia" w:ascii="仿宋_GB2312" w:hAnsi="仿宋_GB2312" w:eastAsia="仿宋_GB2312" w:cs="仿宋_GB2312"/>
          <w:sz w:val="28"/>
          <w:szCs w:val="28"/>
        </w:rPr>
        <w:t>号社区党群服务中心3楼</w:t>
      </w:r>
    </w:p>
    <w:p>
      <w:pPr>
        <w:keepNext w:val="0"/>
        <w:keepLines w:val="0"/>
        <w:pageBreakBefore w:val="0"/>
        <w:kinsoku/>
        <w:wordWrap/>
        <w:overflowPunct/>
        <w:topLinePunct w:val="0"/>
        <w:autoSpaceDE w:val="0"/>
        <w:autoSpaceDN/>
        <w:bidi w:val="0"/>
        <w:adjustRightInd/>
        <w:snapToGrid/>
        <w:spacing w:line="500" w:lineRule="exact"/>
        <w:ind w:firstLine="560" w:firstLineChars="200"/>
        <w:jc w:val="left"/>
        <w:textAlignment w:val="auto"/>
        <w:rPr>
          <w:rFonts w:hint="eastAsia" w:ascii="仿宋_GB2312" w:hAnsi="仿宋_GB2312" w:eastAsia="仿宋_GB2312" w:cs="仿宋_GB2312"/>
          <w:sz w:val="28"/>
          <w:szCs w:val="28"/>
        </w:rPr>
      </w:pPr>
    </w:p>
    <w:p>
      <w:pPr>
        <w:keepNext w:val="0"/>
        <w:keepLines w:val="0"/>
        <w:pageBreakBefore w:val="0"/>
        <w:kinsoku/>
        <w:wordWrap/>
        <w:overflowPunct/>
        <w:topLinePunct w:val="0"/>
        <w:autoSpaceDE w:val="0"/>
        <w:autoSpaceDN/>
        <w:bidi w:val="0"/>
        <w:adjustRightInd/>
        <w:snapToGrid/>
        <w:spacing w:line="500" w:lineRule="exact"/>
        <w:ind w:firstLine="560" w:firstLineChars="200"/>
        <w:jc w:val="left"/>
        <w:textAlignment w:val="auto"/>
        <w:rPr>
          <w:rFonts w:hint="eastAsia" w:ascii="仿宋_GB2312" w:hAnsi="仿宋_GB2312" w:eastAsia="仿宋_GB2312" w:cs="仿宋_GB2312"/>
          <w:sz w:val="28"/>
          <w:szCs w:val="28"/>
        </w:rPr>
      </w:pPr>
    </w:p>
    <w:p>
      <w:pPr>
        <w:keepNext w:val="0"/>
        <w:keepLines w:val="0"/>
        <w:pageBreakBefore w:val="0"/>
        <w:kinsoku/>
        <w:wordWrap/>
        <w:overflowPunct/>
        <w:topLinePunct w:val="0"/>
        <w:autoSpaceDE w:val="0"/>
        <w:autoSpaceDN/>
        <w:bidi w:val="0"/>
        <w:adjustRightInd/>
        <w:snapToGrid/>
        <w:spacing w:line="500" w:lineRule="exact"/>
        <w:ind w:firstLine="4480" w:firstLineChars="1600"/>
        <w:jc w:val="left"/>
        <w:textAlignment w:val="auto"/>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深圳市盐田区中英街管理局</w:t>
      </w:r>
    </w:p>
    <w:p>
      <w:pPr>
        <w:keepNext w:val="0"/>
        <w:keepLines w:val="0"/>
        <w:pageBreakBefore w:val="0"/>
        <w:kinsoku/>
        <w:wordWrap/>
        <w:overflowPunct/>
        <w:topLinePunct w:val="0"/>
        <w:autoSpaceDE w:val="0"/>
        <w:autoSpaceDN/>
        <w:bidi w:val="0"/>
        <w:adjustRightInd/>
        <w:snapToGrid/>
        <w:spacing w:line="500" w:lineRule="exact"/>
        <w:ind w:firstLine="5320" w:firstLineChars="1900"/>
        <w:jc w:val="left"/>
        <w:textAlignment w:val="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2026年6月22日</w:t>
      </w:r>
    </w:p>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CC"/>
    <w:family w:val="roman"/>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altName w:val="MathJax_Vector"/>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MathJax_Vector"/>
    <w:panose1 w:val="05050102010706020507"/>
    <w:charset w:val="02"/>
    <w:family w:val="roman"/>
    <w:pitch w:val="default"/>
    <w:sig w:usb0="00000000" w:usb1="00000000" w:usb2="00000000" w:usb3="00000000" w:csb0="80000000" w:csb1="00000000"/>
  </w:font>
  <w:font w:name="Nimbus Roman No9 L">
    <w:panose1 w:val="00000000000000000000"/>
    <w:charset w:val="00"/>
    <w:family w:val="auto"/>
    <w:pitch w:val="default"/>
    <w:sig w:usb0="00000000" w:usb1="00000000" w:usb2="00000000" w:usb3="00000000" w:csb0="00000000" w:csb1="00000000"/>
  </w:font>
  <w:font w:name="Calibri">
    <w:altName w:val="DejaVu Sans"/>
    <w:panose1 w:val="020F0502020204030204"/>
    <w:charset w:val="00"/>
    <w:family w:val="swiss"/>
    <w:pitch w:val="default"/>
    <w:sig w:usb0="00000000" w:usb1="00000000" w:usb2="00000001" w:usb3="00000000" w:csb0="0000019F" w:csb1="00000000"/>
  </w:font>
  <w:font w:name="DejaVu Sans">
    <w:panose1 w:val="020B0603030804020204"/>
    <w:charset w:val="00"/>
    <w:family w:val="auto"/>
    <w:pitch w:val="default"/>
    <w:sig w:usb0="E7006EFF" w:usb1="D200FDFF" w:usb2="0A246029" w:usb3="0400200C" w:csb0="600001FF" w:csb1="DFFF0000"/>
  </w:font>
  <w:font w:name="方正书宋_GBK">
    <w:panose1 w:val="02000000000000000000"/>
    <w:charset w:val="86"/>
    <w:family w:val="auto"/>
    <w:pitch w:val="default"/>
    <w:sig w:usb0="00000001" w:usb1="08000000" w:usb2="00000000" w:usb3="00000000" w:csb0="00040000" w:csb1="00000000"/>
  </w:font>
  <w:font w:name="方正小标宋简体">
    <w:panose1 w:val="02000000000000000000"/>
    <w:charset w:val="86"/>
    <w:family w:val="auto"/>
    <w:pitch w:val="default"/>
    <w:sig w:usb0="A00002BF" w:usb1="184F6CFA" w:usb2="00000012" w:usb3="00000000" w:csb0="00040001" w:csb1="00000000"/>
  </w:font>
  <w:font w:name="仿宋_GB2312">
    <w:altName w:val="方正仿宋_GBK"/>
    <w:panose1 w:val="02010609030101010101"/>
    <w:charset w:val="86"/>
    <w:family w:val="modern"/>
    <w:pitch w:val="default"/>
    <w:sig w:usb0="00000000" w:usb1="00000000" w:usb2="00000000" w:usb3="00000000" w:csb0="00040000" w:csb1="00000000"/>
  </w:font>
  <w:font w:name="仿宋">
    <w:altName w:val="方正仿宋_GBK"/>
    <w:panose1 w:val="02010609060101010101"/>
    <w:charset w:val="86"/>
    <w:family w:val="modern"/>
    <w:pitch w:val="default"/>
    <w:sig w:usb0="00000000" w:usb1="00000000" w:usb2="00000016" w:usb3="00000000" w:csb0="00040001" w:csb1="00000000"/>
  </w:font>
  <w:font w:name="楷体">
    <w:altName w:val="方正楷体_GBK"/>
    <w:panose1 w:val="02010609060101010101"/>
    <w:charset w:val="86"/>
    <w:family w:val="auto"/>
    <w:pitch w:val="default"/>
    <w:sig w:usb0="00000000" w:usb1="00000000" w:usb2="00000016" w:usb3="00000000" w:csb0="00040001" w:csb1="00000000"/>
  </w:font>
  <w:font w:name="楷体_GB2312">
    <w:altName w:val="方正楷体_GBK"/>
    <w:panose1 w:val="02010609030101010101"/>
    <w:charset w:val="86"/>
    <w:family w:val="modern"/>
    <w:pitch w:val="default"/>
    <w:sig w:usb0="00000000" w:usb1="00000000" w:usb2="00000000" w:usb3="00000000" w:csb0="00040000" w:csb1="00000000"/>
  </w:font>
  <w:font w:name="方正楷体_GBK">
    <w:panose1 w:val="02000000000000000000"/>
    <w:charset w:val="86"/>
    <w:family w:val="auto"/>
    <w:pitch w:val="default"/>
    <w:sig w:usb0="00000001" w:usb1="08000000" w:usb2="00000000" w:usb3="00000000" w:csb0="00040000" w:csb1="00000000"/>
  </w:font>
  <w:font w:name="方正仿宋_GBK">
    <w:panose1 w:val="02000000000000000000"/>
    <w:charset w:val="86"/>
    <w:family w:val="auto"/>
    <w:pitch w:val="default"/>
    <w:sig w:usb0="00000001" w:usb1="08000000" w:usb2="00000000" w:usb3="00000000" w:csb0="00040000" w:csb1="00000000"/>
  </w:font>
  <w:font w:name="方正黑体_GBK">
    <w:panose1 w:val="02000000000000000000"/>
    <w:charset w:val="86"/>
    <w:family w:val="auto"/>
    <w:pitch w:val="default"/>
    <w:sig w:usb0="00000001" w:usb1="0800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A1947CF"/>
    <w:rsid w:val="4A1947CF"/>
    <w:rsid w:val="F4ECC2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1"/>
      <w:lang w:val="en-US" w:eastAsia="zh-CN" w:bidi="ar-SA"/>
    </w:rPr>
  </w:style>
  <w:style w:type="paragraph" w:styleId="2">
    <w:name w:val="heading 2"/>
    <w:basedOn w:val="3"/>
    <w:next w:val="4"/>
    <w:qFormat/>
    <w:uiPriority w:val="0"/>
    <w:pPr>
      <w:adjustRightInd w:val="0"/>
      <w:jc w:val="center"/>
      <w:textAlignment w:val="baseline"/>
      <w:outlineLvl w:val="1"/>
    </w:pPr>
    <w:rPr>
      <w:bCs/>
      <w:kern w:val="0"/>
      <w:sz w:val="24"/>
      <w:szCs w:val="20"/>
    </w:rPr>
  </w:style>
  <w:style w:type="paragraph" w:styleId="3">
    <w:name w:val="heading 3"/>
    <w:basedOn w:val="4"/>
    <w:next w:val="1"/>
    <w:qFormat/>
    <w:uiPriority w:val="0"/>
    <w:pPr>
      <w:spacing w:before="260" w:after="260" w:line="240" w:lineRule="auto"/>
      <w:outlineLvl w:val="2"/>
    </w:pPr>
    <w:rPr>
      <w:rFonts w:ascii="宋体" w:hAnsi="宋体" w:eastAsia="宋体"/>
      <w:bCs w:val="0"/>
      <w:szCs w:val="32"/>
    </w:rPr>
  </w:style>
  <w:style w:type="paragraph" w:styleId="4">
    <w:name w:val="heading 4"/>
    <w:basedOn w:val="1"/>
    <w:next w:val="1"/>
    <w:qFormat/>
    <w:uiPriority w:val="0"/>
    <w:pPr>
      <w:keepNext/>
      <w:keepLines/>
      <w:spacing w:before="280" w:after="290" w:line="376" w:lineRule="auto"/>
      <w:outlineLvl w:val="3"/>
    </w:pPr>
    <w:rPr>
      <w:rFonts w:ascii="Arial" w:hAnsi="Arial" w:eastAsia="黑体"/>
      <w:b/>
      <w:bCs/>
      <w:sz w:val="28"/>
      <w:szCs w:val="28"/>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5">
    <w:name w:val="Normal Indent"/>
    <w:basedOn w:val="1"/>
    <w:qFormat/>
    <w:uiPriority w:val="0"/>
    <w:pPr>
      <w:ind w:firstLine="420" w:firstLineChars="200"/>
    </w:pPr>
    <w:rPr>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Office_11.8.2.12219_F1E327BC-269C-435d-A152-05C5408002CA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2018-07-11T15:11:00Z</dcterms:created>
  <dc:creator>d</dc:creator>
  <cp:lastModifiedBy>yt</cp:lastModifiedBy>
  <dcterms:modified xsi:type="dcterms:W3CDTF">2026-06-18T11:22:53Z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2052-11.8.2.12219</vt:lpwstr>
  </property>
  <property fmtid="{D5CDD505-2E9C-101B-9397-08002B2CF9AE}" pid="3" name="ICV">
    <vt:lpwstr>597C33CCA3FE88918D64336AC26BAA22</vt:lpwstr>
  </property>
</Properties>
</file>