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方正小标宋简体" w:hAnsi="黑体" w:eastAsia="方正小标宋简体" w:cs="方正小标宋简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hAnsi="黑体" w:eastAsia="方正小标宋简体" w:cs="Times New Roman"/>
          <w:sz w:val="32"/>
          <w:szCs w:val="32"/>
          <w:highlight w:val="none"/>
        </w:rPr>
      </w:pPr>
      <w:r>
        <w:rPr>
          <w:rFonts w:hint="eastAsia" w:ascii="方正小标宋简体" w:hAnsi="黑体" w:eastAsia="方正小标宋简体" w:cs="方正小标宋简体"/>
          <w:sz w:val="32"/>
          <w:szCs w:val="32"/>
          <w:highlight w:val="none"/>
        </w:rPr>
        <w:t>专项债券项目绩效自评表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仿宋_GB2312" w:hAnsi="宋体" w:eastAsia="仿宋_GB2312" w:cs="Times New Roman"/>
          <w:color w:val="000000"/>
          <w:kern w:val="0"/>
          <w:highlight w:val="none"/>
        </w:rPr>
      </w:pP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（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方正小标宋简体" w:hAnsi="黑体" w:eastAsia="方正小标宋简体" w:cs="方正小标宋简体"/>
          <w:sz w:val="28"/>
          <w:szCs w:val="28"/>
          <w:highlight w:val="none"/>
        </w:rPr>
        <w:t>年度）</w:t>
      </w:r>
    </w:p>
    <w:tbl>
      <w:tblPr>
        <w:tblStyle w:val="7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05"/>
        <w:gridCol w:w="1541"/>
        <w:gridCol w:w="1297"/>
        <w:gridCol w:w="849"/>
        <w:gridCol w:w="851"/>
        <w:gridCol w:w="661"/>
        <w:gridCol w:w="653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项目名称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盐田区人民医院2025年医疗设备购置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投向领域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社会事业-卫生健康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  <w:t>项目主管部门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深圳市盐田区卫生健康局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项目单位</w:t>
            </w:r>
          </w:p>
        </w:tc>
        <w:tc>
          <w:tcPr>
            <w:tcW w:w="25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深圳市盐田区人民医院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项目实施内容</w:t>
            </w:r>
          </w:p>
        </w:tc>
        <w:tc>
          <w:tcPr>
            <w:tcW w:w="779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盐田区人民医院医疗设备购置项目。主要建设内容为：购置配套医疗设备等。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绩效目标</w:t>
            </w: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预期目标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  <w:t>全年</w:t>
            </w: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</w:p>
        </w:tc>
        <w:tc>
          <w:tcPr>
            <w:tcW w:w="3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通过实施项目，完善盐田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医疗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等配套设施，保证设备验收合格率达到100%,有效提升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就医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环境，实现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患者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满意度达到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5%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以上。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全年实际完成医疗设备预付款支付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台（套），所有设备均按规范完成验收，验收合格率100%，严格按合同进度100%完成付款，成本控制合规。项目有效完善区域医疗配套设施、显著提升就医环境与诊疗服务能力，有力推动盐田区卫生健康事业高质量发展，设备运行稳定、可持续保障能力良好，患者满意度达92.16%，超额完成年度绩效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  <w:t>当年</w:t>
            </w: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绩效指标</w:t>
            </w: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  <w:t>债券资金管理指标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val="en-US" w:eastAsia="zh-CN"/>
              </w:rPr>
              <w:t>0分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总体支出进度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（当年实际支出</w:t>
            </w:r>
            <w:r>
              <w:rPr>
                <w:rFonts w:hint="eastAsia" w:ascii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金额</w:t>
            </w:r>
            <w:r>
              <w:rPr>
                <w:rFonts w:hint="default" w:asci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/</w:t>
            </w:r>
            <w:r>
              <w:rPr>
                <w:rFonts w:hint="eastAsia" w:ascii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项目</w:t>
            </w:r>
            <w:r>
              <w:rPr>
                <w:rFonts w:hint="default" w:asci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当年</w:t>
            </w:r>
            <w:r>
              <w:rPr>
                <w:rFonts w:hint="default" w:ascii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下达额度</w:t>
            </w:r>
            <w:r>
              <w:rPr>
                <w:rFonts w:hint="default" w:ascii="宋体" w:eastAsia="宋体" w:cs="宋体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实际支出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金额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下达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额度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  <w:t>分值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Calibri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Calibri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/>
                <w:bCs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Calibri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highlight w:val="none"/>
                <w:lang w:eastAsia="zh-CN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700万元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700万元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highlight w:val="none"/>
              </w:rPr>
              <w:t>一级指标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二级指标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三级指标</w:t>
            </w:r>
          </w:p>
        </w:tc>
        <w:tc>
          <w:tcPr>
            <w:tcW w:w="84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  <w:lang w:eastAsia="zh-CN"/>
              </w:rPr>
              <w:t>目标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值</w:t>
            </w: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完成值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分值</w:t>
            </w:r>
          </w:p>
        </w:tc>
        <w:tc>
          <w:tcPr>
            <w:tcW w:w="6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得分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highlight w:val="none"/>
              </w:rPr>
              <w:t>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产出指标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小标宋简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highlight w:val="none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数量指标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000000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设备完成预付款支付数量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000000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8台（套）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8台（套）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质量指标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设备验收合格率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时效指标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设备付款进度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按合同进度付款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成本指标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成本控制率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≤100%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12.5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效益指标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经济效益指标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社会效益指标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对促进卫生健康事业发展的提升程度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显著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生态效益指标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不适用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长期保障平稳运行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良好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满意度指标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公众满意度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≥85%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92.16%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b/>
                <w:bCs/>
                <w:kern w:val="0"/>
                <w:highlight w:val="none"/>
              </w:rPr>
            </w:pPr>
          </w:p>
        </w:tc>
        <w:tc>
          <w:tcPr>
            <w:tcW w:w="11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偿债风险指标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lang w:eastAsia="zh-CN"/>
              </w:rPr>
              <w:t>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  <w:t>年度收支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平衡指标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年末息前税后净现金流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当年还本付息金额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000000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cs="宋体"/>
                <w:color w:val="000000"/>
                <w:kern w:val="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债券本息覆盖倍数1.64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根据2025年深圳市政府专项债券（七十七期）-深圳市盐田区人民医院项目实施方案相关内容取数。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highlight w:val="none"/>
              </w:rPr>
            </w:pPr>
          </w:p>
        </w:tc>
        <w:tc>
          <w:tcPr>
            <w:tcW w:w="11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kern w:val="0"/>
                <w:highlight w:val="none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还本付息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指标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还本付息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=当年实际还本付息金额/当年应还本付息金额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653" w:type="dxa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0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总分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highlight w:val="none"/>
              </w:rPr>
              <w:t>100</w:t>
            </w:r>
          </w:p>
        </w:tc>
        <w:tc>
          <w:tcPr>
            <w:tcW w:w="6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100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  <w:t>等级：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优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highlight w:val="none"/>
        </w:rPr>
        <w:t>注：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采用定量与定性评价相结合的比较法。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定量指标得分评定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标值相比，完成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标值的，记该指标所赋全部分值；对完成值高于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标值较多的，要分析原因，如果是由于年初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标值设定明显偏低造成的，要按照偏离度适度调减分值；未完成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标值的，按照完成值与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目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标值的比例记分。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定性指标得分评定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方法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  <w:t>：根据指标完成情况分为达成年度指标、部分达成年度指标并具有一定效果、未达成年度指标且效果较差三档，分别按照该指标对应分值区间100%-80%（含）、80%-60%（含）、60%-0%合理确定分值。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200"/>
        <w:textAlignment w:val="auto"/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val="en-US" w:eastAsia="zh-CN"/>
        </w:rPr>
        <w:t>.等级：</w:t>
      </w:r>
      <w:r>
        <w:rPr>
          <w:rFonts w:hint="eastAsia" w:ascii="宋体" w:hAnsi="宋体" w:eastAsia="宋体" w:cs="宋体"/>
          <w:bCs w:val="0"/>
          <w:color w:val="000000"/>
          <w:kern w:val="0"/>
          <w:sz w:val="21"/>
          <w:szCs w:val="21"/>
          <w:highlight w:val="none"/>
          <w:lang w:eastAsia="zh-CN"/>
        </w:rPr>
        <w:t>评分为90分（含）以上的为“优”，80分（含）至90分的为“良”，60分（含）至80分的为“中”，60分以下的为“差”。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小标宋简">
    <w:altName w:val="方正小标宋简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E523F5A"/>
    <w:rsid w:val="0E807293"/>
    <w:rsid w:val="11BC387F"/>
    <w:rsid w:val="1A163D48"/>
    <w:rsid w:val="25731BE9"/>
    <w:rsid w:val="284C5545"/>
    <w:rsid w:val="2FB90304"/>
    <w:rsid w:val="37EC6574"/>
    <w:rsid w:val="3EBD0998"/>
    <w:rsid w:val="48F604AC"/>
    <w:rsid w:val="4A1947CF"/>
    <w:rsid w:val="51D837D4"/>
    <w:rsid w:val="57DFA96C"/>
    <w:rsid w:val="5AD30738"/>
    <w:rsid w:val="65286901"/>
    <w:rsid w:val="E4EBE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jc w:val="distribute"/>
      <w:outlineLvl w:val="0"/>
    </w:pPr>
    <w:rPr>
      <w:rFonts w:eastAsia="文鼎小标宋简"/>
      <w:b/>
      <w:color w:val="FF0000"/>
      <w:kern w:val="44"/>
      <w:sz w:val="72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1110</Characters>
  <Lines>0</Lines>
  <Paragraphs>0</Paragraphs>
  <TotalTime>0</TotalTime>
  <ScaleCrop>false</ScaleCrop>
  <LinksUpToDate>false</LinksUpToDate>
  <CharactersWithSpaces>1111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yt</cp:lastModifiedBy>
  <dcterms:modified xsi:type="dcterms:W3CDTF">2026-06-24T14:19:37Z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2B5109559FDB76D67BEDC96944EF6836</vt:lpwstr>
  </property>
  <property fmtid="{D5CDD505-2E9C-101B-9397-08002B2CF9AE}" pid="4" name="KSOTemplateDocerSaveRecord">
    <vt:lpwstr>eyJoZGlkIjoiYTFjYWYwYzNhZjEyNWIzMjNlN2I3MjIzMTdkMDIyY2QiLCJ1c2VySWQiOiI0MjAzNzczMzIifQ==</vt:lpwstr>
  </property>
</Properties>
</file>