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kinsoku/>
        <w:wordWrap/>
        <w:overflowPunct/>
        <w:topLinePunct w:val="0"/>
        <w:autoSpaceDE/>
        <w:autoSpaceDN/>
        <w:bidi w:val="0"/>
        <w:adjustRightInd/>
        <w:snapToGrid/>
        <w:spacing w:line="578" w:lineRule="exact"/>
        <w:jc w:val="left"/>
        <w:textAlignment w:val="auto"/>
        <w:rPr>
          <w:rFonts w:ascii="方正小标宋简体" w:hAnsi="黑体" w:eastAsia="方正小标宋简体" w:cs="方正小标宋简体"/>
          <w:sz w:val="32"/>
          <w:szCs w:val="32"/>
          <w:highlight w:val="none"/>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方正小标宋简体" w:hAnsi="黑体" w:eastAsia="方正小标宋简体" w:cs="Times New Roman"/>
          <w:sz w:val="32"/>
          <w:szCs w:val="32"/>
          <w:highlight w:val="none"/>
        </w:rPr>
      </w:pPr>
      <w:r>
        <w:rPr>
          <w:rFonts w:hint="eastAsia" w:ascii="方正小标宋简体" w:hAnsi="黑体" w:eastAsia="方正小标宋简体" w:cs="方正小标宋简体"/>
          <w:sz w:val="32"/>
          <w:szCs w:val="32"/>
          <w:highlight w:val="none"/>
        </w:rPr>
        <w:t>专项债券项目绩效自评表（参考）</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hAnsi="宋体" w:eastAsia="仿宋_GB2312" w:cs="Times New Roman"/>
          <w:color w:val="000000"/>
          <w:kern w:val="0"/>
          <w:highlight w:val="none"/>
        </w:rPr>
      </w:pPr>
      <w:r>
        <w:rPr>
          <w:rFonts w:hint="eastAsia" w:ascii="方正小标宋简体" w:hAnsi="黑体" w:eastAsia="方正小标宋简体" w:cs="方正小标宋简体"/>
          <w:sz w:val="28"/>
          <w:szCs w:val="28"/>
          <w:highlight w:val="none"/>
        </w:rPr>
        <w:t>（</w:t>
      </w:r>
      <w:r>
        <w:rPr>
          <w:rFonts w:hint="eastAsia" w:ascii="方正小标宋简体" w:hAnsi="黑体" w:eastAsia="方正小标宋简体" w:cs="方正小标宋简体"/>
          <w:sz w:val="28"/>
          <w:szCs w:val="28"/>
          <w:highlight w:val="none"/>
          <w:lang w:val="en-US" w:eastAsia="zh-CN"/>
        </w:rPr>
        <w:t>2025</w:t>
      </w:r>
      <w:r>
        <w:rPr>
          <w:rFonts w:hint="eastAsia" w:ascii="方正小标宋简体" w:hAnsi="黑体" w:eastAsia="方正小标宋简体" w:cs="方正小标宋简体"/>
          <w:sz w:val="28"/>
          <w:szCs w:val="28"/>
          <w:highlight w:val="none"/>
        </w:rPr>
        <w:t>年度）</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05"/>
        <w:gridCol w:w="1541"/>
        <w:gridCol w:w="1297"/>
        <w:gridCol w:w="849"/>
        <w:gridCol w:w="851"/>
        <w:gridCol w:w="661"/>
        <w:gridCol w:w="65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gridSpan w:val="2"/>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宋体" w:cs="宋体"/>
                <w:b/>
                <w:bCs/>
                <w:kern w:val="0"/>
                <w:highlight w:val="none"/>
              </w:rPr>
            </w:pPr>
            <w:r>
              <w:rPr>
                <w:rFonts w:hint="eastAsia" w:ascii="宋体" w:hAnsi="宋体" w:cs="宋体"/>
                <w:b/>
                <w:bCs/>
                <w:kern w:val="0"/>
                <w:highlight w:val="none"/>
              </w:rPr>
              <w:t>项目名称</w:t>
            </w:r>
          </w:p>
        </w:tc>
        <w:tc>
          <w:tcPr>
            <w:tcW w:w="36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kern w:val="0"/>
                <w:highlight w:val="none"/>
              </w:rPr>
            </w:pPr>
            <w:r>
              <w:rPr>
                <w:rFonts w:hint="eastAsia" w:ascii="宋体" w:cs="宋体"/>
                <w:kern w:val="0"/>
                <w:highlight w:val="none"/>
              </w:rPr>
              <w:t>盐田区低空经济基础设施建设工程</w:t>
            </w:r>
          </w:p>
        </w:tc>
        <w:tc>
          <w:tcPr>
            <w:tcW w:w="15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kern w:val="0"/>
                <w:highlight w:val="none"/>
              </w:rPr>
            </w:pPr>
            <w:r>
              <w:rPr>
                <w:rFonts w:hint="eastAsia" w:ascii="宋体" w:hAnsi="宋体" w:cs="宋体"/>
                <w:b/>
                <w:bCs/>
                <w:kern w:val="0"/>
                <w:highlight w:val="none"/>
              </w:rPr>
              <w:t>投向领域</w:t>
            </w:r>
          </w:p>
        </w:tc>
        <w:tc>
          <w:tcPr>
            <w:tcW w:w="25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kern w:val="0"/>
                <w:highlight w:val="none"/>
                <w:lang w:val="en-US" w:eastAsia="zh-CN"/>
              </w:rPr>
            </w:pPr>
            <w:r>
              <w:rPr>
                <w:rFonts w:hint="eastAsia" w:ascii="宋体" w:cs="宋体"/>
                <w:kern w:val="0"/>
                <w:highlight w:val="none"/>
                <w:lang w:val="en-US" w:eastAsia="zh-CN"/>
              </w:rPr>
              <w:t>交通基础设施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6" w:type="dxa"/>
            <w:gridSpan w:val="2"/>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eastAsia="宋体" w:cs="宋体"/>
                <w:b/>
                <w:bCs/>
                <w:kern w:val="0"/>
                <w:highlight w:val="none"/>
                <w:lang w:eastAsia="zh-CN"/>
              </w:rPr>
            </w:pPr>
            <w:r>
              <w:rPr>
                <w:rFonts w:hint="eastAsia" w:ascii="宋体" w:hAnsi="宋体" w:cs="宋体"/>
                <w:b/>
                <w:bCs/>
                <w:kern w:val="0"/>
                <w:highlight w:val="none"/>
                <w:lang w:eastAsia="zh-CN"/>
              </w:rPr>
              <w:t>项目主管部门</w:t>
            </w:r>
          </w:p>
        </w:tc>
        <w:tc>
          <w:tcPr>
            <w:tcW w:w="36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b/>
                <w:bCs/>
                <w:kern w:val="0"/>
                <w:highlight w:val="none"/>
                <w:lang w:val="en-US" w:eastAsia="zh-CN"/>
              </w:rPr>
            </w:pPr>
            <w:r>
              <w:rPr>
                <w:rFonts w:hint="eastAsia" w:ascii="宋体" w:cs="宋体"/>
                <w:color w:val="auto"/>
                <w:kern w:val="0"/>
                <w:highlight w:val="none"/>
              </w:rPr>
              <w:t>深圳市盐田区财政局（本级）</w:t>
            </w:r>
          </w:p>
        </w:tc>
        <w:tc>
          <w:tcPr>
            <w:tcW w:w="15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kern w:val="0"/>
                <w:highlight w:val="none"/>
              </w:rPr>
            </w:pPr>
            <w:r>
              <w:rPr>
                <w:rFonts w:hint="eastAsia" w:ascii="宋体" w:hAnsi="宋体" w:cs="宋体"/>
                <w:b/>
                <w:bCs/>
                <w:kern w:val="0"/>
                <w:highlight w:val="none"/>
              </w:rPr>
              <w:t>项目单位</w:t>
            </w:r>
          </w:p>
        </w:tc>
        <w:tc>
          <w:tcPr>
            <w:tcW w:w="25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kern w:val="0"/>
                <w:highlight w:val="none"/>
              </w:rPr>
            </w:pPr>
            <w:r>
              <w:rPr>
                <w:rFonts w:hint="eastAsia" w:ascii="宋体" w:cs="宋体"/>
                <w:kern w:val="0"/>
                <w:highlight w:val="none"/>
              </w:rPr>
              <w:t>深圳市盐田区城市建设投资集团有限公司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gridSpan w:val="2"/>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宋体" w:cs="宋体"/>
                <w:b/>
                <w:bCs/>
                <w:kern w:val="0"/>
                <w:highlight w:val="none"/>
              </w:rPr>
            </w:pPr>
            <w:r>
              <w:rPr>
                <w:rFonts w:hint="eastAsia" w:ascii="宋体" w:hAnsi="宋体" w:cs="宋体"/>
                <w:b/>
                <w:bCs/>
                <w:kern w:val="0"/>
                <w:highlight w:val="none"/>
              </w:rPr>
              <w:t>项目实施内容</w:t>
            </w:r>
          </w:p>
        </w:tc>
        <w:tc>
          <w:tcPr>
            <w:tcW w:w="7798"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cs="宋体"/>
                <w:kern w:val="0"/>
                <w:highlight w:val="none"/>
              </w:rPr>
            </w:pPr>
            <w:r>
              <w:rPr>
                <w:rFonts w:hint="eastAsia" w:ascii="宋体" w:cs="宋体"/>
                <w:kern w:val="0"/>
                <w:highlight w:val="none"/>
              </w:rPr>
              <w:t>项目建设内容共包括三大类，具体为盐田区低空经济起降点基础设施建设工程、盐田区低空经济巡检基础设施建设工程以及盐田区低空经济信息基础设施建设工程。其中，盐田区低空经济起降点基础设施建设工程将新建6个起降点；盐田区低空经济巡检基础设施建设工程主要建设内容为新建低空城市综合治理平台；盐田区低空经济信息基础设施建设工程主要建设内容为低空智联网设施、低空协同飞行服务管理系统、盐田低空经济产业服务中心以及云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hAnsi="宋体" w:cs="宋体"/>
                <w:b/>
                <w:bCs/>
                <w:kern w:val="0"/>
                <w:highlight w:val="none"/>
                <w:lang w:eastAsia="zh-CN"/>
              </w:rPr>
            </w:pPr>
            <w:r>
              <w:rPr>
                <w:rFonts w:hint="eastAsia" w:ascii="宋体" w:hAnsi="宋体" w:cs="宋体"/>
                <w:b/>
                <w:bCs/>
                <w:kern w:val="0"/>
                <w:highlight w:val="none"/>
                <w:lang w:eastAsia="zh-CN"/>
              </w:rPr>
              <w:t>年度</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hAnsi="Calibri" w:eastAsia="宋体" w:cs="宋体"/>
                <w:b/>
                <w:bCs/>
                <w:kern w:val="0"/>
                <w:sz w:val="21"/>
                <w:szCs w:val="21"/>
                <w:highlight w:val="none"/>
                <w:lang w:val="en-US" w:eastAsia="zh-CN" w:bidi="ar-SA"/>
              </w:rPr>
            </w:pPr>
            <w:r>
              <w:rPr>
                <w:rFonts w:hint="eastAsia" w:ascii="宋体" w:hAnsi="宋体" w:cs="宋体"/>
                <w:b/>
                <w:bCs/>
                <w:kern w:val="0"/>
                <w:highlight w:val="none"/>
              </w:rPr>
              <w:t>绩效目标</w:t>
            </w:r>
          </w:p>
        </w:tc>
        <w:tc>
          <w:tcPr>
            <w:tcW w:w="3687" w:type="dxa"/>
            <w:gridSpan w:val="3"/>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cs="宋体"/>
                <w:b/>
                <w:bCs/>
                <w:kern w:val="0"/>
                <w:sz w:val="18"/>
                <w:szCs w:val="18"/>
                <w:highlight w:val="none"/>
              </w:rPr>
            </w:pPr>
            <w:r>
              <w:rPr>
                <w:rFonts w:hint="eastAsia" w:ascii="宋体" w:hAnsi="宋体" w:cs="宋体"/>
                <w:b/>
                <w:bCs/>
                <w:kern w:val="0"/>
                <w:highlight w:val="none"/>
              </w:rPr>
              <w:t>预期目标</w:t>
            </w:r>
          </w:p>
        </w:tc>
        <w:tc>
          <w:tcPr>
            <w:tcW w:w="4111" w:type="dxa"/>
            <w:gridSpan w:val="4"/>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hAnsi="Calibri" w:cs="宋体"/>
                <w:b/>
                <w:bCs/>
                <w:kern w:val="0"/>
                <w:sz w:val="18"/>
                <w:szCs w:val="18"/>
                <w:highlight w:val="none"/>
              </w:rPr>
            </w:pPr>
            <w:r>
              <w:rPr>
                <w:rFonts w:hint="eastAsia" w:ascii="宋体" w:hAnsi="宋体" w:cs="宋体"/>
                <w:b/>
                <w:bCs/>
                <w:kern w:val="0"/>
                <w:highlight w:val="none"/>
                <w:lang w:eastAsia="zh-CN"/>
              </w:rPr>
              <w:t>全年</w:t>
            </w:r>
            <w:r>
              <w:rPr>
                <w:rFonts w:hint="eastAsia" w:ascii="宋体" w:hAnsi="宋体" w:cs="宋体"/>
                <w:b/>
                <w:bCs/>
                <w:kern w:val="0"/>
                <w:highlight w:val="none"/>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宋体" w:hAnsi="宋体" w:cs="宋体"/>
                <w:b/>
                <w:bCs/>
                <w:kern w:val="0"/>
                <w:highlight w:val="none"/>
                <w:lang w:eastAsia="zh-CN"/>
              </w:rPr>
            </w:pPr>
          </w:p>
        </w:tc>
        <w:tc>
          <w:tcPr>
            <w:tcW w:w="36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cs="宋体"/>
                <w:b/>
                <w:bCs/>
                <w:kern w:val="0"/>
                <w:sz w:val="18"/>
                <w:szCs w:val="18"/>
                <w:highlight w:val="none"/>
              </w:rPr>
            </w:pPr>
            <w:r>
              <w:rPr>
                <w:rFonts w:hint="eastAsia" w:ascii="宋体" w:cs="宋体"/>
                <w:kern w:val="0"/>
                <w:highlight w:val="none"/>
                <w:lang w:eastAsia="zh-CN"/>
              </w:rPr>
              <w:t>完成预付款支付工作。</w:t>
            </w:r>
          </w:p>
        </w:tc>
        <w:tc>
          <w:tcPr>
            <w:tcW w:w="41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Calibri" w:cs="宋体"/>
                <w:b/>
                <w:bCs/>
                <w:kern w:val="0"/>
                <w:sz w:val="18"/>
                <w:szCs w:val="18"/>
                <w:highlight w:val="none"/>
              </w:rPr>
            </w:pPr>
            <w:r>
              <w:rPr>
                <w:rFonts w:hint="eastAsia" w:ascii="宋体" w:cs="宋体"/>
                <w:kern w:val="0"/>
                <w:highlight w:val="none"/>
                <w:lang w:val="en-US" w:eastAsia="zh-CN"/>
              </w:rPr>
              <w:t>项目共分为盐田区低空经济基础设施建设工程项目（EPC）和盐田区低空经济基础设施建设工程-起降点（EPC）2个标包。目前已支付起降点(EPC）标包工程预付款及农民工工资款8686704.85元；支付基础设施建设工程项目（EPC）标包工程预付款及农民工工资款11117275.97元；支付项目模拟工程量清单服务费196019.18元，合计支付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lang w:eastAsia="zh-CN"/>
              </w:rPr>
              <w:t>当年</w:t>
            </w:r>
            <w:r>
              <w:rPr>
                <w:rFonts w:hint="eastAsia" w:ascii="宋体" w:hAnsi="宋体" w:cs="宋体"/>
                <w:b/>
                <w:bCs/>
                <w:color w:val="auto"/>
                <w:kern w:val="0"/>
                <w:highlight w:val="none"/>
              </w:rPr>
              <w:t>绩效指标</w:t>
            </w:r>
          </w:p>
        </w:tc>
        <w:tc>
          <w:tcPr>
            <w:tcW w:w="11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highlight w:val="none"/>
                <w:lang w:eastAsia="zh-CN"/>
              </w:rPr>
            </w:pPr>
            <w:r>
              <w:rPr>
                <w:rFonts w:hint="eastAsia" w:ascii="宋体" w:hAnsi="宋体" w:cs="宋体"/>
                <w:b/>
                <w:bCs/>
                <w:color w:val="auto"/>
                <w:kern w:val="0"/>
                <w:highlight w:val="none"/>
                <w:lang w:eastAsia="zh-CN"/>
              </w:rPr>
              <w:t>债券资金管理指标</w:t>
            </w:r>
            <w:r>
              <w:rPr>
                <w:rFonts w:hint="eastAsia" w:ascii="宋体" w:hAnsi="宋体" w:eastAsia="宋体" w:cs="宋体"/>
                <w:b/>
                <w:bCs/>
                <w:color w:val="auto"/>
                <w:kern w:val="2"/>
                <w:highlight w:val="none"/>
                <w:lang w:eastAsia="zh-CN"/>
              </w:rPr>
              <w:t>（</w:t>
            </w:r>
            <w:r>
              <w:rPr>
                <w:rFonts w:hint="eastAsia" w:ascii="宋体" w:hAnsi="宋体" w:cs="宋体"/>
                <w:b/>
                <w:bCs/>
                <w:color w:val="auto"/>
                <w:kern w:val="2"/>
                <w:highlight w:val="none"/>
                <w:lang w:val="en-US" w:eastAsia="zh-CN"/>
              </w:rPr>
              <w:t>1</w:t>
            </w:r>
            <w:r>
              <w:rPr>
                <w:rFonts w:hint="eastAsia" w:ascii="宋体" w:hAnsi="宋体" w:eastAsia="宋体" w:cs="宋体"/>
                <w:b/>
                <w:bCs/>
                <w:color w:val="auto"/>
                <w:kern w:val="2"/>
                <w:highlight w:val="none"/>
                <w:lang w:val="en-US" w:eastAsia="zh-CN"/>
              </w:rPr>
              <w:t>0分</w:t>
            </w:r>
            <w:r>
              <w:rPr>
                <w:rFonts w:hint="eastAsia" w:ascii="宋体" w:hAnsi="宋体" w:eastAsia="宋体" w:cs="宋体"/>
                <w:b/>
                <w:bCs/>
                <w:color w:val="auto"/>
                <w:kern w:val="2"/>
                <w:highlight w:val="none"/>
                <w:lang w:eastAsia="zh-CN"/>
              </w:rPr>
              <w:t>）</w:t>
            </w:r>
          </w:p>
        </w:tc>
        <w:tc>
          <w:tcPr>
            <w:tcW w:w="1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b/>
                <w:bCs/>
                <w:color w:val="auto"/>
                <w:kern w:val="0"/>
                <w:sz w:val="21"/>
                <w:szCs w:val="21"/>
                <w:highlight w:val="none"/>
                <w:lang w:eastAsia="zh-CN"/>
              </w:rPr>
            </w:pPr>
            <w:r>
              <w:rPr>
                <w:rFonts w:hint="eastAsia" w:ascii="宋体" w:cs="宋体"/>
                <w:b/>
                <w:bCs/>
                <w:color w:val="auto"/>
                <w:kern w:val="0"/>
                <w:sz w:val="21"/>
                <w:szCs w:val="21"/>
                <w:highlight w:val="none"/>
                <w:lang w:eastAsia="zh-CN"/>
              </w:rPr>
              <w:t>总体支出进度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b/>
                <w:bCs/>
                <w:color w:val="auto"/>
                <w:kern w:val="0"/>
                <w:sz w:val="21"/>
                <w:szCs w:val="21"/>
                <w:highlight w:val="none"/>
                <w:lang w:eastAsia="zh-CN"/>
              </w:rPr>
            </w:pPr>
            <w:r>
              <w:rPr>
                <w:rFonts w:hint="default" w:ascii="宋体" w:eastAsia="宋体" w:cs="宋体"/>
                <w:b w:val="0"/>
                <w:bCs w:val="0"/>
                <w:color w:val="auto"/>
                <w:kern w:val="0"/>
                <w:sz w:val="18"/>
                <w:szCs w:val="18"/>
                <w:highlight w:val="none"/>
                <w:lang w:eastAsia="zh-CN"/>
              </w:rPr>
              <w:t>（当年实际支出</w:t>
            </w:r>
            <w:r>
              <w:rPr>
                <w:rFonts w:hint="eastAsia" w:ascii="宋体" w:cs="宋体"/>
                <w:b w:val="0"/>
                <w:bCs w:val="0"/>
                <w:color w:val="auto"/>
                <w:kern w:val="0"/>
                <w:sz w:val="18"/>
                <w:szCs w:val="18"/>
                <w:highlight w:val="none"/>
                <w:lang w:eastAsia="zh-CN"/>
              </w:rPr>
              <w:t>金额</w:t>
            </w:r>
            <w:r>
              <w:rPr>
                <w:rFonts w:hint="default" w:ascii="宋体" w:eastAsia="宋体" w:cs="宋体"/>
                <w:b w:val="0"/>
                <w:bCs w:val="0"/>
                <w:color w:val="auto"/>
                <w:kern w:val="0"/>
                <w:sz w:val="18"/>
                <w:szCs w:val="18"/>
                <w:highlight w:val="none"/>
                <w:lang w:eastAsia="zh-CN"/>
              </w:rPr>
              <w:t>/</w:t>
            </w:r>
            <w:r>
              <w:rPr>
                <w:rFonts w:hint="eastAsia" w:ascii="宋体" w:cs="宋体"/>
                <w:b w:val="0"/>
                <w:bCs w:val="0"/>
                <w:color w:val="auto"/>
                <w:kern w:val="0"/>
                <w:sz w:val="18"/>
                <w:szCs w:val="18"/>
                <w:highlight w:val="none"/>
                <w:lang w:eastAsia="zh-CN"/>
              </w:rPr>
              <w:t>项目</w:t>
            </w:r>
            <w:r>
              <w:rPr>
                <w:rFonts w:hint="default" w:ascii="宋体" w:eastAsia="宋体" w:cs="宋体"/>
                <w:b w:val="0"/>
                <w:bCs w:val="0"/>
                <w:color w:val="auto"/>
                <w:kern w:val="0"/>
                <w:sz w:val="18"/>
                <w:szCs w:val="18"/>
                <w:highlight w:val="none"/>
                <w:lang w:eastAsia="zh-CN"/>
              </w:rPr>
              <w:t>当年</w:t>
            </w:r>
            <w:r>
              <w:rPr>
                <w:rFonts w:hint="default" w:ascii="宋体" w:cs="宋体"/>
                <w:b w:val="0"/>
                <w:bCs w:val="0"/>
                <w:color w:val="auto"/>
                <w:kern w:val="0"/>
                <w:sz w:val="18"/>
                <w:szCs w:val="18"/>
                <w:highlight w:val="none"/>
                <w:lang w:eastAsia="zh-CN"/>
              </w:rPr>
              <w:t>下达额度</w:t>
            </w:r>
            <w:r>
              <w:rPr>
                <w:rFonts w:hint="default" w:ascii="宋体" w:eastAsia="宋体" w:cs="宋体"/>
                <w:b w:val="0"/>
                <w:bCs w:val="0"/>
                <w:color w:val="auto"/>
                <w:kern w:val="0"/>
                <w:sz w:val="18"/>
                <w:szCs w:val="18"/>
                <w:highlight w:val="none"/>
                <w:lang w:eastAsia="zh-CN"/>
              </w:rPr>
              <w:t>）</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b/>
                <w:bCs/>
                <w:color w:val="auto"/>
                <w:kern w:val="0"/>
                <w:sz w:val="21"/>
                <w:szCs w:val="21"/>
                <w:highlight w:val="none"/>
                <w:lang w:eastAsia="zh-CN"/>
              </w:rPr>
            </w:pPr>
            <w:r>
              <w:rPr>
                <w:rFonts w:hint="eastAsia" w:ascii="宋体" w:cs="宋体"/>
                <w:b/>
                <w:bCs/>
                <w:color w:val="auto"/>
                <w:kern w:val="0"/>
                <w:sz w:val="21"/>
                <w:szCs w:val="21"/>
                <w:highlight w:val="none"/>
                <w:lang w:eastAsia="zh-CN"/>
              </w:rPr>
              <w:t>实际支出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b/>
                <w:bCs/>
                <w:color w:val="auto"/>
                <w:kern w:val="0"/>
                <w:sz w:val="21"/>
                <w:szCs w:val="21"/>
                <w:highlight w:val="none"/>
                <w:lang w:eastAsia="zh-CN"/>
              </w:rPr>
            </w:pPr>
            <w:r>
              <w:rPr>
                <w:rFonts w:hint="eastAsia" w:ascii="宋体" w:cs="宋体"/>
                <w:b/>
                <w:bCs/>
                <w:color w:val="auto"/>
                <w:kern w:val="0"/>
                <w:sz w:val="21"/>
                <w:szCs w:val="21"/>
                <w:highlight w:val="none"/>
                <w:lang w:eastAsia="zh-CN"/>
              </w:rPr>
              <w:t>金额</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b/>
                <w:bCs/>
                <w:color w:val="auto"/>
                <w:kern w:val="0"/>
                <w:sz w:val="21"/>
                <w:szCs w:val="21"/>
                <w:highlight w:val="none"/>
                <w:lang w:eastAsia="zh-CN"/>
              </w:rPr>
            </w:pPr>
            <w:r>
              <w:rPr>
                <w:rFonts w:hint="eastAsia" w:ascii="宋体" w:cs="宋体"/>
                <w:b/>
                <w:bCs/>
                <w:color w:val="auto"/>
                <w:kern w:val="0"/>
                <w:sz w:val="21"/>
                <w:szCs w:val="21"/>
                <w:highlight w:val="none"/>
                <w:lang w:eastAsia="zh-CN"/>
              </w:rPr>
              <w:t>下达</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b/>
                <w:bCs/>
                <w:color w:val="auto"/>
                <w:kern w:val="0"/>
                <w:sz w:val="21"/>
                <w:szCs w:val="21"/>
                <w:highlight w:val="none"/>
                <w:lang w:eastAsia="zh-CN"/>
              </w:rPr>
            </w:pPr>
            <w:r>
              <w:rPr>
                <w:rFonts w:hint="eastAsia" w:ascii="宋体" w:cs="宋体"/>
                <w:b/>
                <w:bCs/>
                <w:color w:val="auto"/>
                <w:kern w:val="0"/>
                <w:sz w:val="21"/>
                <w:szCs w:val="21"/>
                <w:highlight w:val="none"/>
                <w:lang w:eastAsia="zh-CN"/>
              </w:rPr>
              <w:t>额度</w:t>
            </w:r>
          </w:p>
        </w:tc>
        <w:tc>
          <w:tcPr>
            <w:tcW w:w="85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sz w:val="21"/>
                <w:szCs w:val="21"/>
                <w:highlight w:val="none"/>
              </w:rPr>
            </w:pPr>
            <w:r>
              <w:rPr>
                <w:rFonts w:hint="eastAsia" w:ascii="宋体" w:hAnsi="宋体" w:cs="宋体"/>
                <w:b/>
                <w:bCs/>
                <w:color w:val="auto"/>
                <w:kern w:val="0"/>
                <w:highlight w:val="none"/>
              </w:rPr>
              <w:t>完成值</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Calibri" w:eastAsia="宋体" w:cs="宋体"/>
                <w:b/>
                <w:bCs/>
                <w:color w:val="auto"/>
                <w:kern w:val="0"/>
                <w:sz w:val="21"/>
                <w:szCs w:val="21"/>
                <w:highlight w:val="none"/>
                <w:lang w:val="en-US" w:eastAsia="zh-CN" w:bidi="ar-SA"/>
              </w:rPr>
            </w:pPr>
            <w:r>
              <w:rPr>
                <w:rFonts w:hint="eastAsia" w:ascii="宋体" w:cs="宋体"/>
                <w:b/>
                <w:bCs/>
                <w:color w:val="auto"/>
                <w:kern w:val="0"/>
                <w:sz w:val="21"/>
                <w:szCs w:val="21"/>
                <w:highlight w:val="none"/>
                <w:lang w:eastAsia="zh-CN"/>
              </w:rPr>
              <w:t>分值</w:t>
            </w:r>
          </w:p>
        </w:tc>
        <w:tc>
          <w:tcPr>
            <w:tcW w:w="6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b/>
                <w:bCs/>
                <w:color w:val="auto"/>
                <w:kern w:val="0"/>
                <w:sz w:val="21"/>
                <w:szCs w:val="21"/>
                <w:highlight w:val="none"/>
                <w:lang w:eastAsia="zh-CN"/>
              </w:rPr>
            </w:pPr>
            <w:r>
              <w:rPr>
                <w:rFonts w:hint="eastAsia" w:ascii="宋体" w:hAnsi="宋体" w:cs="宋体"/>
                <w:b/>
                <w:bCs/>
                <w:color w:val="auto"/>
                <w:kern w:val="0"/>
                <w:highlight w:val="none"/>
              </w:rPr>
              <w:t>得分</w:t>
            </w:r>
          </w:p>
        </w:tc>
        <w:tc>
          <w:tcPr>
            <w:tcW w:w="19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Calibri" w:cs="宋体"/>
                <w:b/>
                <w:bCs/>
                <w:color w:val="auto"/>
                <w:kern w:val="0"/>
                <w:sz w:val="21"/>
                <w:szCs w:val="21"/>
                <w:highlight w:val="none"/>
              </w:rPr>
            </w:pPr>
            <w:r>
              <w:rPr>
                <w:rFonts w:hint="eastAsia" w:ascii="宋体" w:hAnsi="Calibri" w:cs="宋体"/>
                <w:b/>
                <w:bCs/>
                <w:color w:val="auto"/>
                <w:kern w:val="0"/>
                <w:sz w:val="21"/>
                <w:szCs w:val="21"/>
                <w:highlight w:val="none"/>
              </w:rPr>
              <w:t>偏差原因分析</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b/>
                <w:bCs/>
                <w:color w:val="auto"/>
                <w:kern w:val="0"/>
                <w:sz w:val="21"/>
                <w:szCs w:val="21"/>
                <w:highlight w:val="none"/>
                <w:lang w:eastAsia="zh-CN"/>
              </w:rPr>
            </w:pPr>
            <w:r>
              <w:rPr>
                <w:rFonts w:hint="eastAsia" w:ascii="宋体" w:hAnsi="Calibri" w:cs="宋体"/>
                <w:b/>
                <w:bCs/>
                <w:color w:val="auto"/>
                <w:kern w:val="0"/>
                <w:sz w:val="21"/>
                <w:szCs w:val="21"/>
                <w:highlight w:val="none"/>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highlight w:val="none"/>
                <w:lang w:eastAsia="zh-CN"/>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highlight w:val="none"/>
                <w:lang w:eastAsia="zh-CN"/>
              </w:rPr>
            </w:pPr>
          </w:p>
        </w:tc>
        <w:tc>
          <w:tcPr>
            <w:tcW w:w="1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宋体" w:eastAsia="宋体" w:cs="宋体"/>
                <w:b w:val="0"/>
                <w:bCs w:val="0"/>
                <w:color w:val="auto"/>
                <w:kern w:val="0"/>
                <w:sz w:val="21"/>
                <w:szCs w:val="21"/>
                <w:highlight w:val="none"/>
                <w:lang w:eastAsia="zh-CN"/>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2000万元</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2000万元</w:t>
            </w:r>
          </w:p>
        </w:tc>
        <w:tc>
          <w:tcPr>
            <w:tcW w:w="85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2000万元</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Calibri"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bidi="ar-SA"/>
              </w:rPr>
              <w:t>10</w:t>
            </w:r>
          </w:p>
        </w:tc>
        <w:tc>
          <w:tcPr>
            <w:tcW w:w="6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10</w:t>
            </w:r>
          </w:p>
        </w:tc>
        <w:tc>
          <w:tcPr>
            <w:tcW w:w="19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一级指标</w:t>
            </w: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二级指标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三级指标</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lang w:eastAsia="zh-CN"/>
              </w:rPr>
              <w:t>目标</w:t>
            </w:r>
            <w:r>
              <w:rPr>
                <w:rFonts w:hint="eastAsia" w:ascii="宋体" w:hAnsi="宋体" w:cs="宋体"/>
                <w:b/>
                <w:bCs/>
                <w:color w:val="auto"/>
                <w:kern w:val="0"/>
                <w:highlight w:val="none"/>
              </w:rPr>
              <w:t>值</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完成值</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分值</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得分</w:t>
            </w:r>
          </w:p>
        </w:tc>
        <w:tc>
          <w:tcPr>
            <w:tcW w:w="19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highlight w:val="none"/>
              </w:rPr>
            </w:pPr>
            <w:r>
              <w:rPr>
                <w:rFonts w:hint="eastAsia" w:ascii="宋体" w:hAnsi="宋体" w:cs="宋体"/>
                <w:b/>
                <w:bCs/>
                <w:color w:val="auto"/>
                <w:kern w:val="0"/>
                <w:highlight w:val="none"/>
              </w:rPr>
              <w:t>偏差原因分析</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r>
              <w:rPr>
                <w:rFonts w:hint="eastAsia" w:ascii="宋体" w:hAnsi="宋体" w:cs="宋体"/>
                <w:b/>
                <w:bCs/>
                <w:color w:val="auto"/>
                <w:kern w:val="0"/>
                <w:highlight w:val="none"/>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产出指标</w:t>
            </w:r>
          </w:p>
          <w:p>
            <w:pPr>
              <w:keepNext w:val="0"/>
              <w:keepLines w:val="0"/>
              <w:pageBreakBefore w:val="0"/>
              <w:kinsoku/>
              <w:wordWrap/>
              <w:overflowPunct/>
              <w:topLinePunct w:val="0"/>
              <w:autoSpaceDE/>
              <w:autoSpaceDN/>
              <w:bidi w:val="0"/>
              <w:adjustRightInd/>
              <w:snapToGrid/>
              <w:spacing w:line="240" w:lineRule="auto"/>
              <w:textAlignment w:val="auto"/>
              <w:rPr>
                <w:rFonts w:hint="eastAsia" w:eastAsia="方正小标宋简体"/>
                <w:b/>
                <w:bCs/>
                <w:color w:val="auto"/>
                <w:lang w:eastAsia="zh-CN"/>
              </w:rPr>
            </w:pPr>
            <w:r>
              <w:rPr>
                <w:rFonts w:hint="eastAsia" w:ascii="宋体" w:hAnsi="宋体" w:eastAsia="宋体" w:cs="宋体"/>
                <w:b/>
                <w:bCs/>
                <w:color w:val="auto"/>
                <w:kern w:val="2"/>
                <w:highlight w:val="none"/>
                <w:lang w:eastAsia="zh-CN"/>
              </w:rPr>
              <w:t>（</w:t>
            </w:r>
            <w:r>
              <w:rPr>
                <w:rFonts w:hint="eastAsia" w:ascii="宋体" w:hAnsi="宋体" w:eastAsia="宋体" w:cs="宋体"/>
                <w:b/>
                <w:bCs/>
                <w:color w:val="auto"/>
                <w:kern w:val="2"/>
                <w:highlight w:val="none"/>
                <w:lang w:val="en-US" w:eastAsia="zh-CN"/>
              </w:rPr>
              <w:t>50分</w:t>
            </w:r>
            <w:r>
              <w:rPr>
                <w:rFonts w:hint="eastAsia" w:ascii="宋体" w:hAnsi="宋体" w:eastAsia="宋体" w:cs="宋体"/>
                <w:b/>
                <w:bCs/>
                <w:color w:val="auto"/>
                <w:kern w:val="2"/>
                <w:highlight w:val="none"/>
                <w:lang w:eastAsia="zh-CN"/>
              </w:rPr>
              <w:t>）</w:t>
            </w: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数量指标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完成预付款支付</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1笔</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1笔</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15</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15</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质量指标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预付款支付合规率</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lang w:val="en-US" w:eastAsia="zh-CN"/>
              </w:rPr>
              <w:t>100</w:t>
            </w:r>
            <w:r>
              <w:rPr>
                <w:rFonts w:hint="eastAsia" w:ascii="宋体" w:cs="宋体"/>
                <w:color w:val="auto"/>
                <w:kern w:val="0"/>
                <w:highlight w:val="none"/>
              </w:rPr>
              <w:t>%</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100%</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cs="宋体"/>
                <w:color w:val="auto"/>
                <w:kern w:val="0"/>
                <w:highlight w:val="none"/>
                <w:lang w:val="en-US" w:eastAsia="zh-CN"/>
              </w:rPr>
            </w:pPr>
            <w:r>
              <w:rPr>
                <w:rFonts w:hint="eastAsia" w:ascii="宋体" w:cs="宋体"/>
                <w:color w:val="auto"/>
                <w:kern w:val="0"/>
                <w:highlight w:val="none"/>
                <w:lang w:val="en-US" w:eastAsia="zh-CN"/>
              </w:rPr>
              <w:t>15</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15</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时效指标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预付款支付完成时间</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2025年12月31日前</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cs="宋体"/>
                <w:color w:val="auto"/>
                <w:kern w:val="0"/>
                <w:highlight w:val="none"/>
              </w:rPr>
              <w:t>2025年12月</w:t>
            </w:r>
            <w:r>
              <w:rPr>
                <w:rFonts w:hint="eastAsia" w:ascii="宋体" w:cs="宋体"/>
                <w:color w:val="auto"/>
                <w:kern w:val="0"/>
                <w:highlight w:val="none"/>
                <w:lang w:val="en-US" w:eastAsia="zh-CN"/>
              </w:rPr>
              <w:t>10</w:t>
            </w:r>
            <w:r>
              <w:rPr>
                <w:rFonts w:hint="eastAsia" w:ascii="宋体" w:cs="宋体"/>
                <w:color w:val="auto"/>
                <w:kern w:val="0"/>
                <w:highlight w:val="none"/>
              </w:rPr>
              <w:t>日</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cs="宋体"/>
                <w:color w:val="auto"/>
                <w:kern w:val="0"/>
                <w:highlight w:val="none"/>
                <w:lang w:val="en-US" w:eastAsia="zh-CN"/>
              </w:rPr>
            </w:pPr>
            <w:r>
              <w:rPr>
                <w:rFonts w:hint="eastAsia" w:ascii="宋体" w:cs="宋体"/>
                <w:color w:val="auto"/>
                <w:kern w:val="0"/>
                <w:highlight w:val="none"/>
                <w:lang w:val="en-US" w:eastAsia="zh-CN"/>
              </w:rPr>
              <w:t>10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成本指标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预付款支付金额</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eastAsia="宋体" w:cs="宋体"/>
                <w:color w:val="auto"/>
                <w:kern w:val="0"/>
                <w:highlight w:val="none"/>
                <w:lang w:val="en-US" w:eastAsia="zh-CN"/>
              </w:rPr>
            </w:pPr>
            <w:r>
              <w:rPr>
                <w:rFonts w:hint="eastAsia" w:ascii="宋体" w:cs="宋体"/>
                <w:color w:val="auto"/>
                <w:kern w:val="0"/>
                <w:highlight w:val="none"/>
              </w:rPr>
              <w:t>≤</w:t>
            </w:r>
            <w:r>
              <w:rPr>
                <w:rFonts w:hint="eastAsia" w:ascii="宋体" w:cs="宋体"/>
                <w:color w:val="auto"/>
                <w:kern w:val="0"/>
                <w:highlight w:val="none"/>
                <w:lang w:val="en-US" w:eastAsia="zh-CN"/>
              </w:rPr>
              <w:t>2000万</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2000万</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效益指标</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rPr>
            </w:pPr>
            <w:r>
              <w:rPr>
                <w:rFonts w:hint="eastAsia" w:ascii="宋体" w:hAnsi="宋体" w:eastAsia="宋体" w:cs="宋体"/>
                <w:b/>
                <w:bCs/>
                <w:color w:val="auto"/>
                <w:kern w:val="2"/>
                <w:lang w:eastAsia="zh-CN"/>
              </w:rPr>
              <w:t>（</w:t>
            </w:r>
            <w:r>
              <w:rPr>
                <w:rFonts w:hint="eastAsia" w:ascii="宋体" w:hAnsi="宋体" w:eastAsia="宋体" w:cs="宋体"/>
                <w:b/>
                <w:bCs/>
                <w:color w:val="auto"/>
                <w:kern w:val="2"/>
                <w:lang w:val="en-US" w:eastAsia="zh-CN"/>
              </w:rPr>
              <w:t>30分</w:t>
            </w:r>
            <w:r>
              <w:rPr>
                <w:rFonts w:hint="eastAsia" w:ascii="宋体" w:hAnsi="宋体" w:eastAsia="宋体" w:cs="宋体"/>
                <w:b/>
                <w:bCs/>
                <w:color w:val="auto"/>
                <w:kern w:val="2"/>
                <w:lang w:eastAsia="zh-CN"/>
              </w:rPr>
              <w:t>）</w:t>
            </w: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经济效益指标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cs="宋体"/>
                <w:color w:val="auto"/>
                <w:kern w:val="0"/>
                <w:highlight w:val="none"/>
              </w:rPr>
            </w:pPr>
            <w:r>
              <w:rPr>
                <w:rFonts w:hint="eastAsia" w:ascii="宋体" w:cs="宋体"/>
                <w:color w:val="auto"/>
                <w:kern w:val="0"/>
                <w:highlight w:val="none"/>
              </w:rPr>
              <w:t>促进项目所在区域经济发展，带动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群众消费</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明显</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100%</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color w:val="auto"/>
                <w:kern w:val="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5</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5</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社会效益指标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带动低空经济产业发展，促进就业</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明显</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100%</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cs="宋体"/>
                <w:color w:val="auto"/>
                <w:kern w:val="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生态效益指标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不适用</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不适用</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不适用</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highlight w:val="none"/>
              </w:rPr>
            </w:pPr>
          </w:p>
        </w:tc>
        <w:tc>
          <w:tcPr>
            <w:tcW w:w="154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可持续影响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不适用</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不适用</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不适用</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highlight w:val="none"/>
              </w:rPr>
            </w:pP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服务对象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满意度指标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周边群众</w:t>
            </w:r>
            <w:r>
              <w:rPr>
                <w:rFonts w:hint="eastAsia" w:ascii="宋体" w:cs="宋体"/>
                <w:color w:val="auto"/>
                <w:kern w:val="0"/>
                <w:highlight w:val="none"/>
                <w:lang w:val="en-US" w:eastAsia="zh-CN"/>
              </w:rPr>
              <w:t>满</w:t>
            </w:r>
            <w:r>
              <w:rPr>
                <w:rFonts w:hint="eastAsia" w:ascii="宋体" w:cs="宋体"/>
                <w:color w:val="auto"/>
                <w:kern w:val="0"/>
                <w:highlight w:val="none"/>
              </w:rPr>
              <w:t>意度</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rPr>
              <w:t>≥</w:t>
            </w:r>
            <w:r>
              <w:rPr>
                <w:rFonts w:hint="eastAsia" w:ascii="宋体" w:cs="宋体"/>
                <w:color w:val="auto"/>
                <w:kern w:val="0"/>
                <w:highlight w:val="none"/>
                <w:lang w:val="en-US" w:eastAsia="zh-CN"/>
              </w:rPr>
              <w:t>90</w:t>
            </w:r>
            <w:r>
              <w:rPr>
                <w:rFonts w:hint="eastAsia" w:ascii="宋体" w:cs="宋体"/>
                <w:color w:val="auto"/>
                <w:kern w:val="0"/>
                <w:highlight w:val="none"/>
              </w:rPr>
              <w:t>%</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90%</w:t>
            </w:r>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10</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b/>
                <w:bCs/>
                <w:color w:val="auto"/>
                <w:kern w:val="0"/>
                <w:highlight w:val="none"/>
              </w:rPr>
            </w:pPr>
          </w:p>
        </w:tc>
        <w:tc>
          <w:tcPr>
            <w:tcW w:w="11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偿债风险指标</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rPr>
            </w:pPr>
            <w:r>
              <w:rPr>
                <w:rFonts w:hint="eastAsia" w:ascii="宋体" w:hAnsi="宋体" w:eastAsia="宋体" w:cs="宋体"/>
                <w:b/>
                <w:bCs/>
                <w:color w:val="auto"/>
                <w:kern w:val="2"/>
                <w:lang w:eastAsia="zh-CN"/>
              </w:rPr>
              <w:t>（</w:t>
            </w:r>
            <w:r>
              <w:rPr>
                <w:rFonts w:hint="eastAsia" w:ascii="宋体" w:hAnsi="宋体" w:eastAsia="宋体" w:cs="宋体"/>
                <w:b/>
                <w:bCs/>
                <w:color w:val="auto"/>
                <w:kern w:val="2"/>
                <w:lang w:val="en-US" w:eastAsia="zh-CN"/>
              </w:rPr>
              <w:t>10分</w:t>
            </w:r>
            <w:r>
              <w:rPr>
                <w:rFonts w:hint="eastAsia" w:ascii="宋体" w:hAnsi="宋体" w:eastAsia="宋体" w:cs="宋体"/>
                <w:b/>
                <w:bCs/>
                <w:color w:val="auto"/>
                <w:kern w:val="2"/>
                <w:lang w:eastAsia="zh-CN"/>
              </w:rPr>
              <w:t>）</w:t>
            </w: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lang w:eastAsia="zh-CN"/>
              </w:rPr>
              <w:t>年度收支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平衡指标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sz w:val="18"/>
                <w:szCs w:val="18"/>
                <w:highlight w:val="none"/>
              </w:rPr>
            </w:pPr>
            <w:r>
              <w:rPr>
                <w:rFonts w:hint="eastAsia" w:ascii="宋体" w:cs="宋体"/>
                <w:color w:val="auto"/>
                <w:kern w:val="0"/>
                <w:sz w:val="18"/>
                <w:szCs w:val="18"/>
                <w:highlight w:val="none"/>
              </w:rPr>
              <w:t>年末息前税后净现金流/当年还本付息金额</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eastAsia="宋体" w:cs="宋体"/>
                <w:color w:val="auto"/>
                <w:kern w:val="0"/>
                <w:highlight w:val="none"/>
                <w:lang w:eastAsia="zh-CN"/>
              </w:rPr>
            </w:pPr>
            <w:r>
              <w:rPr>
                <w:rFonts w:hint="eastAsia" w:ascii="宋体" w:cs="宋体"/>
                <w:color w:val="auto"/>
                <w:kern w:val="0"/>
                <w:highlight w:val="none"/>
                <w:lang w:val="en-US" w:eastAsia="zh-CN"/>
              </w:rPr>
              <w:t>不适用</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不适用</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ascii="宋体" w:cs="宋体"/>
                <w:color w:val="auto"/>
                <w:kern w:val="0"/>
                <w:highlight w:val="none"/>
                <w:lang w:val="en-US" w:eastAsia="zh-CN"/>
              </w:rPr>
              <w:t>5</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5</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c>
          <w:tcPr>
            <w:tcW w:w="11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还本付息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还本付息</w:t>
            </w:r>
            <w:r>
              <w:rPr>
                <w:rFonts w:hint="eastAsia" w:ascii="宋体" w:hAnsi="宋体" w:cs="宋体"/>
                <w:color w:val="auto"/>
                <w:kern w:val="0"/>
                <w:sz w:val="18"/>
                <w:szCs w:val="18"/>
                <w:highlight w:val="none"/>
                <w:lang w:eastAsia="zh-CN"/>
              </w:rPr>
              <w:t>执行</w:t>
            </w:r>
            <w:r>
              <w:rPr>
                <w:rFonts w:hint="eastAsia" w:ascii="宋体" w:hAnsi="宋体" w:cs="宋体"/>
                <w:color w:val="auto"/>
                <w:kern w:val="0"/>
                <w:sz w:val="18"/>
                <w:szCs w:val="18"/>
                <w:highlight w:val="none"/>
              </w:rPr>
              <w:t>率</w:t>
            </w:r>
            <w:r>
              <w:rPr>
                <w:rFonts w:hint="eastAsia" w:ascii="宋体" w:hAnsi="宋体" w:cs="宋体"/>
                <w:color w:val="auto"/>
                <w:kern w:val="0"/>
                <w:sz w:val="18"/>
                <w:szCs w:val="18"/>
                <w:highlight w:val="none"/>
                <w:lang w:val="en-US" w:eastAsia="zh-CN"/>
              </w:rPr>
              <w:t>=当年实际还本付息金额/当年应还本付息金额</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w:t>
            </w:r>
          </w:p>
        </w:tc>
        <w:tc>
          <w:tcPr>
            <w:tcW w:w="84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cs="宋体"/>
                <w:color w:val="auto"/>
                <w:kern w:val="0"/>
                <w:highlight w:val="none"/>
              </w:rPr>
            </w:pPr>
            <w:r>
              <w:rPr>
                <w:rFonts w:hint="eastAsia" w:ascii="宋体" w:cs="宋体"/>
                <w:color w:val="auto"/>
                <w:kern w:val="0"/>
                <w:highlight w:val="none"/>
                <w:lang w:val="en-US" w:eastAsia="zh-CN"/>
              </w:rPr>
              <w:t>不适用</w:t>
            </w:r>
          </w:p>
        </w:tc>
        <w:tc>
          <w:tcPr>
            <w:tcW w:w="851"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不适用</w:t>
            </w:r>
            <w:bookmarkStart w:id="0" w:name="_GoBack"/>
            <w:bookmarkEnd w:id="0"/>
          </w:p>
        </w:tc>
        <w:tc>
          <w:tcPr>
            <w:tcW w:w="661"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color w:val="auto"/>
                <w:kern w:val="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宋体"/>
                <w:color w:val="auto"/>
                <w:kern w:val="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5</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5</w:t>
            </w:r>
          </w:p>
        </w:tc>
        <w:tc>
          <w:tcPr>
            <w:tcW w:w="1946"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4"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auto"/>
                <w:kern w:val="0"/>
                <w:highlight w:val="none"/>
              </w:rPr>
            </w:pPr>
            <w:r>
              <w:rPr>
                <w:rFonts w:hint="eastAsia" w:ascii="宋体" w:hAnsi="宋体" w:cs="宋体"/>
                <w:color w:val="auto"/>
                <w:kern w:val="0"/>
                <w:highlight w:val="none"/>
              </w:rPr>
              <w:t>总分</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highlight w:val="none"/>
              </w:rPr>
            </w:pPr>
            <w:r>
              <w:rPr>
                <w:rFonts w:ascii="宋体" w:hAnsi="宋体" w:cs="宋体"/>
                <w:color w:val="auto"/>
                <w:kern w:val="0"/>
                <w:highlight w:val="none"/>
              </w:rPr>
              <w:t>100</w:t>
            </w:r>
          </w:p>
        </w:tc>
        <w:tc>
          <w:tcPr>
            <w:tcW w:w="6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100</w:t>
            </w:r>
          </w:p>
        </w:tc>
        <w:tc>
          <w:tcPr>
            <w:tcW w:w="19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eastAsia="zh-CN"/>
              </w:rPr>
              <w:t>等级：</w:t>
            </w:r>
            <w:r>
              <w:rPr>
                <w:rFonts w:hint="eastAsia" w:ascii="宋体" w:hAnsi="宋体" w:cs="宋体"/>
                <w:color w:val="auto"/>
                <w:kern w:val="0"/>
                <w:highlight w:val="none"/>
                <w:lang w:val="en-US" w:eastAsia="zh-CN"/>
              </w:rPr>
              <w:t>优</w:t>
            </w:r>
          </w:p>
        </w:tc>
      </w:tr>
    </w:tbl>
    <w:p>
      <w:pPr>
        <w:keepNext w:val="0"/>
        <w:keepLines w:val="0"/>
        <w:pageBreakBefore w:val="0"/>
        <w:kinsoku/>
        <w:wordWrap/>
        <w:overflowPunct/>
        <w:topLinePunct w:val="0"/>
        <w:autoSpaceDE/>
        <w:autoSpaceDN/>
        <w:bidi w:val="0"/>
        <w:adjustRightInd/>
        <w:snapToGrid/>
        <w:spacing w:line="578" w:lineRule="exact"/>
        <w:jc w:val="left"/>
        <w:textAlignment w:val="auto"/>
        <w:rPr>
          <w:rFonts w:hint="eastAsia" w:ascii="宋体" w:hAnsi="宋体" w:cs="宋体"/>
          <w:b/>
          <w:bCs/>
          <w:color w:val="000000"/>
          <w:kern w:val="0"/>
          <w:highlight w:val="none"/>
        </w:rPr>
      </w:pPr>
    </w:p>
    <w:p>
      <w:pPr>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rFonts w:hint="eastAsia" w:ascii="宋体" w:hAnsi="宋体" w:eastAsia="宋体" w:cs="宋体"/>
          <w:bCs w:val="0"/>
          <w:color w:val="000000"/>
          <w:kern w:val="0"/>
          <w:sz w:val="21"/>
          <w:szCs w:val="21"/>
          <w:highlight w:val="none"/>
          <w:lang w:eastAsia="zh-CN"/>
        </w:rPr>
      </w:pPr>
      <w:r>
        <w:rPr>
          <w:rFonts w:hint="eastAsia" w:ascii="宋体" w:hAnsi="宋体" w:cs="宋体"/>
          <w:b/>
          <w:bCs/>
          <w:color w:val="000000"/>
          <w:kern w:val="0"/>
          <w:highlight w:val="none"/>
        </w:rPr>
        <w:t>注：</w:t>
      </w:r>
      <w:r>
        <w:rPr>
          <w:rFonts w:hint="eastAsia" w:ascii="宋体" w:hAnsi="宋体" w:cs="宋体"/>
          <w:bCs w:val="0"/>
          <w:color w:val="000000"/>
          <w:kern w:val="0"/>
          <w:sz w:val="21"/>
          <w:szCs w:val="21"/>
          <w:highlight w:val="none"/>
          <w:lang w:val="en-US" w:eastAsia="zh-CN"/>
        </w:rPr>
        <w:t>1.</w:t>
      </w:r>
      <w:r>
        <w:rPr>
          <w:rFonts w:hint="eastAsia" w:ascii="宋体" w:hAnsi="宋体" w:eastAsia="宋体" w:cs="宋体"/>
          <w:bCs w:val="0"/>
          <w:color w:val="000000"/>
          <w:kern w:val="0"/>
          <w:sz w:val="21"/>
          <w:szCs w:val="21"/>
          <w:highlight w:val="none"/>
          <w:lang w:eastAsia="zh-CN"/>
        </w:rPr>
        <w:t>采用定量与定性评价相结合的比较法。</w:t>
      </w:r>
    </w:p>
    <w:p>
      <w:pPr>
        <w:keepNext w:val="0"/>
        <w:keepLines w:val="0"/>
        <w:pageBreakBefore w:val="0"/>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bCs w:val="0"/>
          <w:color w:val="000000"/>
          <w:kern w:val="0"/>
          <w:sz w:val="21"/>
          <w:szCs w:val="21"/>
          <w:highlight w:val="none"/>
        </w:rPr>
      </w:pPr>
      <w:r>
        <w:rPr>
          <w:rFonts w:hint="eastAsia" w:ascii="宋体" w:hAnsi="宋体" w:cs="宋体"/>
          <w:bCs w:val="0"/>
          <w:color w:val="000000"/>
          <w:kern w:val="0"/>
          <w:sz w:val="21"/>
          <w:szCs w:val="21"/>
          <w:highlight w:val="none"/>
          <w:lang w:eastAsia="zh-CN"/>
        </w:rPr>
        <w:t>（</w:t>
      </w:r>
      <w:r>
        <w:rPr>
          <w:rFonts w:hint="eastAsia" w:ascii="宋体" w:hAnsi="宋体" w:cs="宋体"/>
          <w:bCs w:val="0"/>
          <w:color w:val="000000"/>
          <w:kern w:val="0"/>
          <w:sz w:val="21"/>
          <w:szCs w:val="21"/>
          <w:highlight w:val="none"/>
          <w:lang w:val="en-US" w:eastAsia="zh-CN"/>
        </w:rPr>
        <w:t>1</w:t>
      </w:r>
      <w:r>
        <w:rPr>
          <w:rFonts w:hint="eastAsia" w:ascii="宋体" w:hAnsi="宋体" w:cs="宋体"/>
          <w:bCs w:val="0"/>
          <w:color w:val="000000"/>
          <w:kern w:val="0"/>
          <w:sz w:val="21"/>
          <w:szCs w:val="21"/>
          <w:highlight w:val="none"/>
          <w:lang w:eastAsia="zh-CN"/>
        </w:rPr>
        <w:t>）</w:t>
      </w:r>
      <w:r>
        <w:rPr>
          <w:rFonts w:hint="eastAsia" w:ascii="宋体" w:hAnsi="宋体" w:eastAsia="宋体" w:cs="宋体"/>
          <w:bCs w:val="0"/>
          <w:color w:val="000000"/>
          <w:kern w:val="0"/>
          <w:sz w:val="21"/>
          <w:szCs w:val="21"/>
          <w:highlight w:val="none"/>
        </w:rPr>
        <w:t>定量指标得分评定</w:t>
      </w:r>
      <w:r>
        <w:rPr>
          <w:rFonts w:hint="eastAsia" w:ascii="宋体" w:hAnsi="宋体" w:eastAsia="宋体" w:cs="宋体"/>
          <w:bCs w:val="0"/>
          <w:color w:val="000000"/>
          <w:kern w:val="0"/>
          <w:sz w:val="21"/>
          <w:szCs w:val="21"/>
          <w:highlight w:val="none"/>
          <w:lang w:eastAsia="zh-CN"/>
        </w:rPr>
        <w:t>方法</w:t>
      </w:r>
      <w:r>
        <w:rPr>
          <w:rFonts w:hint="eastAsia" w:ascii="宋体" w:hAnsi="宋体" w:eastAsia="宋体" w:cs="宋体"/>
          <w:bCs w:val="0"/>
          <w:color w:val="000000"/>
          <w:kern w:val="0"/>
          <w:sz w:val="21"/>
          <w:szCs w:val="21"/>
          <w:highlight w:val="none"/>
        </w:rPr>
        <w:t>：与年初</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标值相比，完成</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标值的，记该指标所赋全部分值；对完成值高于</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标值较多的，要分析原因，如果是由于年初</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标值设定明显偏低造成的，要按照偏离度适度调减分值；未完成</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标值的，按照完成值与</w:t>
      </w:r>
      <w:r>
        <w:rPr>
          <w:rFonts w:hint="eastAsia" w:ascii="宋体" w:hAnsi="宋体" w:eastAsia="宋体" w:cs="宋体"/>
          <w:bCs w:val="0"/>
          <w:color w:val="000000"/>
          <w:kern w:val="0"/>
          <w:sz w:val="21"/>
          <w:szCs w:val="21"/>
          <w:highlight w:val="none"/>
          <w:lang w:eastAsia="zh-CN"/>
        </w:rPr>
        <w:t>目</w:t>
      </w:r>
      <w:r>
        <w:rPr>
          <w:rFonts w:hint="eastAsia" w:ascii="宋体" w:hAnsi="宋体" w:eastAsia="宋体" w:cs="宋体"/>
          <w:bCs w:val="0"/>
          <w:color w:val="000000"/>
          <w:kern w:val="0"/>
          <w:sz w:val="21"/>
          <w:szCs w:val="21"/>
          <w:highlight w:val="none"/>
        </w:rPr>
        <w:t>标值的比例记分。</w:t>
      </w:r>
    </w:p>
    <w:p>
      <w:pPr>
        <w:keepNext w:val="0"/>
        <w:keepLines w:val="0"/>
        <w:pageBreakBefore w:val="0"/>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bCs w:val="0"/>
          <w:color w:val="000000"/>
          <w:kern w:val="0"/>
          <w:sz w:val="21"/>
          <w:szCs w:val="21"/>
          <w:highlight w:val="none"/>
        </w:rPr>
      </w:pPr>
      <w:r>
        <w:rPr>
          <w:rFonts w:hint="eastAsia" w:ascii="宋体" w:hAnsi="宋体" w:eastAsia="宋体" w:cs="宋体"/>
          <w:bCs w:val="0"/>
          <w:color w:val="000000"/>
          <w:kern w:val="0"/>
          <w:sz w:val="21"/>
          <w:szCs w:val="21"/>
          <w:highlight w:val="none"/>
          <w:lang w:eastAsia="zh-CN"/>
        </w:rPr>
        <w:t>（</w:t>
      </w:r>
      <w:r>
        <w:rPr>
          <w:rFonts w:hint="eastAsia" w:ascii="宋体" w:hAnsi="宋体" w:eastAsia="宋体" w:cs="宋体"/>
          <w:bCs w:val="0"/>
          <w:color w:val="000000"/>
          <w:kern w:val="0"/>
          <w:sz w:val="21"/>
          <w:szCs w:val="21"/>
          <w:highlight w:val="none"/>
          <w:lang w:val="en-US" w:eastAsia="zh-CN"/>
        </w:rPr>
        <w:t>2</w:t>
      </w:r>
      <w:r>
        <w:rPr>
          <w:rFonts w:hint="eastAsia" w:ascii="宋体" w:hAnsi="宋体" w:eastAsia="宋体" w:cs="宋体"/>
          <w:bCs w:val="0"/>
          <w:color w:val="000000"/>
          <w:kern w:val="0"/>
          <w:sz w:val="21"/>
          <w:szCs w:val="21"/>
          <w:highlight w:val="none"/>
          <w:lang w:eastAsia="zh-CN"/>
        </w:rPr>
        <w:t>）</w:t>
      </w:r>
      <w:r>
        <w:rPr>
          <w:rFonts w:hint="eastAsia" w:ascii="宋体" w:hAnsi="宋体" w:eastAsia="宋体" w:cs="宋体"/>
          <w:bCs w:val="0"/>
          <w:color w:val="000000"/>
          <w:kern w:val="0"/>
          <w:sz w:val="21"/>
          <w:szCs w:val="21"/>
          <w:highlight w:val="none"/>
        </w:rPr>
        <w:t>定性指标得分评定</w:t>
      </w:r>
      <w:r>
        <w:rPr>
          <w:rFonts w:hint="eastAsia" w:ascii="宋体" w:hAnsi="宋体" w:eastAsia="宋体" w:cs="宋体"/>
          <w:bCs w:val="0"/>
          <w:color w:val="000000"/>
          <w:kern w:val="0"/>
          <w:sz w:val="21"/>
          <w:szCs w:val="21"/>
          <w:highlight w:val="none"/>
          <w:lang w:eastAsia="zh-CN"/>
        </w:rPr>
        <w:t>方法</w:t>
      </w:r>
      <w:r>
        <w:rPr>
          <w:rFonts w:hint="eastAsia" w:ascii="宋体" w:hAnsi="宋体" w:eastAsia="宋体" w:cs="宋体"/>
          <w:bCs w:val="0"/>
          <w:color w:val="000000"/>
          <w:kern w:val="0"/>
          <w:sz w:val="21"/>
          <w:szCs w:val="21"/>
          <w:highlight w:val="none"/>
        </w:rPr>
        <w:t>：根据指标完成情况分为达成年度指标、部分达成年度指标并具有一定效果、未达成年度指标且效果较差三档，分别按照该指标对应分值区间100%-80%（含）、80%-60%（含）、60%-0%合理确定分值。</w:t>
      </w:r>
    </w:p>
    <w:p>
      <w:pPr>
        <w:keepNext w:val="0"/>
        <w:keepLines w:val="0"/>
        <w:pageBreakBefore w:val="0"/>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bCs w:val="0"/>
          <w:color w:val="000000"/>
          <w:kern w:val="0"/>
          <w:sz w:val="21"/>
          <w:szCs w:val="21"/>
          <w:highlight w:val="none"/>
        </w:rPr>
      </w:pPr>
      <w:r>
        <w:rPr>
          <w:rFonts w:hint="eastAsia" w:ascii="宋体" w:hAnsi="宋体" w:cs="宋体"/>
          <w:bCs w:val="0"/>
          <w:color w:val="000000"/>
          <w:kern w:val="0"/>
          <w:sz w:val="21"/>
          <w:szCs w:val="21"/>
          <w:highlight w:val="none"/>
          <w:lang w:val="en-US" w:eastAsia="zh-CN"/>
        </w:rPr>
        <w:t>2</w:t>
      </w:r>
      <w:r>
        <w:rPr>
          <w:rFonts w:hint="eastAsia" w:ascii="宋体" w:hAnsi="宋体" w:eastAsia="宋体" w:cs="宋体"/>
          <w:bCs w:val="0"/>
          <w:color w:val="000000"/>
          <w:kern w:val="0"/>
          <w:sz w:val="21"/>
          <w:szCs w:val="21"/>
          <w:highlight w:val="none"/>
          <w:lang w:val="en-US" w:eastAsia="zh-CN"/>
        </w:rPr>
        <w:t>.等级：</w:t>
      </w:r>
      <w:r>
        <w:rPr>
          <w:rFonts w:hint="eastAsia" w:ascii="宋体" w:hAnsi="宋体" w:eastAsia="宋体" w:cs="宋体"/>
          <w:bCs w:val="0"/>
          <w:color w:val="000000"/>
          <w:kern w:val="0"/>
          <w:sz w:val="21"/>
          <w:szCs w:val="21"/>
          <w:highlight w:val="none"/>
          <w:lang w:eastAsia="zh-CN"/>
        </w:rPr>
        <w:t>评分为90分（含）以上的为“优”，80分（含）至90分的为“良”，60分（含）至80分的为“中”，60分以下的为“差”。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25263E9"/>
    <w:rsid w:val="08834F34"/>
    <w:rsid w:val="160457F4"/>
    <w:rsid w:val="18D540F3"/>
    <w:rsid w:val="1AF5395E"/>
    <w:rsid w:val="1FBFFA9C"/>
    <w:rsid w:val="29E057D9"/>
    <w:rsid w:val="2B2838DB"/>
    <w:rsid w:val="2FD656B4"/>
    <w:rsid w:val="3BBD1022"/>
    <w:rsid w:val="3BEF184C"/>
    <w:rsid w:val="3EBD0998"/>
    <w:rsid w:val="3FE756BB"/>
    <w:rsid w:val="4A1947CF"/>
    <w:rsid w:val="4E0E5172"/>
    <w:rsid w:val="55D26B88"/>
    <w:rsid w:val="57D71407"/>
    <w:rsid w:val="5B7E0A64"/>
    <w:rsid w:val="5C966047"/>
    <w:rsid w:val="5E4775F9"/>
    <w:rsid w:val="5FBE3694"/>
    <w:rsid w:val="6B5D66AE"/>
    <w:rsid w:val="6BFF0E5A"/>
    <w:rsid w:val="70021E41"/>
    <w:rsid w:val="7CA271D0"/>
    <w:rsid w:val="7F9FB452"/>
    <w:rsid w:val="855A5837"/>
    <w:rsid w:val="AFB76985"/>
    <w:rsid w:val="BEF215EE"/>
    <w:rsid w:val="C9FB1294"/>
    <w:rsid w:val="DDFF7113"/>
    <w:rsid w:val="FB3916F2"/>
    <w:rsid w:val="FBFB93E2"/>
    <w:rsid w:val="FFD344D5"/>
    <w:rsid w:val="FFEB835D"/>
    <w:rsid w:val="FFFD6B51"/>
    <w:rsid w:val="FFFF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pPr>
    <w:rPr>
      <w:rFonts w:ascii="Times New Roman" w:hAnsi="Times New Roman" w:eastAsia="宋体" w:cs="Times New Roman"/>
      <w:szCs w:val="20"/>
    </w:rPr>
  </w:style>
  <w:style w:type="paragraph" w:styleId="3">
    <w:name w:val="Body Text"/>
    <w:basedOn w:val="1"/>
    <w:next w:val="4"/>
    <w:qFormat/>
    <w:uiPriority w:val="0"/>
    <w:pPr>
      <w:spacing w:after="120"/>
    </w:pPr>
    <w:rPr>
      <w:rFonts w:ascii="Times New Roman" w:hAnsi="Times New Roman" w:eastAsia="宋体" w:cs="Times New Roman"/>
      <w:szCs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1092</Words>
  <Characters>1190</Characters>
  <Lines>0</Lines>
  <Paragraphs>0</Paragraphs>
  <TotalTime>0</TotalTime>
  <ScaleCrop>false</ScaleCrop>
  <LinksUpToDate>false</LinksUpToDate>
  <CharactersWithSpaces>1190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yt</cp:lastModifiedBy>
  <cp:lastPrinted>2026-04-02T15:56:00Z</cp:lastPrinted>
  <dcterms:modified xsi:type="dcterms:W3CDTF">2026-04-23T10:59:45Z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2B5109559FDB76D67BEDC96944EF6836</vt:lpwstr>
  </property>
  <property fmtid="{D5CDD505-2E9C-101B-9397-08002B2CF9AE}" pid="4" name="KSOTemplateDocerSaveRecord">
    <vt:lpwstr>eyJoZGlkIjoiYTYxOWUxNzhiMGNkZDZlYmQ5Zjc3Y2Q4ODZmMDE3YjgiLCJ1c2VySWQiOiIzMjYxNjk3MTMifQ==</vt:lpwstr>
  </property>
</Properties>
</file>