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 w:rightChars="1"/>
        <w:jc w:val="center"/>
        <w:rPr>
          <w:rFonts w:hint="eastAsia"/>
          <w:b/>
          <w:sz w:val="72"/>
          <w:szCs w:val="72"/>
        </w:rPr>
      </w:pPr>
      <w:r>
        <w:rPr>
          <w:rFonts w:hint="eastAsia"/>
          <w:b/>
          <w:sz w:val="72"/>
          <w:szCs w:val="72"/>
        </w:rPr>
        <w:t>深圳市盐田区司法局</w:t>
      </w:r>
    </w:p>
    <w:p>
      <w:pPr>
        <w:ind w:right="2" w:rightChars="1"/>
        <w:jc w:val="center"/>
        <w:rPr>
          <w:rFonts w:hint="eastAsia"/>
          <w:b/>
          <w:sz w:val="72"/>
          <w:szCs w:val="72"/>
        </w:rPr>
      </w:pPr>
      <w:r>
        <w:rPr>
          <w:rFonts w:hint="eastAsia"/>
          <w:b/>
          <w:sz w:val="72"/>
          <w:szCs w:val="72"/>
        </w:rPr>
        <w:t>招标文件</w:t>
      </w:r>
    </w:p>
    <w:p>
      <w:pPr>
        <w:rPr>
          <w:rFonts w:hint="eastAsia"/>
        </w:rPr>
      </w:pPr>
    </w:p>
    <w:p>
      <w:pPr>
        <w:rPr>
          <w:rFonts w:hint="eastAsia"/>
        </w:rPr>
      </w:pPr>
    </w:p>
    <w:p>
      <w:pPr>
        <w:rPr>
          <w:rFonts w:hint="eastAsia"/>
        </w:rPr>
      </w:pPr>
    </w:p>
    <w:p>
      <w:pPr>
        <w:rPr>
          <w:rFonts w:hint="eastAsia"/>
        </w:rPr>
      </w:pPr>
    </w:p>
    <w:p>
      <w:pPr>
        <w:rPr>
          <w:rFonts w:hint="eastAsia"/>
        </w:rPr>
      </w:pPr>
    </w:p>
    <w:p/>
    <w:p>
      <w:pPr>
        <w:pStyle w:val="2"/>
      </w:pPr>
    </w:p>
    <w:p/>
    <w:p>
      <w:pPr>
        <w:pStyle w:val="2"/>
      </w:pPr>
    </w:p>
    <w:p/>
    <w:p>
      <w:pPr>
        <w:pStyle w:val="2"/>
      </w:pPr>
    </w:p>
    <w:p/>
    <w:p>
      <w:pPr>
        <w:pStyle w:val="2"/>
        <w:sectPr>
          <w:pgSz w:w="11906" w:h="16838"/>
          <w:pgMar w:top="1440" w:right="1800" w:bottom="1440" w:left="1800" w:header="851" w:footer="992" w:gutter="0"/>
          <w:cols w:space="720" w:num="1"/>
          <w:docGrid w:type="lines" w:linePitch="312" w:charSpace="0"/>
        </w:sectPr>
      </w:pPr>
    </w:p>
    <w:p>
      <w:pPr>
        <w:pStyle w:val="4"/>
        <w:numPr>
          <w:ilvl w:val="0"/>
          <w:numId w:val="0"/>
        </w:numPr>
        <w:jc w:val="center"/>
        <w:rPr>
          <w:rFonts w:hint="eastAsia"/>
          <w:sz w:val="36"/>
        </w:rPr>
      </w:pPr>
      <w:r>
        <w:rPr>
          <w:rFonts w:hint="eastAsia"/>
          <w:sz w:val="36"/>
        </w:rPr>
        <w:t>关键信息</w:t>
      </w:r>
    </w:p>
    <w:p>
      <w:pPr>
        <w:pStyle w:val="5"/>
        <w:numPr>
          <w:ilvl w:val="1"/>
          <w:numId w:val="0"/>
        </w:numPr>
        <w:jc w:val="center"/>
        <w:rPr>
          <w:rFonts w:ascii="宋体" w:hAnsi="宋体"/>
        </w:rPr>
      </w:pPr>
      <w:r>
        <w:rPr>
          <w:rFonts w:hint="eastAsia"/>
        </w:rPr>
        <w:t>项目信息</w:t>
      </w:r>
      <w:r>
        <w:rPr>
          <w:rFonts w:ascii="宋体" w:hAnsi="宋体"/>
        </w:rPr>
        <w:t xml:space="preserve"> </w:t>
      </w:r>
    </w:p>
    <w:p>
      <w:pPr>
        <w:tabs>
          <w:tab w:val="left" w:pos="5850"/>
        </w:tabs>
        <w:rPr>
          <w:rFonts w:hint="eastAsia" w:ascii="宋体" w:hAnsi="宋体" w:eastAsia="宋体"/>
          <w:sz w:val="32"/>
          <w:lang w:val="en"/>
        </w:rPr>
      </w:pPr>
      <w:r>
        <w:rPr>
          <w:rFonts w:ascii="宋体" w:hAnsi="宋体"/>
          <w:sz w:val="32"/>
        </w:rPr>
        <w:t xml:space="preserve">     </w:t>
      </w:r>
      <w:r>
        <w:rPr>
          <w:rFonts w:ascii="宋体" w:hAnsi="宋体" w:eastAsia="宋体"/>
          <w:sz w:val="32"/>
        </w:rPr>
        <w:t xml:space="preserve"> 项目名称：</w:t>
      </w:r>
      <w:bookmarkStart w:id="0" w:name="OLE_LINK1"/>
      <w:r>
        <w:rPr>
          <w:rFonts w:hint="eastAsia" w:ascii="宋体" w:hAnsi="宋体" w:eastAsia="宋体"/>
          <w:sz w:val="32"/>
        </w:rPr>
        <w:t>行政复议调解服务项目</w:t>
      </w:r>
      <w:bookmarkEnd w:id="0"/>
    </w:p>
    <w:p>
      <w:pPr>
        <w:tabs>
          <w:tab w:val="left" w:pos="5850"/>
        </w:tabs>
        <w:rPr>
          <w:rFonts w:ascii="宋体" w:hAnsi="宋体" w:eastAsia="宋体"/>
          <w:sz w:val="32"/>
        </w:rPr>
      </w:pPr>
      <w:r>
        <w:rPr>
          <w:rFonts w:ascii="宋体" w:hAnsi="宋体" w:eastAsia="宋体"/>
          <w:sz w:val="32"/>
        </w:rPr>
        <w:t xml:space="preserve">      项目类型：</w:t>
      </w:r>
      <w:r>
        <w:rPr>
          <w:rFonts w:hint="eastAsia" w:ascii="宋体" w:hAnsi="宋体" w:eastAsia="宋体"/>
          <w:sz w:val="32"/>
        </w:rPr>
        <w:t>服务</w:t>
      </w:r>
      <w:r>
        <w:rPr>
          <w:rFonts w:ascii="宋体" w:hAnsi="宋体" w:eastAsia="宋体"/>
          <w:sz w:val="32"/>
        </w:rPr>
        <w:t>类</w:t>
      </w:r>
      <w:r>
        <w:rPr>
          <w:rFonts w:ascii="宋体" w:hAnsi="宋体" w:eastAsia="宋体"/>
          <w:sz w:val="32"/>
        </w:rPr>
        <w:tab/>
      </w:r>
    </w:p>
    <w:p>
      <w:pPr>
        <w:tabs>
          <w:tab w:val="left" w:pos="5850"/>
        </w:tabs>
        <w:rPr>
          <w:rFonts w:hint="eastAsia" w:ascii="宋体" w:hAnsi="宋体" w:eastAsia="宋体"/>
          <w:sz w:val="32"/>
          <w:lang w:eastAsia="zh-CN"/>
        </w:rPr>
      </w:pPr>
      <w:r>
        <w:rPr>
          <w:rFonts w:ascii="宋体" w:hAnsi="宋体" w:eastAsia="宋体"/>
          <w:sz w:val="32"/>
        </w:rPr>
        <w:t xml:space="preserve">      采购方式：</w:t>
      </w:r>
      <w:r>
        <w:rPr>
          <w:rFonts w:hint="eastAsia" w:ascii="宋体" w:hAnsi="宋体" w:eastAsia="宋体"/>
          <w:sz w:val="32"/>
          <w:lang w:eastAsia="zh-CN"/>
        </w:rPr>
        <w:t>公开征集</w:t>
      </w:r>
    </w:p>
    <w:p>
      <w:pPr>
        <w:tabs>
          <w:tab w:val="left" w:pos="5850"/>
        </w:tabs>
        <w:ind w:firstLine="960" w:firstLineChars="300"/>
        <w:rPr>
          <w:rFonts w:hint="eastAsia" w:ascii="宋体" w:hAnsi="宋体" w:eastAsia="宋体"/>
          <w:sz w:val="32"/>
          <w:lang w:eastAsia="zh-CN"/>
        </w:rPr>
      </w:pPr>
      <w:r>
        <w:rPr>
          <w:rFonts w:hint="eastAsia" w:ascii="宋体" w:hAnsi="宋体" w:eastAsia="宋体"/>
          <w:sz w:val="32"/>
          <w:lang w:eastAsia="zh-CN"/>
        </w:rPr>
        <w:t>评标方式：综合评分</w:t>
      </w:r>
    </w:p>
    <w:p>
      <w:pPr>
        <w:tabs>
          <w:tab w:val="left" w:pos="5850"/>
        </w:tabs>
        <w:rPr>
          <w:rFonts w:ascii="宋体" w:hAnsi="宋体" w:eastAsia="宋体"/>
          <w:sz w:val="32"/>
        </w:rPr>
      </w:pPr>
      <w:r>
        <w:rPr>
          <w:rFonts w:ascii="宋体" w:hAnsi="宋体" w:eastAsia="宋体"/>
          <w:sz w:val="32"/>
        </w:rPr>
        <w:t xml:space="preserve">      货币类型：人民币</w:t>
      </w:r>
    </w:p>
    <w:p>
      <w:pPr>
        <w:pStyle w:val="5"/>
        <w:numPr>
          <w:ilvl w:val="1"/>
          <w:numId w:val="0"/>
        </w:numPr>
        <w:jc w:val="center"/>
        <w:rPr>
          <w:lang w:val="en"/>
        </w:rPr>
      </w:pPr>
      <w:r>
        <w:rPr>
          <w:rFonts w:hint="eastAsia"/>
          <w:lang w:val="en"/>
        </w:rPr>
        <w:t>用户需求</w:t>
      </w:r>
    </w:p>
    <w:tbl>
      <w:tblPr>
        <w:tblStyle w:val="10"/>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1"/>
        <w:gridCol w:w="2160"/>
        <w:gridCol w:w="555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51" w:type="dxa"/>
            <w:tcBorders>
              <w:top w:val="double" w:color="auto" w:sz="4" w:space="0"/>
              <w:left w:val="double" w:color="auto" w:sz="4" w:space="0"/>
              <w:bottom w:val="single" w:color="auto" w:sz="6" w:space="0"/>
              <w:right w:val="single" w:color="auto" w:sz="6" w:space="0"/>
            </w:tcBorders>
            <w:noWrap w:val="0"/>
            <w:vAlign w:val="center"/>
          </w:tcPr>
          <w:p>
            <w:pPr>
              <w:ind w:right="2" w:rightChars="1"/>
              <w:jc w:val="center"/>
              <w:rPr>
                <w:rFonts w:ascii="宋体" w:hAnsi="宋体"/>
                <w:b/>
                <w:bCs/>
              </w:rPr>
            </w:pPr>
            <w:r>
              <w:rPr>
                <w:rFonts w:hint="eastAsia" w:ascii="宋体" w:hAnsi="宋体"/>
                <w:b/>
                <w:bCs/>
              </w:rPr>
              <w:t>序号</w:t>
            </w:r>
          </w:p>
        </w:tc>
        <w:tc>
          <w:tcPr>
            <w:tcW w:w="2160" w:type="dxa"/>
            <w:tcBorders>
              <w:top w:val="double" w:color="auto" w:sz="4" w:space="0"/>
              <w:left w:val="single" w:color="auto" w:sz="6" w:space="0"/>
              <w:bottom w:val="single" w:color="auto" w:sz="6" w:space="0"/>
              <w:right w:val="single" w:color="auto" w:sz="6" w:space="0"/>
            </w:tcBorders>
            <w:noWrap w:val="0"/>
            <w:vAlign w:val="center"/>
          </w:tcPr>
          <w:p>
            <w:pPr>
              <w:ind w:right="2" w:rightChars="1"/>
              <w:jc w:val="center"/>
              <w:rPr>
                <w:rFonts w:ascii="宋体" w:hAnsi="宋体"/>
                <w:b/>
                <w:bCs/>
              </w:rPr>
            </w:pPr>
            <w:r>
              <w:rPr>
                <w:rFonts w:hint="eastAsia" w:ascii="宋体" w:hAnsi="宋体"/>
                <w:b/>
                <w:bCs/>
              </w:rPr>
              <w:t>内   容</w:t>
            </w:r>
          </w:p>
        </w:tc>
        <w:tc>
          <w:tcPr>
            <w:tcW w:w="5556" w:type="dxa"/>
            <w:tcBorders>
              <w:top w:val="double" w:color="auto" w:sz="4" w:space="0"/>
              <w:left w:val="single" w:color="auto" w:sz="6" w:space="0"/>
              <w:bottom w:val="single" w:color="auto" w:sz="6" w:space="0"/>
              <w:right w:val="double" w:color="auto" w:sz="4" w:space="0"/>
            </w:tcBorders>
            <w:noWrap w:val="0"/>
            <w:vAlign w:val="center"/>
          </w:tcPr>
          <w:p>
            <w:pPr>
              <w:ind w:right="2" w:rightChars="1"/>
              <w:jc w:val="center"/>
              <w:rPr>
                <w:rFonts w:ascii="宋体" w:hAnsi="宋体"/>
                <w:b/>
                <w:bCs/>
              </w:rPr>
            </w:pPr>
            <w:r>
              <w:rPr>
                <w:rFonts w:hint="eastAsia" w:ascii="宋体" w:hAnsi="宋体"/>
                <w:b/>
                <w:bCs/>
              </w:rPr>
              <w:t>规      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51" w:type="dxa"/>
            <w:tcBorders>
              <w:top w:val="single" w:color="auto" w:sz="6" w:space="0"/>
              <w:left w:val="double" w:color="auto" w:sz="4" w:space="0"/>
              <w:bottom w:val="single" w:color="auto" w:sz="6" w:space="0"/>
              <w:right w:val="single" w:color="auto" w:sz="6" w:space="0"/>
            </w:tcBorders>
            <w:noWrap w:val="0"/>
            <w:vAlign w:val="center"/>
          </w:tcPr>
          <w:p>
            <w:pPr>
              <w:ind w:right="2" w:rightChars="1"/>
              <w:jc w:val="center"/>
              <w:rPr>
                <w:rFonts w:ascii="宋体" w:hAnsi="宋体"/>
              </w:rPr>
            </w:pPr>
            <w:r>
              <w:rPr>
                <w:rFonts w:hint="eastAsia" w:ascii="宋体" w:hAnsi="宋体"/>
              </w:rPr>
              <w:t>1</w:t>
            </w:r>
          </w:p>
        </w:tc>
        <w:tc>
          <w:tcPr>
            <w:tcW w:w="216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r>
              <w:rPr>
                <w:rFonts w:hint="eastAsia" w:ascii="宋体" w:hAnsi="宋体"/>
              </w:rPr>
              <w:t>资金来源及所属行业</w:t>
            </w:r>
          </w:p>
        </w:tc>
        <w:tc>
          <w:tcPr>
            <w:tcW w:w="5556" w:type="dxa"/>
            <w:tcBorders>
              <w:top w:val="single" w:color="auto" w:sz="6" w:space="0"/>
              <w:left w:val="single" w:color="auto" w:sz="6" w:space="0"/>
              <w:bottom w:val="single" w:color="auto" w:sz="6" w:space="0"/>
              <w:right w:val="double" w:color="auto" w:sz="4" w:space="0"/>
            </w:tcBorders>
            <w:noWrap w:val="0"/>
            <w:vAlign w:val="center"/>
          </w:tcPr>
          <w:p>
            <w:pPr>
              <w:rPr>
                <w:rFonts w:ascii="宋体" w:hAnsi="宋体"/>
              </w:rPr>
            </w:pPr>
            <w:r>
              <w:rPr>
                <w:rFonts w:hint="eastAsia" w:ascii="宋体" w:hAnsi="宋体"/>
              </w:rPr>
              <w:t>财政性资金100%。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51" w:type="dxa"/>
            <w:tcBorders>
              <w:top w:val="single" w:color="auto" w:sz="6" w:space="0"/>
              <w:left w:val="double" w:color="auto" w:sz="4" w:space="0"/>
              <w:bottom w:val="single" w:color="auto" w:sz="6" w:space="0"/>
              <w:right w:val="single" w:color="auto" w:sz="6" w:space="0"/>
            </w:tcBorders>
            <w:noWrap w:val="0"/>
            <w:vAlign w:val="center"/>
          </w:tcPr>
          <w:p>
            <w:pPr>
              <w:ind w:right="2" w:rightChars="1"/>
              <w:jc w:val="center"/>
              <w:rPr>
                <w:rFonts w:ascii="宋体" w:hAnsi="宋体"/>
              </w:rPr>
            </w:pPr>
            <w:r>
              <w:rPr>
                <w:rFonts w:hint="eastAsia" w:ascii="宋体" w:hAnsi="宋体"/>
              </w:rPr>
              <w:t>2</w:t>
            </w:r>
          </w:p>
        </w:tc>
        <w:tc>
          <w:tcPr>
            <w:tcW w:w="216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r>
              <w:rPr>
                <w:rFonts w:hint="eastAsia" w:ascii="宋体" w:hAnsi="宋体"/>
              </w:rPr>
              <w:t>采购单位</w:t>
            </w:r>
          </w:p>
        </w:tc>
        <w:tc>
          <w:tcPr>
            <w:tcW w:w="5556" w:type="dxa"/>
            <w:tcBorders>
              <w:top w:val="single" w:color="auto" w:sz="6" w:space="0"/>
              <w:left w:val="single" w:color="auto" w:sz="6" w:space="0"/>
              <w:bottom w:val="single" w:color="auto" w:sz="6" w:space="0"/>
              <w:right w:val="double" w:color="auto" w:sz="4" w:space="0"/>
            </w:tcBorders>
            <w:noWrap w:val="0"/>
            <w:vAlign w:val="center"/>
          </w:tcPr>
          <w:p>
            <w:pPr>
              <w:rPr>
                <w:rFonts w:ascii="宋体" w:hAnsi="宋体"/>
                <w:lang w:val="en"/>
              </w:rPr>
            </w:pPr>
            <w:r>
              <w:rPr>
                <w:rFonts w:ascii="宋体" w:hAnsi="宋体"/>
                <w:lang w:val="en"/>
              </w:rPr>
              <w:t>深圳市盐田区司法局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51" w:type="dxa"/>
            <w:tcBorders>
              <w:top w:val="single" w:color="auto" w:sz="6" w:space="0"/>
              <w:left w:val="double" w:color="auto" w:sz="4" w:space="0"/>
              <w:bottom w:val="single" w:color="auto" w:sz="6" w:space="0"/>
              <w:right w:val="single" w:color="auto" w:sz="6" w:space="0"/>
            </w:tcBorders>
            <w:noWrap w:val="0"/>
            <w:vAlign w:val="center"/>
          </w:tcPr>
          <w:p>
            <w:pPr>
              <w:ind w:right="2" w:rightChars="1"/>
              <w:jc w:val="center"/>
              <w:rPr>
                <w:rFonts w:ascii="宋体" w:hAnsi="宋体"/>
              </w:rPr>
            </w:pPr>
            <w:r>
              <w:rPr>
                <w:rFonts w:hint="eastAsia" w:ascii="宋体" w:hAnsi="宋体"/>
              </w:rPr>
              <w:t>3</w:t>
            </w:r>
          </w:p>
        </w:tc>
        <w:tc>
          <w:tcPr>
            <w:tcW w:w="216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r>
              <w:rPr>
                <w:rFonts w:hint="eastAsia" w:ascii="宋体" w:hAnsi="宋体"/>
              </w:rPr>
              <w:t>项目名称</w:t>
            </w:r>
          </w:p>
        </w:tc>
        <w:tc>
          <w:tcPr>
            <w:tcW w:w="5556" w:type="dxa"/>
            <w:tcBorders>
              <w:top w:val="single" w:color="auto" w:sz="6" w:space="0"/>
              <w:left w:val="single" w:color="auto" w:sz="6" w:space="0"/>
              <w:bottom w:val="single" w:color="auto" w:sz="6" w:space="0"/>
              <w:right w:val="double" w:color="auto" w:sz="4" w:space="0"/>
            </w:tcBorders>
            <w:noWrap w:val="0"/>
            <w:vAlign w:val="center"/>
          </w:tcPr>
          <w:p>
            <w:pPr>
              <w:rPr>
                <w:rFonts w:ascii="宋体" w:hAnsi="宋体"/>
              </w:rPr>
            </w:pPr>
            <w:r>
              <w:rPr>
                <w:rFonts w:hint="eastAsia" w:ascii="宋体" w:hAnsi="宋体"/>
              </w:rPr>
              <w:t>行政复议调解服务项目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51" w:type="dxa"/>
            <w:tcBorders>
              <w:top w:val="single" w:color="auto" w:sz="6" w:space="0"/>
              <w:left w:val="double" w:color="auto" w:sz="4" w:space="0"/>
              <w:bottom w:val="single" w:color="auto" w:sz="6" w:space="0"/>
              <w:right w:val="single" w:color="auto" w:sz="6" w:space="0"/>
            </w:tcBorders>
            <w:noWrap w:val="0"/>
            <w:vAlign w:val="center"/>
          </w:tcPr>
          <w:p>
            <w:pPr>
              <w:ind w:right="2" w:rightChars="1"/>
              <w:jc w:val="center"/>
              <w:rPr>
                <w:rFonts w:ascii="宋体" w:hAnsi="宋体"/>
              </w:rPr>
            </w:pPr>
            <w:r>
              <w:rPr>
                <w:rFonts w:hint="eastAsia" w:ascii="宋体" w:hAnsi="宋体"/>
              </w:rPr>
              <w:t>4</w:t>
            </w:r>
          </w:p>
        </w:tc>
        <w:tc>
          <w:tcPr>
            <w:tcW w:w="216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r>
              <w:rPr>
                <w:rFonts w:hint="eastAsia" w:ascii="宋体" w:hAnsi="宋体"/>
              </w:rPr>
              <w:t>投标报价的上限</w:t>
            </w:r>
          </w:p>
        </w:tc>
        <w:tc>
          <w:tcPr>
            <w:tcW w:w="5556" w:type="dxa"/>
            <w:tcBorders>
              <w:top w:val="single" w:color="auto" w:sz="6" w:space="0"/>
              <w:left w:val="single" w:color="auto" w:sz="6" w:space="0"/>
              <w:bottom w:val="single" w:color="auto" w:sz="6" w:space="0"/>
              <w:right w:val="double" w:color="auto" w:sz="4" w:space="0"/>
            </w:tcBorders>
            <w:noWrap w:val="0"/>
            <w:vAlign w:val="center"/>
          </w:tcPr>
          <w:p>
            <w:pPr>
              <w:rPr>
                <w:rFonts w:ascii="宋体" w:hAnsi="宋体"/>
              </w:rPr>
            </w:pPr>
            <w:r>
              <w:rPr>
                <w:rFonts w:hint="eastAsia" w:ascii="宋体" w:hAnsi="宋体"/>
              </w:rPr>
              <w:t>预算控制金额：</w:t>
            </w:r>
            <w:r>
              <w:rPr>
                <w:rFonts w:hint="eastAsia" w:ascii="宋体" w:hAnsi="宋体"/>
                <w:u w:val="single"/>
                <w:lang w:val="en-US" w:eastAsia="zh-CN"/>
              </w:rPr>
              <w:t>20</w:t>
            </w:r>
            <w:r>
              <w:rPr>
                <w:rFonts w:hint="eastAsia" w:ascii="宋体" w:hAnsi="宋体"/>
              </w:rPr>
              <w:t>万元，币种：人民币。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51" w:type="dxa"/>
            <w:tcBorders>
              <w:top w:val="single" w:color="auto" w:sz="6" w:space="0"/>
              <w:left w:val="double" w:color="auto" w:sz="4" w:space="0"/>
              <w:bottom w:val="single" w:color="auto" w:sz="6" w:space="0"/>
              <w:right w:val="single" w:color="auto" w:sz="6" w:space="0"/>
            </w:tcBorders>
            <w:noWrap w:val="0"/>
            <w:vAlign w:val="center"/>
          </w:tcPr>
          <w:p>
            <w:pPr>
              <w:ind w:right="2" w:rightChars="1"/>
              <w:jc w:val="center"/>
              <w:rPr>
                <w:rFonts w:ascii="宋体" w:hAnsi="宋体"/>
              </w:rPr>
            </w:pPr>
            <w:r>
              <w:rPr>
                <w:rFonts w:hint="eastAsia" w:ascii="宋体" w:hAnsi="宋体"/>
              </w:rPr>
              <w:t>5</w:t>
            </w:r>
          </w:p>
        </w:tc>
        <w:tc>
          <w:tcPr>
            <w:tcW w:w="216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r>
              <w:rPr>
                <w:rFonts w:hint="eastAsia" w:ascii="宋体" w:hAnsi="宋体"/>
              </w:rPr>
              <w:t>投标人的资质要求</w:t>
            </w:r>
          </w:p>
        </w:tc>
        <w:tc>
          <w:tcPr>
            <w:tcW w:w="5556" w:type="dxa"/>
            <w:tcBorders>
              <w:top w:val="single" w:color="auto" w:sz="6" w:space="0"/>
              <w:left w:val="single" w:color="auto" w:sz="6" w:space="0"/>
              <w:bottom w:val="single" w:color="auto" w:sz="6" w:space="0"/>
              <w:right w:val="double" w:color="auto" w:sz="4" w:space="0"/>
            </w:tcBorders>
            <w:noWrap w:val="0"/>
            <w:vAlign w:val="center"/>
          </w:tcPr>
          <w:p>
            <w:pPr>
              <w:rPr>
                <w:rFonts w:ascii="宋体" w:hAnsi="宋体"/>
                <w:szCs w:val="21"/>
              </w:rPr>
            </w:pPr>
            <w:r>
              <w:rPr>
                <w:rFonts w:hint="eastAsia"/>
                <w:b/>
                <w:bCs/>
                <w:szCs w:val="21"/>
              </w:rPr>
              <w:t>详见“投标文件初审表”</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51" w:type="dxa"/>
            <w:tcBorders>
              <w:top w:val="single" w:color="auto" w:sz="6" w:space="0"/>
              <w:left w:val="double" w:color="auto" w:sz="4" w:space="0"/>
              <w:bottom w:val="single" w:color="auto" w:sz="6" w:space="0"/>
              <w:right w:val="single" w:color="auto" w:sz="6" w:space="0"/>
            </w:tcBorders>
            <w:noWrap w:val="0"/>
            <w:vAlign w:val="center"/>
          </w:tcPr>
          <w:p>
            <w:pPr>
              <w:ind w:right="2" w:rightChars="1"/>
              <w:jc w:val="center"/>
              <w:rPr>
                <w:rFonts w:ascii="宋体" w:hAnsi="宋体"/>
              </w:rPr>
            </w:pPr>
            <w:r>
              <w:rPr>
                <w:rFonts w:hint="eastAsia" w:ascii="宋体" w:hAnsi="宋体"/>
              </w:rPr>
              <w:t>6</w:t>
            </w:r>
          </w:p>
        </w:tc>
        <w:tc>
          <w:tcPr>
            <w:tcW w:w="2160" w:type="dxa"/>
            <w:tcBorders>
              <w:top w:val="single" w:color="auto" w:sz="6" w:space="0"/>
              <w:left w:val="single" w:color="auto" w:sz="6" w:space="0"/>
              <w:bottom w:val="single" w:color="auto" w:sz="6" w:space="0"/>
              <w:right w:val="single" w:color="auto" w:sz="6" w:space="0"/>
            </w:tcBorders>
            <w:noWrap w:val="0"/>
            <w:vAlign w:val="center"/>
          </w:tcPr>
          <w:p>
            <w:pPr>
              <w:ind w:right="2" w:rightChars="1"/>
              <w:rPr>
                <w:rFonts w:hint="eastAsia" w:ascii="宋体" w:hAnsi="宋体"/>
              </w:rPr>
            </w:pPr>
            <w:r>
              <w:rPr>
                <w:rFonts w:hint="eastAsia" w:ascii="宋体" w:hAnsi="宋体"/>
              </w:rPr>
              <w:t>联合体投标</w:t>
            </w:r>
          </w:p>
        </w:tc>
        <w:tc>
          <w:tcPr>
            <w:tcW w:w="5556" w:type="dxa"/>
            <w:tcBorders>
              <w:top w:val="single" w:color="auto" w:sz="6" w:space="0"/>
              <w:left w:val="single" w:color="auto" w:sz="6" w:space="0"/>
              <w:bottom w:val="single" w:color="auto" w:sz="6" w:space="0"/>
              <w:right w:val="double" w:color="auto" w:sz="4" w:space="0"/>
            </w:tcBorders>
            <w:noWrap w:val="0"/>
            <w:vAlign w:val="center"/>
          </w:tcPr>
          <w:p>
            <w:pPr>
              <w:ind w:right="2" w:rightChars="1"/>
              <w:rPr>
                <w:rFonts w:hint="eastAsia" w:ascii="宋体" w:hAnsi="宋体"/>
              </w:rPr>
            </w:pPr>
            <w:r>
              <w:rPr>
                <w:rFonts w:hint="eastAsia" w:ascii="宋体" w:hAnsi="宋体"/>
                <w:lang w:val="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51" w:type="dxa"/>
            <w:tcBorders>
              <w:top w:val="single" w:color="auto" w:sz="6" w:space="0"/>
              <w:left w:val="double" w:color="auto" w:sz="4" w:space="0"/>
              <w:bottom w:val="single" w:color="auto" w:sz="6" w:space="0"/>
              <w:right w:val="single" w:color="auto" w:sz="6" w:space="0"/>
            </w:tcBorders>
            <w:noWrap w:val="0"/>
            <w:vAlign w:val="center"/>
          </w:tcPr>
          <w:p>
            <w:pPr>
              <w:ind w:right="2" w:rightChars="1"/>
              <w:jc w:val="center"/>
              <w:rPr>
                <w:rFonts w:hint="eastAsia" w:ascii="宋体" w:hAnsi="宋体"/>
              </w:rPr>
            </w:pPr>
            <w:r>
              <w:rPr>
                <w:rFonts w:hint="eastAsia" w:ascii="宋体" w:hAnsi="宋体"/>
              </w:rPr>
              <w:t>7</w:t>
            </w:r>
          </w:p>
        </w:tc>
        <w:tc>
          <w:tcPr>
            <w:tcW w:w="2160" w:type="dxa"/>
            <w:tcBorders>
              <w:top w:val="single" w:color="auto" w:sz="6" w:space="0"/>
              <w:left w:val="single" w:color="auto" w:sz="6" w:space="0"/>
              <w:bottom w:val="single" w:color="auto" w:sz="6" w:space="0"/>
              <w:right w:val="single" w:color="auto" w:sz="6" w:space="0"/>
            </w:tcBorders>
            <w:noWrap w:val="0"/>
            <w:vAlign w:val="center"/>
          </w:tcPr>
          <w:p>
            <w:pPr>
              <w:ind w:right="2" w:rightChars="1"/>
              <w:rPr>
                <w:rFonts w:ascii="宋体" w:hAnsi="宋体"/>
              </w:rPr>
            </w:pPr>
            <w:r>
              <w:rPr>
                <w:rFonts w:hint="eastAsia" w:ascii="宋体" w:hAnsi="宋体"/>
              </w:rPr>
              <w:t>投标人的替代方案</w:t>
            </w:r>
          </w:p>
        </w:tc>
        <w:tc>
          <w:tcPr>
            <w:tcW w:w="5556" w:type="dxa"/>
            <w:tcBorders>
              <w:top w:val="single" w:color="auto" w:sz="6" w:space="0"/>
              <w:left w:val="single" w:color="auto" w:sz="6" w:space="0"/>
              <w:bottom w:val="single" w:color="auto" w:sz="6" w:space="0"/>
              <w:right w:val="double" w:color="auto" w:sz="4" w:space="0"/>
            </w:tcBorders>
            <w:noWrap w:val="0"/>
            <w:vAlign w:val="center"/>
          </w:tcPr>
          <w:p>
            <w:pPr>
              <w:ind w:right="2" w:rightChars="1"/>
              <w:rPr>
                <w:rFonts w:ascii="宋体" w:hAnsi="宋体"/>
              </w:rPr>
            </w:pPr>
            <w:r>
              <w:rPr>
                <w:rFonts w:hint="eastAsia" w:ascii="宋体" w:hAnsi="宋体"/>
              </w:rPr>
              <w:t>不允许。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30" w:hRule="atLeast"/>
          <w:jc w:val="center"/>
        </w:trPr>
        <w:tc>
          <w:tcPr>
            <w:tcW w:w="651" w:type="dxa"/>
            <w:tcBorders>
              <w:top w:val="single" w:color="auto" w:sz="6" w:space="0"/>
              <w:left w:val="double" w:color="auto" w:sz="4" w:space="0"/>
              <w:bottom w:val="single" w:color="auto" w:sz="4" w:space="0"/>
              <w:right w:val="single" w:color="auto" w:sz="6" w:space="0"/>
            </w:tcBorders>
            <w:noWrap w:val="0"/>
            <w:vAlign w:val="center"/>
          </w:tcPr>
          <w:p>
            <w:pPr>
              <w:ind w:right="2" w:rightChars="1"/>
              <w:jc w:val="center"/>
              <w:rPr>
                <w:rFonts w:hint="eastAsia" w:ascii="宋体" w:hAnsi="宋体"/>
              </w:rPr>
            </w:pPr>
            <w:r>
              <w:rPr>
                <w:rFonts w:hint="eastAsia" w:ascii="宋体" w:hAnsi="宋体"/>
              </w:rPr>
              <w:t>8</w:t>
            </w:r>
          </w:p>
        </w:tc>
        <w:tc>
          <w:tcPr>
            <w:tcW w:w="2160" w:type="dxa"/>
            <w:tcBorders>
              <w:top w:val="single" w:color="auto" w:sz="6" w:space="0"/>
              <w:left w:val="single" w:color="auto" w:sz="6" w:space="0"/>
              <w:bottom w:val="single" w:color="auto" w:sz="4" w:space="0"/>
              <w:right w:val="single" w:color="auto" w:sz="6" w:space="0"/>
            </w:tcBorders>
            <w:noWrap w:val="0"/>
            <w:vAlign w:val="center"/>
          </w:tcPr>
          <w:p>
            <w:pPr>
              <w:ind w:right="2" w:rightChars="1"/>
              <w:rPr>
                <w:rFonts w:hint="eastAsia" w:ascii="宋体" w:hAnsi="宋体"/>
              </w:rPr>
            </w:pPr>
            <w:r>
              <w:rPr>
                <w:rFonts w:hint="eastAsia" w:ascii="宋体" w:hAnsi="宋体"/>
              </w:rPr>
              <w:t>服务内容</w:t>
            </w:r>
          </w:p>
        </w:tc>
        <w:tc>
          <w:tcPr>
            <w:tcW w:w="5556" w:type="dxa"/>
            <w:tcBorders>
              <w:top w:val="single" w:color="auto" w:sz="6" w:space="0"/>
              <w:left w:val="single" w:color="auto" w:sz="6" w:space="0"/>
              <w:bottom w:val="single" w:color="auto" w:sz="4" w:space="0"/>
              <w:right w:val="double" w:color="auto" w:sz="4" w:space="0"/>
            </w:tcBorders>
            <w:noWrap w:val="0"/>
            <w:vAlign w:val="center"/>
          </w:tcPr>
          <w:p>
            <w:pPr>
              <w:spacing w:line="240" w:lineRule="auto"/>
              <w:ind w:right="2" w:rightChars="1" w:firstLine="0" w:firstLineChars="0"/>
              <w:rPr>
                <w:rFonts w:hint="eastAsia" w:ascii="宋体" w:hAnsi="宋体" w:eastAsia="宋体" w:cs="Times New Roman"/>
                <w:sz w:val="21"/>
                <w:szCs w:val="24"/>
              </w:rPr>
            </w:pPr>
            <w:bookmarkStart w:id="1" w:name="OLE_LINK3"/>
            <w:r>
              <w:rPr>
                <w:rFonts w:hint="eastAsia" w:ascii="宋体" w:hAnsi="宋体" w:eastAsia="宋体" w:cs="Times New Roman"/>
                <w:sz w:val="21"/>
                <w:szCs w:val="24"/>
                <w:lang w:val="en-US" w:eastAsia="zh-CN"/>
              </w:rPr>
              <w:t>1.</w:t>
            </w:r>
            <w:r>
              <w:rPr>
                <w:rFonts w:hint="eastAsia" w:ascii="宋体" w:hAnsi="宋体" w:eastAsia="宋体" w:cs="Times New Roman"/>
                <w:sz w:val="21"/>
                <w:szCs w:val="24"/>
              </w:rPr>
              <w:t>安排两名人员负责协助处理</w:t>
            </w:r>
            <w:r>
              <w:rPr>
                <w:rFonts w:hint="eastAsia" w:ascii="宋体" w:hAnsi="宋体" w:eastAsia="宋体" w:cs="Times New Roman"/>
                <w:sz w:val="21"/>
                <w:szCs w:val="24"/>
                <w:lang w:eastAsia="zh-CN"/>
              </w:rPr>
              <w:t>行政复议工作中发现的</w:t>
            </w:r>
            <w:r>
              <w:rPr>
                <w:rFonts w:hint="eastAsia" w:ascii="宋体" w:hAnsi="宋体" w:eastAsia="宋体" w:cs="Times New Roman"/>
                <w:sz w:val="21"/>
                <w:szCs w:val="24"/>
              </w:rPr>
              <w:t>各种行政争议和纠纷，对行政复议案件进行先行调解，并做好复议后的释法说理工作；</w:t>
            </w:r>
          </w:p>
          <w:p>
            <w:pPr>
              <w:spacing w:line="240" w:lineRule="auto"/>
              <w:ind w:right="2" w:rightChars="1" w:firstLine="0" w:firstLineChars="0"/>
              <w:rPr>
                <w:rFonts w:hint="eastAsia" w:ascii="宋体" w:hAnsi="宋体" w:eastAsia="宋体" w:cs="Times New Roman"/>
                <w:sz w:val="21"/>
                <w:szCs w:val="24"/>
              </w:rPr>
            </w:pPr>
            <w:r>
              <w:rPr>
                <w:rFonts w:hint="eastAsia" w:ascii="宋体" w:hAnsi="宋体" w:eastAsia="宋体" w:cs="Times New Roman"/>
                <w:sz w:val="21"/>
                <w:szCs w:val="24"/>
                <w:lang w:val="en-US" w:eastAsia="zh-CN"/>
              </w:rPr>
              <w:t>2.</w:t>
            </w:r>
            <w:r>
              <w:rPr>
                <w:rFonts w:hint="eastAsia" w:ascii="宋体" w:hAnsi="宋体" w:eastAsia="宋体" w:cs="Times New Roman"/>
                <w:sz w:val="21"/>
                <w:szCs w:val="24"/>
              </w:rPr>
              <w:t>参与非诉讼谈判、协商、调解工作。</w:t>
            </w:r>
          </w:p>
          <w:bookmarkEnd w:id="1"/>
          <w:p>
            <w:pPr>
              <w:ind w:right="2" w:rightChars="1"/>
              <w:rPr>
                <w:rFonts w:hint="eastAsia" w:eastAsia="仿宋_GB2312"/>
              </w:rPr>
            </w:pPr>
          </w:p>
        </w:tc>
      </w:tr>
    </w:tbl>
    <w:p>
      <w:pPr>
        <w:pStyle w:val="5"/>
        <w:numPr>
          <w:ilvl w:val="1"/>
          <w:numId w:val="0"/>
        </w:numPr>
        <w:spacing w:line="520" w:lineRule="exact"/>
        <w:jc w:val="center"/>
        <w:rPr>
          <w:rFonts w:hint="eastAsia"/>
          <w:color w:val="0000FF"/>
          <w:sz w:val="36"/>
        </w:rPr>
      </w:pPr>
      <w:r>
        <w:br w:type="page"/>
      </w:r>
      <w:r>
        <w:rPr>
          <w:rFonts w:hint="eastAsia"/>
          <w:sz w:val="36"/>
        </w:rPr>
        <w:t>投标文件初审表</w:t>
      </w:r>
    </w:p>
    <w:tbl>
      <w:tblPr>
        <w:tblStyle w:val="10"/>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8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1" w:type="dxa"/>
            <w:gridSpan w:val="2"/>
            <w:noWrap w:val="0"/>
            <w:vAlign w:val="top"/>
          </w:tcPr>
          <w:p>
            <w:pPr>
              <w:jc w:val="center"/>
              <w:rPr>
                <w:rFonts w:hint="eastAsia"/>
                <w:color w:val="000000"/>
              </w:rPr>
            </w:pPr>
            <w:r>
              <w:rPr>
                <w:rFonts w:hint="eastAsia"/>
                <w:color w:val="000000"/>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noWrap w:val="0"/>
            <w:vAlign w:val="top"/>
          </w:tcPr>
          <w:p>
            <w:pPr>
              <w:ind w:right="2" w:rightChars="1"/>
              <w:rPr>
                <w:rFonts w:hint="eastAsia"/>
              </w:rPr>
            </w:pPr>
            <w:r>
              <w:t>1</w:t>
            </w:r>
          </w:p>
        </w:tc>
        <w:tc>
          <w:tcPr>
            <w:tcW w:w="8795" w:type="dxa"/>
            <w:noWrap w:val="0"/>
            <w:vAlign w:val="top"/>
          </w:tcPr>
          <w:p>
            <w:pPr>
              <w:rPr>
                <w:rFonts w:hint="eastAsia"/>
                <w:color w:val="000000"/>
              </w:rPr>
            </w:pPr>
            <w:r>
              <w:rPr>
                <w:rFonts w:hint="eastAsia"/>
                <w:color w:val="000000"/>
              </w:rPr>
              <w:t>应答书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noWrap w:val="0"/>
            <w:vAlign w:val="top"/>
          </w:tcPr>
          <w:p>
            <w:pPr>
              <w:ind w:right="2" w:rightChars="1"/>
              <w:rPr>
                <w:rFonts w:hint="eastAsia"/>
              </w:rPr>
            </w:pPr>
            <w:r>
              <w:rPr>
                <w:rFonts w:hint="eastAsia"/>
              </w:rPr>
              <w:t>2</w:t>
            </w:r>
          </w:p>
        </w:tc>
        <w:tc>
          <w:tcPr>
            <w:tcW w:w="8795" w:type="dxa"/>
            <w:noWrap w:val="0"/>
            <w:vAlign w:val="top"/>
          </w:tcPr>
          <w:p>
            <w:pPr>
              <w:rPr>
                <w:rFonts w:hint="eastAsia"/>
                <w:color w:val="000000"/>
              </w:rPr>
            </w:pPr>
            <w:r>
              <w:rPr>
                <w:rFonts w:hint="eastAsia"/>
              </w:rPr>
              <w:t>投标人须提供有效的《营业执照》或其他有效主体资格证明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6" w:type="dxa"/>
            <w:noWrap w:val="0"/>
            <w:vAlign w:val="top"/>
          </w:tcPr>
          <w:p>
            <w:pPr>
              <w:ind w:right="2" w:rightChars="1"/>
              <w:rPr>
                <w:rFonts w:hint="eastAsia"/>
              </w:rPr>
            </w:pPr>
            <w:r>
              <w:rPr>
                <w:rFonts w:hint="eastAsia"/>
              </w:rPr>
              <w:t>3</w:t>
            </w:r>
          </w:p>
        </w:tc>
        <w:tc>
          <w:tcPr>
            <w:tcW w:w="8795" w:type="dxa"/>
            <w:noWrap w:val="0"/>
            <w:vAlign w:val="top"/>
          </w:tcPr>
          <w:p>
            <w:pPr>
              <w:rPr>
                <w:rFonts w:hint="eastAsia"/>
                <w:color w:val="000000"/>
              </w:rPr>
            </w:pPr>
            <w:r>
              <w:rPr>
                <w:rFonts w:hint="eastAsia"/>
                <w:color w:val="000000"/>
              </w:rPr>
              <w:t>投标人须提供法定代表人（负责人））证明书、身份证复印件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noWrap w:val="0"/>
            <w:vAlign w:val="top"/>
          </w:tcPr>
          <w:p>
            <w:pPr>
              <w:ind w:right="2" w:rightChars="1"/>
              <w:rPr>
                <w:rFonts w:hint="eastAsia"/>
              </w:rPr>
            </w:pPr>
            <w:r>
              <w:rPr>
                <w:rFonts w:hint="eastAsia"/>
              </w:rPr>
              <w:t>4</w:t>
            </w:r>
          </w:p>
        </w:tc>
        <w:tc>
          <w:tcPr>
            <w:tcW w:w="8795" w:type="dxa"/>
            <w:noWrap w:val="0"/>
            <w:vAlign w:val="top"/>
          </w:tcPr>
          <w:p>
            <w:pPr>
              <w:rPr>
                <w:rFonts w:hint="eastAsia"/>
                <w:color w:val="000000"/>
              </w:rPr>
            </w:pPr>
            <w:r>
              <w:rPr>
                <w:rFonts w:hint="eastAsia"/>
                <w:color w:val="000000"/>
              </w:rPr>
              <w:t>投标人须提供法定代表人（负责人）授权委托书、委托代理人身份证复印件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noWrap w:val="0"/>
            <w:vAlign w:val="top"/>
          </w:tcPr>
          <w:p>
            <w:pPr>
              <w:ind w:right="2" w:rightChars="1"/>
              <w:rPr>
                <w:rFonts w:hint="eastAsia"/>
              </w:rPr>
            </w:pPr>
            <w:r>
              <w:rPr>
                <w:rFonts w:hint="eastAsia"/>
              </w:rPr>
              <w:t>5</w:t>
            </w:r>
          </w:p>
        </w:tc>
        <w:tc>
          <w:tcPr>
            <w:tcW w:w="8795" w:type="dxa"/>
            <w:noWrap w:val="0"/>
            <w:vAlign w:val="top"/>
          </w:tcPr>
          <w:p>
            <w:pPr>
              <w:ind w:right="2" w:rightChars="1"/>
              <w:rPr>
                <w:rFonts w:hint="eastAsia"/>
                <w:b/>
              </w:rPr>
            </w:pPr>
            <w:r>
              <w:rPr>
                <w:rFonts w:hint="eastAsia" w:ascii="宋体" w:hAnsi="宋体" w:cs="宋体"/>
                <w:b/>
                <w:kern w:val="0"/>
                <w:szCs w:val="21"/>
              </w:rPr>
              <w:t>参与本项目投标前三年内，在经营活动中没有重大违法记录（由投标人在《</w:t>
            </w:r>
            <w:r>
              <w:rPr>
                <w:rFonts w:hint="eastAsia"/>
                <w:b/>
                <w:szCs w:val="21"/>
              </w:rPr>
              <w:t>承诺函</w:t>
            </w:r>
            <w:r>
              <w:rPr>
                <w:rFonts w:hint="eastAsia" w:ascii="宋体" w:hAnsi="宋体" w:cs="宋体"/>
                <w:b/>
                <w:kern w:val="0"/>
                <w:szCs w:val="21"/>
              </w:rPr>
              <w:t>》中作出声明）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noWrap w:val="0"/>
            <w:vAlign w:val="top"/>
          </w:tcPr>
          <w:p>
            <w:pPr>
              <w:ind w:right="2" w:rightChars="1"/>
              <w:rPr>
                <w:rFonts w:hint="eastAsia"/>
              </w:rPr>
            </w:pPr>
            <w:r>
              <w:rPr>
                <w:rFonts w:hint="eastAsia"/>
              </w:rPr>
              <w:t>6</w:t>
            </w:r>
          </w:p>
        </w:tc>
        <w:tc>
          <w:tcPr>
            <w:tcW w:w="8795" w:type="dxa"/>
            <w:noWrap w:val="0"/>
            <w:vAlign w:val="top"/>
          </w:tcPr>
          <w:p>
            <w:pPr>
              <w:ind w:right="2" w:rightChars="1"/>
              <w:rPr>
                <w:rFonts w:hint="eastAsia"/>
                <w:b/>
              </w:rPr>
            </w:pPr>
            <w:r>
              <w:rPr>
                <w:rFonts w:hint="eastAsia" w:ascii="宋体" w:hAnsi="宋体" w:cs="宋体"/>
                <w:b/>
                <w:kern w:val="0"/>
                <w:szCs w:val="21"/>
              </w:rPr>
              <w:t>参与本项目政府采购活动时不存在被有关部门禁止参与政府采购活动且在有效期内的情况（由投标人在《</w:t>
            </w:r>
            <w:r>
              <w:rPr>
                <w:rFonts w:hint="eastAsia"/>
                <w:b/>
                <w:szCs w:val="21"/>
              </w:rPr>
              <w:t>承诺函</w:t>
            </w:r>
            <w:r>
              <w:rPr>
                <w:rFonts w:hint="eastAsia" w:ascii="宋体" w:hAnsi="宋体" w:cs="宋体"/>
                <w:b/>
                <w:kern w:val="0"/>
                <w:szCs w:val="21"/>
              </w:rPr>
              <w:t>》中作出声明）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06" w:type="dxa"/>
            <w:noWrap w:val="0"/>
            <w:vAlign w:val="top"/>
          </w:tcPr>
          <w:p>
            <w:pPr>
              <w:ind w:right="2" w:rightChars="1"/>
              <w:rPr>
                <w:rFonts w:hint="eastAsia"/>
              </w:rPr>
            </w:pPr>
            <w:r>
              <w:rPr>
                <w:rFonts w:hint="eastAsia"/>
              </w:rPr>
              <w:t>7</w:t>
            </w:r>
          </w:p>
        </w:tc>
        <w:tc>
          <w:tcPr>
            <w:tcW w:w="8795" w:type="dxa"/>
            <w:noWrap w:val="0"/>
            <w:vAlign w:val="top"/>
          </w:tcPr>
          <w:p>
            <w:pPr>
              <w:ind w:right="2" w:rightChars="1"/>
              <w:rPr>
                <w:rFonts w:hint="eastAsia"/>
                <w:b/>
              </w:rPr>
            </w:pPr>
            <w:r>
              <w:rPr>
                <w:rFonts w:hint="eastAsia" w:ascii="宋体" w:hAnsi="宋体" w:cs="宋体"/>
                <w:b/>
                <w:kern w:val="0"/>
                <w:szCs w:val="21"/>
              </w:rPr>
              <w:t>参与政府采购项目投标人</w:t>
            </w:r>
            <w:r>
              <w:rPr>
                <w:rFonts w:hint="eastAsia"/>
                <w:b/>
              </w:rPr>
              <w:t>未被列入失信被执行人、重大税收违法案件当事人名单、政府采购严重违法失信行为记录名单</w:t>
            </w:r>
            <w:r>
              <w:rPr>
                <w:b/>
              </w:rPr>
              <w:t>（</w:t>
            </w:r>
            <w:r>
              <w:rPr>
                <w:rFonts w:hint="eastAsia" w:ascii="宋体" w:hAnsi="宋体" w:cs="宋体"/>
                <w:b/>
                <w:kern w:val="0"/>
                <w:szCs w:val="21"/>
              </w:rPr>
              <w:t>由投标人在《承诺函》中作出声明）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401" w:type="dxa"/>
            <w:gridSpan w:val="2"/>
            <w:noWrap w:val="0"/>
            <w:vAlign w:val="top"/>
          </w:tcPr>
          <w:p>
            <w:pPr>
              <w:jc w:val="center"/>
              <w:rPr>
                <w:rFonts w:hint="eastAsia"/>
                <w:color w:val="000000"/>
              </w:rPr>
            </w:pPr>
            <w:r>
              <w:rPr>
                <w:rFonts w:hint="eastAsia"/>
                <w:color w:val="000000"/>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noWrap w:val="0"/>
            <w:vAlign w:val="top"/>
          </w:tcPr>
          <w:p>
            <w:pPr>
              <w:ind w:right="2" w:rightChars="1"/>
              <w:rPr>
                <w:rFonts w:hint="eastAsia"/>
                <w:color w:val="000000"/>
              </w:rPr>
            </w:pPr>
            <w:r>
              <w:t>1</w:t>
            </w:r>
          </w:p>
        </w:tc>
        <w:tc>
          <w:tcPr>
            <w:tcW w:w="8795" w:type="dxa"/>
            <w:noWrap w:val="0"/>
            <w:vAlign w:val="top"/>
          </w:tcPr>
          <w:p>
            <w:pPr>
              <w:ind w:right="2" w:rightChars="1"/>
              <w:rPr>
                <w:rFonts w:hint="eastAsia"/>
              </w:rPr>
            </w:pPr>
            <w:r>
              <w:rPr>
                <w:rFonts w:hint="eastAsia"/>
              </w:rPr>
              <w:t>投标总价不高于财政预算限额，且投标报价须按招标文件要求进行报价的。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noWrap w:val="0"/>
            <w:vAlign w:val="top"/>
          </w:tcPr>
          <w:p>
            <w:pPr>
              <w:ind w:right="2" w:rightChars="1"/>
              <w:rPr>
                <w:rFonts w:hint="eastAsia"/>
                <w:color w:val="000000"/>
                <w:highlight w:val="yellow"/>
              </w:rPr>
            </w:pPr>
            <w:r>
              <w:rPr>
                <w:rFonts w:hint="eastAsia"/>
              </w:rPr>
              <w:t>2</w:t>
            </w:r>
          </w:p>
        </w:tc>
        <w:tc>
          <w:tcPr>
            <w:tcW w:w="8795" w:type="dxa"/>
            <w:noWrap w:val="0"/>
            <w:vAlign w:val="top"/>
          </w:tcPr>
          <w:p>
            <w:pPr>
              <w:ind w:right="2" w:rightChars="1"/>
              <w:rPr>
                <w:rFonts w:hint="eastAsia"/>
                <w:color w:val="FF0000"/>
                <w:highlight w:val="yellow"/>
              </w:rPr>
            </w:pP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noWrap w:val="0"/>
            <w:vAlign w:val="top"/>
          </w:tcPr>
          <w:p>
            <w:pPr>
              <w:ind w:right="2" w:rightChars="1"/>
              <w:rPr>
                <w:rFonts w:hint="eastAsia"/>
                <w:color w:val="000000"/>
              </w:rPr>
            </w:pPr>
            <w:r>
              <w:rPr>
                <w:rFonts w:hint="eastAsia"/>
              </w:rPr>
              <w:t>3</w:t>
            </w:r>
          </w:p>
        </w:tc>
        <w:tc>
          <w:tcPr>
            <w:tcW w:w="8795" w:type="dxa"/>
            <w:noWrap w:val="0"/>
            <w:vAlign w:val="top"/>
          </w:tcPr>
          <w:p>
            <w:pPr>
              <w:rPr>
                <w:rFonts w:hint="eastAsia"/>
                <w:color w:val="FF0000"/>
              </w:rPr>
            </w:pPr>
            <w:r>
              <w:rPr>
                <w:rFonts w:hint="eastAsia"/>
                <w:szCs w:val="21"/>
              </w:rPr>
              <w:t>投标人须按招标文件要求提供《承诺函》，若提供虚假承诺将按废标处理，并报送政府采购监督主管部门进行处罚。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noWrap w:val="0"/>
            <w:vAlign w:val="top"/>
          </w:tcPr>
          <w:p>
            <w:pPr>
              <w:ind w:right="2" w:rightChars="1"/>
              <w:rPr>
                <w:rFonts w:hint="eastAsia"/>
                <w:color w:val="000000"/>
              </w:rPr>
            </w:pPr>
            <w:r>
              <w:rPr>
                <w:rFonts w:hint="eastAsia"/>
              </w:rPr>
              <w:t>4</w:t>
            </w:r>
          </w:p>
        </w:tc>
        <w:tc>
          <w:tcPr>
            <w:tcW w:w="8795" w:type="dxa"/>
            <w:noWrap w:val="0"/>
            <w:vAlign w:val="top"/>
          </w:tcPr>
          <w:p>
            <w:pPr>
              <w:rPr>
                <w:rFonts w:hint="eastAsia"/>
                <w:szCs w:val="21"/>
              </w:rPr>
            </w:pPr>
            <w:r>
              <w:rPr>
                <w:rFonts w:hint="eastAsia"/>
                <w:szCs w:val="21"/>
              </w:rPr>
              <w:t>没有擅自拆包投标。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noWrap w:val="0"/>
            <w:vAlign w:val="top"/>
          </w:tcPr>
          <w:p>
            <w:pPr>
              <w:ind w:right="2" w:rightChars="1"/>
              <w:rPr>
                <w:rFonts w:hint="eastAsia"/>
                <w:color w:val="000000"/>
              </w:rPr>
            </w:pPr>
            <w:r>
              <w:rPr>
                <w:rFonts w:hint="eastAsia"/>
              </w:rPr>
              <w:t>5</w:t>
            </w:r>
          </w:p>
        </w:tc>
        <w:tc>
          <w:tcPr>
            <w:tcW w:w="8795" w:type="dxa"/>
            <w:noWrap w:val="0"/>
            <w:vAlign w:val="top"/>
          </w:tcPr>
          <w:p>
            <w:pPr>
              <w:rPr>
                <w:rFonts w:hint="eastAsia"/>
                <w:szCs w:val="21"/>
              </w:rPr>
            </w:pPr>
            <w:r>
              <w:rPr>
                <w:rFonts w:hint="eastAsia"/>
                <w:szCs w:val="21"/>
              </w:rPr>
              <w:t>招标文件未规定允许有替代方案时，对同一服务投标时，没有同时提供两套或两套以上的投标方案。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noWrap w:val="0"/>
            <w:vAlign w:val="top"/>
          </w:tcPr>
          <w:p>
            <w:pPr>
              <w:ind w:right="2" w:rightChars="1"/>
              <w:rPr>
                <w:rFonts w:hint="eastAsia"/>
                <w:color w:val="000000"/>
              </w:rPr>
            </w:pPr>
            <w:r>
              <w:rPr>
                <w:rFonts w:hint="eastAsia"/>
              </w:rPr>
              <w:t>6</w:t>
            </w:r>
          </w:p>
        </w:tc>
        <w:tc>
          <w:tcPr>
            <w:tcW w:w="8795" w:type="dxa"/>
            <w:noWrap w:val="0"/>
            <w:vAlign w:val="top"/>
          </w:tcPr>
          <w:p>
            <w:pPr>
              <w:rPr>
                <w:rFonts w:hint="eastAsia"/>
                <w:szCs w:val="21"/>
              </w:rPr>
            </w:pPr>
            <w:r>
              <w:rPr>
                <w:rFonts w:hint="eastAsia"/>
                <w:szCs w:val="21"/>
              </w:rPr>
              <w:t>不存在同一项目出现两个及以上报价，按规定又无法确定哪个是有效报价的情况。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noWrap w:val="0"/>
            <w:vAlign w:val="top"/>
          </w:tcPr>
          <w:p>
            <w:pPr>
              <w:ind w:right="2" w:rightChars="1"/>
              <w:rPr>
                <w:rFonts w:hint="eastAsia"/>
                <w:color w:val="000000"/>
              </w:rPr>
            </w:pPr>
            <w:r>
              <w:rPr>
                <w:rFonts w:hint="eastAsia"/>
              </w:rPr>
              <w:t>7</w:t>
            </w:r>
          </w:p>
        </w:tc>
        <w:tc>
          <w:tcPr>
            <w:tcW w:w="8795" w:type="dxa"/>
            <w:noWrap w:val="0"/>
            <w:vAlign w:val="top"/>
          </w:tcPr>
          <w:p>
            <w:pPr>
              <w:rPr>
                <w:rFonts w:hint="eastAsia"/>
                <w:szCs w:val="21"/>
              </w:rPr>
            </w:pPr>
            <w:r>
              <w:rPr>
                <w:rFonts w:hint="eastAsia"/>
                <w:szCs w:val="21"/>
              </w:rPr>
              <w:t>投标人的报价若低于其成本，须做出合理说明。提供合理性说明的方式包括现场提交、电邮提交或传真。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noWrap w:val="0"/>
            <w:vAlign w:val="top"/>
          </w:tcPr>
          <w:p>
            <w:pPr>
              <w:ind w:right="2" w:rightChars="1"/>
              <w:rPr>
                <w:rFonts w:hint="eastAsia"/>
                <w:color w:val="000000"/>
              </w:rPr>
            </w:pPr>
            <w:r>
              <w:rPr>
                <w:rFonts w:hint="eastAsia"/>
              </w:rPr>
              <w:t>8</w:t>
            </w:r>
          </w:p>
        </w:tc>
        <w:tc>
          <w:tcPr>
            <w:tcW w:w="8795" w:type="dxa"/>
            <w:noWrap w:val="0"/>
            <w:vAlign w:val="top"/>
          </w:tcPr>
          <w:p>
            <w:pPr>
              <w:rPr>
                <w:rFonts w:hint="eastAsia"/>
                <w:szCs w:val="21"/>
              </w:rPr>
            </w:pPr>
            <w:r>
              <w:rPr>
                <w:rFonts w:hint="eastAsia"/>
                <w:szCs w:val="21"/>
              </w:rPr>
              <w:t>评标委员会认为投标人的报价明显低于其他通过符合性审查投标人的报价，有可能影响产品质量或不能诚信履约的，投标人须在评标委员会规定的时间内提供书面说明及相关证明材料，否则作无效投标处理。若评审委员会成员对是否须由投标人作出报价合理性说明，以及书面说明是否采纳等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noWrap w:val="0"/>
            <w:vAlign w:val="top"/>
          </w:tcPr>
          <w:p>
            <w:pPr>
              <w:rPr>
                <w:rFonts w:hint="eastAsia"/>
                <w:color w:val="000000"/>
              </w:rPr>
            </w:pPr>
            <w:r>
              <w:rPr>
                <w:rFonts w:hint="eastAsia"/>
                <w:color w:val="000000"/>
              </w:rPr>
              <w:t>9</w:t>
            </w:r>
          </w:p>
        </w:tc>
        <w:tc>
          <w:tcPr>
            <w:tcW w:w="8795" w:type="dxa"/>
            <w:noWrap w:val="0"/>
            <w:vAlign w:val="top"/>
          </w:tcPr>
          <w:p>
            <w:pPr>
              <w:rPr>
                <w:rFonts w:hint="eastAsia"/>
                <w:szCs w:val="21"/>
              </w:rPr>
            </w:pPr>
            <w:r>
              <w:rPr>
                <w:rFonts w:hint="eastAsia"/>
                <w:szCs w:val="21"/>
              </w:rPr>
              <w:t>投标文件载明的招标项目完成期限没有超过招标文件规定的期限。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noWrap w:val="0"/>
            <w:vAlign w:val="top"/>
          </w:tcPr>
          <w:p>
            <w:r>
              <w:rPr>
                <w:rFonts w:hint="eastAsia"/>
              </w:rPr>
              <w:t>10</w:t>
            </w:r>
          </w:p>
        </w:tc>
        <w:tc>
          <w:tcPr>
            <w:tcW w:w="8795" w:type="dxa"/>
            <w:noWrap w:val="0"/>
            <w:vAlign w:val="top"/>
          </w:tcPr>
          <w:p>
            <w:pPr>
              <w:rPr>
                <w:rFonts w:hint="eastAsia"/>
                <w:szCs w:val="21"/>
              </w:rPr>
            </w:pPr>
            <w:r>
              <w:rPr>
                <w:rFonts w:hint="eastAsia"/>
                <w:szCs w:val="21"/>
              </w:rPr>
              <w:t>所投服务在质量、技术、方案等方面实质性满足招标文件要求。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noWrap w:val="0"/>
            <w:vAlign w:val="top"/>
          </w:tcPr>
          <w:p>
            <w:pPr>
              <w:rPr>
                <w:rFonts w:hint="eastAsia"/>
              </w:rPr>
            </w:pPr>
            <w:r>
              <w:rPr>
                <w:rFonts w:hint="eastAsia"/>
              </w:rPr>
              <w:t>11</w:t>
            </w:r>
          </w:p>
        </w:tc>
        <w:tc>
          <w:tcPr>
            <w:tcW w:w="8795" w:type="dxa"/>
            <w:noWrap w:val="0"/>
            <w:vAlign w:val="top"/>
          </w:tcPr>
          <w:p>
            <w:pPr>
              <w:rPr>
                <w:rFonts w:hint="eastAsia"/>
                <w:szCs w:val="21"/>
              </w:rPr>
            </w:pPr>
            <w:r>
              <w:rPr>
                <w:rFonts w:hint="eastAsia"/>
                <w:szCs w:val="21"/>
              </w:rPr>
              <w:t>按招标文件附件所提供的样式和要求完整填写投标文件，以及按招标文件要求详细填报材料、品牌、型号。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noWrap w:val="0"/>
            <w:vAlign w:val="top"/>
          </w:tcPr>
          <w:p>
            <w:pPr>
              <w:rPr>
                <w:rFonts w:hint="eastAsia"/>
              </w:rPr>
            </w:pPr>
            <w:r>
              <w:rPr>
                <w:rFonts w:hint="eastAsia"/>
              </w:rPr>
              <w:t>12</w:t>
            </w:r>
          </w:p>
        </w:tc>
        <w:tc>
          <w:tcPr>
            <w:tcW w:w="8795" w:type="dxa"/>
            <w:noWrap w:val="0"/>
            <w:vAlign w:val="top"/>
          </w:tcPr>
          <w:p>
            <w:pPr>
              <w:rPr>
                <w:rFonts w:hint="eastAsia"/>
                <w:szCs w:val="21"/>
              </w:rPr>
            </w:pPr>
            <w:r>
              <w:rPr>
                <w:rFonts w:hint="eastAsia"/>
                <w:szCs w:val="21"/>
              </w:rPr>
              <w:t>投标报价无严重缺漏项目。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noWrap w:val="0"/>
            <w:vAlign w:val="top"/>
          </w:tcPr>
          <w:p>
            <w:pPr>
              <w:rPr>
                <w:rFonts w:hint="default" w:ascii="宋体" w:hAnsi="宋体" w:eastAsia="宋体" w:cs="宋体"/>
                <w:szCs w:val="21"/>
                <w:lang w:val="en-US" w:eastAsia="zh-CN"/>
              </w:rPr>
            </w:pPr>
            <w:r>
              <w:rPr>
                <w:rFonts w:hint="eastAsia" w:eastAsia="宋体"/>
                <w:lang w:val="en-US" w:eastAsia="zh-CN"/>
              </w:rPr>
              <w:t>13</w:t>
            </w:r>
          </w:p>
        </w:tc>
        <w:tc>
          <w:tcPr>
            <w:tcW w:w="8795" w:type="dxa"/>
            <w:noWrap w:val="0"/>
            <w:vAlign w:val="top"/>
          </w:tcPr>
          <w:p>
            <w:pPr>
              <w:ind w:right="2" w:rightChars="1"/>
              <w:rPr>
                <w:rFonts w:hint="eastAsia" w:ascii="宋体" w:hAnsi="宋体" w:cs="宋体"/>
                <w:szCs w:val="21"/>
              </w:rPr>
            </w:pPr>
            <w:r>
              <w:rPr>
                <w:rFonts w:hint="eastAsia" w:ascii="宋体" w:hAnsi="宋体" w:cs="宋体"/>
                <w:szCs w:val="21"/>
              </w:rPr>
              <w:t>法律、法规、规章以及其他规范性文件规定的其他情形。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noWrap w:val="0"/>
            <w:vAlign w:val="top"/>
          </w:tcPr>
          <w:p>
            <w:pPr>
              <w:rPr>
                <w:rFonts w:hint="eastAsia"/>
              </w:rPr>
            </w:pPr>
            <w:r>
              <w:rPr>
                <w:rFonts w:hint="eastAsia" w:eastAsia="宋体"/>
              </w:rPr>
              <w:t>14</w:t>
            </w:r>
          </w:p>
        </w:tc>
        <w:tc>
          <w:tcPr>
            <w:tcW w:w="8795" w:type="dxa"/>
            <w:noWrap w:val="0"/>
            <w:vAlign w:val="top"/>
          </w:tcPr>
          <w:p>
            <w:pPr>
              <w:ind w:right="2" w:rightChars="1"/>
              <w:rPr>
                <w:rFonts w:hint="eastAsia"/>
              </w:rPr>
            </w:pPr>
            <w:r>
              <w:rPr>
                <w:rFonts w:hint="eastAsia"/>
              </w:rPr>
              <w:t>注：《投标文件初审表》所有条款要求提供的资料，均无不清晰、不明确、不实或不存在多处雷同现象（包括所有扫描件内容均清晰可辨），否则视为投标文件不完整，投标无效（由评标委员会作出评判）。</w:t>
            </w:r>
          </w:p>
        </w:tc>
      </w:tr>
    </w:tbl>
    <w:p>
      <w:pPr>
        <w:rPr>
          <w:rFonts w:hint="eastAsia"/>
          <w:color w:val="000000"/>
        </w:rPr>
      </w:pPr>
    </w:p>
    <w:p>
      <w:pPr>
        <w:pStyle w:val="2"/>
      </w:pPr>
    </w:p>
    <w:p>
      <w:pPr>
        <w:pStyle w:val="2"/>
        <w:spacing w:line="560" w:lineRule="exact"/>
        <w:jc w:val="center"/>
        <w:rPr>
          <w:rFonts w:hint="eastAsia" w:ascii="方正小标宋简体" w:hAnsi="方正粗黑宋简体" w:eastAsia="方正小标宋简体"/>
          <w:sz w:val="44"/>
          <w:szCs w:val="44"/>
        </w:rPr>
      </w:pPr>
    </w:p>
    <w:p>
      <w:pPr>
        <w:pStyle w:val="2"/>
        <w:spacing w:line="560" w:lineRule="exact"/>
        <w:jc w:val="center"/>
        <w:rPr>
          <w:rFonts w:ascii="方正小标宋简体" w:hAnsi="方正粗黑宋简体" w:eastAsia="方正小标宋简体"/>
          <w:sz w:val="44"/>
          <w:szCs w:val="44"/>
        </w:rPr>
      </w:pPr>
      <w:r>
        <w:rPr>
          <w:rFonts w:hint="eastAsia" w:ascii="方正小标宋简体" w:hAnsi="方正粗黑宋简体" w:eastAsia="方正小标宋简体"/>
          <w:sz w:val="44"/>
          <w:szCs w:val="44"/>
        </w:rPr>
        <w:t>行政复议调解服务项目</w:t>
      </w:r>
    </w:p>
    <w:p>
      <w:pPr>
        <w:pStyle w:val="2"/>
        <w:spacing w:line="560" w:lineRule="exact"/>
        <w:jc w:val="center"/>
        <w:rPr>
          <w:rFonts w:hint="eastAsia" w:ascii="方正小标宋简体" w:hAnsi="方正粗黑宋简体" w:eastAsia="方正小标宋简体"/>
          <w:sz w:val="44"/>
          <w:szCs w:val="44"/>
        </w:rPr>
      </w:pPr>
      <w:r>
        <w:rPr>
          <w:rFonts w:hint="eastAsia" w:ascii="方正小标宋简体" w:hAnsi="方正粗黑宋简体" w:eastAsia="方正小标宋简体"/>
          <w:sz w:val="44"/>
          <w:szCs w:val="44"/>
        </w:rPr>
        <w:t>评分细则</w:t>
      </w:r>
    </w:p>
    <w:tbl>
      <w:tblPr>
        <w:tblStyle w:val="10"/>
        <w:tblW w:w="9281" w:type="dxa"/>
        <w:jc w:val="center"/>
        <w:tblCellSpacing w:w="0" w:type="dxa"/>
        <w:tblLayout w:type="fixed"/>
        <w:tblCellMar>
          <w:top w:w="45" w:type="dxa"/>
          <w:left w:w="45" w:type="dxa"/>
          <w:bottom w:w="45" w:type="dxa"/>
          <w:right w:w="45" w:type="dxa"/>
        </w:tblCellMar>
      </w:tblPr>
      <w:tblGrid>
        <w:gridCol w:w="9281"/>
      </w:tblGrid>
      <w:tr>
        <w:trPr>
          <w:tblCellSpacing w:w="0" w:type="dxa"/>
          <w:jc w:val="center"/>
        </w:trPr>
        <w:tc>
          <w:tcPr>
            <w:tcW w:w="9281" w:type="dxa"/>
            <w:tcBorders>
              <w:top w:val="nil"/>
              <w:left w:val="nil"/>
              <w:bottom w:val="nil"/>
              <w:right w:val="nil"/>
            </w:tcBorders>
            <w:noWrap w:val="0"/>
            <w:vAlign w:val="center"/>
          </w:tcPr>
          <w:p>
            <w:pPr>
              <w:rPr>
                <w:b/>
                <w:bCs/>
              </w:rPr>
            </w:pPr>
            <w:bookmarkStart w:id="2" w:name="InsertEnd"/>
            <w:bookmarkEnd w:id="2"/>
            <w:r>
              <w:rPr>
                <w:rFonts w:hint="eastAsia"/>
                <w:b/>
                <w:bCs/>
              </w:rPr>
              <w:t xml:space="preserve">    </w:t>
            </w:r>
          </w:p>
          <w:p>
            <w:pPr>
              <w:rPr>
                <w:b/>
                <w:bCs/>
              </w:rPr>
            </w:pPr>
            <w:r>
              <w:rPr>
                <w:b/>
                <w:bCs/>
              </w:rPr>
              <w:t>评标方法：综合评分法（新价格分算法）</w:t>
            </w:r>
          </w:p>
        </w:tc>
      </w:tr>
      <w:tr>
        <w:trPr>
          <w:tblCellSpacing w:w="0" w:type="dxa"/>
          <w:jc w:val="center"/>
        </w:trPr>
        <w:tc>
          <w:tcPr>
            <w:tcW w:w="9281" w:type="dxa"/>
            <w:tcBorders>
              <w:top w:val="nil"/>
              <w:left w:val="nil"/>
              <w:bottom w:val="nil"/>
              <w:right w:val="nil"/>
            </w:tcBorders>
            <w:noWrap w:val="0"/>
            <w:vAlign w:val="center"/>
          </w:tcPr>
          <w:p>
            <w:r>
              <w:rPr>
                <w:rFonts w:hint="eastAsia"/>
              </w:rPr>
              <w:t xml:space="preserve">    </w:t>
            </w:r>
            <w:r>
              <w:t xml:space="preserve">综合评分法，是指投标文件满足招标文件全部实质性要求，且按照评审因素的量化指标评审得分最高的投标人为中标候选人的评标方法。 </w:t>
            </w:r>
          </w:p>
          <w:p>
            <w:r>
              <w:rPr>
                <w:rFonts w:hint="eastAsia"/>
              </w:rPr>
              <w:t xml:space="preserve">    </w:t>
            </w:r>
            <w:r>
              <w:t>价格分计算方法：</w:t>
            </w:r>
          </w:p>
          <w:p>
            <w:r>
              <w:rPr>
                <w:rFonts w:hint="eastAsia"/>
              </w:rPr>
              <w:t xml:space="preserve">    </w:t>
            </w:r>
            <w:r>
              <w:t xml:space="preserve">采用低价优先法计算，即满足招标文件要求且投标价格最低的投标报价为评标基准价，其价格分为满分。其他投标人的价格分统一按照下列公式计算： </w:t>
            </w:r>
            <w:r>
              <w:br w:type="textWrapping"/>
            </w:r>
            <w:r>
              <w:rPr>
                <w:rFonts w:hint="eastAsia"/>
              </w:rPr>
              <w:t xml:space="preserve">    </w:t>
            </w:r>
            <w:r>
              <w:t>投标报价得分</w:t>
            </w:r>
            <w:r>
              <w:rPr>
                <w:rFonts w:hint="eastAsia"/>
                <w:lang w:eastAsia="zh-CN"/>
              </w:rPr>
              <w:t>（</w:t>
            </w:r>
            <w:r>
              <w:rPr>
                <w:rFonts w:hint="eastAsia"/>
                <w:lang w:val="en-US" w:eastAsia="zh-CN"/>
              </w:rPr>
              <w:t>F1</w:t>
            </w:r>
            <w:r>
              <w:rPr>
                <w:rFonts w:hint="eastAsia"/>
                <w:lang w:eastAsia="zh-CN"/>
              </w:rPr>
              <w:t>）</w:t>
            </w:r>
            <w:r>
              <w:t>=(评标基准价／投标报价)×100×</w:t>
            </w:r>
            <w:r>
              <w:rPr>
                <w:rFonts w:hint="eastAsia"/>
                <w:lang w:eastAsia="zh-CN"/>
              </w:rPr>
              <w:t>权重比</w:t>
            </w:r>
            <w:r>
              <w:br w:type="textWrapping"/>
            </w:r>
            <w:r>
              <w:rPr>
                <w:rFonts w:hint="eastAsia"/>
              </w:rPr>
              <w:t xml:space="preserve">    </w:t>
            </w:r>
            <w:r>
              <w:t xml:space="preserve">评标总得分＝F1＋F2＋……＋Fn </w:t>
            </w:r>
            <w:r>
              <w:br w:type="textWrapping"/>
            </w:r>
            <w:r>
              <w:rPr>
                <w:rFonts w:hint="eastAsia"/>
              </w:rPr>
              <w:t xml:space="preserve">    </w:t>
            </w:r>
            <w:r>
              <w:t xml:space="preserve">F1、F2……Fn分别为各项评审因素的得分； 。 </w:t>
            </w:r>
            <w:r>
              <w:br w:type="textWrapping"/>
            </w:r>
            <w:r>
              <w:rPr>
                <w:rFonts w:hint="eastAsia"/>
              </w:rPr>
              <w:t xml:space="preserve">    </w:t>
            </w:r>
            <w:r>
              <w:t xml:space="preserve">评标过程中，不得去掉报价中的最高报价和最低报价。 </w:t>
            </w:r>
          </w:p>
        </w:tc>
      </w:tr>
    </w:tbl>
    <w:p>
      <w:pPr>
        <w:rPr>
          <w:rFonts w:hint="eastAsia"/>
          <w:b/>
          <w:bCs/>
        </w:rPr>
      </w:pPr>
      <w:r>
        <w:rPr>
          <w:rFonts w:hint="eastAsia"/>
          <w:b/>
          <w:bCs/>
        </w:rPr>
        <w:t>评审表</w:t>
      </w:r>
    </w:p>
    <w:tbl>
      <w:tblPr>
        <w:tblStyle w:val="1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690"/>
        <w:gridCol w:w="10"/>
        <w:gridCol w:w="2994"/>
        <w:gridCol w:w="23"/>
        <w:gridCol w:w="795"/>
        <w:gridCol w:w="18"/>
        <w:gridCol w:w="684"/>
        <w:gridCol w:w="3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highlight w:val="none"/>
              </w:rPr>
            </w:pPr>
            <w:r>
              <w:rPr>
                <w:rFonts w:hint="eastAsia" w:ascii="宋体" w:hAnsi="宋体"/>
                <w:szCs w:val="21"/>
                <w:highlight w:val="none"/>
              </w:rPr>
              <w:t>序号</w:t>
            </w:r>
          </w:p>
        </w:tc>
        <w:tc>
          <w:tcPr>
            <w:tcW w:w="5214" w:type="dxa"/>
            <w:gridSpan w:val="7"/>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highlight w:val="none"/>
              </w:rPr>
            </w:pPr>
            <w:r>
              <w:rPr>
                <w:rFonts w:hint="eastAsia" w:ascii="宋体" w:hAnsi="宋体"/>
                <w:szCs w:val="21"/>
                <w:highlight w:val="none"/>
              </w:rPr>
              <w:t>评分项</w:t>
            </w:r>
          </w:p>
        </w:tc>
        <w:tc>
          <w:tcPr>
            <w:tcW w:w="3595"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highlight w:val="none"/>
              </w:rPr>
            </w:pPr>
            <w:r>
              <w:rPr>
                <w:rFonts w:hint="eastAsia" w:ascii="宋体" w:hAnsi="宋体"/>
                <w:szCs w:val="21"/>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highlight w:val="none"/>
              </w:rPr>
            </w:pPr>
            <w:r>
              <w:rPr>
                <w:rFonts w:ascii="宋体" w:hAnsi="宋体"/>
                <w:szCs w:val="21"/>
                <w:highlight w:val="none"/>
              </w:rPr>
              <w:t>1</w:t>
            </w:r>
          </w:p>
        </w:tc>
        <w:tc>
          <w:tcPr>
            <w:tcW w:w="5214" w:type="dxa"/>
            <w:gridSpan w:val="7"/>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highlight w:val="none"/>
              </w:rPr>
            </w:pPr>
            <w:r>
              <w:rPr>
                <w:rFonts w:hint="eastAsia" w:ascii="宋体" w:hAnsi="宋体"/>
                <w:szCs w:val="21"/>
                <w:highlight w:val="none"/>
              </w:rPr>
              <w:t>价格</w:t>
            </w:r>
          </w:p>
        </w:tc>
        <w:tc>
          <w:tcPr>
            <w:tcW w:w="3595"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highlight w:val="none"/>
              </w:rPr>
            </w:pPr>
            <w:r>
              <w:rPr>
                <w:rFonts w:hint="eastAsia" w:ascii="宋体" w:hAnsi="宋体"/>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highlight w:val="none"/>
              </w:rPr>
            </w:pPr>
            <w:r>
              <w:rPr>
                <w:rFonts w:ascii="宋体" w:hAnsi="宋体"/>
                <w:szCs w:val="21"/>
                <w:highlight w:val="none"/>
              </w:rPr>
              <w:t>2</w:t>
            </w:r>
          </w:p>
        </w:tc>
        <w:tc>
          <w:tcPr>
            <w:tcW w:w="5214" w:type="dxa"/>
            <w:gridSpan w:val="7"/>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highlight w:val="none"/>
              </w:rPr>
            </w:pPr>
            <w:r>
              <w:rPr>
                <w:rFonts w:hint="eastAsia" w:ascii="宋体" w:hAnsi="宋体"/>
                <w:szCs w:val="21"/>
                <w:highlight w:val="none"/>
              </w:rPr>
              <w:t>技术部分</w:t>
            </w:r>
          </w:p>
        </w:tc>
        <w:tc>
          <w:tcPr>
            <w:tcW w:w="3595"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30" w:type="dxa"/>
            <w:vMerge w:val="restart"/>
            <w:tcBorders>
              <w:top w:val="single" w:color="auto" w:sz="4" w:space="0"/>
              <w:left w:val="single" w:color="auto" w:sz="4" w:space="0"/>
              <w:right w:val="single" w:color="auto" w:sz="4" w:space="0"/>
            </w:tcBorders>
            <w:noWrap w:val="0"/>
            <w:vAlign w:val="top"/>
          </w:tcPr>
          <w:p>
            <w:pPr>
              <w:jc w:val="center"/>
              <w:rPr>
                <w:rFonts w:ascii="宋体" w:hAnsi="宋体"/>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highlight w:val="none"/>
              </w:rPr>
            </w:pPr>
            <w:r>
              <w:rPr>
                <w:rFonts w:hint="eastAsia" w:ascii="宋体" w:hAnsi="宋体"/>
                <w:szCs w:val="21"/>
                <w:highlight w:val="none"/>
              </w:rPr>
              <w:t>序号</w:t>
            </w:r>
          </w:p>
        </w:tc>
        <w:tc>
          <w:tcPr>
            <w:tcW w:w="3004"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highlight w:val="none"/>
              </w:rPr>
            </w:pPr>
            <w:r>
              <w:rPr>
                <w:rFonts w:hint="eastAsia" w:ascii="宋体" w:hAnsi="宋体"/>
                <w:szCs w:val="21"/>
                <w:highlight w:val="none"/>
              </w:rPr>
              <w:t>评分因素</w:t>
            </w:r>
          </w:p>
        </w:tc>
        <w:tc>
          <w:tcPr>
            <w:tcW w:w="836"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highlight w:val="none"/>
              </w:rPr>
            </w:pPr>
            <w:r>
              <w:rPr>
                <w:rFonts w:hint="eastAsia" w:ascii="宋体" w:hAnsi="宋体"/>
                <w:szCs w:val="21"/>
                <w:highlight w:val="none"/>
              </w:rPr>
              <w:t>权重</w:t>
            </w:r>
          </w:p>
        </w:tc>
        <w:tc>
          <w:tcPr>
            <w:tcW w:w="684"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highlight w:val="none"/>
              </w:rPr>
            </w:pPr>
            <w:r>
              <w:rPr>
                <w:rFonts w:hint="eastAsia" w:ascii="宋体" w:hAnsi="宋体"/>
                <w:szCs w:val="21"/>
                <w:highlight w:val="none"/>
              </w:rPr>
              <w:t>评分方式</w:t>
            </w:r>
          </w:p>
        </w:tc>
        <w:tc>
          <w:tcPr>
            <w:tcW w:w="3595"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highlight w:val="none"/>
              </w:rPr>
            </w:pPr>
            <w:r>
              <w:rPr>
                <w:rFonts w:hint="eastAsia" w:ascii="宋体" w:hAnsi="宋体"/>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0" w:type="auto"/>
            <w:vMerge w:val="continue"/>
            <w:tcBorders>
              <w:left w:val="single" w:color="auto" w:sz="4" w:space="0"/>
              <w:right w:val="single" w:color="auto" w:sz="4" w:space="0"/>
            </w:tcBorders>
            <w:noWrap w:val="0"/>
            <w:vAlign w:val="center"/>
          </w:tcPr>
          <w:p>
            <w:pPr>
              <w:widowControl/>
              <w:jc w:val="left"/>
              <w:rPr>
                <w:rFonts w:ascii="宋体" w:hAnsi="宋体"/>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ascii="宋体" w:hAnsi="宋体"/>
                <w:szCs w:val="21"/>
                <w:highlight w:val="none"/>
              </w:rPr>
              <w:t>1</w:t>
            </w:r>
          </w:p>
        </w:tc>
        <w:tc>
          <w:tcPr>
            <w:tcW w:w="30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调解覆盖率</w:t>
            </w:r>
            <w:r>
              <w:rPr>
                <w:rStyle w:val="12"/>
                <w:rFonts w:hint="eastAsia" w:ascii="宋体" w:hAnsi="宋体"/>
                <w:szCs w:val="21"/>
                <w:highlight w:val="none"/>
                <w:lang w:val="en-US" w:eastAsia="zh-CN"/>
              </w:rPr>
              <w:footnoteReference w:id="0"/>
            </w:r>
          </w:p>
        </w:tc>
        <w:tc>
          <w:tcPr>
            <w:tcW w:w="8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5</w:t>
            </w:r>
          </w:p>
        </w:tc>
        <w:tc>
          <w:tcPr>
            <w:tcW w:w="6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专家打分</w:t>
            </w:r>
          </w:p>
        </w:tc>
        <w:tc>
          <w:tcPr>
            <w:tcW w:w="359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sz w:val="24"/>
                <w:szCs w:val="24"/>
                <w:lang w:val="en-US" w:eastAsia="zh-CN"/>
              </w:rPr>
            </w:pPr>
            <w:r>
              <w:rPr>
                <w:rFonts w:hint="eastAsia" w:ascii="宋体" w:hAnsi="宋体" w:eastAsia="宋体" w:cs="宋体"/>
                <w:b/>
                <w:bCs/>
                <w:spacing w:val="10"/>
                <w:sz w:val="21"/>
                <w:szCs w:val="21"/>
                <w:highlight w:val="none"/>
                <w:lang w:val="en-US" w:eastAsia="zh-CN"/>
              </w:rPr>
              <w:t>评审内容：</w:t>
            </w:r>
            <w:r>
              <w:rPr>
                <w:rFonts w:hint="eastAsia" w:ascii="宋体" w:hAnsi="宋体" w:eastAsia="宋体" w:cs="宋体"/>
                <w:b w:val="0"/>
                <w:bCs w:val="0"/>
                <w:spacing w:val="10"/>
                <w:sz w:val="21"/>
                <w:szCs w:val="21"/>
                <w:highlight w:val="none"/>
                <w:lang w:val="en-US" w:eastAsia="zh-CN"/>
              </w:rPr>
              <w:t>投标人提供的项目实施方案中应包含对案件调解覆盖率的承诺，</w:t>
            </w:r>
            <w:r>
              <w:rPr>
                <w:rFonts w:hint="eastAsia" w:ascii="Calibri" w:hAnsi="Calibri" w:eastAsia="宋体" w:cs="宋体"/>
                <w:sz w:val="21"/>
                <w:szCs w:val="21"/>
                <w:highlight w:val="none"/>
                <w:lang w:val="en-US" w:eastAsia="zh-CN"/>
              </w:rPr>
              <w:t>根据投标人项目实施方案中承诺的调解覆盖率。</w:t>
            </w:r>
          </w:p>
          <w:p>
            <w:pPr>
              <w:jc w:val="left"/>
              <w:rPr>
                <w:rFonts w:hint="eastAsia" w:ascii="宋体" w:hAnsi="宋体" w:eastAsia="宋体" w:cs="宋体"/>
                <w:b/>
                <w:bCs/>
                <w:spacing w:val="10"/>
                <w:sz w:val="21"/>
                <w:szCs w:val="21"/>
                <w:highlight w:val="none"/>
                <w:lang w:val="en-US" w:eastAsia="zh-CN"/>
              </w:rPr>
            </w:pPr>
            <w:r>
              <w:rPr>
                <w:rFonts w:hint="eastAsia" w:ascii="宋体" w:hAnsi="宋体" w:eastAsia="宋体" w:cs="宋体"/>
                <w:b/>
                <w:bCs/>
                <w:spacing w:val="10"/>
                <w:sz w:val="21"/>
                <w:szCs w:val="21"/>
                <w:highlight w:val="none"/>
                <w:lang w:val="en-US" w:eastAsia="zh-CN"/>
              </w:rPr>
              <w:t>评分标准：</w:t>
            </w:r>
          </w:p>
          <w:p>
            <w:pPr>
              <w:jc w:val="left"/>
              <w:rPr>
                <w:rFonts w:hint="eastAsia" w:ascii="Calibri" w:hAnsi="Calibri" w:eastAsia="宋体" w:cs="宋体"/>
                <w:sz w:val="21"/>
                <w:szCs w:val="21"/>
                <w:highlight w:val="none"/>
                <w:lang w:val="en-US" w:eastAsia="zh-CN"/>
              </w:rPr>
            </w:pPr>
            <w:r>
              <w:rPr>
                <w:rFonts w:hint="eastAsia" w:eastAsia="宋体" w:cs="宋体"/>
                <w:sz w:val="21"/>
                <w:szCs w:val="21"/>
                <w:highlight w:val="none"/>
                <w:lang w:val="en-US" w:eastAsia="zh-CN"/>
              </w:rPr>
              <w:t>覆</w:t>
            </w:r>
            <w:r>
              <w:rPr>
                <w:rFonts w:hint="eastAsia" w:ascii="Calibri" w:hAnsi="Calibri" w:eastAsia="宋体" w:cs="宋体"/>
                <w:sz w:val="21"/>
                <w:szCs w:val="21"/>
                <w:highlight w:val="none"/>
                <w:lang w:val="en-US" w:eastAsia="zh-CN"/>
              </w:rPr>
              <w:t>盖率为</w:t>
            </w:r>
            <w:r>
              <w:rPr>
                <w:rFonts w:hint="eastAsia" w:eastAsia="宋体" w:cs="宋体"/>
                <w:sz w:val="21"/>
                <w:szCs w:val="21"/>
                <w:highlight w:val="none"/>
                <w:lang w:val="en-US" w:eastAsia="zh-CN"/>
              </w:rPr>
              <w:t>90</w:t>
            </w:r>
            <w:r>
              <w:rPr>
                <w:rFonts w:hint="eastAsia" w:ascii="Calibri" w:hAnsi="Calibri" w:eastAsia="宋体" w:cs="宋体"/>
                <w:sz w:val="21"/>
                <w:szCs w:val="21"/>
                <w:highlight w:val="none"/>
                <w:lang w:val="en-US" w:eastAsia="zh-CN"/>
              </w:rPr>
              <w:t>%</w:t>
            </w:r>
            <w:r>
              <w:rPr>
                <w:rFonts w:hint="eastAsia" w:eastAsia="宋体" w:cs="宋体"/>
                <w:sz w:val="21"/>
                <w:szCs w:val="21"/>
                <w:highlight w:val="none"/>
                <w:lang w:val="en-US" w:eastAsia="zh-CN"/>
              </w:rPr>
              <w:t>及以上</w:t>
            </w:r>
            <w:r>
              <w:rPr>
                <w:rFonts w:hint="eastAsia" w:ascii="Calibri" w:hAnsi="Calibri" w:eastAsia="宋体" w:cs="宋体"/>
                <w:sz w:val="21"/>
                <w:szCs w:val="21"/>
                <w:highlight w:val="none"/>
                <w:lang w:val="en-US" w:eastAsia="zh-CN"/>
              </w:rPr>
              <w:t>得</w:t>
            </w:r>
            <w:r>
              <w:rPr>
                <w:rFonts w:hint="eastAsia" w:eastAsia="宋体" w:cs="宋体"/>
                <w:sz w:val="21"/>
                <w:szCs w:val="21"/>
                <w:highlight w:val="none"/>
                <w:lang w:val="en-US" w:eastAsia="zh-CN"/>
              </w:rPr>
              <w:t>5</w:t>
            </w:r>
            <w:r>
              <w:rPr>
                <w:rFonts w:hint="eastAsia" w:ascii="Calibri" w:hAnsi="Calibri" w:eastAsia="宋体" w:cs="宋体"/>
                <w:sz w:val="21"/>
                <w:szCs w:val="21"/>
                <w:highlight w:val="none"/>
                <w:lang w:val="en-US" w:eastAsia="zh-CN"/>
              </w:rPr>
              <w:t>分；</w:t>
            </w:r>
          </w:p>
          <w:p>
            <w:pPr>
              <w:jc w:val="left"/>
              <w:rPr>
                <w:rFonts w:hint="eastAsia" w:ascii="Calibri" w:hAnsi="Calibri" w:eastAsia="宋体" w:cs="宋体"/>
                <w:sz w:val="21"/>
                <w:szCs w:val="21"/>
                <w:highlight w:val="none"/>
                <w:lang w:val="en-US" w:eastAsia="zh-CN"/>
              </w:rPr>
            </w:pPr>
            <w:r>
              <w:rPr>
                <w:rFonts w:hint="eastAsia" w:ascii="Calibri" w:hAnsi="Calibri" w:eastAsia="宋体" w:cs="宋体"/>
                <w:sz w:val="21"/>
                <w:szCs w:val="21"/>
                <w:highlight w:val="none"/>
                <w:lang w:val="en-US" w:eastAsia="zh-CN"/>
              </w:rPr>
              <w:t>覆盖率为</w:t>
            </w:r>
            <w:r>
              <w:rPr>
                <w:rFonts w:hint="eastAsia" w:eastAsia="宋体" w:cs="宋体"/>
                <w:sz w:val="21"/>
                <w:szCs w:val="21"/>
                <w:highlight w:val="none"/>
                <w:lang w:val="en-US" w:eastAsia="zh-CN"/>
              </w:rPr>
              <w:t>90</w:t>
            </w:r>
            <w:r>
              <w:rPr>
                <w:rFonts w:hint="eastAsia" w:ascii="Calibri" w:hAnsi="Calibri" w:eastAsia="宋体" w:cs="宋体"/>
                <w:sz w:val="21"/>
                <w:szCs w:val="21"/>
                <w:highlight w:val="none"/>
                <w:lang w:val="en-US" w:eastAsia="zh-CN"/>
              </w:rPr>
              <w:t>%-70%得</w:t>
            </w:r>
            <w:r>
              <w:rPr>
                <w:rFonts w:hint="eastAsia" w:eastAsia="宋体" w:cs="宋体"/>
                <w:sz w:val="21"/>
                <w:szCs w:val="21"/>
                <w:highlight w:val="none"/>
                <w:lang w:val="en-US" w:eastAsia="zh-CN"/>
              </w:rPr>
              <w:t>3</w:t>
            </w:r>
            <w:r>
              <w:rPr>
                <w:rFonts w:hint="eastAsia" w:ascii="Calibri" w:hAnsi="Calibri" w:eastAsia="宋体" w:cs="宋体"/>
                <w:sz w:val="21"/>
                <w:szCs w:val="21"/>
                <w:highlight w:val="none"/>
                <w:lang w:val="en-US" w:eastAsia="zh-CN"/>
              </w:rPr>
              <w:t>分；</w:t>
            </w:r>
          </w:p>
          <w:p>
            <w:pPr>
              <w:jc w:val="left"/>
              <w:rPr>
                <w:rFonts w:cs="宋体"/>
                <w:szCs w:val="21"/>
                <w:highlight w:val="none"/>
              </w:rPr>
            </w:pPr>
            <w:r>
              <w:rPr>
                <w:rFonts w:hint="eastAsia" w:ascii="Calibri" w:hAnsi="Calibri" w:eastAsia="宋体" w:cs="宋体"/>
                <w:sz w:val="21"/>
                <w:szCs w:val="21"/>
                <w:highlight w:val="none"/>
                <w:lang w:val="en-US" w:eastAsia="zh-CN"/>
              </w:rPr>
              <w:t>覆盖率70%以下</w:t>
            </w:r>
            <w:r>
              <w:rPr>
                <w:rFonts w:hint="eastAsia" w:eastAsia="宋体" w:cs="宋体"/>
                <w:sz w:val="21"/>
                <w:szCs w:val="21"/>
                <w:highlight w:val="none"/>
                <w:lang w:val="en-US" w:eastAsia="zh-CN"/>
              </w:rPr>
              <w:t>或未作出承诺的</w:t>
            </w:r>
            <w:r>
              <w:rPr>
                <w:rFonts w:hint="eastAsia" w:ascii="Calibri" w:hAnsi="Calibri" w:eastAsia="宋体" w:cs="宋体"/>
                <w:sz w:val="21"/>
                <w:szCs w:val="21"/>
                <w:highlight w:val="none"/>
                <w:lang w:val="en-US"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0" w:type="auto"/>
            <w:tcBorders>
              <w:left w:val="single" w:color="auto" w:sz="4" w:space="0"/>
              <w:right w:val="single" w:color="auto" w:sz="4" w:space="0"/>
            </w:tcBorders>
            <w:noWrap w:val="0"/>
            <w:vAlign w:val="center"/>
          </w:tcPr>
          <w:p>
            <w:pPr>
              <w:widowControl/>
              <w:jc w:val="left"/>
              <w:rPr>
                <w:rFonts w:ascii="宋体" w:hAnsi="宋体"/>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w:t>
            </w:r>
          </w:p>
        </w:tc>
        <w:tc>
          <w:tcPr>
            <w:tcW w:w="30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Cs w:val="21"/>
                <w:highlight w:val="none"/>
                <w:lang w:eastAsia="zh-CN"/>
              </w:rPr>
            </w:pPr>
            <w:r>
              <w:rPr>
                <w:rFonts w:hint="eastAsia" w:ascii="宋体" w:hAnsi="宋体"/>
                <w:szCs w:val="21"/>
                <w:highlight w:val="none"/>
                <w:lang w:eastAsia="zh-CN"/>
              </w:rPr>
              <w:t>调解跟进制度设计</w:t>
            </w:r>
          </w:p>
        </w:tc>
        <w:tc>
          <w:tcPr>
            <w:tcW w:w="8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10</w:t>
            </w:r>
          </w:p>
        </w:tc>
        <w:tc>
          <w:tcPr>
            <w:tcW w:w="6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highlight w:val="none"/>
              </w:rPr>
            </w:pPr>
            <w:r>
              <w:rPr>
                <w:rFonts w:hint="eastAsia" w:ascii="宋体" w:hAnsi="宋体"/>
                <w:szCs w:val="21"/>
                <w:highlight w:val="none"/>
              </w:rPr>
              <w:t>专家打分</w:t>
            </w:r>
          </w:p>
        </w:tc>
        <w:tc>
          <w:tcPr>
            <w:tcW w:w="359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cs="宋体"/>
                <w:szCs w:val="21"/>
                <w:highlight w:val="none"/>
              </w:rPr>
            </w:pPr>
            <w:r>
              <w:rPr>
                <w:rFonts w:hint="eastAsia" w:cs="宋体"/>
                <w:b/>
                <w:bCs/>
                <w:szCs w:val="21"/>
                <w:highlight w:val="none"/>
              </w:rPr>
              <w:t>评审内容：</w:t>
            </w:r>
            <w:r>
              <w:rPr>
                <w:rFonts w:hint="eastAsia" w:ascii="宋体" w:hAnsi="宋体" w:eastAsia="宋体" w:cs="宋体"/>
                <w:b w:val="0"/>
                <w:bCs w:val="0"/>
                <w:spacing w:val="10"/>
                <w:sz w:val="21"/>
                <w:szCs w:val="21"/>
                <w:highlight w:val="none"/>
                <w:lang w:val="en-US" w:eastAsia="zh-CN"/>
              </w:rPr>
              <w:t>投标人提供的项目实施方案中应包含调解跟进制度的设计，</w:t>
            </w:r>
            <w:r>
              <w:rPr>
                <w:rFonts w:hint="eastAsia" w:cs="宋体"/>
                <w:szCs w:val="21"/>
                <w:highlight w:val="none"/>
              </w:rPr>
              <w:t>对该</w:t>
            </w:r>
            <w:r>
              <w:rPr>
                <w:rFonts w:hint="eastAsia" w:cs="宋体"/>
                <w:szCs w:val="21"/>
                <w:highlight w:val="none"/>
                <w:lang w:eastAsia="zh-CN"/>
              </w:rPr>
              <w:t>调解跟进制度设计是否符合行政复议调解工作</w:t>
            </w:r>
            <w:r>
              <w:rPr>
                <w:rFonts w:hint="eastAsia" w:cs="宋体"/>
                <w:szCs w:val="21"/>
                <w:highlight w:val="none"/>
              </w:rPr>
              <w:t>流程等方面进行评审。</w:t>
            </w:r>
          </w:p>
          <w:p>
            <w:pPr>
              <w:jc w:val="left"/>
              <w:rPr>
                <w:rFonts w:hint="eastAsia" w:cs="宋体"/>
                <w:b/>
                <w:bCs/>
                <w:szCs w:val="21"/>
                <w:highlight w:val="none"/>
              </w:rPr>
            </w:pPr>
            <w:r>
              <w:rPr>
                <w:rFonts w:hint="eastAsia" w:cs="宋体"/>
                <w:b/>
                <w:bCs/>
                <w:szCs w:val="21"/>
                <w:highlight w:val="none"/>
              </w:rPr>
              <w:t>评分标准：</w:t>
            </w:r>
          </w:p>
          <w:p>
            <w:pPr>
              <w:jc w:val="left"/>
              <w:rPr>
                <w:rFonts w:hint="eastAsia" w:cs="宋体"/>
                <w:szCs w:val="21"/>
                <w:highlight w:val="none"/>
              </w:rPr>
            </w:pPr>
            <w:r>
              <w:rPr>
                <w:rFonts w:hint="eastAsia" w:cs="宋体"/>
                <w:b/>
                <w:bCs/>
                <w:szCs w:val="21"/>
                <w:highlight w:val="none"/>
              </w:rPr>
              <w:t>优</w:t>
            </w:r>
            <w:r>
              <w:rPr>
                <w:rFonts w:hint="eastAsia" w:cs="宋体"/>
                <w:b/>
                <w:bCs/>
                <w:szCs w:val="21"/>
                <w:highlight w:val="none"/>
                <w:lang w:eastAsia="zh-CN"/>
              </w:rPr>
              <w:t>（</w:t>
            </w:r>
            <w:r>
              <w:rPr>
                <w:rFonts w:hint="eastAsia" w:cs="宋体"/>
                <w:b/>
                <w:bCs/>
                <w:szCs w:val="21"/>
                <w:highlight w:val="none"/>
                <w:lang w:val="en-US" w:eastAsia="zh-CN"/>
              </w:rPr>
              <w:t>10分</w:t>
            </w:r>
            <w:r>
              <w:rPr>
                <w:rFonts w:hint="eastAsia" w:cs="宋体"/>
                <w:b/>
                <w:bCs/>
                <w:szCs w:val="21"/>
                <w:highlight w:val="none"/>
                <w:lang w:eastAsia="zh-CN"/>
              </w:rPr>
              <w:t>）</w:t>
            </w:r>
            <w:r>
              <w:rPr>
                <w:rFonts w:hint="eastAsia" w:cs="宋体"/>
                <w:b/>
                <w:bCs/>
                <w:szCs w:val="21"/>
                <w:highlight w:val="none"/>
              </w:rPr>
              <w:t>：</w:t>
            </w:r>
            <w:r>
              <w:rPr>
                <w:rFonts w:hint="eastAsia" w:cs="宋体"/>
                <w:szCs w:val="21"/>
                <w:highlight w:val="none"/>
              </w:rPr>
              <w:t>对本项目的理解全面、</w:t>
            </w:r>
            <w:r>
              <w:rPr>
                <w:rFonts w:hint="eastAsia" w:cs="宋体"/>
                <w:szCs w:val="21"/>
                <w:highlight w:val="none"/>
                <w:lang w:eastAsia="zh-CN"/>
              </w:rPr>
              <w:t>跟进制度设计</w:t>
            </w:r>
            <w:r>
              <w:rPr>
                <w:rFonts w:hint="eastAsia" w:cs="宋体"/>
                <w:szCs w:val="21"/>
                <w:highlight w:val="none"/>
              </w:rPr>
              <w:t>详细且贴切本项目实际情况，</w:t>
            </w:r>
            <w:r>
              <w:rPr>
                <w:rFonts w:hint="eastAsia" w:cs="宋体"/>
                <w:szCs w:val="21"/>
                <w:highlight w:val="none"/>
                <w:lang w:eastAsia="zh-CN"/>
              </w:rPr>
              <w:t>跟进制度设计</w:t>
            </w:r>
            <w:r>
              <w:rPr>
                <w:rFonts w:hint="eastAsia" w:cs="宋体"/>
                <w:szCs w:val="21"/>
                <w:highlight w:val="none"/>
              </w:rPr>
              <w:t>科学合理且可操作性强。</w:t>
            </w:r>
          </w:p>
          <w:p>
            <w:pPr>
              <w:jc w:val="left"/>
              <w:rPr>
                <w:rFonts w:hint="eastAsia" w:cs="宋体"/>
                <w:szCs w:val="21"/>
                <w:highlight w:val="none"/>
              </w:rPr>
            </w:pPr>
            <w:r>
              <w:rPr>
                <w:rFonts w:hint="eastAsia" w:cs="宋体"/>
                <w:b/>
                <w:bCs/>
                <w:szCs w:val="21"/>
                <w:highlight w:val="none"/>
              </w:rPr>
              <w:t>良</w:t>
            </w:r>
            <w:r>
              <w:rPr>
                <w:rFonts w:hint="eastAsia" w:cs="宋体"/>
                <w:b/>
                <w:bCs/>
                <w:szCs w:val="21"/>
                <w:highlight w:val="none"/>
                <w:lang w:eastAsia="zh-CN"/>
              </w:rPr>
              <w:t>（</w:t>
            </w:r>
            <w:r>
              <w:rPr>
                <w:rFonts w:hint="eastAsia" w:cs="宋体"/>
                <w:b/>
                <w:bCs/>
                <w:szCs w:val="21"/>
                <w:highlight w:val="none"/>
                <w:lang w:val="en-US" w:eastAsia="zh-CN"/>
              </w:rPr>
              <w:t>8分</w:t>
            </w:r>
            <w:r>
              <w:rPr>
                <w:rFonts w:hint="eastAsia" w:cs="宋体"/>
                <w:b/>
                <w:bCs/>
                <w:szCs w:val="21"/>
                <w:highlight w:val="none"/>
                <w:lang w:eastAsia="zh-CN"/>
              </w:rPr>
              <w:t>）</w:t>
            </w:r>
            <w:r>
              <w:rPr>
                <w:rFonts w:hint="eastAsia" w:cs="宋体"/>
                <w:b/>
                <w:bCs/>
                <w:szCs w:val="21"/>
                <w:highlight w:val="none"/>
              </w:rPr>
              <w:t>：</w:t>
            </w:r>
            <w:r>
              <w:rPr>
                <w:rFonts w:hint="eastAsia" w:cs="宋体"/>
                <w:szCs w:val="21"/>
                <w:highlight w:val="none"/>
              </w:rPr>
              <w:t>对本项目理解不准确但分析全面或理解准确但分析不全面，</w:t>
            </w:r>
            <w:r>
              <w:rPr>
                <w:rFonts w:hint="eastAsia" w:cs="宋体"/>
                <w:szCs w:val="21"/>
                <w:highlight w:val="none"/>
                <w:lang w:eastAsia="zh-CN"/>
              </w:rPr>
              <w:t>跟进制度设计</w:t>
            </w:r>
            <w:r>
              <w:rPr>
                <w:rFonts w:hint="eastAsia" w:cs="宋体"/>
                <w:szCs w:val="21"/>
                <w:highlight w:val="none"/>
              </w:rPr>
              <w:t>详细但不贴切实际情况，</w:t>
            </w:r>
            <w:r>
              <w:rPr>
                <w:rFonts w:hint="eastAsia" w:cs="宋体"/>
                <w:szCs w:val="21"/>
                <w:highlight w:val="none"/>
                <w:lang w:eastAsia="zh-CN"/>
              </w:rPr>
              <w:t>跟进制度设计</w:t>
            </w:r>
            <w:r>
              <w:rPr>
                <w:rFonts w:hint="eastAsia" w:cs="宋体"/>
                <w:szCs w:val="21"/>
                <w:highlight w:val="none"/>
              </w:rPr>
              <w:t>合理但操作性不强的。</w:t>
            </w:r>
          </w:p>
          <w:p>
            <w:pPr>
              <w:jc w:val="left"/>
              <w:rPr>
                <w:rFonts w:hint="eastAsia" w:cs="宋体"/>
                <w:szCs w:val="21"/>
                <w:highlight w:val="none"/>
              </w:rPr>
            </w:pPr>
            <w:r>
              <w:rPr>
                <w:rFonts w:hint="eastAsia" w:cs="宋体"/>
                <w:b/>
                <w:bCs/>
                <w:szCs w:val="21"/>
                <w:highlight w:val="none"/>
              </w:rPr>
              <w:t>中</w:t>
            </w:r>
            <w:r>
              <w:rPr>
                <w:rFonts w:hint="eastAsia" w:cs="宋体"/>
                <w:b/>
                <w:bCs/>
                <w:szCs w:val="21"/>
                <w:highlight w:val="none"/>
                <w:lang w:eastAsia="zh-CN"/>
              </w:rPr>
              <w:t>（</w:t>
            </w:r>
            <w:r>
              <w:rPr>
                <w:rFonts w:hint="eastAsia" w:cs="宋体"/>
                <w:b/>
                <w:bCs/>
                <w:szCs w:val="21"/>
                <w:highlight w:val="none"/>
                <w:lang w:val="en-US" w:eastAsia="zh-CN"/>
              </w:rPr>
              <w:t>5分</w:t>
            </w:r>
            <w:r>
              <w:rPr>
                <w:rFonts w:hint="eastAsia" w:cs="宋体"/>
                <w:b/>
                <w:bCs/>
                <w:szCs w:val="21"/>
                <w:highlight w:val="none"/>
                <w:lang w:eastAsia="zh-CN"/>
              </w:rPr>
              <w:t>）</w:t>
            </w:r>
            <w:r>
              <w:rPr>
                <w:rFonts w:hint="eastAsia" w:cs="宋体"/>
                <w:b/>
                <w:bCs/>
                <w:szCs w:val="21"/>
                <w:highlight w:val="none"/>
              </w:rPr>
              <w:t>：</w:t>
            </w:r>
            <w:r>
              <w:rPr>
                <w:rFonts w:hint="eastAsia" w:cs="宋体"/>
                <w:szCs w:val="21"/>
                <w:highlight w:val="none"/>
              </w:rPr>
              <w:t>对本项目的理解不全面、不准确且无针对性详细分析，</w:t>
            </w:r>
            <w:r>
              <w:rPr>
                <w:rFonts w:hint="eastAsia" w:cs="宋体"/>
                <w:szCs w:val="21"/>
                <w:highlight w:val="none"/>
                <w:lang w:eastAsia="zh-CN"/>
              </w:rPr>
              <w:t>跟进制度设计</w:t>
            </w:r>
            <w:r>
              <w:rPr>
                <w:rFonts w:hint="eastAsia" w:cs="宋体"/>
                <w:szCs w:val="21"/>
                <w:highlight w:val="none"/>
              </w:rPr>
              <w:t>不详细且不贴切本项目实际情况，不合理且可操作性不强。</w:t>
            </w:r>
          </w:p>
          <w:p>
            <w:pPr>
              <w:jc w:val="left"/>
              <w:rPr>
                <w:rFonts w:hint="eastAsia" w:cs="宋体"/>
                <w:b/>
                <w:bCs/>
                <w:szCs w:val="21"/>
                <w:highlight w:val="none"/>
              </w:rPr>
            </w:pPr>
            <w:r>
              <w:rPr>
                <w:rFonts w:hint="eastAsia" w:cs="宋体"/>
                <w:b/>
                <w:bCs/>
                <w:szCs w:val="21"/>
                <w:highlight w:val="none"/>
              </w:rPr>
              <w:t>差</w:t>
            </w:r>
            <w:r>
              <w:rPr>
                <w:rFonts w:hint="eastAsia" w:cs="宋体"/>
                <w:b/>
                <w:bCs/>
                <w:szCs w:val="21"/>
                <w:highlight w:val="none"/>
                <w:lang w:eastAsia="zh-CN"/>
              </w:rPr>
              <w:t>（</w:t>
            </w:r>
            <w:r>
              <w:rPr>
                <w:rFonts w:hint="eastAsia" w:cs="宋体"/>
                <w:b/>
                <w:bCs/>
                <w:szCs w:val="21"/>
                <w:highlight w:val="none"/>
                <w:lang w:val="en-US" w:eastAsia="zh-CN"/>
              </w:rPr>
              <w:t>0分</w:t>
            </w:r>
            <w:r>
              <w:rPr>
                <w:rFonts w:hint="eastAsia" w:cs="宋体"/>
                <w:b/>
                <w:bCs/>
                <w:szCs w:val="21"/>
                <w:highlight w:val="none"/>
                <w:lang w:eastAsia="zh-CN"/>
              </w:rPr>
              <w:t>）</w:t>
            </w:r>
            <w:r>
              <w:rPr>
                <w:rFonts w:hint="eastAsia" w:cs="宋体"/>
                <w:b/>
                <w:bCs/>
                <w:szCs w:val="21"/>
                <w:highlight w:val="none"/>
              </w:rPr>
              <w:t>：</w:t>
            </w:r>
            <w:r>
              <w:rPr>
                <w:rFonts w:hint="eastAsia" w:cs="宋体"/>
                <w:szCs w:val="21"/>
                <w:highlight w:val="none"/>
              </w:rPr>
              <w:t>没有理解本项目需求且没有针对本项目的分析，</w:t>
            </w:r>
            <w:r>
              <w:rPr>
                <w:rFonts w:hint="eastAsia" w:cs="宋体"/>
                <w:szCs w:val="21"/>
                <w:highlight w:val="none"/>
                <w:lang w:eastAsia="zh-CN"/>
              </w:rPr>
              <w:t>或</w:t>
            </w:r>
            <w:r>
              <w:rPr>
                <w:rFonts w:hint="eastAsia" w:cs="宋体"/>
                <w:szCs w:val="21"/>
                <w:highlight w:val="none"/>
              </w:rPr>
              <w:t>未提供或提供不清晰导致评委无法判断的不得分。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0" w:type="auto"/>
            <w:tcBorders>
              <w:left w:val="single" w:color="auto" w:sz="4" w:space="0"/>
              <w:right w:val="single" w:color="auto" w:sz="4" w:space="0"/>
            </w:tcBorders>
            <w:noWrap w:val="0"/>
            <w:vAlign w:val="center"/>
          </w:tcPr>
          <w:p>
            <w:pPr>
              <w:widowControl/>
              <w:jc w:val="left"/>
              <w:rPr>
                <w:rFonts w:ascii="宋体" w:hAnsi="宋体"/>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w:t>
            </w:r>
          </w:p>
        </w:tc>
        <w:tc>
          <w:tcPr>
            <w:tcW w:w="30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szCs w:val="21"/>
                <w:highlight w:val="none"/>
                <w:lang w:val="en-US" w:eastAsia="zh-CN"/>
              </w:rPr>
            </w:pPr>
            <w:r>
              <w:rPr>
                <w:rFonts w:hint="eastAsia" w:ascii="宋体" w:hAnsi="宋体"/>
                <w:szCs w:val="21"/>
                <w:highlight w:val="none"/>
                <w:lang w:eastAsia="zh-CN"/>
              </w:rPr>
              <w:t>调解工作措施和方法</w:t>
            </w:r>
          </w:p>
        </w:tc>
        <w:tc>
          <w:tcPr>
            <w:tcW w:w="8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10</w:t>
            </w:r>
          </w:p>
        </w:tc>
        <w:tc>
          <w:tcPr>
            <w:tcW w:w="6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highlight w:val="none"/>
              </w:rPr>
            </w:pPr>
            <w:r>
              <w:rPr>
                <w:rFonts w:hint="eastAsia" w:ascii="宋体" w:hAnsi="宋体"/>
                <w:szCs w:val="21"/>
                <w:highlight w:val="none"/>
              </w:rPr>
              <w:t>专家打分</w:t>
            </w:r>
          </w:p>
        </w:tc>
        <w:tc>
          <w:tcPr>
            <w:tcW w:w="359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cs="宋体"/>
                <w:szCs w:val="21"/>
                <w:highlight w:val="none"/>
              </w:rPr>
            </w:pPr>
            <w:r>
              <w:rPr>
                <w:rFonts w:hint="eastAsia" w:cs="宋体"/>
                <w:b/>
                <w:bCs/>
                <w:szCs w:val="21"/>
                <w:highlight w:val="none"/>
              </w:rPr>
              <w:t>评审内容：</w:t>
            </w:r>
            <w:r>
              <w:rPr>
                <w:rFonts w:hint="eastAsia" w:cs="宋体"/>
                <w:szCs w:val="21"/>
                <w:highlight w:val="none"/>
              </w:rPr>
              <w:t>根据投标人拟定的项目实施方案，对该项目拟采取的工作措施、方法</w:t>
            </w:r>
            <w:r>
              <w:rPr>
                <w:rFonts w:hint="eastAsia" w:cs="宋体"/>
                <w:szCs w:val="21"/>
                <w:highlight w:val="none"/>
                <w:lang w:eastAsia="zh-CN"/>
              </w:rPr>
              <w:t>、服务时长</w:t>
            </w:r>
            <w:r>
              <w:rPr>
                <w:rFonts w:hint="eastAsia" w:cs="宋体"/>
                <w:szCs w:val="21"/>
                <w:highlight w:val="none"/>
              </w:rPr>
              <w:t>等方面进行评审。</w:t>
            </w:r>
          </w:p>
          <w:p>
            <w:pPr>
              <w:jc w:val="left"/>
              <w:rPr>
                <w:rFonts w:hint="eastAsia" w:cs="宋体"/>
                <w:b/>
                <w:bCs/>
                <w:szCs w:val="21"/>
                <w:highlight w:val="none"/>
              </w:rPr>
            </w:pPr>
            <w:r>
              <w:rPr>
                <w:rFonts w:hint="eastAsia" w:cs="宋体"/>
                <w:b/>
                <w:bCs/>
                <w:szCs w:val="21"/>
                <w:highlight w:val="none"/>
              </w:rPr>
              <w:t>评分标准：</w:t>
            </w:r>
          </w:p>
          <w:p>
            <w:pPr>
              <w:jc w:val="left"/>
              <w:rPr>
                <w:rFonts w:hint="eastAsia" w:cs="宋体"/>
                <w:szCs w:val="21"/>
                <w:highlight w:val="none"/>
              </w:rPr>
            </w:pPr>
            <w:r>
              <w:rPr>
                <w:rFonts w:hint="eastAsia" w:cs="宋体"/>
                <w:b/>
                <w:bCs/>
                <w:szCs w:val="21"/>
                <w:highlight w:val="none"/>
              </w:rPr>
              <w:t>优</w:t>
            </w:r>
            <w:r>
              <w:rPr>
                <w:rFonts w:hint="eastAsia" w:cs="宋体"/>
                <w:b/>
                <w:bCs/>
                <w:szCs w:val="21"/>
                <w:highlight w:val="none"/>
                <w:lang w:eastAsia="zh-CN"/>
              </w:rPr>
              <w:t>（</w:t>
            </w:r>
            <w:r>
              <w:rPr>
                <w:rFonts w:hint="eastAsia" w:cs="宋体"/>
                <w:b/>
                <w:bCs/>
                <w:szCs w:val="21"/>
                <w:highlight w:val="none"/>
                <w:lang w:val="en-US" w:eastAsia="zh-CN"/>
              </w:rPr>
              <w:t>10分</w:t>
            </w:r>
            <w:r>
              <w:rPr>
                <w:rFonts w:hint="eastAsia" w:cs="宋体"/>
                <w:b/>
                <w:bCs/>
                <w:szCs w:val="21"/>
                <w:highlight w:val="none"/>
                <w:lang w:eastAsia="zh-CN"/>
              </w:rPr>
              <w:t>）</w:t>
            </w:r>
            <w:r>
              <w:rPr>
                <w:rFonts w:hint="eastAsia" w:cs="宋体"/>
                <w:b/>
                <w:bCs/>
                <w:szCs w:val="21"/>
                <w:highlight w:val="none"/>
              </w:rPr>
              <w:t>：</w:t>
            </w:r>
            <w:r>
              <w:rPr>
                <w:rFonts w:hint="eastAsia" w:cs="宋体"/>
                <w:szCs w:val="21"/>
                <w:highlight w:val="none"/>
              </w:rPr>
              <w:t>对本项目的理解全面、准确且有针对性详细分析，方案详细且贴切本项目实际情况，方案科学合理且可操作性强。</w:t>
            </w:r>
          </w:p>
          <w:p>
            <w:pPr>
              <w:jc w:val="left"/>
              <w:rPr>
                <w:rFonts w:hint="eastAsia" w:cs="宋体"/>
                <w:szCs w:val="21"/>
                <w:highlight w:val="none"/>
              </w:rPr>
            </w:pPr>
            <w:r>
              <w:rPr>
                <w:rFonts w:hint="eastAsia" w:cs="宋体"/>
                <w:b/>
                <w:bCs/>
                <w:szCs w:val="21"/>
                <w:highlight w:val="none"/>
              </w:rPr>
              <w:t>良</w:t>
            </w:r>
            <w:r>
              <w:rPr>
                <w:rFonts w:hint="eastAsia" w:cs="宋体"/>
                <w:b/>
                <w:bCs/>
                <w:szCs w:val="21"/>
                <w:highlight w:val="none"/>
                <w:lang w:eastAsia="zh-CN"/>
              </w:rPr>
              <w:t>（</w:t>
            </w:r>
            <w:r>
              <w:rPr>
                <w:rFonts w:hint="eastAsia" w:cs="宋体"/>
                <w:b/>
                <w:bCs/>
                <w:szCs w:val="21"/>
                <w:highlight w:val="none"/>
                <w:lang w:val="en-US" w:eastAsia="zh-CN"/>
              </w:rPr>
              <w:t>8分</w:t>
            </w:r>
            <w:r>
              <w:rPr>
                <w:rFonts w:hint="eastAsia" w:cs="宋体"/>
                <w:b/>
                <w:bCs/>
                <w:szCs w:val="21"/>
                <w:highlight w:val="none"/>
                <w:lang w:eastAsia="zh-CN"/>
              </w:rPr>
              <w:t>）</w:t>
            </w:r>
            <w:r>
              <w:rPr>
                <w:rFonts w:hint="eastAsia" w:cs="宋体"/>
                <w:b/>
                <w:bCs/>
                <w:szCs w:val="21"/>
                <w:highlight w:val="none"/>
              </w:rPr>
              <w:t>：</w:t>
            </w:r>
            <w:r>
              <w:rPr>
                <w:rFonts w:hint="eastAsia" w:cs="宋体"/>
                <w:szCs w:val="21"/>
                <w:highlight w:val="none"/>
              </w:rPr>
              <w:t>对本项目理解不准确但分析全面或理解准确但分析不全面，方案详细但不贴切实际情况，方案合理但操作性不强的。</w:t>
            </w:r>
          </w:p>
          <w:p>
            <w:pPr>
              <w:jc w:val="left"/>
              <w:rPr>
                <w:rFonts w:hint="eastAsia" w:cs="宋体"/>
                <w:szCs w:val="21"/>
                <w:highlight w:val="none"/>
              </w:rPr>
            </w:pPr>
            <w:r>
              <w:rPr>
                <w:rFonts w:hint="eastAsia" w:cs="宋体"/>
                <w:b/>
                <w:bCs/>
                <w:szCs w:val="21"/>
                <w:highlight w:val="none"/>
              </w:rPr>
              <w:t>中</w:t>
            </w:r>
            <w:r>
              <w:rPr>
                <w:rFonts w:hint="eastAsia" w:cs="宋体"/>
                <w:b/>
                <w:bCs/>
                <w:szCs w:val="21"/>
                <w:highlight w:val="none"/>
                <w:lang w:eastAsia="zh-CN"/>
              </w:rPr>
              <w:t>（</w:t>
            </w:r>
            <w:r>
              <w:rPr>
                <w:rFonts w:hint="eastAsia" w:cs="宋体"/>
                <w:b/>
                <w:bCs/>
                <w:szCs w:val="21"/>
                <w:highlight w:val="none"/>
                <w:lang w:val="en-US" w:eastAsia="zh-CN"/>
              </w:rPr>
              <w:t>5分</w:t>
            </w:r>
            <w:r>
              <w:rPr>
                <w:rFonts w:hint="eastAsia" w:cs="宋体"/>
                <w:b/>
                <w:bCs/>
                <w:szCs w:val="21"/>
                <w:highlight w:val="none"/>
                <w:lang w:eastAsia="zh-CN"/>
              </w:rPr>
              <w:t>）</w:t>
            </w:r>
            <w:r>
              <w:rPr>
                <w:rFonts w:hint="eastAsia" w:cs="宋体"/>
                <w:b/>
                <w:bCs/>
                <w:szCs w:val="21"/>
                <w:highlight w:val="none"/>
              </w:rPr>
              <w:t>：</w:t>
            </w:r>
            <w:r>
              <w:rPr>
                <w:rFonts w:hint="eastAsia" w:cs="宋体"/>
                <w:szCs w:val="21"/>
                <w:highlight w:val="none"/>
              </w:rPr>
              <w:t>对本项目的理解不全面、不准确且无针对性详细分析，方案不详细且不贴切本项目实际情况，方案不合理且可操作性不强。</w:t>
            </w:r>
          </w:p>
          <w:p>
            <w:pPr>
              <w:jc w:val="left"/>
              <w:rPr>
                <w:rFonts w:hint="eastAsia" w:cs="宋体"/>
                <w:b/>
                <w:bCs/>
                <w:szCs w:val="21"/>
                <w:highlight w:val="none"/>
              </w:rPr>
            </w:pPr>
            <w:r>
              <w:rPr>
                <w:rFonts w:hint="eastAsia" w:cs="宋体"/>
                <w:b/>
                <w:bCs/>
                <w:szCs w:val="21"/>
                <w:highlight w:val="none"/>
              </w:rPr>
              <w:t>差</w:t>
            </w:r>
            <w:r>
              <w:rPr>
                <w:rFonts w:hint="eastAsia" w:cs="宋体"/>
                <w:b/>
                <w:bCs/>
                <w:szCs w:val="21"/>
                <w:highlight w:val="none"/>
                <w:lang w:eastAsia="zh-CN"/>
              </w:rPr>
              <w:t>（</w:t>
            </w:r>
            <w:r>
              <w:rPr>
                <w:rFonts w:hint="eastAsia" w:cs="宋体"/>
                <w:b/>
                <w:bCs/>
                <w:szCs w:val="21"/>
                <w:highlight w:val="none"/>
                <w:lang w:val="en-US" w:eastAsia="zh-CN"/>
              </w:rPr>
              <w:t>0分</w:t>
            </w:r>
            <w:r>
              <w:rPr>
                <w:rFonts w:hint="eastAsia" w:cs="宋体"/>
                <w:b/>
                <w:bCs/>
                <w:szCs w:val="21"/>
                <w:highlight w:val="none"/>
                <w:lang w:eastAsia="zh-CN"/>
              </w:rPr>
              <w:t>）</w:t>
            </w:r>
            <w:r>
              <w:rPr>
                <w:rFonts w:hint="eastAsia" w:cs="宋体"/>
                <w:b/>
                <w:bCs/>
                <w:szCs w:val="21"/>
                <w:highlight w:val="none"/>
              </w:rPr>
              <w:t>：</w:t>
            </w:r>
            <w:r>
              <w:rPr>
                <w:rFonts w:hint="eastAsia" w:cs="宋体"/>
                <w:szCs w:val="21"/>
                <w:highlight w:val="none"/>
              </w:rPr>
              <w:t>没有理解本项目需求且没有针对本项目的分析，</w:t>
            </w:r>
            <w:r>
              <w:rPr>
                <w:rFonts w:hint="eastAsia" w:cs="宋体"/>
                <w:szCs w:val="21"/>
                <w:highlight w:val="none"/>
                <w:lang w:eastAsia="zh-CN"/>
              </w:rPr>
              <w:t>或</w:t>
            </w:r>
            <w:r>
              <w:rPr>
                <w:rFonts w:hint="eastAsia" w:cs="宋体"/>
                <w:szCs w:val="21"/>
                <w:highlight w:val="none"/>
              </w:rPr>
              <w:t>未提供或提供不清晰导致评委无法判断的不得分。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pacing w:val="10"/>
                <w:szCs w:val="21"/>
                <w:highlight w:val="none"/>
              </w:rPr>
            </w:pPr>
            <w:r>
              <w:rPr>
                <w:rFonts w:hint="eastAsia" w:ascii="宋体" w:hAnsi="宋体" w:cs="宋体"/>
                <w:spacing w:val="10"/>
                <w:szCs w:val="21"/>
                <w:highlight w:val="none"/>
              </w:rPr>
              <w:t>3</w:t>
            </w:r>
          </w:p>
        </w:tc>
        <w:tc>
          <w:tcPr>
            <w:tcW w:w="5214"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pacing w:val="10"/>
                <w:szCs w:val="21"/>
                <w:highlight w:val="none"/>
              </w:rPr>
            </w:pPr>
            <w:r>
              <w:rPr>
                <w:rFonts w:hint="eastAsia" w:ascii="宋体" w:hAnsi="宋体" w:cs="宋体"/>
                <w:spacing w:val="10"/>
                <w:szCs w:val="21"/>
                <w:highlight w:val="none"/>
              </w:rPr>
              <w:t>服务部分</w:t>
            </w:r>
          </w:p>
        </w:tc>
        <w:tc>
          <w:tcPr>
            <w:tcW w:w="35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b/>
                <w:szCs w:val="21"/>
                <w:highlight w:val="none"/>
                <w:lang w:val="en-US" w:eastAsia="zh-CN"/>
              </w:rPr>
            </w:pPr>
            <w:r>
              <w:rPr>
                <w:rFonts w:hint="eastAsia" w:ascii="宋体" w:hAnsi="宋体" w:cs="宋体"/>
                <w:spacing w:val="10"/>
                <w:szCs w:val="21"/>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restart"/>
            <w:tcBorders>
              <w:top w:val="single" w:color="auto" w:sz="4" w:space="0"/>
              <w:left w:val="single" w:color="auto" w:sz="4" w:space="0"/>
              <w:right w:val="single" w:color="auto" w:sz="4" w:space="0"/>
            </w:tcBorders>
            <w:noWrap w:val="0"/>
            <w:vAlign w:val="top"/>
          </w:tcPr>
          <w:p>
            <w:pPr>
              <w:jc w:val="center"/>
              <w:rPr>
                <w:rFonts w:ascii="宋体" w:hAnsi="宋体"/>
                <w:szCs w:val="21"/>
                <w:highlight w:val="none"/>
              </w:rPr>
            </w:pPr>
          </w:p>
        </w:tc>
        <w:tc>
          <w:tcPr>
            <w:tcW w:w="7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序号</w:t>
            </w:r>
          </w:p>
        </w:tc>
        <w:tc>
          <w:tcPr>
            <w:tcW w:w="30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评分因素</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权重</w:t>
            </w:r>
          </w:p>
        </w:tc>
        <w:tc>
          <w:tcPr>
            <w:tcW w:w="7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评分方式</w:t>
            </w:r>
          </w:p>
        </w:tc>
        <w:tc>
          <w:tcPr>
            <w:tcW w:w="35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0" w:type="dxa"/>
            <w:vMerge w:val="continue"/>
            <w:tcBorders>
              <w:left w:val="single" w:color="auto" w:sz="4" w:space="0"/>
              <w:right w:val="single" w:color="auto" w:sz="4" w:space="0"/>
            </w:tcBorders>
            <w:noWrap w:val="0"/>
            <w:vAlign w:val="top"/>
          </w:tcPr>
          <w:p>
            <w:pPr>
              <w:jc w:val="center"/>
              <w:rPr>
                <w:rFonts w:ascii="宋体" w:hAnsi="宋体"/>
                <w:szCs w:val="21"/>
                <w:highlight w:val="none"/>
              </w:rPr>
            </w:pPr>
          </w:p>
        </w:tc>
        <w:tc>
          <w:tcPr>
            <w:tcW w:w="7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1</w:t>
            </w:r>
          </w:p>
        </w:tc>
        <w:tc>
          <w:tcPr>
            <w:tcW w:w="30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拟安排的项目负责人情况</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10</w:t>
            </w:r>
          </w:p>
        </w:tc>
        <w:tc>
          <w:tcPr>
            <w:tcW w:w="7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专家打分</w:t>
            </w: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cs="宋体"/>
                <w:b/>
                <w:bCs/>
                <w:szCs w:val="21"/>
                <w:highlight w:val="none"/>
              </w:rPr>
            </w:pPr>
            <w:r>
              <w:rPr>
                <w:rFonts w:hint="eastAsia" w:ascii="宋体" w:hAnsi="宋体" w:cs="宋体"/>
                <w:b/>
                <w:bCs/>
                <w:spacing w:val="10"/>
                <w:szCs w:val="21"/>
                <w:highlight w:val="none"/>
              </w:rPr>
              <w:t>评分内容：</w:t>
            </w:r>
          </w:p>
          <w:p>
            <w:pPr>
              <w:pStyle w:val="9"/>
              <w:widowContro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宋体" w:hAnsi="宋体" w:cs="宋体"/>
                <w:spacing w:val="10"/>
                <w:szCs w:val="21"/>
                <w:highlight w:val="none"/>
              </w:rPr>
            </w:pPr>
            <w:r>
              <w:rPr>
                <w:rFonts w:hint="eastAsia" w:ascii="宋体" w:hAnsi="宋体" w:eastAsia="宋体" w:cs="宋体"/>
                <w:spacing w:val="10"/>
                <w:kern w:val="2"/>
                <w:sz w:val="21"/>
                <w:szCs w:val="21"/>
                <w:highlight w:val="none"/>
                <w:lang w:val="en-US" w:eastAsia="zh-CN" w:bidi="ar-SA"/>
              </w:rPr>
              <w:t>项目负责人具备律师</w:t>
            </w:r>
            <w:r>
              <w:rPr>
                <w:rFonts w:hint="eastAsia" w:cs="宋体"/>
                <w:spacing w:val="10"/>
                <w:kern w:val="2"/>
                <w:sz w:val="21"/>
                <w:szCs w:val="21"/>
                <w:highlight w:val="none"/>
                <w:lang w:val="en-US" w:eastAsia="zh-CN" w:bidi="ar-SA"/>
              </w:rPr>
              <w:t>执业</w:t>
            </w:r>
            <w:r>
              <w:rPr>
                <w:rFonts w:hint="eastAsia" w:ascii="宋体" w:hAnsi="宋体" w:eastAsia="宋体" w:cs="宋体"/>
                <w:spacing w:val="10"/>
                <w:kern w:val="2"/>
                <w:sz w:val="21"/>
                <w:szCs w:val="21"/>
                <w:highlight w:val="none"/>
                <w:lang w:val="en-US" w:eastAsia="zh-CN" w:bidi="ar-SA"/>
              </w:rPr>
              <w:t>证的，得</w:t>
            </w:r>
            <w:r>
              <w:rPr>
                <w:rFonts w:hint="eastAsia" w:cs="宋体"/>
                <w:spacing w:val="10"/>
                <w:kern w:val="2"/>
                <w:sz w:val="21"/>
                <w:szCs w:val="21"/>
                <w:highlight w:val="none"/>
                <w:lang w:val="en-US" w:eastAsia="zh-CN" w:bidi="ar-SA"/>
              </w:rPr>
              <w:t>7</w:t>
            </w:r>
            <w:r>
              <w:rPr>
                <w:rFonts w:hint="eastAsia" w:ascii="宋体" w:hAnsi="宋体" w:eastAsia="宋体" w:cs="宋体"/>
                <w:spacing w:val="10"/>
                <w:kern w:val="2"/>
                <w:sz w:val="21"/>
                <w:szCs w:val="21"/>
                <w:highlight w:val="none"/>
                <w:lang w:val="en-US" w:eastAsia="zh-CN" w:bidi="ar-SA"/>
              </w:rPr>
              <w:t>分</w:t>
            </w:r>
            <w:r>
              <w:rPr>
                <w:rFonts w:hint="eastAsia" w:cs="宋体"/>
                <w:spacing w:val="10"/>
                <w:kern w:val="2"/>
                <w:sz w:val="21"/>
                <w:szCs w:val="21"/>
                <w:highlight w:val="none"/>
                <w:lang w:val="en-US" w:eastAsia="zh-CN" w:bidi="ar-SA"/>
              </w:rPr>
              <w:t>，执业年限每满5年加1分，本项最多得10分。</w:t>
            </w:r>
          </w:p>
          <w:p>
            <w:pPr>
              <w:snapToGrid w:val="0"/>
              <w:jc w:val="left"/>
              <w:rPr>
                <w:rFonts w:hint="eastAsia" w:ascii="宋体" w:hAnsi="宋体" w:cs="宋体"/>
                <w:b/>
                <w:bCs/>
                <w:szCs w:val="21"/>
                <w:highlight w:val="none"/>
              </w:rPr>
            </w:pPr>
            <w:r>
              <w:rPr>
                <w:rFonts w:hint="eastAsia" w:ascii="宋体" w:hAnsi="宋体" w:cs="宋体"/>
                <w:b/>
                <w:bCs/>
                <w:spacing w:val="10"/>
                <w:szCs w:val="21"/>
                <w:highlight w:val="none"/>
              </w:rPr>
              <w:t>评分依据：</w:t>
            </w:r>
          </w:p>
          <w:p>
            <w:pPr>
              <w:snapToGrid w:val="0"/>
              <w:jc w:val="left"/>
              <w:rPr>
                <w:rFonts w:hint="eastAsia" w:ascii="宋体" w:hAnsi="宋体" w:eastAsia="宋体" w:cs="宋体"/>
                <w:szCs w:val="21"/>
                <w:highlight w:val="none"/>
                <w:lang w:eastAsia="zh-CN"/>
              </w:rPr>
            </w:pPr>
            <w:r>
              <w:rPr>
                <w:rFonts w:hint="eastAsia" w:ascii="宋体" w:hAnsi="宋体" w:cs="宋体"/>
                <w:spacing w:val="10"/>
                <w:szCs w:val="21"/>
                <w:highlight w:val="none"/>
              </w:rPr>
              <w:t>1.要求须出具投标截止日前三个月连续的社保购买证明、学历证书、管理经验等相关证明资料作为得分依据。</w:t>
            </w:r>
            <w:r>
              <w:rPr>
                <w:rFonts w:hint="eastAsia" w:ascii="宋体" w:hAnsi="宋体" w:cs="宋体"/>
                <w:spacing w:val="10"/>
                <w:szCs w:val="21"/>
                <w:highlight w:val="none"/>
                <w:lang w:eastAsia="zh-CN"/>
              </w:rPr>
              <w:t>（投标人若成立时间不足</w:t>
            </w:r>
            <w:r>
              <w:rPr>
                <w:rFonts w:hint="eastAsia" w:ascii="宋体" w:hAnsi="宋体" w:cs="宋体"/>
                <w:spacing w:val="10"/>
                <w:szCs w:val="21"/>
                <w:highlight w:val="none"/>
                <w:lang w:val="en-US" w:eastAsia="zh-CN"/>
              </w:rPr>
              <w:t>3个</w:t>
            </w:r>
            <w:r>
              <w:rPr>
                <w:rFonts w:hint="eastAsia" w:ascii="宋体" w:hAnsi="宋体" w:cs="宋体"/>
                <w:spacing w:val="10"/>
                <w:szCs w:val="21"/>
                <w:highlight w:val="none"/>
                <w:lang w:eastAsia="zh-CN"/>
              </w:rPr>
              <w:t>月的，按成立时限提供）</w:t>
            </w:r>
          </w:p>
          <w:p>
            <w:pPr>
              <w:snapToGrid w:val="0"/>
              <w:jc w:val="left"/>
              <w:rPr>
                <w:rFonts w:hint="eastAsia" w:ascii="宋体" w:hAnsi="宋体" w:cs="宋体"/>
                <w:szCs w:val="21"/>
                <w:highlight w:val="none"/>
              </w:rPr>
            </w:pPr>
            <w:r>
              <w:rPr>
                <w:rFonts w:hint="eastAsia" w:ascii="宋体" w:hAnsi="宋体" w:cs="宋体"/>
                <w:spacing w:val="10"/>
                <w:szCs w:val="21"/>
                <w:highlight w:val="none"/>
              </w:rPr>
              <w:t>2.以上资料均要求提供扫描件或复印件加盖投标人公章（或官方网站截图），原件备查。评分中出现无证明资料或专家无法凭所提供资料判断是否得分的情况，一律作不得分处理。</w:t>
            </w:r>
          </w:p>
          <w:p>
            <w:pPr>
              <w:snapToGrid w:val="0"/>
              <w:jc w:val="left"/>
              <w:rPr>
                <w:rFonts w:ascii="宋体" w:hAnsi="宋体" w:eastAsia="仿宋_GB2312" w:cs="宋体"/>
                <w:sz w:val="24"/>
                <w:highlight w:val="none"/>
              </w:rPr>
            </w:pPr>
            <w:r>
              <w:rPr>
                <w:rFonts w:hint="eastAsia" w:ascii="宋体" w:hAnsi="宋体" w:cs="宋体"/>
                <w:spacing w:val="10"/>
                <w:szCs w:val="21"/>
                <w:highlight w:val="none"/>
                <w:lang w:val="en-US" w:eastAsia="zh-CN"/>
              </w:rPr>
              <w:t>3</w:t>
            </w:r>
            <w:r>
              <w:rPr>
                <w:rFonts w:hint="eastAsia" w:ascii="宋体" w:hAnsi="宋体" w:cs="宋体"/>
                <w:spacing w:val="10"/>
                <w:szCs w:val="21"/>
                <w:highlight w:val="none"/>
              </w:rPr>
              <w:t>.投标人提供的证书已到期的，在办理续期期间的，可提供办证部门或相关网站提供的已通过或已受理的证明文件，视同在有效期范围内。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830" w:type="dxa"/>
            <w:vMerge w:val="continue"/>
            <w:tcBorders>
              <w:left w:val="single" w:color="auto" w:sz="4" w:space="0"/>
              <w:right w:val="single" w:color="auto" w:sz="4" w:space="0"/>
            </w:tcBorders>
            <w:noWrap w:val="0"/>
            <w:vAlign w:val="top"/>
          </w:tcPr>
          <w:p>
            <w:pPr>
              <w:jc w:val="center"/>
              <w:rPr>
                <w:rFonts w:ascii="宋体" w:hAnsi="宋体"/>
                <w:szCs w:val="21"/>
                <w:highlight w:val="none"/>
              </w:rPr>
            </w:pPr>
          </w:p>
        </w:tc>
        <w:tc>
          <w:tcPr>
            <w:tcW w:w="7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w:t>
            </w:r>
          </w:p>
        </w:tc>
        <w:tc>
          <w:tcPr>
            <w:tcW w:w="30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Cs w:val="21"/>
                <w:highlight w:val="none"/>
                <w:lang w:eastAsia="zh-CN"/>
              </w:rPr>
            </w:pPr>
            <w:r>
              <w:rPr>
                <w:rFonts w:hint="eastAsia" w:ascii="宋体" w:hAnsi="宋体"/>
                <w:szCs w:val="21"/>
                <w:highlight w:val="none"/>
                <w:lang w:eastAsia="zh-CN"/>
              </w:rPr>
              <w:t>同类业绩情况</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10</w:t>
            </w:r>
          </w:p>
        </w:tc>
        <w:tc>
          <w:tcPr>
            <w:tcW w:w="7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Cs w:val="21"/>
                <w:highlight w:val="none"/>
                <w:lang w:eastAsia="zh-CN"/>
              </w:rPr>
            </w:pPr>
            <w:r>
              <w:rPr>
                <w:rFonts w:hint="eastAsia" w:ascii="宋体" w:hAnsi="宋体"/>
                <w:szCs w:val="21"/>
                <w:highlight w:val="none"/>
                <w:lang w:eastAsia="zh-CN"/>
              </w:rPr>
              <w:t>专家打分</w:t>
            </w:r>
          </w:p>
        </w:tc>
        <w:tc>
          <w:tcPr>
            <w:tcW w:w="3595" w:type="dxa"/>
            <w:tcBorders>
              <w:top w:val="single" w:color="auto" w:sz="4" w:space="0"/>
              <w:left w:val="single" w:color="auto" w:sz="4" w:space="0"/>
              <w:bottom w:val="single" w:color="auto" w:sz="4" w:space="0"/>
              <w:right w:val="single" w:color="auto" w:sz="4" w:space="0"/>
            </w:tcBorders>
            <w:noWrap w:val="0"/>
            <w:vAlign w:val="top"/>
          </w:tcPr>
          <w:p>
            <w:pPr>
              <w:pStyle w:val="9"/>
              <w:widowContro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000000"/>
                <w:sz w:val="21"/>
                <w:szCs w:val="21"/>
                <w:highlight w:val="none"/>
                <w:shd w:val="clear" w:color="auto" w:fill="FFFFFF"/>
              </w:rPr>
            </w:pPr>
            <w:r>
              <w:rPr>
                <w:rFonts w:hint="eastAsia" w:ascii="宋体" w:hAnsi="宋体" w:cs="Times New Roman"/>
                <w:b/>
                <w:bCs/>
                <w:kern w:val="2"/>
                <w:sz w:val="21"/>
                <w:szCs w:val="21"/>
                <w:highlight w:val="none"/>
                <w:lang w:eastAsia="zh-CN" w:bidi="ar-SA"/>
              </w:rPr>
              <w:t>评分内容：</w:t>
            </w:r>
            <w:r>
              <w:rPr>
                <w:rFonts w:hint="eastAsia" w:ascii="宋体" w:hAnsi="宋体"/>
                <w:szCs w:val="21"/>
                <w:highlight w:val="none"/>
                <w:lang w:eastAsia="zh-CN"/>
              </w:rPr>
              <w:br w:type="textWrapping"/>
            </w:r>
            <w:r>
              <w:rPr>
                <w:rFonts w:hint="eastAsia"/>
                <w:spacing w:val="10"/>
                <w:kern w:val="2"/>
                <w:sz w:val="21"/>
                <w:szCs w:val="21"/>
                <w:highlight w:val="none"/>
                <w:lang w:eastAsia="zh-CN" w:bidi="ar-SA"/>
              </w:rPr>
              <w:t>投标人近三年</w:t>
            </w:r>
            <w:r>
              <w:rPr>
                <w:rFonts w:hint="eastAsia" w:ascii="宋体" w:hAnsi="宋体" w:eastAsia="宋体" w:cs="宋体"/>
                <w:spacing w:val="10"/>
                <w:kern w:val="2"/>
                <w:sz w:val="21"/>
                <w:szCs w:val="21"/>
                <w:highlight w:val="none"/>
                <w:lang w:val="en-US" w:eastAsia="zh-CN" w:bidi="ar-SA"/>
              </w:rPr>
              <w:t>具有</w:t>
            </w:r>
            <w:r>
              <w:rPr>
                <w:rFonts w:hint="eastAsia" w:cs="宋体"/>
                <w:spacing w:val="10"/>
                <w:kern w:val="2"/>
                <w:sz w:val="21"/>
                <w:szCs w:val="21"/>
                <w:highlight w:val="none"/>
                <w:lang w:val="en-US" w:eastAsia="zh-CN" w:bidi="ar-SA"/>
              </w:rPr>
              <w:t>行政复议或行政诉讼相关</w:t>
            </w:r>
            <w:r>
              <w:rPr>
                <w:rFonts w:hint="eastAsia" w:ascii="宋体" w:hAnsi="宋体" w:eastAsia="宋体" w:cs="宋体"/>
                <w:spacing w:val="10"/>
                <w:kern w:val="2"/>
                <w:sz w:val="21"/>
                <w:szCs w:val="21"/>
                <w:highlight w:val="none"/>
                <w:lang w:val="en-US" w:eastAsia="zh-CN" w:bidi="ar-SA"/>
              </w:rPr>
              <w:t>经验的</w:t>
            </w:r>
            <w:r>
              <w:rPr>
                <w:rFonts w:hint="eastAsia" w:cs="宋体"/>
                <w:spacing w:val="10"/>
                <w:kern w:val="2"/>
                <w:sz w:val="21"/>
                <w:szCs w:val="21"/>
                <w:highlight w:val="none"/>
                <w:lang w:val="en-US" w:eastAsia="zh-CN" w:bidi="ar-SA"/>
              </w:rPr>
              <w:t>，每项经验得3</w:t>
            </w:r>
            <w:bookmarkStart w:id="3" w:name="_GoBack"/>
            <w:bookmarkEnd w:id="3"/>
            <w:r>
              <w:rPr>
                <w:rFonts w:hint="eastAsia" w:cs="宋体"/>
                <w:spacing w:val="10"/>
                <w:kern w:val="2"/>
                <w:sz w:val="21"/>
                <w:szCs w:val="21"/>
                <w:highlight w:val="none"/>
                <w:lang w:val="en-US" w:eastAsia="zh-CN" w:bidi="ar-SA"/>
              </w:rPr>
              <w:t>分，本项最多得10分。</w:t>
            </w:r>
          </w:p>
          <w:p>
            <w:pPr>
              <w:snapToGrid w:val="0"/>
              <w:jc w:val="left"/>
              <w:rPr>
                <w:rFonts w:hint="eastAsia" w:ascii="宋体" w:hAnsi="宋体" w:cs="宋体"/>
                <w:b/>
                <w:bCs/>
                <w:szCs w:val="21"/>
                <w:highlight w:val="none"/>
              </w:rPr>
            </w:pPr>
            <w:r>
              <w:rPr>
                <w:rFonts w:hint="eastAsia" w:ascii="宋体" w:hAnsi="宋体" w:cs="宋体"/>
                <w:b/>
                <w:bCs/>
                <w:spacing w:val="10"/>
                <w:szCs w:val="21"/>
                <w:highlight w:val="none"/>
              </w:rPr>
              <w:t>评分依据：</w:t>
            </w:r>
          </w:p>
          <w:p>
            <w:pPr>
              <w:jc w:val="left"/>
              <w:rPr>
                <w:rFonts w:hint="eastAsia" w:ascii="宋体" w:hAnsi="宋体" w:eastAsia="宋体"/>
                <w:szCs w:val="21"/>
                <w:highlight w:val="none"/>
                <w:lang w:eastAsia="zh-CN"/>
              </w:rPr>
            </w:pPr>
            <w:r>
              <w:rPr>
                <w:rFonts w:hint="eastAsia" w:ascii="宋体" w:hAnsi="宋体" w:cs="宋体"/>
                <w:spacing w:val="10"/>
                <w:szCs w:val="21"/>
                <w:highlight w:val="none"/>
              </w:rPr>
              <w:t>要求提供项目合同关键信息、相关案件结案文书作为得分依据，通过上述内容无法判断是否得分的，还须同时提供合同甲方出具的证明文件。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830" w:type="dxa"/>
            <w:vMerge w:val="continue"/>
            <w:tcBorders>
              <w:left w:val="single" w:color="auto" w:sz="4" w:space="0"/>
              <w:right w:val="single" w:color="auto" w:sz="4" w:space="0"/>
            </w:tcBorders>
            <w:noWrap w:val="0"/>
            <w:vAlign w:val="top"/>
          </w:tcPr>
          <w:p>
            <w:pPr>
              <w:jc w:val="center"/>
              <w:rPr>
                <w:rFonts w:ascii="宋体" w:hAnsi="宋体"/>
                <w:szCs w:val="21"/>
                <w:highlight w:val="none"/>
              </w:rPr>
            </w:pPr>
          </w:p>
        </w:tc>
        <w:tc>
          <w:tcPr>
            <w:tcW w:w="7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Cs w:val="21"/>
                <w:highlight w:val="none"/>
                <w:lang w:eastAsia="zh-CN"/>
              </w:rPr>
            </w:pPr>
            <w:r>
              <w:rPr>
                <w:rFonts w:hint="eastAsia" w:ascii="宋体" w:hAnsi="宋体"/>
                <w:szCs w:val="21"/>
                <w:highlight w:val="none"/>
                <w:lang w:val="en-US" w:eastAsia="zh-CN"/>
              </w:rPr>
              <w:t>3</w:t>
            </w:r>
          </w:p>
        </w:tc>
        <w:tc>
          <w:tcPr>
            <w:tcW w:w="30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拟安排的项目团队成员情况</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szCs w:val="21"/>
                <w:highlight w:val="none"/>
                <w:lang w:val="en-US" w:eastAsia="zh-CN"/>
              </w:rPr>
            </w:pPr>
            <w:r>
              <w:rPr>
                <w:rFonts w:hint="default" w:ascii="宋体" w:hAnsi="宋体"/>
                <w:szCs w:val="21"/>
                <w:highlight w:val="none"/>
                <w:lang w:val="en-US"/>
              </w:rPr>
              <w:t>25</w:t>
            </w:r>
          </w:p>
        </w:tc>
        <w:tc>
          <w:tcPr>
            <w:tcW w:w="7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专家打分</w:t>
            </w:r>
          </w:p>
        </w:tc>
        <w:tc>
          <w:tcPr>
            <w:tcW w:w="359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b/>
                <w:bCs/>
                <w:szCs w:val="21"/>
                <w:highlight w:val="none"/>
              </w:rPr>
            </w:pPr>
            <w:r>
              <w:rPr>
                <w:rFonts w:hint="eastAsia" w:ascii="宋体" w:hAnsi="宋体"/>
                <w:b/>
                <w:bCs/>
                <w:szCs w:val="21"/>
                <w:highlight w:val="none"/>
              </w:rPr>
              <w:t>评分内容：</w:t>
            </w:r>
          </w:p>
          <w:p>
            <w:pPr>
              <w:jc w:val="left"/>
              <w:rPr>
                <w:rFonts w:hint="eastAsia" w:ascii="宋体" w:hAnsi="宋体"/>
                <w:szCs w:val="21"/>
                <w:highlight w:val="none"/>
              </w:rPr>
            </w:pPr>
            <w:r>
              <w:rPr>
                <w:rFonts w:hint="eastAsia" w:ascii="宋体" w:hAnsi="宋体"/>
                <w:szCs w:val="21"/>
                <w:highlight w:val="none"/>
              </w:rPr>
              <w:t>1.项目团队成员总人数3人及以上得5分</w:t>
            </w:r>
            <w:r>
              <w:rPr>
                <w:rFonts w:hint="eastAsia" w:ascii="宋体" w:hAnsi="宋体"/>
                <w:szCs w:val="21"/>
                <w:highlight w:val="none"/>
                <w:lang w:eastAsia="zh-CN"/>
              </w:rPr>
              <w:t>；</w:t>
            </w:r>
            <w:r>
              <w:rPr>
                <w:rFonts w:hint="eastAsia" w:ascii="宋体" w:hAnsi="宋体"/>
                <w:szCs w:val="21"/>
                <w:highlight w:val="none"/>
              </w:rPr>
              <w:t>未达到人数要求的，此项不得分。</w:t>
            </w:r>
          </w:p>
          <w:p>
            <w:pPr>
              <w:jc w:val="left"/>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项目团队人员</w:t>
            </w:r>
            <w:r>
              <w:rPr>
                <w:rFonts w:hint="eastAsia" w:ascii="宋体" w:hAnsi="宋体"/>
                <w:szCs w:val="21"/>
                <w:highlight w:val="none"/>
                <w:lang w:val="en-US" w:eastAsia="zh-CN"/>
              </w:rPr>
              <w:t>3人以上且</w:t>
            </w:r>
            <w:r>
              <w:rPr>
                <w:rFonts w:hint="eastAsia" w:ascii="宋体" w:hAnsi="宋体"/>
                <w:szCs w:val="21"/>
                <w:highlight w:val="none"/>
                <w:lang w:eastAsia="zh-CN"/>
              </w:rPr>
              <w:t>均</w:t>
            </w:r>
            <w:r>
              <w:rPr>
                <w:rFonts w:hint="eastAsia" w:ascii="宋体" w:hAnsi="宋体"/>
                <w:szCs w:val="21"/>
                <w:highlight w:val="none"/>
              </w:rPr>
              <w:t>具备本科</w:t>
            </w:r>
            <w:r>
              <w:rPr>
                <w:rFonts w:hint="eastAsia" w:ascii="宋体" w:hAnsi="宋体"/>
                <w:szCs w:val="21"/>
                <w:highlight w:val="none"/>
                <w:lang w:eastAsia="zh-CN"/>
              </w:rPr>
              <w:t>以上</w:t>
            </w:r>
            <w:r>
              <w:rPr>
                <w:rFonts w:hint="eastAsia" w:ascii="宋体" w:hAnsi="宋体"/>
                <w:szCs w:val="21"/>
                <w:highlight w:val="none"/>
              </w:rPr>
              <w:t>学历的，得</w:t>
            </w:r>
            <w:r>
              <w:rPr>
                <w:rFonts w:hint="eastAsia" w:ascii="宋体" w:hAnsi="宋体"/>
                <w:szCs w:val="21"/>
                <w:highlight w:val="none"/>
                <w:lang w:val="en-US" w:eastAsia="zh-CN"/>
              </w:rPr>
              <w:t>8</w:t>
            </w:r>
            <w:r>
              <w:rPr>
                <w:rFonts w:hint="eastAsia" w:ascii="宋体" w:hAnsi="宋体"/>
                <w:szCs w:val="21"/>
                <w:highlight w:val="none"/>
              </w:rPr>
              <w:t>分</w:t>
            </w:r>
            <w:r>
              <w:rPr>
                <w:rFonts w:hint="eastAsia" w:ascii="宋体" w:hAnsi="宋体"/>
                <w:szCs w:val="21"/>
                <w:highlight w:val="none"/>
                <w:lang w:eastAsia="zh-CN"/>
              </w:rPr>
              <w:t>；其中如有全日制研究生以上的，每名加</w:t>
            </w:r>
            <w:r>
              <w:rPr>
                <w:rFonts w:hint="eastAsia" w:ascii="宋体" w:hAnsi="宋体"/>
                <w:szCs w:val="21"/>
                <w:highlight w:val="none"/>
                <w:lang w:val="en-US" w:eastAsia="zh-CN"/>
              </w:rPr>
              <w:t>2分；本小项最多得10分</w:t>
            </w:r>
            <w:r>
              <w:rPr>
                <w:rFonts w:hint="eastAsia" w:ascii="宋体" w:hAnsi="宋体"/>
                <w:szCs w:val="21"/>
                <w:highlight w:val="none"/>
              </w:rPr>
              <w:t>。</w:t>
            </w:r>
          </w:p>
          <w:p>
            <w:pPr>
              <w:jc w:val="left"/>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项目团队人员</w:t>
            </w:r>
            <w:r>
              <w:rPr>
                <w:rFonts w:hint="eastAsia" w:ascii="宋体" w:hAnsi="宋体"/>
                <w:szCs w:val="21"/>
                <w:highlight w:val="none"/>
                <w:lang w:val="en-US" w:eastAsia="zh-CN"/>
              </w:rPr>
              <w:t>3人以上且</w:t>
            </w:r>
            <w:r>
              <w:rPr>
                <w:rFonts w:hint="eastAsia" w:ascii="宋体" w:hAnsi="宋体"/>
                <w:szCs w:val="21"/>
                <w:highlight w:val="none"/>
                <w:lang w:eastAsia="zh-CN"/>
              </w:rPr>
              <w:t>均取得</w:t>
            </w:r>
            <w:r>
              <w:rPr>
                <w:rFonts w:hint="eastAsia" w:ascii="宋体" w:hAnsi="宋体"/>
                <w:szCs w:val="21"/>
                <w:highlight w:val="none"/>
              </w:rPr>
              <w:t>法律职业资格的，得</w:t>
            </w:r>
            <w:r>
              <w:rPr>
                <w:rFonts w:hint="eastAsia" w:ascii="宋体" w:hAnsi="宋体"/>
                <w:szCs w:val="21"/>
                <w:highlight w:val="none"/>
                <w:lang w:val="en-US" w:eastAsia="zh-CN"/>
              </w:rPr>
              <w:t>8</w:t>
            </w:r>
            <w:r>
              <w:rPr>
                <w:rFonts w:hint="eastAsia" w:ascii="宋体" w:hAnsi="宋体"/>
                <w:szCs w:val="21"/>
                <w:highlight w:val="none"/>
              </w:rPr>
              <w:t>分</w:t>
            </w:r>
            <w:r>
              <w:rPr>
                <w:rFonts w:hint="eastAsia" w:ascii="宋体" w:hAnsi="宋体"/>
                <w:szCs w:val="21"/>
                <w:highlight w:val="none"/>
                <w:lang w:eastAsia="zh-CN"/>
              </w:rPr>
              <w:t>；其中如有取得律师执业资格证的，每名加</w:t>
            </w:r>
            <w:r>
              <w:rPr>
                <w:rFonts w:hint="eastAsia" w:ascii="宋体" w:hAnsi="宋体"/>
                <w:szCs w:val="21"/>
                <w:highlight w:val="none"/>
                <w:lang w:val="en-US" w:eastAsia="zh-CN"/>
              </w:rPr>
              <w:t>2分；本小项最多的10分。</w:t>
            </w:r>
          </w:p>
          <w:p>
            <w:pPr>
              <w:jc w:val="left"/>
              <w:rPr>
                <w:rFonts w:hint="eastAsia" w:ascii="宋体" w:hAnsi="宋体"/>
                <w:b/>
                <w:bCs/>
                <w:szCs w:val="21"/>
                <w:highlight w:val="none"/>
              </w:rPr>
            </w:pPr>
            <w:r>
              <w:rPr>
                <w:rFonts w:hint="eastAsia" w:ascii="宋体" w:hAnsi="宋体"/>
                <w:b/>
                <w:bCs/>
                <w:szCs w:val="21"/>
                <w:highlight w:val="none"/>
              </w:rPr>
              <w:t>评分依据：</w:t>
            </w:r>
          </w:p>
          <w:p>
            <w:pPr>
              <w:jc w:val="left"/>
              <w:rPr>
                <w:rFonts w:hint="eastAsia" w:ascii="宋体" w:hAnsi="宋体"/>
                <w:szCs w:val="21"/>
                <w:highlight w:val="none"/>
              </w:rPr>
            </w:pPr>
            <w:r>
              <w:rPr>
                <w:rFonts w:hint="eastAsia" w:ascii="宋体" w:hAnsi="宋体"/>
                <w:szCs w:val="21"/>
                <w:highlight w:val="none"/>
              </w:rPr>
              <w:t>1.要求须出具投标截止日前三个月的社保购买证明、学历证书、资格证书、相关经验等相关证明资料作为得分依据。</w:t>
            </w:r>
            <w:r>
              <w:rPr>
                <w:rFonts w:hint="eastAsia" w:ascii="宋体" w:hAnsi="宋体" w:cs="宋体"/>
                <w:spacing w:val="10"/>
                <w:szCs w:val="21"/>
                <w:highlight w:val="none"/>
                <w:lang w:eastAsia="zh-CN"/>
              </w:rPr>
              <w:t>（投标人若成立时间不足</w:t>
            </w:r>
            <w:r>
              <w:rPr>
                <w:rFonts w:hint="eastAsia" w:ascii="宋体" w:hAnsi="宋体" w:cs="宋体"/>
                <w:spacing w:val="10"/>
                <w:szCs w:val="21"/>
                <w:highlight w:val="none"/>
                <w:lang w:val="en-US" w:eastAsia="zh-CN"/>
              </w:rPr>
              <w:t>3个</w:t>
            </w:r>
            <w:r>
              <w:rPr>
                <w:rFonts w:hint="eastAsia" w:ascii="宋体" w:hAnsi="宋体" w:cs="宋体"/>
                <w:spacing w:val="10"/>
                <w:szCs w:val="21"/>
                <w:highlight w:val="none"/>
                <w:lang w:eastAsia="zh-CN"/>
              </w:rPr>
              <w:t>月的，按成立时限提供）</w:t>
            </w:r>
          </w:p>
          <w:p>
            <w:pPr>
              <w:jc w:val="left"/>
              <w:rPr>
                <w:rFonts w:hint="eastAsia" w:ascii="宋体" w:hAnsi="宋体"/>
                <w:szCs w:val="21"/>
                <w:highlight w:val="none"/>
              </w:rPr>
            </w:pPr>
            <w:r>
              <w:rPr>
                <w:rFonts w:hint="eastAsia" w:ascii="宋体" w:hAnsi="宋体"/>
                <w:szCs w:val="21"/>
                <w:highlight w:val="none"/>
              </w:rPr>
              <w:t>2.以上资料均要求提供扫描件或复印件加盖投标人公章（或官方网站截图），原件备查。评分中出现无证明资料或专家无法凭所提供资料判断是否得分的情况，一律作不得分处理。</w:t>
            </w:r>
          </w:p>
          <w:p>
            <w:pPr>
              <w:jc w:val="left"/>
              <w:rPr>
                <w:rFonts w:ascii="宋体" w:hAnsi="宋体"/>
                <w:szCs w:val="21"/>
                <w:highlight w:val="none"/>
              </w:rPr>
            </w:pPr>
            <w:r>
              <w:rPr>
                <w:rFonts w:hint="eastAsia" w:ascii="宋体" w:hAnsi="宋体"/>
                <w:szCs w:val="21"/>
                <w:highlight w:val="none"/>
              </w:rPr>
              <w:t>3.投标人提供的证书已到期的，在办理续期期间的，可提供办证部门或相关网站提供的已通过或已受理的证明文件，视同在有效期范围内。</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粗黑宋简体">
    <w:altName w:val="方正书宋_GBK"/>
    <w:panose1 w:val="02000000000000000000"/>
    <w:charset w:val="00"/>
    <w:family w:val="auto"/>
    <w:pitch w:val="default"/>
    <w:sig w:usb0="00000000" w:usb1="00000000"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8"/>
        <w:snapToGrid w:val="0"/>
        <w:rPr>
          <w:rFonts w:hint="eastAsia" w:eastAsia="宋体"/>
          <w:lang w:val="en-US" w:eastAsia="zh-CN"/>
        </w:rPr>
      </w:pPr>
      <w:r>
        <w:rPr>
          <w:rStyle w:val="12"/>
        </w:rPr>
        <w:footnoteRef/>
      </w:r>
      <w:r>
        <w:t xml:space="preserve"> </w:t>
      </w:r>
      <w:r>
        <w:rPr>
          <w:rFonts w:hint="eastAsia"/>
          <w:lang w:eastAsia="zh-CN"/>
        </w:rPr>
        <w:t>调解覆盖率：投标人在响应文件中应当承诺其调解团队参与行政复议案件的调解工作的比率。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pStyle w:val="4"/>
      <w:suff w:val="nothing"/>
      <w:lvlText w:val="%1、"/>
      <w:lvlJc w:val="left"/>
      <w:rPr>
        <w:rFonts w:hint="eastAsia"/>
        <w:b/>
        <w:i w:val="0"/>
        <w:sz w:val="24"/>
      </w:rPr>
    </w:lvl>
    <w:lvl w:ilvl="1" w:tentative="0">
      <w:start w:val="1"/>
      <w:numFmt w:val="decimal"/>
      <w:pStyle w:val="5"/>
      <w:suff w:val="nothing"/>
      <w:lvlText w:val="%2. "/>
      <w:lvlJc w:val="left"/>
      <w:rPr>
        <w:rFonts w:hint="eastAsia"/>
        <w:b w:val="0"/>
        <w:i w:val="0"/>
        <w:sz w:val="24"/>
      </w:rPr>
    </w:lvl>
    <w:lvl w:ilvl="2" w:tentative="0">
      <w:start w:val="1"/>
      <w:numFmt w:val="none"/>
      <w:pStyle w:val="6"/>
      <w:suff w:val="nothing"/>
      <w:lvlText w:val=""/>
      <w:lvlJc w:val="left"/>
      <w:rPr>
        <w:rFonts w:hint="eastAsia"/>
      </w:rPr>
    </w:lvl>
    <w:lvl w:ilvl="3" w:tentative="0">
      <w:start w:val="1"/>
      <w:numFmt w:val="none"/>
      <w:pStyle w:val="7"/>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9D5BB"/>
    <w:rsid w:val="3EAB0813"/>
    <w:rsid w:val="3FFCF283"/>
    <w:rsid w:val="47A58907"/>
    <w:rsid w:val="56E644CF"/>
    <w:rsid w:val="5773D082"/>
    <w:rsid w:val="5BEA12B4"/>
    <w:rsid w:val="5FEF2E0F"/>
    <w:rsid w:val="5FFEBA1B"/>
    <w:rsid w:val="6ADF0AF0"/>
    <w:rsid w:val="6AFC8158"/>
    <w:rsid w:val="6B7F32D1"/>
    <w:rsid w:val="77DDA81C"/>
    <w:rsid w:val="7DFF681C"/>
    <w:rsid w:val="7DFF7ED2"/>
    <w:rsid w:val="7F7B18E4"/>
    <w:rsid w:val="7FB632A7"/>
    <w:rsid w:val="7FED4D79"/>
    <w:rsid w:val="85588C9C"/>
    <w:rsid w:val="8E56CA64"/>
    <w:rsid w:val="937FB899"/>
    <w:rsid w:val="965F3F04"/>
    <w:rsid w:val="97FF26D6"/>
    <w:rsid w:val="B7FFAA80"/>
    <w:rsid w:val="BBFF836F"/>
    <w:rsid w:val="BEBF1DA5"/>
    <w:rsid w:val="BFBCA1AE"/>
    <w:rsid w:val="DF9550FD"/>
    <w:rsid w:val="EBB740BF"/>
    <w:rsid w:val="EDFF69EA"/>
    <w:rsid w:val="F53DEBCF"/>
    <w:rsid w:val="F693375E"/>
    <w:rsid w:val="F7F30D86"/>
    <w:rsid w:val="FB7FB9F6"/>
    <w:rsid w:val="FCB54463"/>
    <w:rsid w:val="FD870432"/>
    <w:rsid w:val="FDDF3ABA"/>
    <w:rsid w:val="FE75DE8F"/>
    <w:rsid w:val="FEDD2705"/>
    <w:rsid w:val="FEF92C9E"/>
    <w:rsid w:val="FF739557"/>
    <w:rsid w:val="FFBF66B6"/>
    <w:rsid w:val="FFCDCD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beforeLines="0" w:after="330" w:afterLines="0" w:line="578" w:lineRule="auto"/>
      <w:outlineLvl w:val="0"/>
    </w:pPr>
    <w:rPr>
      <w:b/>
      <w:kern w:val="44"/>
      <w:sz w:val="44"/>
      <w:szCs w:val="20"/>
    </w:rPr>
  </w:style>
  <w:style w:type="paragraph" w:styleId="5">
    <w:name w:val="heading 2"/>
    <w:basedOn w:val="6"/>
    <w:next w:val="7"/>
    <w:qFormat/>
    <w:uiPriority w:val="0"/>
    <w:pPr>
      <w:keepNext/>
      <w:keepLines/>
      <w:numPr>
        <w:ilvl w:val="1"/>
        <w:numId w:val="1"/>
      </w:numPr>
      <w:adjustRightInd w:val="0"/>
      <w:spacing w:before="260" w:beforeLines="0" w:after="260" w:afterLines="0" w:line="416" w:lineRule="atLeast"/>
      <w:textAlignment w:val="baseline"/>
      <w:outlineLvl w:val="1"/>
    </w:pPr>
    <w:rPr>
      <w:rFonts w:ascii="Arial" w:hAnsi="Arial" w:eastAsia="黑体"/>
      <w:b w:val="0"/>
      <w:kern w:val="0"/>
      <w:sz w:val="32"/>
      <w:szCs w:val="20"/>
    </w:rPr>
  </w:style>
  <w:style w:type="paragraph" w:styleId="6">
    <w:name w:val="heading 3"/>
    <w:basedOn w:val="1"/>
    <w:next w:val="1"/>
    <w:qFormat/>
    <w:uiPriority w:val="0"/>
    <w:pPr>
      <w:keepNext/>
      <w:keepLines/>
      <w:numPr>
        <w:ilvl w:val="2"/>
        <w:numId w:val="1"/>
      </w:numPr>
      <w:adjustRightInd w:val="0"/>
      <w:spacing w:before="260" w:beforeLines="0" w:after="260" w:afterLines="0" w:line="416" w:lineRule="atLeast"/>
      <w:textAlignment w:val="baseline"/>
      <w:outlineLvl w:val="2"/>
    </w:pPr>
    <w:rPr>
      <w:b/>
      <w:kern w:val="0"/>
      <w:sz w:val="32"/>
      <w:szCs w:val="20"/>
    </w:rPr>
  </w:style>
  <w:style w:type="paragraph" w:styleId="7">
    <w:name w:val="heading 4"/>
    <w:basedOn w:val="1"/>
    <w:next w:val="1"/>
    <w:qFormat/>
    <w:uiPriority w:val="0"/>
    <w:pPr>
      <w:keepNext/>
      <w:keepLines/>
      <w:numPr>
        <w:ilvl w:val="3"/>
        <w:numId w:val="1"/>
      </w:numPr>
      <w:spacing w:before="280" w:beforeLines="0" w:after="290" w:afterLines="0" w:line="376" w:lineRule="auto"/>
      <w:outlineLvl w:val="3"/>
    </w:pPr>
    <w:rPr>
      <w:rFonts w:ascii="Arial" w:hAnsi="Arial" w:eastAsia="黑体"/>
      <w:b/>
      <w:sz w:val="28"/>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eastAsia="仿宋_GB2312"/>
      <w:sz w:val="32"/>
    </w:rPr>
  </w:style>
  <w:style w:type="paragraph" w:styleId="3">
    <w:name w:val="Title"/>
    <w:basedOn w:val="1"/>
    <w:next w:val="1"/>
    <w:qFormat/>
    <w:uiPriority w:val="10"/>
    <w:pPr>
      <w:spacing w:before="240" w:after="60" w:line="420" w:lineRule="exact"/>
      <w:jc w:val="center"/>
      <w:outlineLvl w:val="0"/>
    </w:pPr>
    <w:rPr>
      <w:rFonts w:ascii="Cambria" w:hAnsi="Cambria" w:eastAsia="黑体" w:cs="宋体"/>
      <w:bCs/>
      <w:sz w:val="24"/>
      <w:szCs w:val="32"/>
    </w:rPr>
  </w:style>
  <w:style w:type="paragraph" w:styleId="8">
    <w:name w:val="footnote text"/>
    <w:basedOn w:val="1"/>
    <w:qFormat/>
    <w:uiPriority w:val="0"/>
    <w:pPr>
      <w:snapToGrid w:val="0"/>
      <w:jc w:val="left"/>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2">
    <w:name w:val="footnote reference"/>
    <w:basedOn w:val="11"/>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j</cp:lastModifiedBy>
  <cp:lastPrinted>2026-07-06T22:47:00Z</cp:lastPrinted>
  <dcterms:modified xsi:type="dcterms:W3CDTF">2026-07-07T09:19:58Z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