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F8B74">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13216"/>
      <w:bookmarkStart w:id="1" w:name="_Toc32562"/>
      <w:bookmarkStart w:id="2" w:name="_Toc125127182"/>
      <w:bookmarkStart w:id="3" w:name="_Toc5810"/>
      <w:r>
        <w:rPr>
          <w:rFonts w:hint="eastAsia" w:ascii="黑体" w:hAnsi="黑体" w:eastAsia="黑体" w:cs="黑体"/>
          <w:color w:val="auto"/>
          <w:sz w:val="32"/>
          <w:szCs w:val="32"/>
          <w:highlight w:val="none"/>
          <w:lang w:val="en-US" w:eastAsia="zh-CN"/>
        </w:rPr>
        <w:t>附件10</w:t>
      </w:r>
    </w:p>
    <w:p w14:paraId="2F5D2C6B">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14:paraId="5A9DAC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深圳市2026年中央资金消费新业态新模式新场景试点（支持优质消费资源与知名IP跨界联名—优质消费资源与知名IP跨界联合单体场景资助项目）申报指南</w:t>
      </w:r>
    </w:p>
    <w:p w14:paraId="411E9AD7">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r>
        <w:rPr>
          <w:rFonts w:hint="eastAsia" w:ascii="楷体_GB2312" w:hAnsi="楷体_GB2312" w:eastAsia="楷体_GB2312" w:cs="楷体_GB2312"/>
          <w:color w:val="auto"/>
          <w:kern w:val="2"/>
          <w:sz w:val="36"/>
          <w:szCs w:val="36"/>
          <w:highlight w:val="none"/>
          <w:lang w:val="en-US" w:eastAsia="zh-CN" w:bidi="ar-SA"/>
        </w:rPr>
        <w:t>（盐田区</w:t>
      </w:r>
      <w:bookmarkStart w:id="40" w:name="_GoBack"/>
      <w:bookmarkEnd w:id="40"/>
      <w:r>
        <w:rPr>
          <w:rFonts w:hint="eastAsia" w:ascii="楷体_GB2312" w:hAnsi="楷体_GB2312" w:eastAsia="楷体_GB2312" w:cs="楷体_GB2312"/>
          <w:color w:val="auto"/>
          <w:kern w:val="2"/>
          <w:sz w:val="36"/>
          <w:szCs w:val="36"/>
          <w:highlight w:val="none"/>
          <w:lang w:val="en-US" w:eastAsia="zh-CN" w:bidi="ar-SA"/>
        </w:rPr>
        <w:t>第一批）</w:t>
      </w:r>
    </w:p>
    <w:p w14:paraId="7558236B">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14:paraId="735699EF">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14:paraId="460403A0">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支持具备影响力和粉丝基础的IP（包含影视、游戏、动漫、国潮文化等）与消费场景深度融合，通过场景搭建、业态创新和互动设计，打造具有一定规模、影响力、兼具情感共鸣与沉浸式体验的新型消费空间。</w:t>
      </w:r>
    </w:p>
    <w:p w14:paraId="5205BB3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14:paraId="55497AEE">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3AC4F278">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6684F65F">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3FA15B9A">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1239C588">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1B94582B">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18411"/>
      <w:bookmarkStart w:id="9" w:name="_Toc21755"/>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14:paraId="4E616D43">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5DCDE7F2">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14:paraId="0D997F5E">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2260EE42">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3C61255D">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14:paraId="466A8794">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70E19072">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05A0638B">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702D34C1">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7FF0A0F5">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5BDE31CA">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57396140">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46722778">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2448AEAA">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115E41EB">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747C20D3">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55E980E9">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申报项目应符合以下类型之一：</w:t>
      </w:r>
    </w:p>
    <w:p w14:paraId="6E56D398">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1.支持新开设IP主题文化消费店铺</w:t>
      </w:r>
    </w:p>
    <w:p w14:paraId="6B0F0667">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（1）申报项目以IP主题衍生品销售、IP文化体验等为核心业务；</w:t>
      </w:r>
    </w:p>
    <w:p w14:paraId="5555BA74">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（2）拥有自主知识产权或正规授权、IP衍生品产品类型不少于3类；</w:t>
      </w:r>
    </w:p>
    <w:p w14:paraId="34B234D8">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（3）月均提供服务次数不低于1000次（统计周期为2025年9月30日至申报受理前一个月月末；月均值按该期间实际运营数据计算，不足一个月的部分，按日均值折算为月均值）。</w:t>
      </w:r>
    </w:p>
    <w:p w14:paraId="401B05CD">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2.支持新开设IP焕新体验空间</w:t>
      </w:r>
    </w:p>
    <w:p w14:paraId="1FF0DF80">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lang w:val="en-US" w:eastAsia="zh-CN"/>
        </w:rPr>
      </w:pPr>
      <w:r>
        <w:rPr>
          <w:rFonts w:hint="eastAsia"/>
          <w:color w:val="auto"/>
          <w:highlight w:val="none"/>
          <w:lang w:val="en-US" w:eastAsia="zh-CN"/>
        </w:rPr>
        <w:t>（1）</w:t>
      </w:r>
      <w:r>
        <w:rPr>
          <w:rFonts w:hint="eastAsia"/>
          <w:color w:val="auto"/>
          <w:lang w:val="en-US" w:eastAsia="zh-CN"/>
        </w:rPr>
        <w:t>申报</w:t>
      </w:r>
      <w:r>
        <w:rPr>
          <w:rFonts w:hint="eastAsia"/>
          <w:color w:val="auto"/>
          <w:lang w:eastAsia="zh-CN"/>
        </w:rPr>
        <w:t>项目</w:t>
      </w:r>
      <w:r>
        <w:rPr>
          <w:rFonts w:hint="eastAsia"/>
          <w:color w:val="auto"/>
          <w:lang w:val="en-US" w:eastAsia="zh-CN"/>
        </w:rPr>
        <w:t>须对现有商业空间进行跨界联名、主题升级、内容共创等IP化改造与内容焕新，成功打造兼具情感共鸣与沉浸式体验的新型消费场景；</w:t>
      </w:r>
    </w:p>
    <w:p w14:paraId="3A3E72C8">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lang w:val="en-US" w:eastAsia="zh-CN"/>
        </w:rPr>
      </w:pPr>
      <w:r>
        <w:rPr>
          <w:rFonts w:hint="eastAsia"/>
          <w:color w:val="auto"/>
          <w:lang w:val="en-US" w:eastAsia="zh-CN"/>
        </w:rPr>
        <w:t>（2）场景主题明确，拥有自主知识产权或正规授权。</w:t>
      </w:r>
    </w:p>
    <w:p w14:paraId="3900BEBD">
      <w:pPr>
        <w:pStyle w:val="35"/>
        <w:keepNext w:val="0"/>
        <w:keepLines w:val="0"/>
        <w:pageBreakBefore w:val="0"/>
        <w:widowControl w:val="0"/>
        <w:kinsoku/>
        <w:wordWrap/>
        <w:overflowPunct/>
        <w:topLinePunct w:val="0"/>
        <w:autoSpaceDE/>
        <w:autoSpaceDN/>
        <w:bidi w:val="0"/>
        <w:adjustRightInd/>
        <w:snapToGrid/>
        <w:spacing w:before="0" w:after="0"/>
        <w:ind w:firstLine="640"/>
        <w:textAlignment w:val="auto"/>
        <w:rPr>
          <w:rFonts w:hint="eastAsia"/>
          <w:color w:val="auto"/>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14B088A8">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14:paraId="29722913">
      <w:pPr>
        <w:bidi w:val="0"/>
        <w:rPr>
          <w:rFonts w:hint="eastAsia"/>
          <w:color w:val="auto"/>
          <w:highlight w:val="none"/>
          <w:lang w:val="en-US" w:eastAsia="zh-CN"/>
        </w:rPr>
      </w:pPr>
      <w:r>
        <w:rPr>
          <w:rFonts w:hint="eastAsia"/>
          <w:color w:val="auto"/>
          <w:highlight w:val="none"/>
          <w:lang w:val="en-US" w:eastAsia="zh-CN"/>
        </w:rPr>
        <w:t>（一）支持新开设IP主题文化消费店铺，按项目相关的实际有效投入的20%给予资助，试点期间最高不超过100万元。</w:t>
      </w:r>
    </w:p>
    <w:p w14:paraId="6765FB7B">
      <w:pPr>
        <w:bidi w:val="0"/>
        <w:rPr>
          <w:rFonts w:hint="eastAsia" w:ascii="仿宋_GB2312" w:eastAsia="仿宋_GB2312"/>
          <w:color w:val="auto"/>
          <w:highlight w:val="none"/>
          <w:lang w:val="en-US" w:eastAsia="zh-CN"/>
        </w:rPr>
      </w:pPr>
      <w:r>
        <w:rPr>
          <w:rFonts w:hint="eastAsia"/>
          <w:color w:val="auto"/>
          <w:highlight w:val="none"/>
          <w:lang w:val="en-US" w:eastAsia="zh-CN"/>
        </w:rPr>
        <w:t>（二）支持新开设IP焕新体验空间，按项目相关的实际有效投入的20%给予资助，试点期间最高不超过100万元</w:t>
      </w:r>
      <w:r>
        <w:rPr>
          <w:rFonts w:hint="eastAsia" w:ascii="仿宋_GB2312" w:eastAsia="仿宋_GB2312"/>
          <w:color w:val="auto"/>
          <w:highlight w:val="none"/>
          <w:lang w:val="en-US" w:eastAsia="zh-CN"/>
        </w:rPr>
        <w:t>。</w:t>
      </w:r>
    </w:p>
    <w:p w14:paraId="62B10BFE">
      <w:pPr>
        <w:tabs>
          <w:tab w:val="center" w:pos="4153"/>
          <w:tab w:val="right" w:pos="8306"/>
        </w:tabs>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w:t>
      </w:r>
      <w:r>
        <w:rPr>
          <w:rStyle w:val="19"/>
          <w:rFonts w:hint="eastAsia"/>
          <w:color w:val="auto"/>
          <w:sz w:val="32"/>
          <w:szCs w:val="32"/>
          <w:highlight w:val="none"/>
          <w:lang w:val="en-US" w:eastAsia="zh-CN"/>
        </w:rPr>
        <w:t>IP单体场景</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6EE25126">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14:paraId="3F3ED2DD">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0EE620DF">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5163E236">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初审通过后提供申请书纸质文件原件并将本指南第六条要求的项目申报材料一并线下或通过邮寄方式交给区商务部门，线下受理地址请在线上申报系统申请页面查询或咨询申请所在区商务部门。</w:t>
      </w:r>
      <w:r>
        <w:rPr>
          <w:rFonts w:hint="default"/>
          <w:highlight w:val="none"/>
        </w:rPr>
        <w:t>（各区补充填写申报网址及线下受理地址）</w:t>
      </w:r>
    </w:p>
    <w:p w14:paraId="378E27DB">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255D02B6">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70562E53">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669D68A2">
      <w:pPr>
        <w:bidi w:val="0"/>
        <w:rPr>
          <w:rFonts w:hint="default"/>
          <w:color w:val="auto"/>
          <w:highlight w:val="none"/>
          <w:lang w:val="en-US" w:eastAsia="zh-CN"/>
        </w:rPr>
      </w:pPr>
      <w:r>
        <w:rPr>
          <w:rFonts w:hint="default"/>
          <w:color w:val="auto"/>
          <w:highlight w:val="none"/>
          <w:lang w:val="en-US" w:eastAsia="zh-CN"/>
        </w:rPr>
        <w:t>1.通用专项材料（两类方向均需提交）</w:t>
      </w:r>
      <w:r>
        <w:rPr>
          <w:rFonts w:hint="eastAsia"/>
          <w:color w:val="auto"/>
          <w:highlight w:val="none"/>
          <w:lang w:val="en-US" w:eastAsia="zh-CN"/>
        </w:rPr>
        <w:t>：</w:t>
      </w:r>
    </w:p>
    <w:p w14:paraId="6FA89958">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14:paraId="4159CEC2">
      <w:pPr>
        <w:bidi w:val="0"/>
        <w:rPr>
          <w:rFonts w:hint="eastAsia"/>
          <w:color w:val="auto"/>
          <w:highlight w:val="none"/>
          <w:lang w:val="en-US" w:eastAsia="zh-CN"/>
        </w:rPr>
      </w:pPr>
      <w:r>
        <w:rPr>
          <w:rFonts w:hint="eastAsia"/>
          <w:color w:val="auto"/>
          <w:highlight w:val="none"/>
          <w:lang w:val="en-US" w:eastAsia="zh-CN"/>
        </w:rPr>
        <w:t>（2）专项资金项目投入明细表及佐证材料（详见项目申报书）。</w:t>
      </w:r>
    </w:p>
    <w:p w14:paraId="1CB3727E">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IP授权证明</w:t>
      </w:r>
      <w:r>
        <w:rPr>
          <w:rFonts w:hint="eastAsia"/>
          <w:color w:val="auto"/>
          <w:highlight w:val="none"/>
          <w:lang w:val="en-US" w:eastAsia="zh-CN"/>
        </w:rPr>
        <w:t>：</w:t>
      </w:r>
      <w:r>
        <w:rPr>
          <w:rFonts w:hint="default"/>
          <w:color w:val="auto"/>
          <w:highlight w:val="none"/>
          <w:lang w:val="en-US" w:eastAsia="zh-CN"/>
        </w:rPr>
        <w:tab/>
      </w:r>
      <w:r>
        <w:rPr>
          <w:rFonts w:hint="default"/>
          <w:color w:val="auto"/>
          <w:highlight w:val="none"/>
          <w:lang w:val="en-US" w:eastAsia="zh-CN"/>
        </w:rPr>
        <w:t>IP方出具的正式授权书或合作协议</w:t>
      </w:r>
      <w:r>
        <w:rPr>
          <w:rFonts w:hint="eastAsia"/>
          <w:color w:val="auto"/>
          <w:highlight w:val="none"/>
          <w:lang w:val="en-US" w:eastAsia="zh-CN"/>
        </w:rPr>
        <w:t>。</w:t>
      </w:r>
    </w:p>
    <w:p w14:paraId="189E7FCA">
      <w:pPr>
        <w:bidi w:val="0"/>
        <w:rPr>
          <w:rFonts w:hint="eastAsia"/>
          <w:color w:val="auto"/>
          <w:highlight w:val="none"/>
          <w:lang w:val="en-US" w:eastAsia="zh-CN"/>
        </w:rPr>
      </w:pPr>
      <w:r>
        <w:rPr>
          <w:rFonts w:hint="eastAsia"/>
          <w:color w:val="auto"/>
          <w:highlight w:val="none"/>
          <w:lang w:val="en-US" w:eastAsia="zh-CN"/>
        </w:rPr>
        <w:t>（4）固定经营场所佐证材料：不动产权证书、租赁合同或场地使用文件。</w:t>
      </w:r>
    </w:p>
    <w:p w14:paraId="6E888768">
      <w:pPr>
        <w:bidi w:val="0"/>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分类型专项材料（选择</w:t>
      </w:r>
      <w:r>
        <w:rPr>
          <w:rFonts w:hint="eastAsia"/>
          <w:color w:val="auto"/>
          <w:highlight w:val="none"/>
          <w:lang w:val="en-US" w:eastAsia="zh-CN"/>
        </w:rPr>
        <w:t>一类型</w:t>
      </w:r>
      <w:r>
        <w:rPr>
          <w:rFonts w:hint="default"/>
          <w:color w:val="auto"/>
          <w:highlight w:val="none"/>
          <w:lang w:val="en-US" w:eastAsia="zh-CN"/>
        </w:rPr>
        <w:t>提交）</w:t>
      </w:r>
      <w:r>
        <w:rPr>
          <w:rFonts w:hint="eastAsia"/>
          <w:color w:val="auto"/>
          <w:highlight w:val="none"/>
          <w:lang w:val="en-US" w:eastAsia="zh-CN"/>
        </w:rPr>
        <w:t>：</w:t>
      </w:r>
    </w:p>
    <w:p w14:paraId="47D5DC7C">
      <w:pPr>
        <w:bidi w:val="0"/>
        <w:rPr>
          <w:rFonts w:hint="default"/>
          <w:color w:val="auto"/>
          <w:highlight w:val="none"/>
          <w:lang w:val="en-US" w:eastAsia="zh-CN"/>
        </w:rPr>
      </w:pPr>
      <w:r>
        <w:rPr>
          <w:rFonts w:hint="eastAsia"/>
          <w:color w:val="auto"/>
          <w:highlight w:val="none"/>
          <w:lang w:val="en-US" w:eastAsia="zh-CN"/>
        </w:rPr>
        <w:t>一是</w:t>
      </w:r>
      <w:r>
        <w:rPr>
          <w:rFonts w:hint="default"/>
          <w:color w:val="auto"/>
          <w:highlight w:val="none"/>
          <w:lang w:val="en-US" w:eastAsia="zh-CN"/>
        </w:rPr>
        <w:t>IP主题文化消费店铺</w:t>
      </w:r>
      <w:r>
        <w:rPr>
          <w:rFonts w:hint="eastAsia"/>
          <w:color w:val="auto"/>
          <w:highlight w:val="none"/>
          <w:lang w:val="en-US" w:eastAsia="zh-CN"/>
        </w:rPr>
        <w:t>：</w:t>
      </w:r>
    </w:p>
    <w:p w14:paraId="7E2EACE6">
      <w:pPr>
        <w:bidi w:val="0"/>
        <w:rPr>
          <w:rFonts w:hint="eastAsia"/>
          <w:color w:val="auto"/>
          <w:highlight w:val="none"/>
          <w:lang w:val="en-US" w:eastAsia="zh-CN"/>
        </w:rPr>
      </w:pPr>
      <w:r>
        <w:rPr>
          <w:rFonts w:hint="eastAsia"/>
          <w:color w:val="auto"/>
          <w:highlight w:val="none"/>
          <w:lang w:val="en-US" w:eastAsia="zh-CN"/>
        </w:rPr>
        <w:t>（1）核心业务材料：项目说明（须体现以IP衍生品销售、IP文化体验为核心业务）。</w:t>
      </w:r>
    </w:p>
    <w:p w14:paraId="1881FFAB">
      <w:pPr>
        <w:bidi w:val="0"/>
        <w:rPr>
          <w:rFonts w:hint="eastAsia"/>
          <w:color w:val="auto"/>
          <w:highlight w:val="none"/>
          <w:lang w:val="en-US" w:eastAsia="zh-CN"/>
        </w:rPr>
      </w:pPr>
      <w:r>
        <w:rPr>
          <w:rFonts w:hint="eastAsia"/>
          <w:color w:val="auto"/>
          <w:highlight w:val="none"/>
          <w:lang w:val="en-US" w:eastAsia="zh-CN"/>
        </w:rPr>
        <w:t>（2）产品类型佐证材料：IP衍生品清单（须体现产品类型不少于3类）。</w:t>
      </w:r>
    </w:p>
    <w:p w14:paraId="67B035F6">
      <w:pPr>
        <w:bidi w:val="0"/>
        <w:rPr>
          <w:rFonts w:hint="eastAsia"/>
          <w:color w:val="auto"/>
          <w:highlight w:val="none"/>
          <w:lang w:val="en-US" w:eastAsia="zh-CN"/>
        </w:rPr>
      </w:pPr>
      <w:r>
        <w:rPr>
          <w:rFonts w:hint="eastAsia"/>
          <w:color w:val="auto"/>
          <w:highlight w:val="none"/>
          <w:lang w:val="en-US" w:eastAsia="zh-CN"/>
        </w:rPr>
        <w:t>（3）服务次数佐证材料：后台服务记录、消费订单数据等（须体现月均不低于1000次）。</w:t>
      </w:r>
    </w:p>
    <w:p w14:paraId="2EA1BEE2">
      <w:pPr>
        <w:bidi w:val="0"/>
        <w:rPr>
          <w:rFonts w:hint="eastAsia"/>
          <w:color w:val="auto"/>
          <w:highlight w:val="none"/>
          <w:lang w:val="en-US" w:eastAsia="zh-CN"/>
        </w:rPr>
      </w:pPr>
      <w:r>
        <w:rPr>
          <w:rFonts w:hint="eastAsia"/>
          <w:color w:val="auto"/>
          <w:highlight w:val="none"/>
          <w:lang w:val="en-US" w:eastAsia="zh-CN"/>
        </w:rPr>
        <w:t>（4）开设时间佐证材料：营业执照或开业登记、媒体报道等材料（须体现为2025年9月30日（含）之后新开设店铺）。</w:t>
      </w:r>
    </w:p>
    <w:p w14:paraId="7169C560">
      <w:pPr>
        <w:bidi w:val="0"/>
        <w:rPr>
          <w:rFonts w:hint="default"/>
          <w:color w:val="auto"/>
          <w:highlight w:val="none"/>
          <w:lang w:val="en-US" w:eastAsia="zh-CN"/>
        </w:rPr>
      </w:pPr>
      <w:r>
        <w:rPr>
          <w:rFonts w:hint="eastAsia"/>
          <w:color w:val="auto"/>
          <w:highlight w:val="none"/>
          <w:lang w:val="en-US" w:eastAsia="zh-CN"/>
        </w:rPr>
        <w:t>二是</w:t>
      </w:r>
      <w:r>
        <w:rPr>
          <w:rFonts w:hint="default"/>
          <w:color w:val="auto"/>
          <w:highlight w:val="none"/>
          <w:lang w:val="en-US" w:eastAsia="zh-CN"/>
        </w:rPr>
        <w:t>IP焕新体验空间</w:t>
      </w:r>
      <w:r>
        <w:rPr>
          <w:rFonts w:hint="eastAsia"/>
          <w:color w:val="auto"/>
          <w:highlight w:val="none"/>
          <w:lang w:val="en-US" w:eastAsia="zh-CN"/>
        </w:rPr>
        <w:t>：</w:t>
      </w:r>
    </w:p>
    <w:p w14:paraId="70809E5F">
      <w:pPr>
        <w:bidi w:val="0"/>
        <w:rPr>
          <w:rFonts w:hint="eastAsia"/>
          <w:color w:val="auto"/>
          <w:highlight w:val="none"/>
          <w:lang w:val="en-US" w:eastAsia="zh-CN"/>
        </w:rPr>
      </w:pPr>
      <w:r>
        <w:rPr>
          <w:rFonts w:hint="eastAsia"/>
          <w:color w:val="auto"/>
          <w:highlight w:val="none"/>
          <w:lang w:val="en-US" w:eastAsia="zh-CN"/>
        </w:rPr>
        <w:t>（1）焕新体验说明材料：详细说明跨界联名、主题升级、内容共创等改造升级内容，附改造前后对比照片、改造方案、施工记录等。</w:t>
      </w:r>
    </w:p>
    <w:p w14:paraId="66082F79">
      <w:pPr>
        <w:bidi w:val="0"/>
        <w:rPr>
          <w:rFonts w:hint="eastAsia"/>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场景主题佐证材料：明确场景IP主题，提供主题设计方案、实景呈现资料</w:t>
      </w:r>
      <w:r>
        <w:rPr>
          <w:rFonts w:hint="eastAsia"/>
          <w:color w:val="auto"/>
          <w:highlight w:val="none"/>
          <w:lang w:val="en-US" w:eastAsia="zh-CN"/>
        </w:rPr>
        <w:t>等。</w:t>
      </w:r>
    </w:p>
    <w:p w14:paraId="361D6FF4">
      <w:pPr>
        <w:bidi w:val="0"/>
        <w:rPr>
          <w:rFonts w:hint="default"/>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开设时间佐证材料：营业执照</w:t>
      </w:r>
      <w:r>
        <w:rPr>
          <w:rFonts w:hint="eastAsia"/>
          <w:color w:val="auto"/>
          <w:highlight w:val="none"/>
          <w:lang w:val="en-US" w:eastAsia="zh-CN"/>
        </w:rPr>
        <w:t>或开业登记、媒体报道等材料（须体现为2025年9月30日（含）之后新开设店铺）。</w:t>
      </w:r>
    </w:p>
    <w:p w14:paraId="0FEA4F41">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45A31D86">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14:paraId="4A605479">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auto"/>
          <w:sz w:val="32"/>
          <w:szCs w:val="32"/>
          <w:highlight w:val="none"/>
        </w:rPr>
      </w:pPr>
      <w:bookmarkStart w:id="18" w:name="_Toc13760"/>
      <w:bookmarkStart w:id="19" w:name="_Toc20121"/>
      <w:bookmarkStart w:id="20" w:name="_Toc1376"/>
      <w:bookmarkStart w:id="21" w:name="_Toc9722"/>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14:paraId="0623F202">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14:paraId="67CE05B7">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14:paraId="4D1C6261">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盐田区商务局。</w:t>
      </w:r>
    </w:p>
    <w:p w14:paraId="7FA20237">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14:paraId="33FEE501">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14:paraId="3193D515">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14:paraId="48B6310C">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14:paraId="1B040F50">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A87D885">
      <w:pPr>
        <w:bidi w:val="0"/>
        <w:spacing w:before="0" w:after="0"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深圳市盐田区沙盐路盐田现代产业服务中心裙楼A座二楼盐田区政务服务中心1-5号窗口</w:t>
      </w:r>
      <w:r>
        <w:rPr>
          <w:rFonts w:hint="eastAsia" w:cs="仿宋_GB2312"/>
          <w:color w:val="000000" w:themeColor="text1"/>
          <w:sz w:val="32"/>
          <w:szCs w:val="32"/>
          <w:highlight w:val="none"/>
          <w:lang w:eastAsia="zh-CN"/>
          <w14:textFill>
            <w14:solidFill>
              <w14:schemeClr w14:val="tx1"/>
            </w14:solidFill>
          </w14:textFill>
        </w:rPr>
        <w:t>。</w:t>
      </w:r>
    </w:p>
    <w:p w14:paraId="3B093C0E">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14:paraId="4B303292">
      <w:pPr>
        <w:bidi w:val="0"/>
        <w:rPr>
          <w:rFonts w:hint="default"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0755-88171063。</w:t>
      </w:r>
    </w:p>
    <w:p w14:paraId="64A25202">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14:paraId="3180F057">
      <w:pPr>
        <w:bidi w:val="0"/>
        <w:rPr>
          <w:rFonts w:hint="eastAsia" w:ascii="仿宋_GB2312" w:hAnsi="宋体" w:eastAsia="仿宋_GB2312" w:cs="宋体"/>
          <w:color w:val="auto"/>
          <w:kern w:val="0"/>
          <w:sz w:val="32"/>
          <w:szCs w:val="32"/>
          <w:highlight w:val="none"/>
          <w:lang w:val="en-US" w:eastAsia="zh-CN"/>
        </w:rPr>
      </w:pPr>
      <w:bookmarkStart w:id="22" w:name="_Toc2137"/>
      <w:bookmarkStart w:id="23" w:name="_Toc10305"/>
      <w:bookmarkStart w:id="24" w:name="_Toc161850809"/>
      <w:bookmarkStart w:id="25" w:name="_Toc125127183"/>
      <w:r>
        <w:rPr>
          <w:rFonts w:hint="eastAsia" w:hAnsi="宋体" w:cs="宋体"/>
          <w:color w:val="auto"/>
          <w:kern w:val="0"/>
          <w:sz w:val="32"/>
          <w:szCs w:val="32"/>
          <w:highlight w:val="none"/>
          <w:lang w:val="en-US" w:eastAsia="zh-CN"/>
        </w:rPr>
        <w:t>各区级商务主管部门</w:t>
      </w:r>
    </w:p>
    <w:p w14:paraId="7B0F9F09">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1274"/>
      <w:bookmarkStart w:id="27" w:name="_Toc16198"/>
      <w:r>
        <w:rPr>
          <w:rFonts w:hint="eastAsia" w:ascii="黑体" w:hAnsi="黑体" w:eastAsia="黑体" w:cs="仿宋"/>
          <w:color w:val="auto"/>
          <w:kern w:val="2"/>
          <w:sz w:val="32"/>
          <w:szCs w:val="22"/>
          <w:highlight w:val="none"/>
          <w:lang w:val="en-US" w:eastAsia="zh-CN" w:bidi="ar-SA"/>
        </w:rPr>
        <w:t>十、办理流程</w:t>
      </w:r>
      <w:bookmarkEnd w:id="26"/>
      <w:bookmarkEnd w:id="27"/>
    </w:p>
    <w:p w14:paraId="7E817691">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25FABAEF">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14:paraId="429BCAA2">
      <w:pPr>
        <w:bidi w:val="0"/>
        <w:rPr>
          <w:rFonts w:hint="eastAsia"/>
          <w:color w:val="auto"/>
          <w:highlight w:val="none"/>
        </w:rPr>
      </w:pPr>
      <w:r>
        <w:rPr>
          <w:rFonts w:hint="eastAsia"/>
          <w:color w:val="auto"/>
          <w:highlight w:val="none"/>
          <w:lang w:val="en-US" w:eastAsia="zh-CN"/>
        </w:rPr>
        <w:t>180个工作日，不含特别程序。</w:t>
      </w:r>
    </w:p>
    <w:p w14:paraId="110FAB7F">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14:paraId="60E4B1F4">
      <w:pPr>
        <w:bidi w:val="0"/>
        <w:rPr>
          <w:rFonts w:hint="eastAsia"/>
          <w:color w:val="auto"/>
          <w:highlight w:val="none"/>
        </w:rPr>
      </w:pPr>
      <w:r>
        <w:rPr>
          <w:rFonts w:hint="eastAsia"/>
          <w:color w:val="auto"/>
          <w:highlight w:val="none"/>
        </w:rPr>
        <w:t>证件：无</w:t>
      </w:r>
    </w:p>
    <w:p w14:paraId="52221FB3">
      <w:pPr>
        <w:bidi w:val="0"/>
        <w:rPr>
          <w:rFonts w:hint="eastAsia"/>
          <w:color w:val="auto"/>
          <w:highlight w:val="none"/>
        </w:rPr>
      </w:pPr>
      <w:r>
        <w:rPr>
          <w:rFonts w:hint="eastAsia"/>
          <w:color w:val="auto"/>
          <w:highlight w:val="none"/>
        </w:rPr>
        <w:t>有效期限：无</w:t>
      </w:r>
    </w:p>
    <w:p w14:paraId="725E1792">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14:paraId="694B4B24">
      <w:pPr>
        <w:bidi w:val="0"/>
        <w:rPr>
          <w:rFonts w:hint="eastAsia"/>
          <w:color w:val="auto"/>
          <w:highlight w:val="none"/>
        </w:rPr>
      </w:pPr>
      <w:r>
        <w:rPr>
          <w:rFonts w:hint="eastAsia"/>
          <w:color w:val="auto"/>
          <w:highlight w:val="none"/>
        </w:rPr>
        <w:t>无</w:t>
      </w:r>
    </w:p>
    <w:p w14:paraId="18A61E88">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6842"/>
      <w:bookmarkStart w:id="35" w:name="_Toc7505"/>
      <w:r>
        <w:rPr>
          <w:rFonts w:hint="eastAsia" w:ascii="黑体" w:hAnsi="黑体" w:eastAsia="黑体" w:cs="Times New Roman"/>
          <w:color w:val="auto"/>
          <w:kern w:val="2"/>
          <w:sz w:val="32"/>
          <w:szCs w:val="32"/>
          <w:highlight w:val="none"/>
          <w:lang w:val="en-US" w:eastAsia="zh-CN" w:bidi="ar-SA"/>
        </w:rPr>
        <w:t>十四、收费</w:t>
      </w:r>
      <w:bookmarkEnd w:id="34"/>
      <w:bookmarkEnd w:id="35"/>
    </w:p>
    <w:p w14:paraId="2E391C71">
      <w:pPr>
        <w:bidi w:val="0"/>
        <w:rPr>
          <w:rFonts w:hint="eastAsia"/>
          <w:color w:val="auto"/>
          <w:highlight w:val="none"/>
        </w:rPr>
      </w:pPr>
      <w:r>
        <w:rPr>
          <w:rFonts w:hint="eastAsia"/>
          <w:color w:val="auto"/>
          <w:highlight w:val="none"/>
        </w:rPr>
        <w:t>无</w:t>
      </w:r>
    </w:p>
    <w:p w14:paraId="01192802">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14:paraId="745A4BB2">
      <w:pPr>
        <w:bidi w:val="0"/>
        <w:rPr>
          <w:rFonts w:hint="eastAsia"/>
          <w:color w:val="auto"/>
          <w:highlight w:val="none"/>
        </w:rPr>
      </w:pPr>
      <w:r>
        <w:rPr>
          <w:rFonts w:hint="eastAsia"/>
          <w:color w:val="auto"/>
          <w:highlight w:val="none"/>
        </w:rPr>
        <w:t>无</w:t>
      </w:r>
      <w:bookmarkStart w:id="38" w:name="_Toc28762"/>
      <w:bookmarkStart w:id="39" w:name="_Toc20677"/>
    </w:p>
    <w:p w14:paraId="713C86AD">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14:paraId="64BC6AA0">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59C84007">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3FA39606">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26ECA093">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4F8FF731">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2135AC3D">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45429EDF">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450E3C07">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62D23B9A">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3DDB18AF">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000000" w:themeColor="text1"/>
          <w:highlight w:val="none"/>
          <w:lang w:eastAsia="zh-CN"/>
          <w14:textFill>
            <w14:solidFill>
              <w14:schemeClr w14:val="tx1"/>
            </w14:solidFill>
          </w14:textFill>
        </w:rPr>
        <w:t>（电话：</w:t>
      </w:r>
      <w:r>
        <w:rPr>
          <w:rFonts w:hint="eastAsia"/>
          <w:color w:val="000000" w:themeColor="text1"/>
          <w:highlight w:val="none"/>
          <w:lang w:val="en-US" w:eastAsia="zh-CN"/>
          <w14:textFill>
            <w14:solidFill>
              <w14:schemeClr w14:val="tx1"/>
            </w14:solidFill>
          </w14:textFill>
        </w:rPr>
        <w:t>0755-88171063</w:t>
      </w:r>
      <w:r>
        <w:rPr>
          <w:rFonts w:hint="eastAsia"/>
          <w:color w:val="000000" w:themeColor="text1"/>
          <w:highlight w:val="none"/>
          <w:lang w:eastAsia="zh-CN"/>
          <w14:textFill>
            <w14:solidFill>
              <w14:schemeClr w14:val="tx1"/>
            </w14:solidFill>
          </w14:textFill>
        </w:rPr>
        <w:t>）。</w:t>
      </w:r>
    </w:p>
    <w:p w14:paraId="434EA6B7">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48EBC83B">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279B5060">
      <w:pPr>
        <w:bidi w:val="0"/>
        <w:ind w:firstLine="0" w:firstLineChars="0"/>
        <w:rPr>
          <w:rFonts w:hint="eastAsia"/>
          <w:color w:val="auto"/>
          <w:highlight w:val="none"/>
          <w:lang w:val="en-US" w:eastAsia="zh-CN"/>
        </w:rPr>
      </w:pPr>
    </w:p>
    <w:bookmarkEnd w:id="22"/>
    <w:bookmarkEnd w:id="23"/>
    <w:bookmarkEnd w:id="24"/>
    <w:bookmarkEnd w:id="25"/>
    <w:p w14:paraId="4AC4F476">
      <w:pPr>
        <w:pStyle w:val="17"/>
        <w:rPr>
          <w:rFonts w:hint="eastAsia" w:ascii="仿宋_GB2312" w:hAnsi="仿宋_GB2312"/>
          <w:color w:val="auto"/>
          <w:highlight w:val="none"/>
          <w:lang w:eastAsia="zh-CN"/>
        </w:rPr>
      </w:pPr>
      <w:r>
        <w:rPr>
          <w:rFonts w:hint="eastAsia" w:ascii="仿宋_GB2312" w:hAnsi="仿宋_GB2312"/>
          <w:color w:val="auto"/>
          <w:highlight w:val="none"/>
          <w:lang w:eastAsia="zh-CN"/>
        </w:rPr>
        <w:t>附录：名词解释</w:t>
      </w:r>
    </w:p>
    <w:p w14:paraId="7E910DFE">
      <w:pPr>
        <w:rPr>
          <w:rFonts w:hint="eastAsia" w:ascii="仿宋_GB2312" w:hAnsi="仿宋_GB2312"/>
          <w:color w:val="auto"/>
          <w:highlight w:val="none"/>
          <w:lang w:eastAsia="zh-CN"/>
        </w:rPr>
      </w:pPr>
      <w:r>
        <w:rPr>
          <w:rFonts w:hint="eastAsia" w:ascii="仿宋_GB2312" w:hAnsi="仿宋_GB2312"/>
          <w:color w:val="auto"/>
          <w:highlight w:val="none"/>
          <w:lang w:eastAsia="zh-CN"/>
        </w:rPr>
        <w:br w:type="page"/>
      </w:r>
    </w:p>
    <w:p w14:paraId="4E69EC15">
      <w:pPr>
        <w:pStyle w:val="17"/>
        <w:ind w:firstLine="0" w:firstLineChars="0"/>
        <w:rPr>
          <w:rFonts w:hint="eastAsia" w:ascii="黑体" w:hAnsi="黑体" w:eastAsia="黑体" w:cs="黑体"/>
          <w:color w:val="auto"/>
          <w:highlight w:val="none"/>
          <w:lang w:eastAsia="zh-CN"/>
        </w:rPr>
      </w:pPr>
      <w:r>
        <w:rPr>
          <w:rFonts w:hint="eastAsia" w:ascii="黑体" w:hAnsi="黑体" w:eastAsia="黑体" w:cs="黑体"/>
          <w:color w:val="auto"/>
          <w:highlight w:val="none"/>
          <w:lang w:eastAsia="zh-CN"/>
        </w:rPr>
        <w:t>附</w:t>
      </w:r>
      <w:r>
        <w:rPr>
          <w:rFonts w:hint="eastAsia" w:ascii="黑体" w:hAnsi="黑体" w:eastAsia="黑体" w:cs="黑体"/>
          <w:color w:val="auto"/>
          <w:highlight w:val="none"/>
          <w:lang w:val="en-US" w:eastAsia="zh-CN"/>
        </w:rPr>
        <w:t xml:space="preserve">  </w:t>
      </w:r>
      <w:r>
        <w:rPr>
          <w:rFonts w:hint="eastAsia" w:ascii="黑体" w:hAnsi="黑体" w:eastAsia="黑体" w:cs="黑体"/>
          <w:color w:val="auto"/>
          <w:highlight w:val="none"/>
          <w:lang w:eastAsia="zh-CN"/>
        </w:rPr>
        <w:t>录</w:t>
      </w:r>
    </w:p>
    <w:p w14:paraId="65630DAE">
      <w:pPr>
        <w:pStyle w:val="17"/>
        <w:ind w:firstLine="0" w:firstLineChars="0"/>
        <w:rPr>
          <w:rFonts w:hint="eastAsia" w:ascii="仿宋_GB2312" w:hAnsi="仿宋_GB2312"/>
          <w:color w:val="auto"/>
          <w:highlight w:val="none"/>
          <w:lang w:eastAsia="zh-CN"/>
        </w:rPr>
      </w:pPr>
    </w:p>
    <w:p w14:paraId="55004D3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65DDF682">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0125CD1D">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14:paraId="1E579343">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b/>
          <w:bCs/>
          <w:color w:val="auto"/>
          <w:sz w:val="32"/>
          <w:szCs w:val="32"/>
          <w:highlight w:val="none"/>
          <w:lang w:val="en-US" w:eastAsia="zh-CN"/>
        </w:rPr>
        <w:t>、IP衍生品产品类型</w:t>
      </w:r>
      <w:r>
        <w:rPr>
          <w:rStyle w:val="19"/>
          <w:rFonts w:hint="default" w:ascii="仿宋_GB2312" w:hAnsi="仿宋_GB2312" w:eastAsia="仿宋_GB2312" w:cs="仿宋_GB2312"/>
          <w:b/>
          <w:bCs/>
          <w:color w:val="auto"/>
          <w:sz w:val="32"/>
          <w:szCs w:val="32"/>
          <w:highlight w:val="none"/>
          <w:lang w:val="en-US" w:eastAsia="zh-CN"/>
        </w:rPr>
        <w:t>：</w:t>
      </w:r>
      <w:r>
        <w:rPr>
          <w:rStyle w:val="19"/>
          <w:rFonts w:hint="default" w:ascii="仿宋_GB2312" w:hAnsi="仿宋_GB2312" w:eastAsia="仿宋_GB2312" w:cs="仿宋_GB2312"/>
          <w:color w:val="auto"/>
          <w:sz w:val="32"/>
          <w:szCs w:val="32"/>
          <w:highlight w:val="none"/>
          <w:lang w:val="en-US" w:eastAsia="zh-CN"/>
        </w:rPr>
        <w:t>涵盖</w:t>
      </w:r>
      <w:r>
        <w:rPr>
          <w:rStyle w:val="19"/>
          <w:rFonts w:hint="eastAsia" w:ascii="仿宋_GB2312" w:hAnsi="仿宋_GB2312" w:eastAsia="仿宋_GB2312" w:cs="仿宋_GB2312"/>
          <w:color w:val="auto"/>
          <w:sz w:val="32"/>
          <w:szCs w:val="32"/>
          <w:highlight w:val="none"/>
          <w:lang w:val="en-US" w:eastAsia="zh-CN"/>
        </w:rPr>
        <w:t>文创潮玩、服饰配饰、数码周边、家居生活、食品饮品、美妆个护等品类</w:t>
      </w:r>
      <w:r>
        <w:rPr>
          <w:rStyle w:val="19"/>
          <w:rFonts w:hint="default" w:ascii="仿宋_GB2312" w:hAnsi="仿宋_GB2312" w:eastAsia="仿宋_GB2312" w:cs="仿宋_GB2312"/>
          <w:color w:val="auto"/>
          <w:sz w:val="32"/>
          <w:szCs w:val="32"/>
          <w:highlight w:val="none"/>
          <w:lang w:val="en-US" w:eastAsia="zh-CN"/>
        </w:rPr>
        <w:t>。</w:t>
      </w:r>
    </w:p>
    <w:p w14:paraId="403C1634">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5A04ECED">
      <w:pPr>
        <w:pStyle w:val="17"/>
        <w:ind w:firstLine="0" w:firstLineChars="0"/>
        <w:rPr>
          <w:rFonts w:hint="eastAsia" w:ascii="仿宋_GB2312" w:hAnsi="仿宋_GB2312"/>
          <w:color w:val="auto"/>
          <w:highlight w:val="none"/>
          <w:lang w:eastAsia="zh-CN"/>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D49E4">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732541">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0732541">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2A09FA"/>
    <w:rsid w:val="02803A46"/>
    <w:rsid w:val="02CB1CF7"/>
    <w:rsid w:val="02DA63DE"/>
    <w:rsid w:val="02E93786"/>
    <w:rsid w:val="032C6A46"/>
    <w:rsid w:val="03B55433"/>
    <w:rsid w:val="04033440"/>
    <w:rsid w:val="04123AB3"/>
    <w:rsid w:val="05036B9E"/>
    <w:rsid w:val="052D305E"/>
    <w:rsid w:val="052E6828"/>
    <w:rsid w:val="06426774"/>
    <w:rsid w:val="06825C75"/>
    <w:rsid w:val="068A4895"/>
    <w:rsid w:val="070F7027"/>
    <w:rsid w:val="08461CA3"/>
    <w:rsid w:val="0A2D6324"/>
    <w:rsid w:val="0A302337"/>
    <w:rsid w:val="0A58254D"/>
    <w:rsid w:val="0A6C5760"/>
    <w:rsid w:val="0B35692F"/>
    <w:rsid w:val="0B4456D1"/>
    <w:rsid w:val="0BAD1FAB"/>
    <w:rsid w:val="0BE1742C"/>
    <w:rsid w:val="0D0E36C4"/>
    <w:rsid w:val="0D1F0CED"/>
    <w:rsid w:val="0E511A57"/>
    <w:rsid w:val="0E913392"/>
    <w:rsid w:val="0F95719B"/>
    <w:rsid w:val="0FE131A1"/>
    <w:rsid w:val="0FED3255"/>
    <w:rsid w:val="10BF0BFF"/>
    <w:rsid w:val="11A73770"/>
    <w:rsid w:val="124226AB"/>
    <w:rsid w:val="126D73E5"/>
    <w:rsid w:val="13A40095"/>
    <w:rsid w:val="14053C83"/>
    <w:rsid w:val="15C958A9"/>
    <w:rsid w:val="160A19AA"/>
    <w:rsid w:val="163D2AB4"/>
    <w:rsid w:val="16DD6486"/>
    <w:rsid w:val="172A2DF8"/>
    <w:rsid w:val="17B005EC"/>
    <w:rsid w:val="18354C7F"/>
    <w:rsid w:val="185533C0"/>
    <w:rsid w:val="187E0EC3"/>
    <w:rsid w:val="18AB1F57"/>
    <w:rsid w:val="18BC410D"/>
    <w:rsid w:val="190653E0"/>
    <w:rsid w:val="197B53D3"/>
    <w:rsid w:val="1A595627"/>
    <w:rsid w:val="1C210334"/>
    <w:rsid w:val="1C964CCC"/>
    <w:rsid w:val="1CFC17D2"/>
    <w:rsid w:val="1EBE0883"/>
    <w:rsid w:val="205A510F"/>
    <w:rsid w:val="209827B1"/>
    <w:rsid w:val="20BA48E3"/>
    <w:rsid w:val="21127D99"/>
    <w:rsid w:val="21A5207B"/>
    <w:rsid w:val="22C22819"/>
    <w:rsid w:val="246A3FA3"/>
    <w:rsid w:val="25C6083B"/>
    <w:rsid w:val="26E72CF4"/>
    <w:rsid w:val="272E1910"/>
    <w:rsid w:val="2976170C"/>
    <w:rsid w:val="2A104310"/>
    <w:rsid w:val="2A1A1904"/>
    <w:rsid w:val="2A4B3E74"/>
    <w:rsid w:val="2BA068F1"/>
    <w:rsid w:val="2C2A1457"/>
    <w:rsid w:val="2C961EBF"/>
    <w:rsid w:val="2CAE0A32"/>
    <w:rsid w:val="2F0A3862"/>
    <w:rsid w:val="2FFC0AFB"/>
    <w:rsid w:val="302C0287"/>
    <w:rsid w:val="30EE38E6"/>
    <w:rsid w:val="31A95387"/>
    <w:rsid w:val="31B31F93"/>
    <w:rsid w:val="31BF20C5"/>
    <w:rsid w:val="321653A8"/>
    <w:rsid w:val="322E20A6"/>
    <w:rsid w:val="329C19A3"/>
    <w:rsid w:val="32F52701"/>
    <w:rsid w:val="341A4C22"/>
    <w:rsid w:val="347B2CCE"/>
    <w:rsid w:val="352B3694"/>
    <w:rsid w:val="363C0287"/>
    <w:rsid w:val="3654545B"/>
    <w:rsid w:val="36565190"/>
    <w:rsid w:val="366C2500"/>
    <w:rsid w:val="37355261"/>
    <w:rsid w:val="382C7B34"/>
    <w:rsid w:val="387303F9"/>
    <w:rsid w:val="38EF3D95"/>
    <w:rsid w:val="3AE03440"/>
    <w:rsid w:val="3B0E3D0E"/>
    <w:rsid w:val="3BFC17F2"/>
    <w:rsid w:val="3C0C0B0D"/>
    <w:rsid w:val="3CFD6976"/>
    <w:rsid w:val="3D4A73E3"/>
    <w:rsid w:val="3D5D42F6"/>
    <w:rsid w:val="3DAF2F73"/>
    <w:rsid w:val="3DB808BA"/>
    <w:rsid w:val="3DFFF930"/>
    <w:rsid w:val="3FAC643B"/>
    <w:rsid w:val="407A2ECB"/>
    <w:rsid w:val="410B0D5A"/>
    <w:rsid w:val="418D6C3A"/>
    <w:rsid w:val="423806ED"/>
    <w:rsid w:val="428230B1"/>
    <w:rsid w:val="437A5877"/>
    <w:rsid w:val="43BB3CEC"/>
    <w:rsid w:val="4412784D"/>
    <w:rsid w:val="44A91A1A"/>
    <w:rsid w:val="44D052C5"/>
    <w:rsid w:val="46A70EF9"/>
    <w:rsid w:val="46AE1F3D"/>
    <w:rsid w:val="473C23B2"/>
    <w:rsid w:val="4743523B"/>
    <w:rsid w:val="474450E0"/>
    <w:rsid w:val="47781E40"/>
    <w:rsid w:val="48541414"/>
    <w:rsid w:val="4900762E"/>
    <w:rsid w:val="4A6B0082"/>
    <w:rsid w:val="4AB56AE2"/>
    <w:rsid w:val="4B0038EE"/>
    <w:rsid w:val="4B6E7935"/>
    <w:rsid w:val="4C7C4174"/>
    <w:rsid w:val="4DF504FF"/>
    <w:rsid w:val="4E7E74BD"/>
    <w:rsid w:val="4E805B64"/>
    <w:rsid w:val="4F214F20"/>
    <w:rsid w:val="4F9660BB"/>
    <w:rsid w:val="4FB87893"/>
    <w:rsid w:val="4FC2745B"/>
    <w:rsid w:val="500B1C9B"/>
    <w:rsid w:val="50642A2E"/>
    <w:rsid w:val="509A0D5C"/>
    <w:rsid w:val="50CB0BE4"/>
    <w:rsid w:val="51A47BE3"/>
    <w:rsid w:val="52252BFC"/>
    <w:rsid w:val="52A362AC"/>
    <w:rsid w:val="543117F2"/>
    <w:rsid w:val="54D06548"/>
    <w:rsid w:val="54E753F5"/>
    <w:rsid w:val="55E8634D"/>
    <w:rsid w:val="56074C5D"/>
    <w:rsid w:val="563F7F48"/>
    <w:rsid w:val="56F7427F"/>
    <w:rsid w:val="575C572B"/>
    <w:rsid w:val="5779221D"/>
    <w:rsid w:val="584C4C5F"/>
    <w:rsid w:val="589B5008"/>
    <w:rsid w:val="58A326D8"/>
    <w:rsid w:val="59466376"/>
    <w:rsid w:val="5AE03675"/>
    <w:rsid w:val="5BF51433"/>
    <w:rsid w:val="5D3A2B61"/>
    <w:rsid w:val="5E7F4C2B"/>
    <w:rsid w:val="5F23F087"/>
    <w:rsid w:val="5F6568F7"/>
    <w:rsid w:val="5FFE8DD2"/>
    <w:rsid w:val="5FFF8D5C"/>
    <w:rsid w:val="60C802BC"/>
    <w:rsid w:val="610E0E32"/>
    <w:rsid w:val="61DE0EB4"/>
    <w:rsid w:val="623151CA"/>
    <w:rsid w:val="625059B8"/>
    <w:rsid w:val="62FE10F2"/>
    <w:rsid w:val="6393434F"/>
    <w:rsid w:val="63A419D8"/>
    <w:rsid w:val="64D37E08"/>
    <w:rsid w:val="64DB7056"/>
    <w:rsid w:val="65FD25F5"/>
    <w:rsid w:val="66982F4F"/>
    <w:rsid w:val="66C07C02"/>
    <w:rsid w:val="66F0546D"/>
    <w:rsid w:val="67486004"/>
    <w:rsid w:val="67DB1C97"/>
    <w:rsid w:val="6888651F"/>
    <w:rsid w:val="6894168D"/>
    <w:rsid w:val="68EB6152"/>
    <w:rsid w:val="69B52798"/>
    <w:rsid w:val="6A7451AD"/>
    <w:rsid w:val="6AC14C27"/>
    <w:rsid w:val="6BC41409"/>
    <w:rsid w:val="6C030E4B"/>
    <w:rsid w:val="6C5C62E3"/>
    <w:rsid w:val="6CAB30BC"/>
    <w:rsid w:val="6CED51AD"/>
    <w:rsid w:val="6D042BC1"/>
    <w:rsid w:val="6D702E40"/>
    <w:rsid w:val="6E365A3C"/>
    <w:rsid w:val="6FCC3E6E"/>
    <w:rsid w:val="6FEFB7EB"/>
    <w:rsid w:val="71D6011D"/>
    <w:rsid w:val="72694444"/>
    <w:rsid w:val="72AF14FA"/>
    <w:rsid w:val="73A0155B"/>
    <w:rsid w:val="73DF2968"/>
    <w:rsid w:val="73FDC8C0"/>
    <w:rsid w:val="74F90479"/>
    <w:rsid w:val="750C1C31"/>
    <w:rsid w:val="75B717BE"/>
    <w:rsid w:val="75DACFB4"/>
    <w:rsid w:val="7625601A"/>
    <w:rsid w:val="764053D0"/>
    <w:rsid w:val="77BF249E"/>
    <w:rsid w:val="78D33F7B"/>
    <w:rsid w:val="798E36E0"/>
    <w:rsid w:val="7BDF157F"/>
    <w:rsid w:val="7C1A6A34"/>
    <w:rsid w:val="7CBD213A"/>
    <w:rsid w:val="7CBE4AD3"/>
    <w:rsid w:val="7CC4499D"/>
    <w:rsid w:val="7D1C7CE5"/>
    <w:rsid w:val="7D63EB3B"/>
    <w:rsid w:val="7ECB7E26"/>
    <w:rsid w:val="7F363046"/>
    <w:rsid w:val="7F4F2887"/>
    <w:rsid w:val="7F7FF29C"/>
    <w:rsid w:val="7FEDA326"/>
    <w:rsid w:val="7FEEB544"/>
    <w:rsid w:val="8EFFBC18"/>
    <w:rsid w:val="D8F548C4"/>
    <w:rsid w:val="E7A2F884"/>
    <w:rsid w:val="EE37AEC9"/>
    <w:rsid w:val="EFEE286F"/>
    <w:rsid w:val="F2FFD4DB"/>
    <w:rsid w:val="F94D465B"/>
    <w:rsid w:val="F96B78CC"/>
    <w:rsid w:val="FBB93E9C"/>
    <w:rsid w:val="FFB91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3859</Words>
  <Characters>4030</Characters>
  <Lines>0</Lines>
  <Paragraphs>0</Paragraphs>
  <TotalTime>0</TotalTime>
  <ScaleCrop>false</ScaleCrop>
  <LinksUpToDate>false</LinksUpToDate>
  <CharactersWithSpaces>4034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2025-07-08T10:47:00Z</dcterms:created>
  <dc:creator>黄佩琳</dc:creator>
  <cp:lastModifiedBy>djs</cp:lastModifiedBy>
  <cp:lastPrinted>2026-03-18T14:46:00Z</cp:lastPrinted>
  <dcterms:modified xsi:type="dcterms:W3CDTF">2026-07-07T04:02:26Z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18EBFC2A2A144A7B81107828AC4A451B_13</vt:lpwstr>
  </property>
  <property fmtid="{D5CDD505-2E9C-101B-9397-08002B2CF9AE}" pid="4" name="KSOTemplateDocerSaveRecord">
    <vt:lpwstr>eyJoZGlkIjoiYTVkNWU4NzE4MjhmYTAxNGE0ZmRjM2IzMjQwMTIzNjQiLCJ1c2VySWQiOiIyMzUwOTM3MTAifQ==</vt:lpwstr>
  </property>
</Properties>
</file>