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89DFD">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000000" w:themeColor="text1"/>
          <w:sz w:val="32"/>
          <w:szCs w:val="32"/>
          <w:highlight w:val="none"/>
          <w:lang w:val="en-US" w:eastAsia="zh-CN"/>
          <w14:textFill>
            <w14:solidFill>
              <w14:schemeClr w14:val="tx1"/>
            </w14:solidFill>
          </w14:textFill>
        </w:rPr>
      </w:pPr>
      <w:bookmarkStart w:id="0" w:name="_Toc32562"/>
      <w:bookmarkStart w:id="1" w:name="_Toc125127182"/>
      <w:bookmarkStart w:id="2" w:name="_Toc5810"/>
      <w:bookmarkStart w:id="3" w:name="_Toc13216"/>
      <w:r>
        <w:rPr>
          <w:rFonts w:hint="eastAsia" w:ascii="黑体" w:hAnsi="黑体" w:eastAsia="黑体" w:cs="黑体"/>
          <w:color w:val="000000" w:themeColor="text1"/>
          <w:sz w:val="32"/>
          <w:szCs w:val="32"/>
          <w:highlight w:val="none"/>
          <w:lang w:val="en-US" w:eastAsia="zh-CN"/>
          <w14:textFill>
            <w14:solidFill>
              <w14:schemeClr w14:val="tx1"/>
            </w14:solidFill>
          </w14:textFill>
        </w:rPr>
        <w:t>附 件4</w:t>
      </w:r>
    </w:p>
    <w:p w14:paraId="1D04E90A">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000000" w:themeColor="text1"/>
          <w:sz w:val="32"/>
          <w:szCs w:val="32"/>
          <w:highlight w:val="none"/>
          <w:lang w:val="en-US" w:eastAsia="zh-CN"/>
          <w14:textFill>
            <w14:solidFill>
              <w14:schemeClr w14:val="tx1"/>
            </w14:solidFill>
          </w14:textFill>
        </w:rPr>
      </w:pPr>
    </w:p>
    <w:bookmarkEnd w:id="0"/>
    <w:bookmarkEnd w:id="1"/>
    <w:bookmarkEnd w:id="2"/>
    <w:bookmarkEnd w:id="3"/>
    <w:p w14:paraId="03EB25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000000" w:themeColor="text1"/>
          <w:kern w:val="0"/>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深圳市2026年中央资金消费新业态新模式新场景试点（支持创新多元化服务消费场景</w:t>
      </w:r>
      <w:r>
        <w:rPr>
          <w:rFonts w:hint="default"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重点赛事活动“进商圈、进街区、进景区”资助</w:t>
      </w:r>
      <w:r>
        <w:rPr>
          <w:rFonts w:hint="default"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项目</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）申报指南</w:t>
      </w:r>
    </w:p>
    <w:p w14:paraId="50898F7E">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pPr>
      <w:r>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t>（盐田区</w:t>
      </w:r>
      <w:bookmarkStart w:id="38" w:name="_GoBack"/>
      <w:bookmarkEnd w:id="38"/>
      <w:r>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t>第一批）</w:t>
      </w:r>
    </w:p>
    <w:p w14:paraId="10DF8472">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pPr>
    </w:p>
    <w:p w14:paraId="7F23405A">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pPr>
      <w:bookmarkStart w:id="4" w:name="_Toc20798"/>
      <w:bookmarkStart w:id="5" w:name="_Toc24194"/>
      <w:r>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t>支持领域</w:t>
      </w:r>
      <w:bookmarkEnd w:id="4"/>
      <w:bookmarkEnd w:id="5"/>
    </w:p>
    <w:p w14:paraId="26401B7C">
      <w:pPr>
        <w:bidi w:val="0"/>
        <w:spacing w:before="0" w:after="0" w:line="560" w:lineRule="exact"/>
        <w:ind w:firstLine="640"/>
        <w:rPr>
          <w:rFonts w:hint="eastAsia"/>
          <w:color w:val="auto"/>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支持重点赛事活动“进商圈、进街区、进景区”。</w:t>
      </w:r>
    </w:p>
    <w:p w14:paraId="5B60C2BF">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6" w:name="_Toc8852"/>
      <w:bookmarkStart w:id="7" w:name="_Toc15437"/>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设定依据</w:t>
      </w:r>
      <w:bookmarkEnd w:id="6"/>
      <w:bookmarkEnd w:id="7"/>
    </w:p>
    <w:p w14:paraId="6CAB7961">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（一）资金政策依据</w:t>
      </w:r>
    </w:p>
    <w:p w14:paraId="6C53EA8A">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14:paraId="7FB1EF23">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（二）资金管理依据</w:t>
      </w:r>
    </w:p>
    <w:p w14:paraId="0167266F">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《深圳市消费新业态新模式新场景试点城市建设资金管理办法》</w:t>
      </w:r>
    </w:p>
    <w:p w14:paraId="66186205">
      <w:pPr>
        <w:bidi w:val="0"/>
        <w:rPr>
          <w:rFonts w:hint="eastAsia"/>
          <w:color w:val="000000" w:themeColor="text1"/>
          <w:highlight w:val="none"/>
          <w:u w:val="singl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14:paraId="761EE363">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8" w:name="_Toc18411"/>
      <w:bookmarkStart w:id="9" w:name="_Toc2175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支持数量和支持方式</w:t>
      </w:r>
      <w:bookmarkEnd w:id="8"/>
      <w:bookmarkEnd w:id="9"/>
    </w:p>
    <w:p w14:paraId="11219CA9">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（一）支持数量</w:t>
      </w:r>
    </w:p>
    <w:p w14:paraId="1F7F0929">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有数量限制，受财政下达年度资金预算控制，视申报情况，我局据以对</w:t>
      </w:r>
      <w:r>
        <w:rPr>
          <w:rFonts w:hint="eastAsia"/>
          <w:color w:val="000000" w:themeColor="text1"/>
          <w:highlight w:val="none"/>
          <w:lang w:val="en-US" w:eastAsia="zh-CN"/>
          <w14:textFill>
            <w14:solidFill>
              <w14:schemeClr w14:val="tx1"/>
            </w14:solidFill>
          </w14:textFill>
        </w:rPr>
        <w:t>资助</w:t>
      </w:r>
      <w:r>
        <w:rPr>
          <w:rFonts w:hint="eastAsia" w:ascii="仿宋_GB2312" w:eastAsia="仿宋_GB2312"/>
          <w:color w:val="000000" w:themeColor="text1"/>
          <w:highlight w:val="none"/>
          <w:lang w:val="en-US" w:eastAsia="zh-CN"/>
          <w14:textFill>
            <w14:solidFill>
              <w14:schemeClr w14:val="tx1"/>
            </w14:solidFill>
          </w14:textFill>
        </w:rPr>
        <w:t>金额和拨付进度等进行统一调整，申报单位应无条件同意调整结果。</w:t>
      </w:r>
    </w:p>
    <w:p w14:paraId="46F0D6D0">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（二）支持方式</w:t>
      </w:r>
    </w:p>
    <w:p w14:paraId="419979A5">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事后资助，自愿申报。</w:t>
      </w:r>
    </w:p>
    <w:p w14:paraId="0979F1C6">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0" w:name="_Toc431"/>
      <w:bookmarkStart w:id="11" w:name="_Toc15307"/>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申报条件</w:t>
      </w:r>
      <w:bookmarkEnd w:id="10"/>
      <w:bookmarkEnd w:id="11"/>
    </w:p>
    <w:p w14:paraId="5C7FF439">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（一）基础条件</w:t>
      </w:r>
    </w:p>
    <w:p w14:paraId="7A79EB0D">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1.申报单位为在深圳市实际从事经营活动的企业、事业单位。</w:t>
      </w:r>
    </w:p>
    <w:p w14:paraId="49420EB0">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2.申报单位应为消费新业态新模式新场景试点项目（即申报项目）的实际建设或运营主体，项目所在地应在深圳市（含深汕特别合作区，下同）。</w:t>
      </w:r>
    </w:p>
    <w:p w14:paraId="25AC456D">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3.申报单位未被国家、省、市有关部门列入严重失信主体名单实施失信惩戒，未被明确限制申请财政性资金项目且在限制期内；未拖欠应缴还的财政性资金。</w:t>
      </w:r>
    </w:p>
    <w:p w14:paraId="7D8735D1">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4</w:t>
      </w:r>
      <w:r>
        <w:rPr>
          <w:rFonts w:hint="eastAsia"/>
          <w:color w:val="000000" w:themeColor="text1"/>
          <w:highlight w:val="none"/>
          <w:lang w:val="en-US" w:eastAsia="zh-CN"/>
          <w14:textFill>
            <w14:solidFill>
              <w14:schemeClr w14:val="tx1"/>
            </w14:solidFill>
          </w14:textFill>
        </w:rPr>
        <w:t>.申报单位应保证资金真实申报、合规使用和有效管理；应对申报材料的真实性、合法性、完整性负责，应如实提供本单位信用状况，承担违约责任并作出承诺，不得弄虚作假、套取、骗取财政资金。</w:t>
      </w:r>
    </w:p>
    <w:p w14:paraId="569B5F34">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234654E7">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6.申报单位不存在将本属于同一性质内涵与建设内容的资助项目刻意分拆成两个项目的情形。同一项目不得重复申请多个支持</w:t>
      </w:r>
      <w:r>
        <w:rPr>
          <w:rFonts w:hint="default"/>
          <w:color w:val="000000" w:themeColor="text1"/>
          <w:highlight w:val="none"/>
          <w:lang w:eastAsia="zh-CN"/>
          <w14:textFill>
            <w14:solidFill>
              <w14:schemeClr w14:val="tx1"/>
            </w14:solidFill>
          </w14:textFill>
        </w:rPr>
        <w:t>内容</w:t>
      </w:r>
      <w:r>
        <w:rPr>
          <w:rFonts w:hint="eastAsia"/>
          <w:color w:val="000000" w:themeColor="text1"/>
          <w:highlight w:val="none"/>
          <w:lang w:val="en-US" w:eastAsia="zh-CN"/>
          <w14:textFill>
            <w14:solidFill>
              <w14:schemeClr w14:val="tx1"/>
            </w14:solidFill>
          </w14:textFill>
        </w:rPr>
        <w:t>。</w:t>
      </w:r>
    </w:p>
    <w:p w14:paraId="17411A20">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7.申报单位须配合开展消费新业态新模式新场景试点工作，报送工作进展及相关数据。</w:t>
      </w:r>
    </w:p>
    <w:p w14:paraId="35CE3841">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8.项目资助金额不得超过项目实际有效总投入的50%，同一项目中央、省、市、区资助合计不超过项目实际投入。</w:t>
      </w:r>
    </w:p>
    <w:p w14:paraId="5FE4B141">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9.申报项目管理机制健全，绩效目标清晰、合理、可考核，预期成效显著。</w:t>
      </w:r>
    </w:p>
    <w:p w14:paraId="19912D4F">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（二）专项条件</w:t>
      </w:r>
    </w:p>
    <w:p w14:paraId="1D7ED984">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申报项目须同时满足以下条件：</w:t>
      </w:r>
    </w:p>
    <w:p w14:paraId="5314BBBB">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1.赛事活动周期持续1个月以上；</w:t>
      </w:r>
    </w:p>
    <w:p w14:paraId="4C8BC8AB">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2.在深举办场次不少于6场；</w:t>
      </w:r>
    </w:p>
    <w:p w14:paraId="72EBD756">
      <w:pPr>
        <w:pStyle w:val="35"/>
        <w:bidi w:val="0"/>
        <w:ind w:firstLine="64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3.进场观众人数1万人次以上。</w:t>
      </w:r>
    </w:p>
    <w:p w14:paraId="3326EC53">
      <w:pPr>
        <w:pStyle w:val="35"/>
        <w:bidi w:val="0"/>
        <w:ind w:firstLine="640" w:firstLineChars="200"/>
        <w:rPr>
          <w:rStyle w:val="19"/>
          <w:rFonts w:hint="eastAsia" w:ascii="仿宋_GB2312" w:hAnsi="仿宋" w:eastAsia="仿宋_GB2312" w:cs="宋体"/>
          <w:bCs/>
          <w:color w:val="auto"/>
          <w:kern w:val="36"/>
          <w:sz w:val="32"/>
          <w:szCs w:val="32"/>
          <w:highlight w:val="none"/>
          <w:lang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14:paraId="4A94DC81">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14:paraId="0820BF21">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2" w:name="_Toc31102"/>
      <w:bookmarkStart w:id="13" w:name="_Toc709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支持标准</w:t>
      </w:r>
      <w:bookmarkEnd w:id="12"/>
      <w:bookmarkEnd w:id="13"/>
    </w:p>
    <w:p w14:paraId="133C21D8">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支持重点赛事活动“进商圈、进街区、进景区”</w:t>
      </w:r>
      <w:r>
        <w:rPr>
          <w:rFonts w:hint="eastAsia"/>
          <w:color w:val="000000" w:themeColor="text1"/>
          <w:highlight w:val="none"/>
          <w:lang w:val="en-US" w:eastAsia="zh-CN"/>
          <w14:textFill>
            <w14:solidFill>
              <w14:schemeClr w14:val="tx1"/>
            </w14:solidFill>
          </w14:textFill>
        </w:rPr>
        <w:t>，按项目相关的实际有效投入的2</w:t>
      </w:r>
      <w:r>
        <w:rPr>
          <w:rFonts w:hint="eastAsia" w:ascii="仿宋_GB2312" w:eastAsia="仿宋_GB2312"/>
          <w:color w:val="000000" w:themeColor="text1"/>
          <w:highlight w:val="none"/>
          <w:lang w:val="en-US" w:eastAsia="zh-CN"/>
          <w14:textFill>
            <w14:solidFill>
              <w14:schemeClr w14:val="tx1"/>
            </w14:solidFill>
          </w14:textFill>
        </w:rPr>
        <w:t>0%给予主办单位资助，试点期间最高不超过200万元。</w:t>
      </w:r>
    </w:p>
    <w:p w14:paraId="17F57475">
      <w:pPr>
        <w:pStyle w:val="35"/>
        <w:bidi w:val="0"/>
        <w:ind w:firstLine="640" w:firstLineChars="200"/>
        <w:jc w:val="both"/>
        <w:rPr>
          <w:rStyle w:val="19"/>
          <w:rFonts w:hint="eastAsia" w:ascii="仿宋_GB2312" w:hAnsi="仿宋" w:eastAsia="仿宋_GB2312" w:cs="宋体"/>
          <w:bCs/>
          <w:color w:val="auto"/>
          <w:kern w:val="36"/>
          <w:sz w:val="32"/>
          <w:szCs w:val="32"/>
          <w:highlight w:val="none"/>
          <w:lang w:val="en-US" w:eastAsia="zh-CN"/>
        </w:rPr>
      </w:pPr>
      <w:r>
        <w:rPr>
          <w:rStyle w:val="19"/>
          <w:rFonts w:hint="eastAsia"/>
          <w:color w:val="auto"/>
          <w:sz w:val="32"/>
          <w:szCs w:val="32"/>
          <w:highlight w:val="none"/>
          <w:lang w:eastAsia="zh-CN"/>
        </w:rPr>
        <w:t>实际有效投入是指2025年9月30日以来至申报日，赛事活动主办单位在深举办的赛事活动已完成或阶段性完成赛事有关投入，不包含</w:t>
      </w:r>
      <w:r>
        <w:rPr>
          <w:rFonts w:hint="eastAsia"/>
          <w:color w:val="000000" w:themeColor="text1"/>
          <w:highlight w:val="none"/>
          <w:lang w:val="en-US" w:eastAsia="zh-CN"/>
          <w14:textFill>
            <w14:solidFill>
              <w14:schemeClr w14:val="tx1"/>
            </w14:solidFill>
          </w14:textFill>
        </w:rPr>
        <w:t>各级财政投资部分，以及</w:t>
      </w:r>
      <w:r>
        <w:rPr>
          <w:rStyle w:val="19"/>
          <w:rFonts w:hint="eastAsia"/>
          <w:color w:val="auto"/>
          <w:sz w:val="32"/>
          <w:szCs w:val="32"/>
          <w:highlight w:val="none"/>
          <w:lang w:eastAsia="zh-CN"/>
        </w:rPr>
        <w:t>第四</w:t>
      </w:r>
      <w:r>
        <w:rPr>
          <w:rFonts w:hint="eastAsia"/>
          <w:color w:val="000000" w:themeColor="text1"/>
          <w:highlight w:val="none"/>
          <w:lang w:val="en-US" w:eastAsia="zh-CN"/>
          <w14:textFill>
            <w14:solidFill>
              <w14:schemeClr w14:val="tx1"/>
            </w14:solidFill>
          </w14:textFill>
        </w:rPr>
        <w:t>点第（二）条</w:t>
      </w:r>
      <w:r>
        <w:rPr>
          <w:rStyle w:val="19"/>
          <w:rFonts w:hint="eastAsia"/>
          <w:color w:val="auto"/>
          <w:sz w:val="32"/>
          <w:szCs w:val="32"/>
          <w:highlight w:val="none"/>
          <w:lang w:eastAsia="zh-CN"/>
        </w:rPr>
        <w:t>专项条件中不予支持部分。符合条件的项目，可将已落地或有阶段性成果相关投入部分申请资助，后续另有符合条件投入可再次以该项目申报，同一项目不受项目数限制。</w:t>
      </w:r>
    </w:p>
    <w:p w14:paraId="5F8F6FC1">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4" w:name="_Toc27028"/>
      <w:bookmarkStart w:id="15" w:name="_Toc7147"/>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六、申报材料</w:t>
      </w:r>
      <w:bookmarkEnd w:id="14"/>
      <w:bookmarkEnd w:id="15"/>
    </w:p>
    <w:p w14:paraId="6EB53235">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（一）</w:t>
      </w: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基本材料清单</w:t>
      </w:r>
    </w:p>
    <w:p w14:paraId="0ED6A527">
      <w:pPr>
        <w:bidi w:val="0"/>
        <w:rPr>
          <w:rFonts w:hint="default" w:ascii="楷体" w:hAnsi="楷体" w:eastAsia="楷体_GB2312" w:cstheme="majorBidi"/>
          <w:bCs/>
          <w:color w:val="000000" w:themeColor="text1"/>
          <w:kern w:val="2"/>
          <w:szCs w:val="32"/>
          <w:highlight w:val="none"/>
          <w:lang w:val="en-US" w:eastAsia="zh-CN" w:bidi="ar-SA"/>
          <w14:textFill>
            <w14:solidFill>
              <w14:schemeClr w14:val="tx1"/>
            </w14:solidFill>
          </w14:textFill>
        </w:rPr>
      </w:pPr>
      <w:r>
        <w:rPr>
          <w:rFonts w:hint="eastAsia"/>
          <w:color w:val="000000" w:themeColor="text1"/>
          <w:highlight w:val="none"/>
          <w:lang w:val="en-US" w:eastAsia="zh-CN"/>
          <w14:textFill>
            <w14:solidFill>
              <w14:schemeClr w14:val="tx1"/>
            </w14:solidFill>
          </w14:textFill>
        </w:rPr>
        <w:t>请各项目申报单位填写并提交《项目申报书》，具体材料如下：</w:t>
      </w:r>
    </w:p>
    <w:p w14:paraId="460D3609">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1.资金项目申请书。申报单位按照申报材料要求编写项目申请书并提供相关证明材料，初审通过后提供申请书纸质文件原件并将本指南第六条要求的项目申报材料一并线下或通过邮寄方式交给区商务部门，线下受理地址请在线上申报系统申请页面查询或咨询申请所在区商务部门。</w:t>
      </w:r>
      <w:r>
        <w:rPr>
          <w:rFonts w:hint="default"/>
          <w:highlight w:val="none"/>
        </w:rPr>
        <w:t>（各区补充填写申报网址及线下受理地址）</w:t>
      </w:r>
    </w:p>
    <w:p w14:paraId="73C8713F">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2.申报单位营业执照或统一社会信用代码证书复印件</w:t>
      </w:r>
    </w:p>
    <w:p w14:paraId="4C13972A">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3.单位信用报告。“信用中国”查询截图、国家企业信用信息公示系统下载的企业信用报告</w:t>
      </w:r>
    </w:p>
    <w:p w14:paraId="17DF6836">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（二）专项材料清单</w:t>
      </w:r>
    </w:p>
    <w:p w14:paraId="27AEFD19">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1.各申报单位应按照下表要求完整提交对应佐证材料：</w:t>
      </w:r>
    </w:p>
    <w:tbl>
      <w:tblPr>
        <w:tblStyle w:val="18"/>
        <w:tblW w:w="916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33"/>
        <w:gridCol w:w="2472"/>
        <w:gridCol w:w="5163"/>
      </w:tblGrid>
      <w:tr w14:paraId="3A7E9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765A3">
            <w:pPr>
              <w:keepNext w:val="0"/>
              <w:keepLines w:val="0"/>
              <w:widowControl/>
              <w:suppressLineNumbers w:val="0"/>
              <w:snapToGrid w:val="0"/>
              <w:ind w:firstLine="0" w:firstLineChars="0"/>
              <w:jc w:val="center"/>
              <w:textAlignment w:val="center"/>
              <w:rPr>
                <w:rFonts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themeColor="text1"/>
                <w:kern w:val="0"/>
                <w:sz w:val="24"/>
                <w:szCs w:val="24"/>
                <w:highlight w:val="none"/>
                <w:u w:val="none"/>
                <w:lang w:val="en-US" w:eastAsia="zh-CN" w:bidi="ar"/>
                <w14:textFill>
                  <w14:solidFill>
                    <w14:schemeClr w14:val="tx1"/>
                  </w14:solidFill>
                </w14:textFill>
              </w:rPr>
              <w:t>类别</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C991A">
            <w:pPr>
              <w:keepNext w:val="0"/>
              <w:keepLines w:val="0"/>
              <w:widowControl/>
              <w:suppressLineNumbers w:val="0"/>
              <w:snapToGrid w:val="0"/>
              <w:ind w:firstLine="0" w:firstLineChars="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themeColor="text1"/>
                <w:kern w:val="0"/>
                <w:sz w:val="24"/>
                <w:szCs w:val="24"/>
                <w:highlight w:val="none"/>
                <w:u w:val="none"/>
                <w:lang w:val="en-US" w:eastAsia="zh-CN" w:bidi="ar"/>
                <w14:textFill>
                  <w14:solidFill>
                    <w14:schemeClr w14:val="tx1"/>
                  </w14:solidFill>
                </w14:textFill>
              </w:rPr>
              <w:t>专项条件</w:t>
            </w:r>
          </w:p>
        </w:tc>
        <w:tc>
          <w:tcPr>
            <w:tcW w:w="5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B1CF3">
            <w:pPr>
              <w:keepNext w:val="0"/>
              <w:keepLines w:val="0"/>
              <w:widowControl/>
              <w:suppressLineNumbers w:val="0"/>
              <w:snapToGrid w:val="0"/>
              <w:ind w:firstLine="0" w:firstLineChars="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themeColor="text1"/>
                <w:kern w:val="0"/>
                <w:sz w:val="24"/>
                <w:szCs w:val="24"/>
                <w:highlight w:val="none"/>
                <w:u w:val="none"/>
                <w:lang w:val="en-US" w:eastAsia="zh-CN" w:bidi="ar"/>
                <w14:textFill>
                  <w14:solidFill>
                    <w14:schemeClr w14:val="tx1"/>
                  </w14:solidFill>
                </w14:textFill>
              </w:rPr>
              <w:t>佐证材料</w:t>
            </w:r>
            <w:r>
              <w:rPr>
                <w:rFonts w:hint="eastAsia" w:hAnsi="宋体" w:cs="仿宋_GB2312"/>
                <w:b/>
                <w:bCs/>
                <w:i w:val="0"/>
                <w:iCs w:val="0"/>
                <w:color w:val="000000" w:themeColor="text1"/>
                <w:kern w:val="0"/>
                <w:sz w:val="24"/>
                <w:szCs w:val="24"/>
                <w:highlight w:val="none"/>
                <w:u w:val="none"/>
                <w:lang w:val="en-US" w:eastAsia="zh-CN" w:bidi="ar"/>
                <w14:textFill>
                  <w14:solidFill>
                    <w14:schemeClr w14:val="tx1"/>
                  </w14:solidFill>
                </w14:textFill>
              </w:rPr>
              <w:t>参考</w:t>
            </w:r>
            <w:r>
              <w:rPr>
                <w:rFonts w:hint="default" w:ascii="Times New Roman" w:hAnsi="Times New Roman" w:eastAsia="仿宋_GB2312" w:cs="Times New Roman"/>
                <w:b/>
                <w:bCs/>
                <w:i w:val="0"/>
                <w:iCs w:val="0"/>
                <w:color w:val="000000" w:themeColor="text1"/>
                <w:kern w:val="0"/>
                <w:sz w:val="24"/>
                <w:szCs w:val="24"/>
                <w:highlight w:val="none"/>
                <w:u w:val="none"/>
                <w:lang w:val="en-US" w:eastAsia="zh-CN" w:bidi="ar"/>
                <w14:textFill>
                  <w14:solidFill>
                    <w14:schemeClr w14:val="tx1"/>
                  </w14:solidFill>
                </w14:textFill>
              </w:rPr>
              <w:t>​</w:t>
            </w:r>
          </w:p>
        </w:tc>
      </w:tr>
      <w:tr w14:paraId="27580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0E8E2">
            <w:pPr>
              <w:keepNext w:val="0"/>
              <w:keepLines w:val="0"/>
              <w:widowControl/>
              <w:suppressLineNumbers w:val="0"/>
              <w:snapToGrid w:val="0"/>
              <w:ind w:firstLine="0" w:firstLineChars="0"/>
              <w:jc w:val="left"/>
              <w:textAlignment w:val="center"/>
              <w:rPr>
                <w:rFonts w:hint="default"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pPr>
            <w:r>
              <w:rPr>
                <w:rFonts w:hint="eastAsia" w:hAnsi="宋体" w:cs="仿宋_GB2312"/>
                <w:i w:val="0"/>
                <w:iCs w:val="0"/>
                <w:color w:val="000000" w:themeColor="text1"/>
                <w:kern w:val="0"/>
                <w:sz w:val="24"/>
                <w:szCs w:val="24"/>
                <w:highlight w:val="none"/>
                <w:u w:val="none"/>
                <w:lang w:val="en-US" w:eastAsia="zh-CN" w:bidi="ar"/>
                <w14:textFill>
                  <w14:solidFill>
                    <w14:schemeClr w14:val="tx1"/>
                  </w14:solidFill>
                </w14:textFill>
              </w:rPr>
              <w:t>赛事周期</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06D4B">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赛事活动周期持续1个月</w:t>
            </w:r>
          </w:p>
        </w:tc>
        <w:tc>
          <w:tcPr>
            <w:tcW w:w="5163" w:type="dxa"/>
            <w:vMerge w:val="restart"/>
            <w:tcBorders>
              <w:top w:val="single" w:color="000000" w:sz="4" w:space="0"/>
              <w:left w:val="single" w:color="000000" w:sz="4" w:space="0"/>
              <w:right w:val="single" w:color="000000" w:sz="4" w:space="0"/>
            </w:tcBorders>
            <w:shd w:val="clear" w:color="auto" w:fill="auto"/>
            <w:vAlign w:val="center"/>
          </w:tcPr>
          <w:p w14:paraId="5962B1A4">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赛程表（明确起止时间）、在深各场次安排、累计天数核算说明等</w:t>
            </w:r>
          </w:p>
        </w:tc>
      </w:tr>
      <w:tr w14:paraId="4D072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41F95">
            <w:pPr>
              <w:keepNext w:val="0"/>
              <w:keepLines w:val="0"/>
              <w:widowControl/>
              <w:suppressLineNumbers w:val="0"/>
              <w:snapToGrid w:val="0"/>
              <w:ind w:firstLine="0" w:firstLineChars="0"/>
              <w:jc w:val="left"/>
              <w:textAlignment w:val="center"/>
              <w:rPr>
                <w:rFonts w:hint="default" w:ascii="仿宋_GB2312" w:hAnsi="宋体" w:eastAsia="仿宋_GB2312" w:cs="仿宋_GB2312"/>
                <w:i w:val="0"/>
                <w:iCs w:val="0"/>
                <w:color w:val="000000" w:themeColor="text1"/>
                <w:kern w:val="0"/>
                <w:sz w:val="24"/>
                <w:szCs w:val="24"/>
                <w:highlight w:val="none"/>
                <w:u w:val="none"/>
                <w:lang w:bidi="ar"/>
                <w14:textFill>
                  <w14:solidFill>
                    <w14:schemeClr w14:val="tx1"/>
                  </w14:solidFill>
                </w14:textFill>
              </w:rPr>
            </w:pPr>
            <w:r>
              <w:rPr>
                <w:rFonts w:hint="eastAsia" w:hAnsi="宋体" w:cs="仿宋_GB2312"/>
                <w:i w:val="0"/>
                <w:iCs w:val="0"/>
                <w:color w:val="000000" w:themeColor="text1"/>
                <w:kern w:val="0"/>
                <w:sz w:val="24"/>
                <w:szCs w:val="24"/>
                <w:highlight w:val="none"/>
                <w:u w:val="none"/>
                <w:lang w:val="en-US" w:eastAsia="zh-CN" w:bidi="ar"/>
                <w14:textFill>
                  <w14:solidFill>
                    <w14:schemeClr w14:val="tx1"/>
                  </w14:solidFill>
                </w14:textFill>
              </w:rPr>
              <w:t>举办场次</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39A48">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themeColor="text1"/>
                <w:kern w:val="0"/>
                <w:sz w:val="24"/>
                <w:szCs w:val="24"/>
                <w:highlight w:val="none"/>
                <w:u w:val="none"/>
                <w:lang w:bidi="ar"/>
                <w14:textFill>
                  <w14:solidFill>
                    <w14:schemeClr w14:val="tx1"/>
                  </w14:solidFill>
                </w14:textFill>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在深举办场次不少于6场</w:t>
            </w:r>
          </w:p>
        </w:tc>
        <w:tc>
          <w:tcPr>
            <w:tcW w:w="5163" w:type="dxa"/>
            <w:vMerge w:val="continue"/>
            <w:tcBorders>
              <w:left w:val="single" w:color="000000" w:sz="4" w:space="0"/>
              <w:bottom w:val="single" w:color="000000" w:sz="4" w:space="0"/>
              <w:right w:val="single" w:color="000000" w:sz="4" w:space="0"/>
            </w:tcBorders>
            <w:shd w:val="clear" w:color="auto" w:fill="auto"/>
            <w:vAlign w:val="center"/>
          </w:tcPr>
          <w:p w14:paraId="3E3E7681">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p>
        </w:tc>
      </w:tr>
      <w:tr w14:paraId="74DC6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2FE4F">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观众规模</w:t>
            </w:r>
            <w:r>
              <w:rPr>
                <w:rFonts w:hint="default" w:ascii="Times New Roman" w:hAnsi="Times New Roman" w:eastAsia="仿宋_GB2312" w:cs="Times New Roman"/>
                <w:i w:val="0"/>
                <w:iCs w:val="0"/>
                <w:color w:val="000000" w:themeColor="text1"/>
                <w:kern w:val="0"/>
                <w:sz w:val="24"/>
                <w:szCs w:val="24"/>
                <w:highlight w:val="none"/>
                <w:u w:val="none"/>
                <w:lang w:val="en-US" w:eastAsia="zh-CN" w:bidi="ar"/>
                <w14:textFill>
                  <w14:solidFill>
                    <w14:schemeClr w14:val="tx1"/>
                  </w14:solidFill>
                </w14:textFill>
              </w:rPr>
              <w:t>​</w:t>
            </w:r>
          </w:p>
        </w:tc>
        <w:tc>
          <w:tcPr>
            <w:tcW w:w="2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5E9D4">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进场观众人数1万人次以上（可多场次累计）</w:t>
            </w:r>
          </w:p>
        </w:tc>
        <w:tc>
          <w:tcPr>
            <w:tcW w:w="5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2D32F">
            <w:pPr>
              <w:keepNext w:val="0"/>
              <w:keepLines w:val="0"/>
              <w:widowControl/>
              <w:suppressLineNumbers w:val="0"/>
              <w:snapToGrid w:val="0"/>
              <w:ind w:firstLine="0" w:firstLineChars="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themeColor="text1"/>
                <w:kern w:val="0"/>
                <w:sz w:val="24"/>
                <w:szCs w:val="24"/>
                <w:highlight w:val="none"/>
                <w:u w:val="none"/>
                <w:lang w:val="en-US" w:eastAsia="zh-CN" w:bidi="ar"/>
                <w14:textFill>
                  <w14:solidFill>
                    <w14:schemeClr w14:val="tx1"/>
                  </w14:solidFill>
                </w14:textFill>
              </w:rPr>
              <w:t>线下观众累计核算表、票务记录等</w:t>
            </w:r>
          </w:p>
        </w:tc>
      </w:tr>
    </w:tbl>
    <w:p w14:paraId="05A6E1B8">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2.项目成效总结（模板详见项目申报书）。</w:t>
      </w:r>
    </w:p>
    <w:p w14:paraId="2826E79D">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w:t>
      </w:r>
      <w:r>
        <w:rPr>
          <w:rFonts w:hint="default"/>
          <w:color w:val="000000" w:themeColor="text1"/>
          <w:highlight w:val="none"/>
          <w:lang w:val="en-US" w:eastAsia="zh-CN"/>
          <w14:textFill>
            <w14:solidFill>
              <w14:schemeClr w14:val="tx1"/>
            </w14:solidFill>
          </w14:textFill>
        </w:rPr>
        <w:t>专项资金项目投入明细表</w:t>
      </w:r>
      <w:r>
        <w:rPr>
          <w:rFonts w:hint="eastAsia"/>
          <w:color w:val="000000" w:themeColor="text1"/>
          <w:highlight w:val="none"/>
          <w:lang w:val="en-US" w:eastAsia="zh-CN"/>
          <w14:textFill>
            <w14:solidFill>
              <w14:schemeClr w14:val="tx1"/>
            </w14:solidFill>
          </w14:textFill>
        </w:rPr>
        <w:t>及佐证材料（详见项目申报书）。</w:t>
      </w:r>
    </w:p>
    <w:p w14:paraId="6D3E2F02">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以上申报材料按顺序一式</w:t>
      </w:r>
      <w:r>
        <w:rPr>
          <w:rFonts w:hint="eastAsia"/>
          <w:color w:val="000000" w:themeColor="text1"/>
          <w:highlight w:val="none"/>
          <w:lang w:val="en-US" w:eastAsia="zh-CN"/>
          <w14:textFill>
            <w14:solidFill>
              <w14:schemeClr w14:val="tx1"/>
            </w14:solidFill>
          </w14:textFill>
        </w:rPr>
        <w:t>四</w:t>
      </w:r>
      <w:r>
        <w:rPr>
          <w:rFonts w:hint="default"/>
          <w:color w:val="000000" w:themeColor="text1"/>
          <w:highlight w:val="none"/>
          <w:lang w:val="en-US" w:eastAsia="zh-CN"/>
          <w14:textFill>
            <w14:solidFill>
              <w14:schemeClr w14:val="tx1"/>
            </w14:solidFill>
          </w14:textFill>
        </w:rPr>
        <w:t>份（附可编辑电子版和PDF扫描件）装订成册，在封面加盖单位公章并加盖骑缝章（其中，申报</w:t>
      </w:r>
      <w:r>
        <w:rPr>
          <w:rFonts w:hint="eastAsia" w:ascii="仿宋_GB2312" w:eastAsia="仿宋_GB2312"/>
          <w:color w:val="000000" w:themeColor="text1"/>
          <w:highlight w:val="none"/>
          <w:lang w:val="en-US" w:eastAsia="zh-CN"/>
          <w14:textFill>
            <w14:solidFill>
              <w14:schemeClr w14:val="tx1"/>
            </w14:solidFill>
          </w14:textFill>
        </w:rPr>
        <w:t>指引</w:t>
      </w:r>
      <w:r>
        <w:rPr>
          <w:rFonts w:hint="default"/>
          <w:color w:val="000000" w:themeColor="text1"/>
          <w:highlight w:val="none"/>
          <w:lang w:val="en-US" w:eastAsia="zh-CN"/>
          <w14:textFill>
            <w14:solidFill>
              <w14:schemeClr w14:val="tx1"/>
            </w14:solidFill>
          </w14:textFill>
        </w:rPr>
        <w:t>及附件有明确要求加盖公章的资料需按要求执行）。</w:t>
      </w:r>
    </w:p>
    <w:p w14:paraId="4FF4DF0B">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6" w:name="_Toc19526"/>
      <w:bookmarkStart w:id="17" w:name="_Toc5711"/>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七、申请表格</w:t>
      </w:r>
      <w:bookmarkEnd w:id="16"/>
      <w:bookmarkEnd w:id="17"/>
    </w:p>
    <w:p w14:paraId="1EFBA1DE">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auto"/>
          <w:sz w:val="32"/>
          <w:szCs w:val="32"/>
          <w:highlight w:val="none"/>
        </w:rPr>
      </w:pPr>
      <w:r>
        <w:rPr>
          <w:rFonts w:hint="eastAsia" w:ascii="仿宋_GB2312" w:hAnsi="Calibri" w:eastAsia="仿宋_GB2312" w:cs="Times New Roman"/>
          <w:color w:val="auto"/>
          <w:spacing w:val="0"/>
          <w:sz w:val="32"/>
          <w:szCs w:val="32"/>
          <w:highlight w:val="none"/>
        </w:rPr>
        <w:t>登录广东政务服务网在线填报申请书，网址：https://www.gdzwfw.gov.cn/</w:t>
      </w:r>
      <w:r>
        <w:rPr>
          <w:rFonts w:hint="eastAsia" w:ascii="仿宋_GB2312" w:eastAsia="仿宋_GB2312" w:cs="Times New Roman"/>
          <w:color w:val="auto"/>
          <w:spacing w:val="0"/>
          <w:sz w:val="32"/>
          <w:szCs w:val="32"/>
          <w:highlight w:val="none"/>
          <w:lang w:eastAsia="zh-CN"/>
        </w:rPr>
        <w:t>。</w:t>
      </w:r>
    </w:p>
    <w:p w14:paraId="475FF10A">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八、受理机关</w:t>
      </w:r>
    </w:p>
    <w:p w14:paraId="29820C60">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（一）受理机关</w:t>
      </w:r>
    </w:p>
    <w:p w14:paraId="2E9BB836">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盐田区商务局。</w:t>
      </w:r>
    </w:p>
    <w:p w14:paraId="54D32D55">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（二）受理时间</w:t>
      </w:r>
    </w:p>
    <w:p w14:paraId="444ACB8B">
      <w:pPr>
        <w:bidi w:val="0"/>
        <w:rPr>
          <w:rFonts w:hint="default"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1.网络填报时间：202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12</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000000" w:themeColor="text1"/>
          <w:kern w:val="0"/>
          <w:sz w:val="32"/>
          <w:szCs w:val="32"/>
          <w:highlight w:val="none"/>
          <w:lang w:val="en-US" w:eastAsia="zh-CN"/>
          <w14:textFill>
            <w14:solidFill>
              <w14:schemeClr w14:val="tx1"/>
            </w14:solidFill>
          </w14:textFill>
        </w:rPr>
        <w:t>。</w:t>
      </w:r>
    </w:p>
    <w:p w14:paraId="4DF2B2DE">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2.材料提交时间：2026年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日-2026年</w:t>
      </w:r>
      <w:r>
        <w:rPr>
          <w:rFonts w:hint="eastAsia" w:hAnsi="宋体" w:cs="宋体"/>
          <w:color w:val="000000" w:themeColor="text1"/>
          <w:kern w:val="0"/>
          <w:sz w:val="32"/>
          <w:szCs w:val="32"/>
          <w:highlight w:val="none"/>
          <w:lang w:val="en-US" w:eastAsia="zh-CN"/>
          <w14:textFill>
            <w14:solidFill>
              <w14:schemeClr w14:val="tx1"/>
            </w14:solidFill>
          </w14:textFill>
        </w:rPr>
        <w:t>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p>
    <w:p w14:paraId="01F41986">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申报单位在上述规定时间内填报、提交材料，逾期不予受理。</w:t>
      </w:r>
    </w:p>
    <w:p w14:paraId="39B78AD2">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6FB1D22D">
      <w:pPr>
        <w:bidi w:val="0"/>
        <w:spacing w:before="0" w:after="0" w:line="560" w:lineRule="exact"/>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深圳市盐田区沙盐路盐田现代产业服务中心裙楼A座二楼盐田区政务服务中心1-5号窗口</w:t>
      </w:r>
      <w:r>
        <w:rPr>
          <w:rFonts w:hint="eastAsia" w:cs="仿宋_GB2312"/>
          <w:color w:val="000000" w:themeColor="text1"/>
          <w:sz w:val="32"/>
          <w:szCs w:val="32"/>
          <w:highlight w:val="none"/>
          <w:lang w:eastAsia="zh-CN"/>
          <w14:textFill>
            <w14:solidFill>
              <w14:schemeClr w14:val="tx1"/>
            </w14:solidFill>
          </w14:textFill>
        </w:rPr>
        <w:t>。</w:t>
      </w:r>
    </w:p>
    <w:p w14:paraId="0802FC06">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（四）咨询电话</w:t>
      </w:r>
    </w:p>
    <w:p w14:paraId="06258D33">
      <w:pPr>
        <w:bidi w:val="0"/>
        <w:rPr>
          <w:rFonts w:hint="default"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pPr>
      <w:r>
        <w:rPr>
          <w:rFonts w:hint="eastAsia" w:cs="仿宋_GB2312"/>
          <w:color w:val="000000" w:themeColor="text1"/>
          <w:sz w:val="32"/>
          <w:szCs w:val="32"/>
          <w:highlight w:val="none"/>
          <w:u w:val="none"/>
          <w:lang w:val="en-US" w:eastAsia="zh-CN"/>
          <w14:textFill>
            <w14:solidFill>
              <w14:schemeClr w14:val="tx1"/>
            </w14:solidFill>
          </w14:textFill>
        </w:rPr>
        <w:t>0755-88171064。</w:t>
      </w:r>
    </w:p>
    <w:p w14:paraId="49F13FC8">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8" w:name="_Toc9722"/>
      <w:bookmarkStart w:id="19" w:name="_Toc1376"/>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九、申请决定机关</w:t>
      </w:r>
      <w:bookmarkEnd w:id="18"/>
      <w:bookmarkEnd w:id="19"/>
    </w:p>
    <w:p w14:paraId="3FE7B457">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bookmarkStart w:id="20" w:name="_Toc125127183"/>
      <w:bookmarkStart w:id="21" w:name="_Toc10305"/>
      <w:bookmarkStart w:id="22" w:name="_Toc161850809"/>
      <w:bookmarkStart w:id="23" w:name="_Toc2137"/>
      <w:r>
        <w:rPr>
          <w:rFonts w:hint="eastAsia" w:hAnsi="宋体" w:cs="宋体"/>
          <w:color w:val="000000" w:themeColor="text1"/>
          <w:kern w:val="0"/>
          <w:sz w:val="32"/>
          <w:szCs w:val="32"/>
          <w:highlight w:val="none"/>
          <w:lang w:val="en-US" w:eastAsia="zh-CN"/>
          <w14:textFill>
            <w14:solidFill>
              <w14:schemeClr w14:val="tx1"/>
            </w14:solidFill>
          </w14:textFill>
        </w:rPr>
        <w:t>各区级商务主管部门</w:t>
      </w:r>
    </w:p>
    <w:p w14:paraId="78C36F01">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4" w:name="_Toc16198"/>
      <w:bookmarkStart w:id="25" w:name="_Toc11274"/>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十、办理流程</w:t>
      </w:r>
      <w:bookmarkEnd w:id="24"/>
      <w:bookmarkEnd w:id="25"/>
    </w:p>
    <w:p w14:paraId="1248E85A">
      <w:pPr>
        <w:bidi w:val="0"/>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w:t>
      </w:r>
    </w:p>
    <w:p w14:paraId="679E477F">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6" w:name="_Toc28790"/>
      <w:bookmarkStart w:id="27" w:name="_Toc3693"/>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十一、办理时限</w:t>
      </w:r>
      <w:bookmarkEnd w:id="26"/>
      <w:bookmarkEnd w:id="27"/>
    </w:p>
    <w:p w14:paraId="2865FA15">
      <w:pPr>
        <w:bidi w:val="0"/>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180个工作日，不含特别程序。</w:t>
      </w:r>
    </w:p>
    <w:p w14:paraId="0ACEE280">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8" w:name="_Toc32254"/>
      <w:bookmarkStart w:id="29" w:name="_Toc29872"/>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十二、证件及有效期</w:t>
      </w:r>
      <w:bookmarkEnd w:id="28"/>
      <w:bookmarkEnd w:id="29"/>
    </w:p>
    <w:p w14:paraId="59F49419">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证件：无</w:t>
      </w:r>
    </w:p>
    <w:p w14:paraId="68BC85C7">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有效期限：无</w:t>
      </w:r>
    </w:p>
    <w:p w14:paraId="2FEF0EE0">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0" w:name="_Toc19920"/>
      <w:bookmarkStart w:id="31" w:name="_Toc17239"/>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十三、证件的法律效力</w:t>
      </w:r>
      <w:bookmarkEnd w:id="30"/>
      <w:bookmarkEnd w:id="31"/>
    </w:p>
    <w:p w14:paraId="0704D05C">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14:paraId="71149274">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2" w:name="_Toc7505"/>
      <w:bookmarkStart w:id="33" w:name="_Toc6842"/>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十四、收费</w:t>
      </w:r>
      <w:bookmarkEnd w:id="32"/>
      <w:bookmarkEnd w:id="33"/>
    </w:p>
    <w:p w14:paraId="0F843233">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14:paraId="21AFDCAF">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4" w:name="_Toc30145"/>
      <w:bookmarkStart w:id="35" w:name="_Toc3047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十五、年审或年检</w:t>
      </w:r>
      <w:bookmarkEnd w:id="34"/>
      <w:bookmarkEnd w:id="35"/>
    </w:p>
    <w:p w14:paraId="727ECCF5">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bookmarkStart w:id="36" w:name="_Toc20677"/>
      <w:bookmarkStart w:id="37" w:name="_Toc28762"/>
    </w:p>
    <w:p w14:paraId="630FE3B6">
      <w:pPr>
        <w:bidi w:val="0"/>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pPr>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十六、监督检查和补充说明</w:t>
      </w:r>
      <w:bookmarkEnd w:id="36"/>
      <w:bookmarkEnd w:id="37"/>
    </w:p>
    <w:p w14:paraId="03F8FA4C">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（一）申报单位应当按要求配合市、区两级商务部门和其他相关部门的监督检查，按要求做好项目资金管理、绩效评估等工作。</w:t>
      </w:r>
    </w:p>
    <w:p w14:paraId="51B625D3">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（二）申报单位存在以下情形之一的，应当按要求将已获得的部分或全部财政专项资金退回国库,并按照有关规定处理；涉嫌犯罪的，依法移送有关机关处理：</w:t>
      </w:r>
    </w:p>
    <w:p w14:paraId="55F29C09">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1.申报单位未履行或未完全履行申报承诺并经查证属实的。</w:t>
      </w:r>
    </w:p>
    <w:p w14:paraId="2BA95B8D">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2.申报单位不符合项目申报条件获得资助的。</w:t>
      </w:r>
    </w:p>
    <w:p w14:paraId="07A9FEDE">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3.申报单位存在利用不正当手段套取、骗取、盗取专项资金的。</w:t>
      </w:r>
    </w:p>
    <w:p w14:paraId="13F11EF1">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4.审计、巡视、巡察等核查需要申报单位退回专项资金的。</w:t>
      </w:r>
    </w:p>
    <w:p w14:paraId="36A6934E">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5.其他按照有关规定需要退回资金的。</w:t>
      </w:r>
    </w:p>
    <w:p w14:paraId="0F321FF4">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09222938">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任何单位和个人不得以任何形式、任何理由违规使用财政资金，对截留、挤占、挪用、骗取财政资金等违法行为，一经查实，将收回已安排的资金，并按照《财政违法行为处罚处分条例》等有关规定追究责任。</w:t>
      </w:r>
    </w:p>
    <w:p w14:paraId="1FA5D365">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五</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受理单位</w:t>
      </w:r>
      <w:r>
        <w:rPr>
          <w:rFonts w:hint="eastAsia"/>
          <w:color w:val="000000" w:themeColor="text1"/>
          <w:highlight w:val="none"/>
          <w14:textFill>
            <w14:solidFill>
              <w14:schemeClr w14:val="tx1"/>
            </w14:solidFill>
          </w14:textFill>
        </w:rPr>
        <w:t>从未委托任何单位和个人为申报单位代理专项资金扶持计划项目申报事宜</w:t>
      </w:r>
      <w:r>
        <w:rPr>
          <w:color w:val="000000" w:themeColor="text1"/>
          <w:highlight w:val="none"/>
          <w14:textFill>
            <w14:solidFill>
              <w14:schemeClr w14:val="tx1"/>
            </w14:solidFill>
          </w14:textFill>
        </w:rPr>
        <w:t>，申报单位应</w:t>
      </w:r>
      <w:r>
        <w:rPr>
          <w:rFonts w:hint="eastAsia"/>
          <w:color w:val="000000" w:themeColor="text1"/>
          <w:highlight w:val="none"/>
          <w14:textFill>
            <w14:solidFill>
              <w14:schemeClr w14:val="tx1"/>
            </w14:solidFill>
          </w14:textFill>
        </w:rPr>
        <w:t>自主申报。我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严格按照有关</w:t>
      </w:r>
      <w:r>
        <w:rPr>
          <w:color w:val="000000" w:themeColor="text1"/>
          <w:highlight w:val="none"/>
          <w14:textFill>
            <w14:solidFill>
              <w14:schemeClr w14:val="tx1"/>
            </w14:solidFill>
          </w14:textFill>
        </w:rPr>
        <w:t>规定</w:t>
      </w:r>
      <w:r>
        <w:rPr>
          <w:rFonts w:hint="eastAsia"/>
          <w:color w:val="000000" w:themeColor="text1"/>
          <w:highlight w:val="none"/>
          <w14:textFill>
            <w14:solidFill>
              <w14:schemeClr w14:val="tx1"/>
            </w14:solidFill>
          </w14:textFill>
        </w:rPr>
        <w:t>和程序受理申请，不收取任何费用。如有任何中介机构和个人假借我</w:t>
      </w:r>
      <w:r>
        <w:rPr>
          <w:rFonts w:hint="eastAsia"/>
          <w:color w:val="000000" w:themeColor="text1"/>
          <w:highlight w:val="none"/>
          <w:lang w:eastAsia="zh-CN"/>
          <w14:textFill>
            <w14:solidFill>
              <w14:schemeClr w14:val="tx1"/>
            </w14:solidFill>
          </w14:textFill>
        </w:rPr>
        <w:t>单位</w:t>
      </w:r>
      <w:r>
        <w:rPr>
          <w:color w:val="000000" w:themeColor="text1"/>
          <w:highlight w:val="none"/>
          <w14:textFill>
            <w14:solidFill>
              <w14:schemeClr w14:val="tx1"/>
            </w14:solidFill>
          </w14:textFill>
        </w:rPr>
        <w:t>或</w:t>
      </w:r>
      <w:r>
        <w:rPr>
          <w:rFonts w:hint="eastAsia"/>
          <w:color w:val="000000" w:themeColor="text1"/>
          <w:highlight w:val="none"/>
          <w14:textFill>
            <w14:solidFill>
              <w14:schemeClr w14:val="tx1"/>
            </w14:solidFill>
          </w14:textFill>
        </w:rPr>
        <w:t>工作人员名义向申报单位收取费用的，请向我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举报</w:t>
      </w:r>
      <w:r>
        <w:rPr>
          <w:rFonts w:hint="eastAsia"/>
          <w:color w:val="000000" w:themeColor="text1"/>
          <w:highlight w:val="none"/>
          <w:lang w:eastAsia="zh-CN"/>
          <w14:textFill>
            <w14:solidFill>
              <w14:schemeClr w14:val="tx1"/>
            </w14:solidFill>
          </w14:textFill>
        </w:rPr>
        <w:t>（电话：</w:t>
      </w:r>
      <w:r>
        <w:rPr>
          <w:rFonts w:hint="eastAsia"/>
          <w:color w:val="000000" w:themeColor="text1"/>
          <w:highlight w:val="none"/>
          <w:lang w:val="en-US" w:eastAsia="zh-CN"/>
          <w14:textFill>
            <w14:solidFill>
              <w14:schemeClr w14:val="tx1"/>
            </w14:solidFill>
          </w14:textFill>
        </w:rPr>
        <w:t>0755-88171063</w:t>
      </w:r>
      <w:r>
        <w:rPr>
          <w:rFonts w:hint="eastAsia"/>
          <w:color w:val="000000" w:themeColor="text1"/>
          <w:highlight w:val="none"/>
          <w:lang w:eastAsia="zh-CN"/>
          <w14:textFill>
            <w14:solidFill>
              <w14:schemeClr w14:val="tx1"/>
            </w14:solidFill>
          </w14:textFill>
        </w:rPr>
        <w:t>）。</w:t>
      </w:r>
    </w:p>
    <w:p w14:paraId="5BE16321">
      <w:pPr>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六</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申报单位在项目申报期间发生企业名称、联系信息变更的，应及时联系并提供变更材料，如因未及时变更产生的后果由企业自行承担。</w:t>
      </w:r>
    </w:p>
    <w:p w14:paraId="5C669E80">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七</w:t>
      </w:r>
      <w:r>
        <w:rPr>
          <w:rFonts w:hint="eastAsia"/>
          <w:color w:val="000000" w:themeColor="text1"/>
          <w:highlight w:val="none"/>
          <w14:textFill>
            <w14:solidFill>
              <w14:schemeClr w14:val="tx1"/>
            </w14:solidFill>
          </w14:textFill>
        </w:rPr>
        <w:t>）资助拨款按照申请书银行账户信息办理。因</w:t>
      </w:r>
      <w:r>
        <w:rPr>
          <w:color w:val="000000" w:themeColor="text1"/>
          <w:highlight w:val="none"/>
          <w14:textFill>
            <w14:solidFill>
              <w14:schemeClr w14:val="tx1"/>
            </w14:solidFill>
          </w14:textFill>
        </w:rPr>
        <w:t>账户信息变更或企业填写错误等原因导致</w:t>
      </w:r>
      <w:r>
        <w:rPr>
          <w:rFonts w:hint="eastAsia"/>
          <w:color w:val="000000" w:themeColor="text1"/>
          <w:highlight w:val="none"/>
          <w:lang w:eastAsia="zh-CN"/>
          <w14:textFill>
            <w14:solidFill>
              <w14:schemeClr w14:val="tx1"/>
            </w14:solidFill>
          </w14:textFill>
        </w:rPr>
        <w:t>拨付</w:t>
      </w:r>
      <w:r>
        <w:rPr>
          <w:color w:val="000000" w:themeColor="text1"/>
          <w:highlight w:val="none"/>
          <w14:textFill>
            <w14:solidFill>
              <w14:schemeClr w14:val="tx1"/>
            </w14:solidFill>
          </w14:textFill>
        </w:rPr>
        <w:t>不成功的，</w:t>
      </w:r>
      <w:r>
        <w:rPr>
          <w:rFonts w:hint="eastAsia"/>
          <w:color w:val="000000" w:themeColor="text1"/>
          <w:highlight w:val="none"/>
          <w14:textFill>
            <w14:solidFill>
              <w14:schemeClr w14:val="tx1"/>
            </w14:solidFill>
          </w14:textFill>
        </w:rPr>
        <w:t>原则上予以办理一次拨款信息更改并再次拨付。</w:t>
      </w:r>
      <w:r>
        <w:rPr>
          <w:color w:val="000000" w:themeColor="text1"/>
          <w:highlight w:val="none"/>
          <w14:textFill>
            <w14:solidFill>
              <w14:schemeClr w14:val="tx1"/>
            </w14:solidFill>
          </w14:textFill>
        </w:rPr>
        <w:t>申报单位</w:t>
      </w:r>
      <w:r>
        <w:rPr>
          <w:rFonts w:hint="eastAsia"/>
          <w:color w:val="000000" w:themeColor="text1"/>
          <w:highlight w:val="none"/>
          <w14:textFill>
            <w14:solidFill>
              <w14:schemeClr w14:val="tx1"/>
            </w14:solidFill>
          </w14:textFill>
        </w:rPr>
        <w:t>应当按照要求办理资金拨款手续。</w:t>
      </w:r>
    </w:p>
    <w:p w14:paraId="222193DB">
      <w:pPr>
        <w:bidi w:val="0"/>
        <w:rPr>
          <w:rFonts w:hint="eastAsia" w:eastAsia="仿宋_GB2312"/>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（八）</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bookmarkEnd w:id="20"/>
    <w:bookmarkEnd w:id="21"/>
    <w:bookmarkEnd w:id="22"/>
    <w:bookmarkEnd w:id="23"/>
    <w:p w14:paraId="44CE8A71">
      <w:pPr>
        <w:pStyle w:val="17"/>
        <w:rPr>
          <w:rFonts w:ascii="仿宋_GB2312" w:hAnsi="仿宋_GB2312"/>
          <w:color w:val="000000" w:themeColor="text1"/>
          <w:highlight w:val="none"/>
          <w14:textFill>
            <w14:solidFill>
              <w14:schemeClr w14:val="tx1"/>
            </w14:solidFill>
          </w14:textFill>
        </w:rPr>
      </w:pPr>
    </w:p>
    <w:sectPr>
      <w:footerReference r:id="rId5" w:type="default"/>
      <w:pgSz w:w="11906" w:h="16838"/>
      <w:pgMar w:top="1814" w:right="1474" w:bottom="1814" w:left="1474"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0E3EE">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53605E">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6E53605E">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embedSystem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13047F5"/>
    <w:rsid w:val="015E2532"/>
    <w:rsid w:val="02803A46"/>
    <w:rsid w:val="02CB1CF7"/>
    <w:rsid w:val="02DA63DE"/>
    <w:rsid w:val="02E93786"/>
    <w:rsid w:val="032C6A46"/>
    <w:rsid w:val="070F7027"/>
    <w:rsid w:val="08437B8D"/>
    <w:rsid w:val="08461CA3"/>
    <w:rsid w:val="0A2D6324"/>
    <w:rsid w:val="0A6C5760"/>
    <w:rsid w:val="0B35692F"/>
    <w:rsid w:val="0B4456D1"/>
    <w:rsid w:val="0BAD1FAB"/>
    <w:rsid w:val="0BE1742C"/>
    <w:rsid w:val="0D1F0CED"/>
    <w:rsid w:val="0F95719B"/>
    <w:rsid w:val="0FDD6438"/>
    <w:rsid w:val="0FE131A1"/>
    <w:rsid w:val="10BF0BFF"/>
    <w:rsid w:val="11A73770"/>
    <w:rsid w:val="124226AB"/>
    <w:rsid w:val="126D73E5"/>
    <w:rsid w:val="13A40095"/>
    <w:rsid w:val="14053C83"/>
    <w:rsid w:val="149841BF"/>
    <w:rsid w:val="14B52694"/>
    <w:rsid w:val="158E5C71"/>
    <w:rsid w:val="15C958A9"/>
    <w:rsid w:val="163D2AB4"/>
    <w:rsid w:val="172A2DF8"/>
    <w:rsid w:val="17B005EC"/>
    <w:rsid w:val="185533C0"/>
    <w:rsid w:val="187E0EC3"/>
    <w:rsid w:val="18AB1F57"/>
    <w:rsid w:val="190653E0"/>
    <w:rsid w:val="196451B1"/>
    <w:rsid w:val="197B53D3"/>
    <w:rsid w:val="1C210334"/>
    <w:rsid w:val="1C964CCC"/>
    <w:rsid w:val="1CFC17D2"/>
    <w:rsid w:val="1FEBA096"/>
    <w:rsid w:val="205A510F"/>
    <w:rsid w:val="21127D99"/>
    <w:rsid w:val="22AD3D05"/>
    <w:rsid w:val="22C22819"/>
    <w:rsid w:val="246A3FA3"/>
    <w:rsid w:val="266D7B2D"/>
    <w:rsid w:val="26AD7618"/>
    <w:rsid w:val="26E72CF4"/>
    <w:rsid w:val="27946F63"/>
    <w:rsid w:val="289B3109"/>
    <w:rsid w:val="28DA2BB7"/>
    <w:rsid w:val="2976170C"/>
    <w:rsid w:val="2A104310"/>
    <w:rsid w:val="2A4B3E74"/>
    <w:rsid w:val="2BA068F1"/>
    <w:rsid w:val="2C2A1457"/>
    <w:rsid w:val="2CAE0A32"/>
    <w:rsid w:val="2FFC0AFB"/>
    <w:rsid w:val="302C0287"/>
    <w:rsid w:val="311E3F52"/>
    <w:rsid w:val="31A95387"/>
    <w:rsid w:val="31B31F93"/>
    <w:rsid w:val="321653A8"/>
    <w:rsid w:val="328626B9"/>
    <w:rsid w:val="329C19A3"/>
    <w:rsid w:val="32EA49B3"/>
    <w:rsid w:val="32F52701"/>
    <w:rsid w:val="33573FA3"/>
    <w:rsid w:val="341A4C22"/>
    <w:rsid w:val="347B2CCE"/>
    <w:rsid w:val="352B3694"/>
    <w:rsid w:val="363C0287"/>
    <w:rsid w:val="3654545B"/>
    <w:rsid w:val="36565190"/>
    <w:rsid w:val="366C2500"/>
    <w:rsid w:val="370375AB"/>
    <w:rsid w:val="37A74BB3"/>
    <w:rsid w:val="382C7B34"/>
    <w:rsid w:val="387303F9"/>
    <w:rsid w:val="39BDE09B"/>
    <w:rsid w:val="3B0E3D0E"/>
    <w:rsid w:val="3BD4328A"/>
    <w:rsid w:val="3BFC17F2"/>
    <w:rsid w:val="3CFBAB86"/>
    <w:rsid w:val="3CFD6976"/>
    <w:rsid w:val="3D5D42F6"/>
    <w:rsid w:val="3D8F969E"/>
    <w:rsid w:val="3DB808BA"/>
    <w:rsid w:val="3E7F37AC"/>
    <w:rsid w:val="407A2ECB"/>
    <w:rsid w:val="418D6C3A"/>
    <w:rsid w:val="41E50163"/>
    <w:rsid w:val="423806ED"/>
    <w:rsid w:val="428230B1"/>
    <w:rsid w:val="437A5877"/>
    <w:rsid w:val="43BB3CEC"/>
    <w:rsid w:val="444C5275"/>
    <w:rsid w:val="44A91A1A"/>
    <w:rsid w:val="44D052C5"/>
    <w:rsid w:val="46AE1F3D"/>
    <w:rsid w:val="473C23B2"/>
    <w:rsid w:val="47781E40"/>
    <w:rsid w:val="48541414"/>
    <w:rsid w:val="4900762E"/>
    <w:rsid w:val="49BC5C64"/>
    <w:rsid w:val="4A6B0082"/>
    <w:rsid w:val="4AB56AE2"/>
    <w:rsid w:val="4AF082A7"/>
    <w:rsid w:val="4B6E7935"/>
    <w:rsid w:val="4C6F0E47"/>
    <w:rsid w:val="4E7E74BD"/>
    <w:rsid w:val="4FC2745B"/>
    <w:rsid w:val="509A0D5C"/>
    <w:rsid w:val="52252BFC"/>
    <w:rsid w:val="53A167B4"/>
    <w:rsid w:val="54E753F5"/>
    <w:rsid w:val="55E85BD6"/>
    <w:rsid w:val="563F7F48"/>
    <w:rsid w:val="569E06F3"/>
    <w:rsid w:val="5779221D"/>
    <w:rsid w:val="57F69B31"/>
    <w:rsid w:val="589B5008"/>
    <w:rsid w:val="58A326D8"/>
    <w:rsid w:val="59466376"/>
    <w:rsid w:val="59F359C5"/>
    <w:rsid w:val="5A9E6E08"/>
    <w:rsid w:val="5B3FBD97"/>
    <w:rsid w:val="5BF51433"/>
    <w:rsid w:val="5D09303A"/>
    <w:rsid w:val="5F58D092"/>
    <w:rsid w:val="5FEDF09B"/>
    <w:rsid w:val="5FFF8D5C"/>
    <w:rsid w:val="6173427D"/>
    <w:rsid w:val="623151CA"/>
    <w:rsid w:val="64A22FFB"/>
    <w:rsid w:val="64DB7056"/>
    <w:rsid w:val="64FEF02B"/>
    <w:rsid w:val="66340E1F"/>
    <w:rsid w:val="6692011E"/>
    <w:rsid w:val="66982F4F"/>
    <w:rsid w:val="6888651F"/>
    <w:rsid w:val="6894168D"/>
    <w:rsid w:val="69B52798"/>
    <w:rsid w:val="6A7451AD"/>
    <w:rsid w:val="6AC14C27"/>
    <w:rsid w:val="6BC41409"/>
    <w:rsid w:val="6BC52D32"/>
    <w:rsid w:val="6BF743E2"/>
    <w:rsid w:val="6C030E4B"/>
    <w:rsid w:val="6C5C62E3"/>
    <w:rsid w:val="6CAB30BC"/>
    <w:rsid w:val="6CED0F48"/>
    <w:rsid w:val="6CED51AD"/>
    <w:rsid w:val="6FCC3E6E"/>
    <w:rsid w:val="6FEFB7EB"/>
    <w:rsid w:val="71D6011D"/>
    <w:rsid w:val="72694444"/>
    <w:rsid w:val="73470D86"/>
    <w:rsid w:val="73933E76"/>
    <w:rsid w:val="73A0155B"/>
    <w:rsid w:val="74F90479"/>
    <w:rsid w:val="7524053F"/>
    <w:rsid w:val="75405A96"/>
    <w:rsid w:val="75B66B42"/>
    <w:rsid w:val="7625601A"/>
    <w:rsid w:val="76FF7DC1"/>
    <w:rsid w:val="77BF249E"/>
    <w:rsid w:val="77FBBA5B"/>
    <w:rsid w:val="78B4248C"/>
    <w:rsid w:val="78D33F7B"/>
    <w:rsid w:val="78F0357E"/>
    <w:rsid w:val="7B392B45"/>
    <w:rsid w:val="7B5505EB"/>
    <w:rsid w:val="7B9B002D"/>
    <w:rsid w:val="7BFBDF11"/>
    <w:rsid w:val="7C1A6A34"/>
    <w:rsid w:val="7CBE4AD3"/>
    <w:rsid w:val="7D1C7CE5"/>
    <w:rsid w:val="7D4F59DE"/>
    <w:rsid w:val="7EAF82F1"/>
    <w:rsid w:val="7F363046"/>
    <w:rsid w:val="7F92723E"/>
    <w:rsid w:val="7FAD7A93"/>
    <w:rsid w:val="8EFFBC18"/>
    <w:rsid w:val="92F6FF34"/>
    <w:rsid w:val="AFFD59EC"/>
    <w:rsid w:val="B77FA596"/>
    <w:rsid w:val="D7AD2FA7"/>
    <w:rsid w:val="DAF7D5BB"/>
    <w:rsid w:val="DB769F27"/>
    <w:rsid w:val="DFA76B13"/>
    <w:rsid w:val="DFAFB14D"/>
    <w:rsid w:val="DFBFA96B"/>
    <w:rsid w:val="DFCD344D"/>
    <w:rsid w:val="DFDF681D"/>
    <w:rsid w:val="DFFFE701"/>
    <w:rsid w:val="EF2F06D6"/>
    <w:rsid w:val="EFBF9025"/>
    <w:rsid w:val="EFCE6739"/>
    <w:rsid w:val="EFD7C33F"/>
    <w:rsid w:val="EFDBE00B"/>
    <w:rsid w:val="EFFFA8DC"/>
    <w:rsid w:val="F3BEFC1B"/>
    <w:rsid w:val="F3CE8D91"/>
    <w:rsid w:val="F6DFDC32"/>
    <w:rsid w:val="F7F3893A"/>
    <w:rsid w:val="FB7FAEB1"/>
    <w:rsid w:val="FF2E87F8"/>
    <w:rsid w:val="FFDFDA31"/>
    <w:rsid w:val="FFFFE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font71"/>
    <w:qFormat/>
    <w:uiPriority w:val="0"/>
    <w:rPr>
      <w:rFonts w:hint="eastAsia" w:ascii="仿宋_GB2312" w:eastAsia="仿宋_GB2312" w:cs="仿宋_GB2312"/>
      <w:color w:val="333333"/>
      <w:sz w:val="28"/>
      <w:szCs w:val="28"/>
      <w:u w:val="none"/>
    </w:rPr>
  </w:style>
  <w:style w:type="character" w:customStyle="1" w:styleId="31">
    <w:name w:val="font81"/>
    <w:qFormat/>
    <w:uiPriority w:val="0"/>
    <w:rPr>
      <w:rFonts w:hint="default" w:ascii="Times New Roman" w:hAnsi="Times New Roman" w:cs="Times New Roman"/>
      <w:color w:val="333333"/>
      <w:sz w:val="28"/>
      <w:szCs w:val="28"/>
      <w:u w:val="none"/>
    </w:rPr>
  </w:style>
  <w:style w:type="character" w:customStyle="1" w:styleId="32">
    <w:name w:val="font91"/>
    <w:qFormat/>
    <w:uiPriority w:val="0"/>
    <w:rPr>
      <w:rFonts w:hint="eastAsia" w:ascii="宋体" w:hAnsi="宋体" w:eastAsia="宋体" w:cs="宋体"/>
      <w:color w:val="333333"/>
      <w:sz w:val="28"/>
      <w:szCs w:val="28"/>
      <w:u w:val="none"/>
    </w:rPr>
  </w:style>
  <w:style w:type="character" w:customStyle="1" w:styleId="33">
    <w:name w:val="font11"/>
    <w:qFormat/>
    <w:uiPriority w:val="0"/>
    <w:rPr>
      <w:rFonts w:hint="eastAsia" w:ascii="仿宋_GB2312" w:eastAsia="仿宋_GB2312" w:cs="仿宋_GB2312"/>
      <w:color w:val="000000"/>
      <w:sz w:val="28"/>
      <w:szCs w:val="28"/>
      <w:u w:val="none"/>
    </w:rPr>
  </w:style>
  <w:style w:type="character" w:customStyle="1" w:styleId="34">
    <w:name w:val="font101"/>
    <w:qFormat/>
    <w:uiPriority w:val="0"/>
    <w:rPr>
      <w:rFonts w:hint="eastAsia" w:ascii="仿宋_GB2312" w:eastAsia="仿宋_GB2312" w:cs="仿宋_GB2312"/>
      <w:color w:val="000000"/>
      <w:sz w:val="28"/>
      <w:szCs w:val="28"/>
      <w:u w:val="none"/>
    </w:rPr>
  </w:style>
  <w:style w:type="paragraph" w:customStyle="1" w:styleId="35">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3229</Words>
  <Characters>3358</Characters>
  <Lines>0</Lines>
  <Paragraphs>0</Paragraphs>
  <TotalTime>1</TotalTime>
  <ScaleCrop>false</ScaleCrop>
  <LinksUpToDate>false</LinksUpToDate>
  <CharactersWithSpaces>3360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2025-07-08T10:47:00Z</dcterms:created>
  <dc:creator>黄佩琳</dc:creator>
  <cp:lastModifiedBy>djs</cp:lastModifiedBy>
  <cp:lastPrinted>2026-03-18T14:46:00Z</cp:lastPrinted>
  <dcterms:modified xsi:type="dcterms:W3CDTF">2026-07-07T04:00:33Z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1EB21C241E674BDB8B6E20A5ECAD8256_13</vt:lpwstr>
  </property>
  <property fmtid="{D5CDD505-2E9C-101B-9397-08002B2CF9AE}" pid="4" name="KSOTemplateDocerSaveRecord">
    <vt:lpwstr>eyJoZGlkIjoiYTVkNWU4NzE4MjhmYTAxNGE0ZmRjM2IzMjQwMTIzNjQiLCJ1c2VySWQiOiIyMzUwOTM3MTAifQ==</vt:lpwstr>
  </property>
</Properties>
</file>