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/>
        </w:rPr>
      </w:pPr>
      <w:r>
        <w:rPr>
          <w:rFonts w:hint="eastAsia" w:ascii="黑体" w:hAnsi="黑体" w:eastAsia="黑体" w:cs="仿宋_GB2312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仿宋_GB2312"/>
          <w:sz w:val="32"/>
          <w:szCs w:val="32"/>
          <w:u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盐田区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" w:eastAsia="zh-CN"/>
        </w:rPr>
        <w:t>-202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"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自建房等房屋建筑安全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隐患排查整治服务项目评分细则</w:t>
      </w:r>
    </w:p>
    <w:tbl>
      <w:tblPr>
        <w:tblStyle w:val="3"/>
        <w:tblW w:w="94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994"/>
        <w:gridCol w:w="10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评分因素</w:t>
            </w:r>
          </w:p>
        </w:tc>
        <w:tc>
          <w:tcPr>
            <w:tcW w:w="69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评分规则</w:t>
            </w:r>
          </w:p>
        </w:tc>
        <w:tc>
          <w:tcPr>
            <w:tcW w:w="10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权重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exact"/>
          <w:jc w:val="center"/>
        </w:trPr>
        <w:tc>
          <w:tcPr>
            <w:tcW w:w="144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价格</w:t>
            </w:r>
          </w:p>
        </w:tc>
        <w:tc>
          <w:tcPr>
            <w:tcW w:w="6994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在满足招标文件要求上,取投标供应商投标价的算术平均数为评标基准价,投标人的价格分统一按照下列公式计算: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投标报价得分=权重—偏离值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偏离值=|投标报价—评标基准价|/评标基准价*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权重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exact"/>
          <w:jc w:val="center"/>
        </w:trPr>
        <w:tc>
          <w:tcPr>
            <w:tcW w:w="144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99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  <w:jc w:val="center"/>
        </w:trPr>
        <w:tc>
          <w:tcPr>
            <w:tcW w:w="144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99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  <w:jc w:val="center"/>
        </w:trPr>
        <w:tc>
          <w:tcPr>
            <w:tcW w:w="144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项目负责人的资质及团队情况</w:t>
            </w:r>
          </w:p>
        </w:tc>
        <w:tc>
          <w:tcPr>
            <w:tcW w:w="699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项目团队情况：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1.项目团队负责人</w:t>
            </w:r>
            <w:r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" w:eastAsia="zh-CN"/>
              </w:rPr>
              <w:t>仅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1人、满分5分）：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须为供应商正式员工（提供社保作为证明材料），否则本项不得分。根据投标人拟派本项目负责人资质等情况打分：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具有结构高级职称得5分；结构中级职称得3分。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拟安排的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现场排查人员（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满分15分，其中1人必须为一级注册结构师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须为供应商正式员工（提供社保作为证明材料），否则本项不得分。根据拟派本项目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现场技术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服务人员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资质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情况打分：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具有一级注册结构师或结构高级职称得5分；二级注册结构师或结构中级职称得2分。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注：无一级注册结构师的该项不得分。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3.拟派驻的人员（满分15分）：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拟安排的5名驻点人员（不含项目团队负责人和现场排查人员）按照学历评分，建筑、结构相关专业的大专学历以上得3分（提供毕业证书作为证明材料），以下不得分。</w:t>
            </w:r>
          </w:p>
        </w:tc>
        <w:tc>
          <w:tcPr>
            <w:tcW w:w="105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1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69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atLeast"/>
          <w:jc w:val="center"/>
        </w:trPr>
        <w:tc>
          <w:tcPr>
            <w:tcW w:w="14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99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44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eastAsia="zh-CN"/>
              </w:rPr>
              <w:t>投标文件</w:t>
            </w:r>
          </w:p>
        </w:tc>
        <w:tc>
          <w:tcPr>
            <w:tcW w:w="69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投标文件响应“采购服务主要内容”的工作要求，总共5项，根据响应情况评分。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5项要求全面响应，内容完整、针对性强得20分；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响应4项，内容基本到位，轻微疏漏得15分；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响应3项，内容完整性不足，存在明显缺项得5分；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仅响应2项及以下，未有效匹配服务要求得0分。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/>
                <w:lang w:val="en-US" w:eastAsia="zh-CN"/>
              </w:rPr>
            </w:pP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144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699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项目增加分值：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对服务内容第二项，每增加10栋房屋排查，增加1分，累计增加25分为上限。（分值相同的以栋数多的为优先选择对象）</w:t>
            </w:r>
          </w:p>
        </w:tc>
        <w:tc>
          <w:tcPr>
            <w:tcW w:w="10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E737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张</cp:lastModifiedBy>
  <dcterms:modified xsi:type="dcterms:W3CDTF">2026-07-21T14:11:26Z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