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/>
          <w:sz w:val="36"/>
          <w:szCs w:val="40"/>
        </w:rPr>
      </w:pPr>
      <w:bookmarkStart w:id="1" w:name="_GoBack"/>
      <w:bookmarkEnd w:id="1"/>
    </w:p>
    <w:p>
      <w:pPr>
        <w:ind w:firstLine="1320" w:firstLineChars="300"/>
        <w:jc w:val="both"/>
        <w:rPr>
          <w:rFonts w:ascii="黑体" w:hAnsi="黑体" w:eastAsia="黑体"/>
          <w:sz w:val="44"/>
          <w:szCs w:val="44"/>
        </w:rPr>
      </w:pPr>
      <w:r>
        <w:rPr>
          <w:rFonts w:hint="eastAsia" w:ascii="黑体" w:hAnsi="黑体" w:eastAsia="黑体"/>
          <w:sz w:val="44"/>
          <w:szCs w:val="44"/>
        </w:rPr>
        <w:t>首次申请人员入库操作指南</w:t>
      </w:r>
    </w:p>
    <w:p>
      <w:pPr>
        <w:ind w:firstLine="640" w:firstLineChars="200"/>
        <w:rPr>
          <w:rFonts w:hint="eastAsia" w:ascii="黑体" w:hAnsi="黑体" w:eastAsia="黑体"/>
          <w:sz w:val="32"/>
          <w:szCs w:val="32"/>
        </w:rPr>
      </w:pPr>
    </w:p>
    <w:p>
      <w:pPr>
        <w:numPr>
          <w:ilvl w:val="0"/>
          <w:numId w:val="1"/>
        </w:numPr>
        <w:ind w:firstLine="640" w:firstLineChars="200"/>
        <w:rPr>
          <w:rFonts w:hint="eastAsia" w:ascii="黑体" w:hAnsi="黑体" w:eastAsia="黑体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sz w:val="32"/>
          <w:szCs w:val="32"/>
          <w:lang w:val="en-US" w:eastAsia="zh-CN"/>
        </w:rPr>
        <w:t>申请入口</w:t>
      </w:r>
    </w:p>
    <w:p>
      <w:pPr>
        <w:ind w:firstLine="642" w:firstLineChars="200"/>
        <w:jc w:val="left"/>
        <w:rPr>
          <w:rFonts w:hint="default" w:ascii="楷体_GB2312" w:eastAsia="楷体_GB2312"/>
          <w:b/>
          <w:bCs/>
          <w:sz w:val="32"/>
          <w:szCs w:val="32"/>
          <w:lang w:val="en-US" w:eastAsia="zh-CN"/>
        </w:rPr>
      </w:pPr>
      <w:r>
        <w:rPr>
          <w:rFonts w:hint="eastAsia" w:ascii="楷体_GB2312" w:eastAsia="楷体_GB2312"/>
          <w:b/>
          <w:bCs/>
          <w:sz w:val="32"/>
          <w:szCs w:val="32"/>
          <w:lang w:val="en-US" w:eastAsia="zh-CN"/>
        </w:rPr>
        <w:t>（一）专家进入</w:t>
      </w:r>
      <w:r>
        <w:rPr>
          <w:rFonts w:hint="eastAsia" w:ascii="楷体_GB2312" w:eastAsia="楷体_GB2312"/>
          <w:b/>
          <w:bCs/>
          <w:sz w:val="32"/>
          <w:szCs w:val="32"/>
          <w:lang w:val="en-US" w:eastAsia="zh-CN"/>
        </w:rPr>
        <w:fldChar w:fldCharType="begin"/>
      </w:r>
      <w:r>
        <w:rPr>
          <w:rFonts w:hint="eastAsia" w:ascii="楷体_GB2312" w:eastAsia="楷体_GB2312"/>
          <w:b/>
          <w:bCs/>
          <w:sz w:val="32"/>
          <w:szCs w:val="32"/>
          <w:lang w:val="en-US" w:eastAsia="zh-CN"/>
        </w:rPr>
        <w:instrText xml:space="preserve"> HYPERLINK "http://zfcg.sz.gov.cn/" </w:instrText>
      </w:r>
      <w:r>
        <w:rPr>
          <w:rFonts w:hint="eastAsia" w:ascii="楷体_GB2312" w:eastAsia="楷体_GB2312"/>
          <w:b/>
          <w:bCs/>
          <w:sz w:val="32"/>
          <w:szCs w:val="32"/>
          <w:lang w:val="en-US" w:eastAsia="zh-CN"/>
        </w:rPr>
        <w:fldChar w:fldCharType="separate"/>
      </w:r>
      <w:r>
        <w:rPr>
          <w:rFonts w:hint="eastAsia" w:ascii="楷体_GB2312" w:eastAsia="楷体_GB2312"/>
          <w:b/>
          <w:bCs/>
          <w:sz w:val="32"/>
          <w:szCs w:val="32"/>
          <w:lang w:val="en-US" w:eastAsia="zh-CN"/>
        </w:rPr>
        <w:t>深圳市政府采购监管网</w:t>
      </w:r>
      <w:r>
        <w:rPr>
          <w:rFonts w:hint="eastAsia" w:ascii="楷体_GB2312" w:eastAsia="楷体_GB2312"/>
          <w:b/>
          <w:bCs/>
          <w:sz w:val="32"/>
          <w:szCs w:val="32"/>
          <w:lang w:val="en-US" w:eastAsia="zh-CN"/>
        </w:rPr>
        <w:fldChar w:fldCharType="end"/>
      </w:r>
      <w:r>
        <w:rPr>
          <w:rFonts w:hint="eastAsia" w:ascii="楷体_GB2312" w:eastAsia="楷体_GB2312"/>
          <w:b/>
          <w:bCs/>
          <w:sz w:val="32"/>
          <w:szCs w:val="32"/>
          <w:lang w:val="en-US" w:eastAsia="zh-CN"/>
        </w:rPr>
        <w:t>，点击首页左上方的快速通道栏目下的“政府采购评审专家|在线注册”。</w:t>
      </w:r>
    </w:p>
    <w:p>
      <w:pPr>
        <w:ind w:firstLine="420" w:firstLineChars="200"/>
        <w:jc w:val="left"/>
        <w:rPr>
          <w:rFonts w:hint="eastAsia" w:ascii="仿宋_GB2312" w:eastAsia="仿宋_GB2312"/>
          <w:szCs w:val="21"/>
          <w:lang w:val="en-US" w:eastAsia="zh-CN"/>
        </w:rPr>
      </w:pPr>
      <w:r>
        <w:rPr>
          <w:rFonts w:hint="eastAsia" w:ascii="仿宋_GB2312" w:eastAsia="仿宋_GB2312"/>
          <w:szCs w:val="21"/>
          <w:lang w:val="en-US" w:eastAsia="zh-CN"/>
        </w:rPr>
        <w:t>深圳市政府采购监管网链接：zfcg.sz.gov.cn</w:t>
      </w:r>
    </w:p>
    <w:p>
      <w:pPr>
        <w:jc w:val="left"/>
      </w:pPr>
      <w:r>
        <w:drawing>
          <wp:inline distT="0" distB="0" distL="114300" distR="114300">
            <wp:extent cx="5261610" cy="2691130"/>
            <wp:effectExtent l="0" t="0" r="15240" b="13970"/>
            <wp:docPr id="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269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="630" w:leftChars="0"/>
        <w:jc w:val="left"/>
        <w:rPr>
          <w:rFonts w:hint="eastAsia" w:ascii="楷体_GB2312" w:eastAsia="楷体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</w:t>
      </w:r>
      <w:r>
        <w:rPr>
          <w:rFonts w:hint="eastAsia" w:ascii="楷体_GB2312" w:eastAsia="楷体_GB2312"/>
          <w:b/>
          <w:bCs/>
          <w:sz w:val="32"/>
          <w:szCs w:val="32"/>
          <w:lang w:val="en-US" w:eastAsia="zh-CN"/>
        </w:rPr>
        <w:t>（二）在弹出窗口中点击继续访问</w:t>
      </w:r>
    </w:p>
    <w:p>
      <w:pPr>
        <w:numPr>
          <w:ilvl w:val="0"/>
          <w:numId w:val="0"/>
        </w:numPr>
        <w:jc w:val="left"/>
      </w:pPr>
      <w:r>
        <w:drawing>
          <wp:inline distT="0" distB="0" distL="114300" distR="114300">
            <wp:extent cx="5266690" cy="2852420"/>
            <wp:effectExtent l="0" t="0" r="10160" b="5080"/>
            <wp:docPr id="1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852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642" w:firstLineChars="200"/>
        <w:jc w:val="left"/>
        <w:rPr>
          <w:rFonts w:hint="eastAsia" w:ascii="楷体_GB2312" w:eastAsia="楷体_GB2312"/>
          <w:b/>
          <w:bCs/>
          <w:sz w:val="32"/>
          <w:szCs w:val="32"/>
          <w:lang w:val="en-US" w:eastAsia="zh-CN"/>
        </w:rPr>
      </w:pPr>
      <w:r>
        <w:rPr>
          <w:rFonts w:hint="eastAsia" w:ascii="楷体_GB2312" w:eastAsia="楷体_GB2312"/>
          <w:b/>
          <w:bCs/>
          <w:sz w:val="32"/>
          <w:szCs w:val="32"/>
          <w:lang w:val="en-US" w:eastAsia="zh-CN"/>
        </w:rPr>
        <w:t>（三）进入专家系统登陆页面</w:t>
      </w:r>
    </w:p>
    <w:p>
      <w:pPr>
        <w:numPr>
          <w:ilvl w:val="0"/>
          <w:numId w:val="0"/>
        </w:numPr>
        <w:jc w:val="left"/>
        <w:rPr>
          <w:rFonts w:hint="default"/>
          <w:lang w:val="en-US" w:eastAsia="zh-CN"/>
        </w:rPr>
      </w:pPr>
      <w:r>
        <w:drawing>
          <wp:inline distT="0" distB="0" distL="114300" distR="114300">
            <wp:extent cx="5266690" cy="2477135"/>
            <wp:effectExtent l="0" t="0" r="6350" b="6985"/>
            <wp:docPr id="13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5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477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left"/>
        <w:rPr>
          <w:rFonts w:hint="default"/>
          <w:lang w:val="en-US" w:eastAsia="zh-CN"/>
        </w:rPr>
      </w:pPr>
    </w:p>
    <w:p>
      <w:pPr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  <w:lang w:val="en-US" w:eastAsia="zh-CN"/>
        </w:rPr>
        <w:t>二、</w:t>
      </w:r>
      <w:r>
        <w:rPr>
          <w:rFonts w:hint="eastAsia" w:ascii="黑体" w:hAnsi="黑体" w:eastAsia="黑体"/>
          <w:sz w:val="32"/>
          <w:szCs w:val="32"/>
        </w:rPr>
        <w:t>专家注册</w:t>
      </w:r>
    </w:p>
    <w:p>
      <w:pPr>
        <w:ind w:firstLine="640" w:firstLineChars="20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专家在系统登录页面，点击“注册”链接，跳转至专家注册页面。</w:t>
      </w:r>
    </w:p>
    <w:p>
      <w:pPr>
        <w:ind w:firstLine="420" w:firstLineChars="200"/>
        <w:jc w:val="left"/>
      </w:pPr>
      <w:r>
        <w:rPr>
          <w:rFonts w:hint="eastAsia" w:ascii="仿宋_GB2312" w:eastAsia="仿宋_GB2312"/>
          <w:szCs w:val="21"/>
        </w:rPr>
        <w:t>注册链接：</w:t>
      </w:r>
      <w:r>
        <w:rPr>
          <w:rStyle w:val="17"/>
          <w:rFonts w:hint="eastAsia" w:ascii="仿宋_GB2312" w:eastAsia="仿宋_GB2312"/>
          <w:szCs w:val="21"/>
          <w:lang w:val="en-US" w:eastAsia="zh-CN"/>
        </w:rPr>
        <w:t>https</w:t>
      </w:r>
      <w:bookmarkStart w:id="0" w:name="OLE_LINK1"/>
      <w:r>
        <w:rPr>
          <w:rStyle w:val="17"/>
          <w:rFonts w:hint="eastAsia" w:ascii="仿宋_GB2312" w:eastAsia="仿宋_GB2312"/>
          <w:szCs w:val="21"/>
          <w:lang w:val="en-US" w:eastAsia="zh-CN"/>
        </w:rPr>
        <w:t>://trade.szggzy.c</w:t>
      </w:r>
      <w:bookmarkEnd w:id="0"/>
      <w:r>
        <w:rPr>
          <w:rStyle w:val="17"/>
          <w:rFonts w:hint="eastAsia" w:ascii="仿宋_GB2312" w:eastAsia="仿宋_GB2312"/>
          <w:szCs w:val="21"/>
          <w:lang w:val="en-US" w:eastAsia="zh-CN"/>
        </w:rPr>
        <w:t>om/ggzy/expertzh/person/#/registerZFCG</w:t>
      </w:r>
    </w:p>
    <w:p>
      <w:pPr>
        <w:jc w:val="both"/>
        <w:rPr>
          <w:rFonts w:hint="eastAsia"/>
        </w:rPr>
      </w:pPr>
      <w:r>
        <w:drawing>
          <wp:inline distT="0" distB="0" distL="114300" distR="114300">
            <wp:extent cx="5266690" cy="2595245"/>
            <wp:effectExtent l="0" t="0" r="3810" b="8255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95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  <w:lang w:val="en-US" w:eastAsia="zh-CN"/>
        </w:rPr>
        <w:t>三</w:t>
      </w:r>
      <w:r>
        <w:rPr>
          <w:rFonts w:hint="eastAsia" w:ascii="黑体" w:hAnsi="黑体" w:eastAsia="黑体"/>
          <w:sz w:val="32"/>
          <w:szCs w:val="32"/>
        </w:rPr>
        <w:t>、专家登录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专家注册完成后，返回系统登录页面，输入账号密码后登录系统。 </w:t>
      </w:r>
    </w:p>
    <w:p>
      <w:pPr>
        <w:ind w:firstLine="420" w:firstLineChars="200"/>
        <w:rPr>
          <w:rStyle w:val="17"/>
          <w:rFonts w:hint="eastAsia" w:ascii="仿宋_GB2312" w:eastAsia="仿宋_GB2312"/>
          <w:szCs w:val="21"/>
          <w:lang w:val="en-US" w:eastAsia="zh-CN"/>
        </w:rPr>
      </w:pPr>
      <w:r>
        <w:rPr>
          <w:rFonts w:hint="eastAsia" w:ascii="仿宋_GB2312" w:eastAsia="仿宋_GB2312"/>
          <w:szCs w:val="21"/>
        </w:rPr>
        <w:t>登录链接：</w:t>
      </w:r>
      <w:r>
        <w:rPr>
          <w:rStyle w:val="17"/>
          <w:rFonts w:hint="eastAsia" w:ascii="仿宋_GB2312" w:eastAsia="仿宋_GB2312"/>
          <w:szCs w:val="21"/>
          <w:lang w:val="en-US" w:eastAsia="zh-CN"/>
        </w:rPr>
        <w:t>https://trade.szggzy.com/ggzy/expertzh/person/#/loginZFCG</w:t>
      </w:r>
    </w:p>
    <w:p>
      <w:pPr>
        <w:jc w:val="both"/>
        <w:rPr>
          <w:rFonts w:hint="eastAsia"/>
        </w:rPr>
      </w:pPr>
      <w:r>
        <w:drawing>
          <wp:inline distT="0" distB="0" distL="114300" distR="114300">
            <wp:extent cx="5266690" cy="2595245"/>
            <wp:effectExtent l="0" t="0" r="3810" b="8255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95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640" w:firstLineChars="200"/>
      </w:pPr>
      <w:r>
        <w:rPr>
          <w:rFonts w:hint="eastAsia" w:ascii="黑体" w:hAnsi="黑体" w:eastAsia="黑体"/>
          <w:sz w:val="32"/>
          <w:szCs w:val="32"/>
          <w:lang w:val="en-US" w:eastAsia="zh-CN"/>
        </w:rPr>
        <w:t>四</w:t>
      </w:r>
      <w:r>
        <w:rPr>
          <w:rFonts w:hint="eastAsia" w:ascii="黑体" w:hAnsi="黑体" w:eastAsia="黑体"/>
          <w:sz w:val="32"/>
          <w:szCs w:val="32"/>
        </w:rPr>
        <w:t>、入库申报</w:t>
      </w:r>
    </w:p>
    <w:p>
      <w:pPr>
        <w:ind w:firstLine="642" w:firstLineChars="200"/>
        <w:rPr>
          <w:rFonts w:hint="eastAsia" w:ascii="楷体_GB2312" w:eastAsia="楷体_GB2312"/>
          <w:b/>
          <w:bCs/>
          <w:sz w:val="32"/>
          <w:szCs w:val="32"/>
        </w:rPr>
      </w:pPr>
      <w:r>
        <w:rPr>
          <w:rFonts w:hint="eastAsia" w:ascii="楷体_GB2312" w:eastAsia="楷体_GB2312"/>
          <w:b/>
          <w:bCs/>
          <w:sz w:val="32"/>
          <w:szCs w:val="32"/>
        </w:rPr>
        <w:t>（一）完善基本信息</w:t>
      </w:r>
    </w:p>
    <w:p>
      <w:pPr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专家登录系统后，点击入库申报功能，按照系统提示录入基本信息、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职业资格证书</w:t>
      </w:r>
      <w:r>
        <w:rPr>
          <w:rFonts w:hint="eastAsia" w:ascii="仿宋_GB2312" w:eastAsia="仿宋_GB2312"/>
          <w:sz w:val="32"/>
          <w:szCs w:val="32"/>
        </w:rPr>
        <w:t>等信息，完成基本信息录入后点击保存。</w:t>
      </w:r>
    </w:p>
    <w:p>
      <w:r>
        <w:drawing>
          <wp:inline distT="0" distB="0" distL="114300" distR="114300">
            <wp:extent cx="5266690" cy="2595245"/>
            <wp:effectExtent l="0" t="0" r="3810" b="8255"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95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642" w:firstLineChars="200"/>
        <w:rPr>
          <w:rFonts w:hint="eastAsia" w:ascii="楷体_GB2312" w:eastAsia="楷体_GB2312"/>
          <w:b/>
          <w:bCs/>
          <w:sz w:val="32"/>
          <w:szCs w:val="32"/>
        </w:rPr>
      </w:pPr>
      <w:r>
        <w:rPr>
          <w:rFonts w:hint="eastAsia" w:ascii="楷体_GB2312" w:eastAsia="楷体_GB2312"/>
          <w:b/>
          <w:bCs/>
          <w:sz w:val="32"/>
          <w:szCs w:val="32"/>
        </w:rPr>
        <w:t>（二）申请专家资格</w:t>
      </w:r>
    </w:p>
    <w:p>
      <w:pPr>
        <w:ind w:firstLine="640" w:firstLineChars="200"/>
      </w:pPr>
      <w:r>
        <w:rPr>
          <w:rFonts w:hint="eastAsia" w:ascii="仿宋_GB2312" w:eastAsia="仿宋_GB2312"/>
          <w:sz w:val="32"/>
          <w:szCs w:val="32"/>
        </w:rPr>
        <w:t>专家点击“行业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申报</w:t>
      </w:r>
      <w:r>
        <w:rPr>
          <w:rFonts w:hint="eastAsia" w:ascii="仿宋_GB2312" w:eastAsia="仿宋_GB2312"/>
          <w:sz w:val="32"/>
          <w:szCs w:val="32"/>
        </w:rPr>
        <w:t>”页签</w:t>
      </w:r>
      <w:r>
        <w:rPr>
          <w:rFonts w:hint="eastAsia" w:ascii="仿宋_GB2312" w:eastAsia="仿宋_GB2312"/>
          <w:sz w:val="32"/>
          <w:szCs w:val="32"/>
          <w:lang w:eastAsia="zh-CN"/>
        </w:rPr>
        <w:t>，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选择</w:t>
      </w:r>
      <w:r>
        <w:rPr>
          <w:rFonts w:hint="eastAsia" w:ascii="仿宋_GB2312" w:eastAsia="仿宋_GB2312"/>
          <w:sz w:val="32"/>
          <w:szCs w:val="32"/>
        </w:rPr>
        <w:t>“政府采购”行业，按照系统提示要求分别填写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专家行业信息、评审品目信息、职称信息、工作经历、教育经历等信息，并上传相关附件</w:t>
      </w:r>
      <w:r>
        <w:rPr>
          <w:rFonts w:hint="eastAsia" w:ascii="仿宋_GB2312" w:eastAsia="仿宋_GB2312"/>
          <w:sz w:val="32"/>
          <w:szCs w:val="32"/>
        </w:rPr>
        <w:t>，完成后点击保存。</w:t>
      </w:r>
    </w:p>
    <w:p>
      <w:pPr>
        <w:jc w:val="both"/>
      </w:pPr>
      <w:r>
        <w:drawing>
          <wp:inline distT="0" distB="0" distL="114300" distR="114300">
            <wp:extent cx="5273040" cy="2580640"/>
            <wp:effectExtent l="0" t="0" r="10160" b="10160"/>
            <wp:docPr id="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580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both"/>
      </w:pPr>
      <w:r>
        <w:drawing>
          <wp:inline distT="0" distB="0" distL="114300" distR="114300">
            <wp:extent cx="5266690" cy="2595245"/>
            <wp:effectExtent l="0" t="0" r="3810" b="8255"/>
            <wp:docPr id="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4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95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642" w:firstLineChars="200"/>
        <w:rPr>
          <w:rFonts w:ascii="楷体_GB2312" w:eastAsia="楷体_GB2312"/>
          <w:b/>
          <w:bCs/>
          <w:sz w:val="32"/>
          <w:szCs w:val="32"/>
        </w:rPr>
      </w:pPr>
      <w:r>
        <w:rPr>
          <w:rFonts w:hint="eastAsia" w:ascii="楷体_GB2312" w:eastAsia="楷体_GB2312"/>
          <w:b/>
          <w:bCs/>
          <w:sz w:val="32"/>
          <w:szCs w:val="32"/>
        </w:rPr>
        <w:t>（三）提交资格申请</w:t>
      </w:r>
    </w:p>
    <w:p>
      <w:pPr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专家点击【提交申报】按钮，系统自动辅助检查资料是否填写完整，并提示专家参加入库考试。专家点击【去考试】按钮后跳转至考核测试页面参加政府采购法规知识考核测试。</w:t>
      </w:r>
      <w:r>
        <w:drawing>
          <wp:inline distT="0" distB="0" distL="114300" distR="114300">
            <wp:extent cx="5266690" cy="2595245"/>
            <wp:effectExtent l="0" t="0" r="3810" b="8255"/>
            <wp:docPr id="8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5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95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642" w:firstLineChars="200"/>
        <w:rPr>
          <w:rFonts w:hint="eastAsia" w:ascii="楷体_GB2312" w:eastAsia="楷体_GB2312"/>
          <w:b/>
          <w:bCs/>
          <w:sz w:val="32"/>
          <w:szCs w:val="32"/>
        </w:rPr>
      </w:pPr>
      <w:r>
        <w:rPr>
          <w:rFonts w:hint="eastAsia" w:ascii="楷体_GB2312" w:eastAsia="楷体_GB2312"/>
          <w:b/>
          <w:bCs/>
          <w:sz w:val="32"/>
          <w:szCs w:val="32"/>
        </w:rPr>
        <w:t>（四）补考</w:t>
      </w:r>
    </w:p>
    <w:p>
      <w:pPr>
        <w:ind w:firstLine="640" w:firstLineChars="200"/>
      </w:pPr>
      <w:r>
        <w:rPr>
          <w:rFonts w:hint="eastAsia" w:ascii="仿宋_GB2312" w:eastAsia="仿宋_GB2312"/>
          <w:sz w:val="32"/>
          <w:szCs w:val="32"/>
        </w:rPr>
        <w:t>考核成绩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80</w:t>
      </w:r>
      <w:r>
        <w:rPr>
          <w:rFonts w:hint="eastAsia" w:ascii="仿宋_GB2312" w:eastAsia="仿宋_GB2312"/>
          <w:sz w:val="32"/>
          <w:szCs w:val="32"/>
        </w:rPr>
        <w:t>分以上者“合格”，可以进行“下一步”提交申请等待主管部门审核；成绩“不合格”者，退出考核页面，需要进入【考核测试】页面重新考核(可多次)，直至成绩“合格”才能进入“下一步”提交申请等待主管部门审核。</w:t>
      </w:r>
    </w:p>
    <w:p>
      <w:pPr>
        <w:rPr>
          <w:rFonts w:hint="eastAsia"/>
        </w:rPr>
      </w:pPr>
      <w:r>
        <w:drawing>
          <wp:inline distT="0" distB="0" distL="114300" distR="114300">
            <wp:extent cx="5266690" cy="2595245"/>
            <wp:effectExtent l="0" t="0" r="3810" b="8255"/>
            <wp:docPr id="9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6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95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footerReference r:id="rId3" w:type="default"/>
      <w:pgSz w:w="11906" w:h="16838"/>
      <w:pgMar w:top="1440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等线">
    <w:altName w:val="华文仿宋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等线 Light">
    <w:altName w:val="华文仿宋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_GB2312">
    <w:altName w:val="方正楷体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等线">
    <w:altName w:val="C059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059">
    <w:panose1 w:val="00000500000000000000"/>
    <w:charset w:val="00"/>
    <w:family w:val="auto"/>
    <w:pitch w:val="default"/>
    <w:sig w:usb0="00000287" w:usb1="00000800" w:usb2="00000000" w:usb3="00000000" w:csb0="6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11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WAAAAZHJzL1BLAQIUABQAAAAIAIdO4kCzSVju0AAAAAUBAAAPAAAAAAAAAAEAIAAAADgAAABk&#10;cnMvZG93bnJldi54bWxQSwECFAAUAAAACACHTuJAa4X5+zECAABhBAAADgAAAAAAAAABACAAAAA1&#10;AQAAZHJzL2Uyb0RvYy54bWxQSwUGAAAAAAYABgBZAQAA2A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1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20ABF0E"/>
    <w:multiLevelType w:val="singleLevel"/>
    <w:tmpl w:val="020ABF0E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1FA0"/>
    <w:rsid w:val="000478F7"/>
    <w:rsid w:val="001D0528"/>
    <w:rsid w:val="004C0182"/>
    <w:rsid w:val="006861F9"/>
    <w:rsid w:val="0078260C"/>
    <w:rsid w:val="007977DF"/>
    <w:rsid w:val="008518B7"/>
    <w:rsid w:val="00A0040F"/>
    <w:rsid w:val="00B41813"/>
    <w:rsid w:val="00BC391B"/>
    <w:rsid w:val="00C26312"/>
    <w:rsid w:val="00DF6C5B"/>
    <w:rsid w:val="00E04F0B"/>
    <w:rsid w:val="00E81FA0"/>
    <w:rsid w:val="0D725392"/>
    <w:rsid w:val="17FFD6DF"/>
    <w:rsid w:val="1CF97318"/>
    <w:rsid w:val="35D3EE43"/>
    <w:rsid w:val="367FFB27"/>
    <w:rsid w:val="37BD7CDA"/>
    <w:rsid w:val="3CBC7344"/>
    <w:rsid w:val="3DB91C8A"/>
    <w:rsid w:val="3EF71168"/>
    <w:rsid w:val="40382ABD"/>
    <w:rsid w:val="456707EC"/>
    <w:rsid w:val="4DFE110F"/>
    <w:rsid w:val="4F5508E7"/>
    <w:rsid w:val="58DF79BB"/>
    <w:rsid w:val="5B79A345"/>
    <w:rsid w:val="5B7C7DCF"/>
    <w:rsid w:val="5FA2375F"/>
    <w:rsid w:val="5FF56EAD"/>
    <w:rsid w:val="64FB67E3"/>
    <w:rsid w:val="65B76CCE"/>
    <w:rsid w:val="67BF60CB"/>
    <w:rsid w:val="67EF72AE"/>
    <w:rsid w:val="6BF4E3CA"/>
    <w:rsid w:val="6FA99854"/>
    <w:rsid w:val="76FB13DC"/>
    <w:rsid w:val="77214D19"/>
    <w:rsid w:val="77FFE3D4"/>
    <w:rsid w:val="7DFEAB4A"/>
    <w:rsid w:val="7EFB38B5"/>
    <w:rsid w:val="A77FAC87"/>
    <w:rsid w:val="B4BF152D"/>
    <w:rsid w:val="B7CEFF34"/>
    <w:rsid w:val="BFCCF111"/>
    <w:rsid w:val="BFDCDDF8"/>
    <w:rsid w:val="BFFB1602"/>
    <w:rsid w:val="DBD9BEBE"/>
    <w:rsid w:val="DBED884C"/>
    <w:rsid w:val="E7FBE591"/>
    <w:rsid w:val="E7FE6834"/>
    <w:rsid w:val="ECFF4A1B"/>
    <w:rsid w:val="EF79B259"/>
    <w:rsid w:val="F17B34FD"/>
    <w:rsid w:val="FBCB6F84"/>
    <w:rsid w:val="FCFF02E7"/>
    <w:rsid w:val="FDF5B97B"/>
    <w:rsid w:val="FDF79346"/>
    <w:rsid w:val="FEFF17D8"/>
    <w:rsid w:val="FF26B9FA"/>
    <w:rsid w:val="FF7BFDDB"/>
    <w:rsid w:val="FF7EAC08"/>
    <w:rsid w:val="FFD8F2A7"/>
    <w:rsid w:val="FFF4A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2767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8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paragraph" w:styleId="3">
    <w:name w:val="heading 2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4">
    <w:name w:val="heading 3"/>
    <w:basedOn w:val="1"/>
    <w:next w:val="1"/>
    <w:link w:val="20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5">
    <w:name w:val="heading 4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2F5597" w:themeColor="accent1" w:themeShade="BF"/>
      <w:sz w:val="28"/>
      <w:szCs w:val="28"/>
    </w:rPr>
  </w:style>
  <w:style w:type="paragraph" w:styleId="6">
    <w:name w:val="heading 5"/>
    <w:basedOn w:val="1"/>
    <w:next w:val="1"/>
    <w:link w:val="22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2F5597" w:themeColor="accent1" w:themeShade="BF"/>
      <w:sz w:val="24"/>
      <w:szCs w:val="24"/>
    </w:rPr>
  </w:style>
  <w:style w:type="paragraph" w:styleId="7">
    <w:name w:val="heading 6"/>
    <w:basedOn w:val="1"/>
    <w:next w:val="1"/>
    <w:link w:val="23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2F5597" w:themeColor="accent1" w:themeShade="BF"/>
    </w:rPr>
  </w:style>
  <w:style w:type="paragraph" w:styleId="8">
    <w:name w:val="heading 7"/>
    <w:basedOn w:val="1"/>
    <w:next w:val="1"/>
    <w:link w:val="24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5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6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36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28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7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17">
    <w:name w:val="Hyperlink"/>
    <w:basedOn w:val="16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8">
    <w:name w:val="标题 1 字符"/>
    <w:basedOn w:val="16"/>
    <w:link w:val="2"/>
    <w:qFormat/>
    <w:uiPriority w:val="9"/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character" w:customStyle="1" w:styleId="19">
    <w:name w:val="标题 2 字符"/>
    <w:basedOn w:val="16"/>
    <w:link w:val="3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20">
    <w:name w:val="标题 3 字符"/>
    <w:basedOn w:val="16"/>
    <w:link w:val="4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21">
    <w:name w:val="标题 4 字符"/>
    <w:basedOn w:val="16"/>
    <w:link w:val="5"/>
    <w:semiHidden/>
    <w:qFormat/>
    <w:uiPriority w:val="9"/>
    <w:rPr>
      <w:rFonts w:cstheme="majorBidi"/>
      <w:color w:val="2F5597" w:themeColor="accent1" w:themeShade="BF"/>
      <w:sz w:val="28"/>
      <w:szCs w:val="28"/>
    </w:rPr>
  </w:style>
  <w:style w:type="character" w:customStyle="1" w:styleId="22">
    <w:name w:val="标题 5 字符"/>
    <w:basedOn w:val="16"/>
    <w:link w:val="6"/>
    <w:semiHidden/>
    <w:qFormat/>
    <w:uiPriority w:val="9"/>
    <w:rPr>
      <w:rFonts w:cstheme="majorBidi"/>
      <w:color w:val="2F5597" w:themeColor="accent1" w:themeShade="BF"/>
      <w:sz w:val="24"/>
      <w:szCs w:val="24"/>
    </w:rPr>
  </w:style>
  <w:style w:type="character" w:customStyle="1" w:styleId="23">
    <w:name w:val="标题 6 字符"/>
    <w:basedOn w:val="16"/>
    <w:link w:val="7"/>
    <w:semiHidden/>
    <w:qFormat/>
    <w:uiPriority w:val="9"/>
    <w:rPr>
      <w:rFonts w:cstheme="majorBidi"/>
      <w:b/>
      <w:bCs/>
      <w:color w:val="2F5597" w:themeColor="accent1" w:themeShade="BF"/>
    </w:rPr>
  </w:style>
  <w:style w:type="character" w:customStyle="1" w:styleId="24">
    <w:name w:val="标题 7 字符"/>
    <w:basedOn w:val="16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8 字符"/>
    <w:basedOn w:val="16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9 字符"/>
    <w:basedOn w:val="16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字符"/>
    <w:basedOn w:val="16"/>
    <w:link w:val="14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8">
    <w:name w:val="副标题 字符"/>
    <w:basedOn w:val="16"/>
    <w:link w:val="13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9">
    <w:name w:val="Quote"/>
    <w:basedOn w:val="1"/>
    <w:next w:val="1"/>
    <w:link w:val="30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0">
    <w:name w:val="引用 字符"/>
    <w:basedOn w:val="16"/>
    <w:link w:val="29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1">
    <w:name w:val="List Paragraph"/>
    <w:basedOn w:val="1"/>
    <w:qFormat/>
    <w:uiPriority w:val="34"/>
    <w:pPr>
      <w:ind w:left="720"/>
      <w:contextualSpacing/>
    </w:pPr>
  </w:style>
  <w:style w:type="character" w:customStyle="1" w:styleId="32">
    <w:name w:val="Intense Emphasis"/>
    <w:basedOn w:val="16"/>
    <w:qFormat/>
    <w:uiPriority w:val="21"/>
    <w:rPr>
      <w:i/>
      <w:iCs/>
      <w:color w:val="2F5597" w:themeColor="accent1" w:themeShade="BF"/>
    </w:rPr>
  </w:style>
  <w:style w:type="paragraph" w:styleId="33">
    <w:name w:val="Intense Quote"/>
    <w:basedOn w:val="1"/>
    <w:next w:val="1"/>
    <w:link w:val="34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4">
    <w:name w:val="明显引用 字符"/>
    <w:basedOn w:val="16"/>
    <w:link w:val="33"/>
    <w:qFormat/>
    <w:uiPriority w:val="30"/>
    <w:rPr>
      <w:i/>
      <w:iCs/>
      <w:color w:val="2F5597" w:themeColor="accent1" w:themeShade="BF"/>
    </w:rPr>
  </w:style>
  <w:style w:type="character" w:customStyle="1" w:styleId="35">
    <w:name w:val="Intense Reference"/>
    <w:basedOn w:val="16"/>
    <w:qFormat/>
    <w:uiPriority w:val="32"/>
    <w:rPr>
      <w:b/>
      <w:bCs/>
      <w:smallCaps/>
      <w:color w:val="2F5597" w:themeColor="accent1" w:themeShade="BF"/>
      <w:spacing w:val="5"/>
    </w:rPr>
  </w:style>
  <w:style w:type="character" w:customStyle="1" w:styleId="36">
    <w:name w:val="页眉 字符"/>
    <w:basedOn w:val="16"/>
    <w:link w:val="12"/>
    <w:qFormat/>
    <w:uiPriority w:val="99"/>
    <w:rPr>
      <w:sz w:val="18"/>
      <w:szCs w:val="18"/>
    </w:rPr>
  </w:style>
  <w:style w:type="character" w:customStyle="1" w:styleId="37">
    <w:name w:val="页脚 字符"/>
    <w:basedOn w:val="16"/>
    <w:link w:val="11"/>
    <w:qFormat/>
    <w:uiPriority w:val="99"/>
    <w:rPr>
      <w:sz w:val="18"/>
      <w:szCs w:val="18"/>
    </w:rPr>
  </w:style>
  <w:style w:type="character" w:customStyle="1" w:styleId="38">
    <w:name w:val="Unresolved Mention"/>
    <w:basedOn w:val="16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numbering" Target="numbering.xml"/><Relationship Id="rId15" Type="http://schemas.openxmlformats.org/officeDocument/2006/relationships/customXml" Target="../customXml/item1.xml"/><Relationship Id="rId14" Type="http://schemas.openxmlformats.org/officeDocument/2006/relationships/image" Target="media/image10.png"/><Relationship Id="rId13" Type="http://schemas.openxmlformats.org/officeDocument/2006/relationships/image" Target="media/image9.png"/><Relationship Id="rId12" Type="http://schemas.openxmlformats.org/officeDocument/2006/relationships/image" Target="media/image8.png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457</Words>
  <Characters>573</Characters>
  <Lines>4</Lines>
  <Paragraphs>1</Paragraphs>
  <TotalTime>12</TotalTime>
  <ScaleCrop>false</ScaleCrop>
  <LinksUpToDate>false</LinksUpToDate>
  <CharactersWithSpaces>576</CharactersWithSpaces>
  <Application>WPS Office_11.8.2.12219_F1E327BC-269C-435d-A152-05C5408002CA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2025-07-26T00:36:00Z</dcterms:created>
  <dc:creator>佳 罗</dc:creator>
  <cp:lastModifiedBy>yt</cp:lastModifiedBy>
  <dcterms:modified xsi:type="dcterms:W3CDTF">2026-08-17T16:59:39Z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2052-11.8.2.12219</vt:lpwstr>
  </property>
  <property fmtid="{D5CDD505-2E9C-101B-9397-08002B2CF9AE}" pid="3" name="ICV">
    <vt:lpwstr>3D11CB33469D5DEF7BCD826AAD3E4977</vt:lpwstr>
  </property>
  <property fmtid="{D5CDD505-2E9C-101B-9397-08002B2CF9AE}" pid="4" name="KSOTemplateDocerSaveRecord">
    <vt:lpwstr>eyJoZGlkIjoiNWI0YWM1NWI3Y2FiNTUwY2Y3ZjY1YjIyNDM3YThlNjEiLCJ1c2VySWQiOiIxNDc4ODMwNjE4In0=</vt:lpwstr>
  </property>
</Properties>
</file>