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2067EB">
      <w:pPr>
        <w:spacing w:line="560" w:lineRule="exact"/>
        <w:jc w:val="center"/>
        <w:rPr>
          <w:rFonts w:hint="eastAsia" w:ascii="方正小标宋简体" w:hAnsi="方正小标宋简体" w:eastAsia="方正小标宋简体" w:cs="方正小标宋简体"/>
          <w:bCs/>
          <w:sz w:val="44"/>
          <w:szCs w:val="44"/>
        </w:rPr>
      </w:pPr>
      <w:bookmarkStart w:id="325" w:name="_GoBack"/>
      <w:bookmarkEnd w:id="325"/>
    </w:p>
    <w:p w14:paraId="18DF8DF9">
      <w:pPr>
        <w:spacing w:line="560" w:lineRule="exact"/>
        <w:jc w:val="center"/>
        <w:rPr>
          <w:rFonts w:hint="eastAsia" w:ascii="方正小标宋简体" w:hAnsi="方正小标宋简体" w:eastAsia="方正小标宋简体" w:cs="方正小标宋简体"/>
          <w:bCs/>
          <w:sz w:val="44"/>
          <w:szCs w:val="44"/>
        </w:rPr>
      </w:pPr>
    </w:p>
    <w:p w14:paraId="2D5FFE32">
      <w:pPr>
        <w:spacing w:line="560" w:lineRule="exact"/>
        <w:jc w:val="center"/>
        <w:rPr>
          <w:rFonts w:hint="eastAsia" w:ascii="方正小标宋简体" w:hAnsi="方正小标宋简体" w:eastAsia="方正小标宋简体" w:cs="方正小标宋简体"/>
          <w:bCs/>
          <w:sz w:val="44"/>
          <w:szCs w:val="44"/>
        </w:rPr>
      </w:pPr>
    </w:p>
    <w:p w14:paraId="67CF829D">
      <w:pPr>
        <w:spacing w:line="560" w:lineRule="exact"/>
        <w:jc w:val="center"/>
        <w:rPr>
          <w:rFonts w:hint="eastAsia" w:ascii="方正小标宋简体" w:hAnsi="方正小标宋简体" w:eastAsia="方正小标宋简体" w:cs="方正小标宋简体"/>
          <w:bCs/>
          <w:sz w:val="44"/>
          <w:szCs w:val="44"/>
        </w:rPr>
      </w:pPr>
    </w:p>
    <w:p w14:paraId="6C9506E8">
      <w:pPr>
        <w:rPr>
          <w:rFonts w:hint="eastAsia" w:ascii="方正小标宋简体" w:hAnsi="方正小标宋简体" w:eastAsia="方正小标宋简体" w:cs="方正小标宋简体"/>
          <w:bCs/>
          <w:sz w:val="44"/>
          <w:szCs w:val="44"/>
        </w:rPr>
      </w:pPr>
    </w:p>
    <w:p w14:paraId="39C3EBD1">
      <w:pPr>
        <w:pStyle w:val="2"/>
        <w:ind w:firstLine="640"/>
      </w:pPr>
    </w:p>
    <w:p w14:paraId="71E859D4">
      <w:pPr>
        <w:spacing w:line="560" w:lineRule="exact"/>
        <w:jc w:val="center"/>
        <w:rPr>
          <w:rFonts w:hint="eastAsia" w:ascii="方正小标宋简体" w:hAnsi="方正小标宋简体" w:eastAsia="方正小标宋简体" w:cs="方正小标宋简体"/>
          <w:bCs/>
          <w:sz w:val="44"/>
          <w:szCs w:val="44"/>
        </w:rPr>
      </w:pPr>
    </w:p>
    <w:p w14:paraId="4EC36DAB">
      <w:pPr>
        <w:spacing w:line="560" w:lineRule="exact"/>
        <w:jc w:val="center"/>
        <w:rPr>
          <w:rFonts w:hint="eastAsia"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盐田区突发地质灾害应急预案</w:t>
      </w:r>
    </w:p>
    <w:p w14:paraId="1BC3B530">
      <w:pPr>
        <w:spacing w:line="560" w:lineRule="exact"/>
        <w:jc w:val="center"/>
        <w:rPr>
          <w:rFonts w:hint="eastAsia" w:ascii="方正小标宋简体" w:hAnsi="方正小标宋简体" w:eastAsia="方正小标宋简体" w:cs="方正小标宋简体"/>
          <w:szCs w:val="32"/>
        </w:rPr>
      </w:pPr>
      <w:r>
        <w:rPr>
          <w:rFonts w:hint="eastAsia" w:ascii="方正小标宋简体" w:hAnsi="方正小标宋简体" w:eastAsia="方正小标宋简体" w:cs="方正小标宋简体"/>
          <w:szCs w:val="32"/>
        </w:rPr>
        <w:t>（202</w:t>
      </w:r>
      <w:r>
        <w:rPr>
          <w:rFonts w:hint="eastAsia" w:ascii="方正小标宋简体" w:hAnsi="方正小标宋简体" w:eastAsia="方正小标宋简体" w:cs="方正小标宋简体"/>
          <w:szCs w:val="32"/>
          <w:lang w:val="en-US" w:eastAsia="zh-CN"/>
        </w:rPr>
        <w:t>5</w:t>
      </w:r>
      <w:r>
        <w:rPr>
          <w:rFonts w:hint="eastAsia" w:ascii="方正小标宋简体" w:hAnsi="方正小标宋简体" w:eastAsia="方正小标宋简体" w:cs="方正小标宋简体"/>
          <w:szCs w:val="32"/>
        </w:rPr>
        <w:t>年修订版）</w:t>
      </w:r>
    </w:p>
    <w:p w14:paraId="22D16E22">
      <w:pPr>
        <w:spacing w:line="560" w:lineRule="exact"/>
        <w:ind w:firstLine="560" w:firstLineChars="200"/>
        <w:jc w:val="center"/>
        <w:rPr>
          <w:rFonts w:hint="eastAsia" w:ascii="仿宋" w:hAnsi="仿宋" w:eastAsia="仿宋" w:cs="仿宋"/>
          <w:sz w:val="28"/>
          <w:szCs w:val="28"/>
        </w:rPr>
      </w:pPr>
    </w:p>
    <w:p w14:paraId="4B66D936">
      <w:pPr>
        <w:spacing w:line="560" w:lineRule="exact"/>
        <w:ind w:firstLine="560" w:firstLineChars="200"/>
        <w:jc w:val="center"/>
        <w:rPr>
          <w:rFonts w:hint="eastAsia" w:ascii="仿宋" w:hAnsi="仿宋" w:eastAsia="仿宋" w:cs="仿宋"/>
          <w:sz w:val="28"/>
          <w:szCs w:val="28"/>
        </w:rPr>
      </w:pPr>
    </w:p>
    <w:p w14:paraId="51ECC889">
      <w:pPr>
        <w:spacing w:line="560" w:lineRule="exact"/>
        <w:ind w:firstLine="640" w:firstLineChars="200"/>
        <w:rPr>
          <w:rFonts w:hint="eastAsia" w:ascii="仿宋_GB2312" w:hAnsi="仿宋_GB2312"/>
        </w:rPr>
      </w:pPr>
    </w:p>
    <w:p w14:paraId="3C180649">
      <w:pPr>
        <w:spacing w:line="560" w:lineRule="exact"/>
        <w:ind w:firstLine="560" w:firstLineChars="200"/>
        <w:rPr>
          <w:rFonts w:hint="eastAsia" w:ascii="仿宋" w:hAnsi="仿宋" w:eastAsia="仿宋" w:cs="仿宋"/>
          <w:sz w:val="28"/>
          <w:szCs w:val="28"/>
        </w:rPr>
      </w:pPr>
    </w:p>
    <w:p w14:paraId="14768EF3">
      <w:pPr>
        <w:spacing w:line="560" w:lineRule="exact"/>
        <w:ind w:firstLine="560" w:firstLineChars="200"/>
        <w:jc w:val="center"/>
        <w:rPr>
          <w:rFonts w:hint="eastAsia" w:ascii="仿宋" w:hAnsi="仿宋" w:eastAsia="仿宋" w:cs="仿宋"/>
          <w:sz w:val="28"/>
          <w:szCs w:val="28"/>
        </w:rPr>
      </w:pPr>
    </w:p>
    <w:p w14:paraId="54237FF7">
      <w:pPr>
        <w:spacing w:line="560" w:lineRule="exact"/>
        <w:ind w:firstLine="560" w:firstLineChars="200"/>
        <w:jc w:val="center"/>
        <w:rPr>
          <w:rFonts w:hint="eastAsia" w:ascii="仿宋" w:hAnsi="仿宋" w:eastAsia="仿宋" w:cs="仿宋"/>
          <w:sz w:val="28"/>
          <w:szCs w:val="28"/>
        </w:rPr>
      </w:pPr>
    </w:p>
    <w:p w14:paraId="79CA8868">
      <w:pPr>
        <w:spacing w:line="560" w:lineRule="exact"/>
        <w:ind w:firstLine="560" w:firstLineChars="200"/>
        <w:jc w:val="center"/>
        <w:rPr>
          <w:rFonts w:hint="eastAsia" w:ascii="仿宋" w:hAnsi="仿宋" w:eastAsia="仿宋" w:cs="仿宋"/>
          <w:sz w:val="28"/>
          <w:szCs w:val="28"/>
        </w:rPr>
      </w:pPr>
    </w:p>
    <w:p w14:paraId="21AC3D76">
      <w:pPr>
        <w:spacing w:line="560" w:lineRule="exact"/>
        <w:ind w:firstLine="560" w:firstLineChars="200"/>
        <w:jc w:val="center"/>
        <w:rPr>
          <w:rFonts w:hint="eastAsia" w:ascii="仿宋" w:hAnsi="仿宋" w:eastAsia="仿宋" w:cs="仿宋"/>
          <w:sz w:val="28"/>
          <w:szCs w:val="28"/>
        </w:rPr>
      </w:pPr>
    </w:p>
    <w:p w14:paraId="2AC3D628">
      <w:pPr>
        <w:spacing w:line="560" w:lineRule="exact"/>
        <w:ind w:firstLine="560" w:firstLineChars="200"/>
        <w:rPr>
          <w:rFonts w:hint="eastAsia" w:ascii="仿宋" w:hAnsi="仿宋" w:eastAsia="仿宋" w:cs="仿宋"/>
          <w:sz w:val="28"/>
          <w:szCs w:val="28"/>
        </w:rPr>
      </w:pPr>
    </w:p>
    <w:p w14:paraId="13837073">
      <w:pPr>
        <w:spacing w:line="560" w:lineRule="exact"/>
        <w:ind w:firstLine="560" w:firstLineChars="200"/>
        <w:jc w:val="center"/>
        <w:rPr>
          <w:rFonts w:hint="eastAsia" w:ascii="仿宋" w:hAnsi="仿宋" w:eastAsia="仿宋" w:cs="仿宋"/>
          <w:sz w:val="28"/>
          <w:szCs w:val="28"/>
        </w:rPr>
      </w:pPr>
    </w:p>
    <w:p w14:paraId="5C252205">
      <w:pPr>
        <w:spacing w:line="560" w:lineRule="exact"/>
        <w:ind w:firstLine="883" w:firstLineChars="200"/>
        <w:jc w:val="center"/>
        <w:rPr>
          <w:rFonts w:hint="eastAsia" w:ascii="仿宋" w:hAnsi="仿宋" w:eastAsia="仿宋" w:cs="仿宋"/>
          <w:b/>
          <w:bCs/>
          <w:sz w:val="44"/>
          <w:szCs w:val="44"/>
        </w:rPr>
      </w:pPr>
    </w:p>
    <w:p w14:paraId="7E2F2FF6">
      <w:pPr>
        <w:spacing w:line="360" w:lineRule="auto"/>
        <w:jc w:val="center"/>
        <w:rPr>
          <w:rFonts w:hint="eastAsia" w:ascii="方正公文小标宋" w:hAnsi="方正公文小标宋" w:eastAsia="方正公文小标宋" w:cs="方正公文小标宋"/>
          <w:szCs w:val="32"/>
        </w:rPr>
      </w:pPr>
      <w:r>
        <w:rPr>
          <w:rFonts w:hint="eastAsia" w:ascii="方正公文小标宋" w:hAnsi="方正公文小标宋" w:eastAsia="方正公文小标宋" w:cs="方正公文小标宋"/>
          <w:szCs w:val="32"/>
        </w:rPr>
        <w:t>盐田区地质灾害应急指挥部</w:t>
      </w:r>
    </w:p>
    <w:p w14:paraId="067923F7">
      <w:pPr>
        <w:spacing w:line="360" w:lineRule="auto"/>
        <w:jc w:val="center"/>
        <w:rPr>
          <w:rFonts w:hint="eastAsia" w:ascii="方正公文小标宋" w:hAnsi="方正公文小标宋" w:eastAsia="方正公文小标宋" w:cs="方正公文小标宋"/>
          <w:szCs w:val="32"/>
          <w:lang w:val="en-US" w:eastAsia="zh-CN"/>
        </w:rPr>
      </w:pPr>
      <w:r>
        <w:rPr>
          <w:rFonts w:hint="eastAsia" w:ascii="方正公文小标宋" w:hAnsi="方正公文小标宋" w:eastAsia="方正公文小标宋" w:cs="方正公文小标宋"/>
          <w:szCs w:val="32"/>
        </w:rPr>
        <w:t>二〇二</w:t>
      </w:r>
      <w:r>
        <w:rPr>
          <w:rFonts w:hint="eastAsia" w:ascii="方正公文小标宋" w:hAnsi="方正公文小标宋" w:eastAsia="方正公文小标宋" w:cs="方正公文小标宋"/>
          <w:szCs w:val="32"/>
          <w:lang w:eastAsia="zh-CN"/>
        </w:rPr>
        <w:t>五</w:t>
      </w:r>
      <w:r>
        <w:rPr>
          <w:rFonts w:hint="eastAsia" w:ascii="方正公文小标宋" w:hAnsi="方正公文小标宋" w:eastAsia="方正公文小标宋" w:cs="方正公文小标宋"/>
          <w:szCs w:val="32"/>
        </w:rPr>
        <w:t>年</w:t>
      </w:r>
    </w:p>
    <w:p w14:paraId="6DEF9F28">
      <w:pPr>
        <w:jc w:val="center"/>
        <w:rPr>
          <w:rFonts w:hint="eastAsia" w:ascii="宋体" w:hAnsi="宋体" w:eastAsia="宋体"/>
          <w:sz w:val="21"/>
        </w:rPr>
      </w:pPr>
    </w:p>
    <w:p w14:paraId="27B2791B">
      <w:pPr>
        <w:jc w:val="center"/>
        <w:rPr>
          <w:rFonts w:hint="eastAsia" w:ascii="宋体" w:hAnsi="宋体" w:eastAsia="宋体"/>
          <w:sz w:val="21"/>
        </w:rPr>
      </w:pPr>
    </w:p>
    <w:p w14:paraId="20B8A14B">
      <w:pPr>
        <w:jc w:val="center"/>
        <w:rPr>
          <w:rFonts w:hint="eastAsia" w:ascii="方正小标宋简体" w:hAnsi="方正小标宋简体" w:eastAsia="方正小标宋简体" w:cs="方正小标宋简体"/>
          <w:sz w:val="44"/>
          <w:szCs w:val="44"/>
        </w:rPr>
        <w:sectPr>
          <w:pgSz w:w="11906" w:h="16838"/>
          <w:pgMar w:top="1440" w:right="1800" w:bottom="1440" w:left="1800" w:header="851" w:footer="992" w:gutter="0"/>
          <w:pgNumType w:fmt="decimal"/>
          <w:cols w:space="720" w:num="1"/>
          <w:docGrid w:type="lines" w:linePitch="312" w:charSpace="0"/>
        </w:sectPr>
      </w:pPr>
    </w:p>
    <w:p w14:paraId="74D98E47">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目   录</w:t>
      </w:r>
    </w:p>
    <w:p w14:paraId="334E332A">
      <w:pPr>
        <w:pStyle w:val="9"/>
        <w:tabs>
          <w:tab w:val="right" w:leader="dot" w:pos="8306"/>
        </w:tabs>
      </w:pPr>
      <w:r>
        <w:rPr>
          <w:rFonts w:ascii="Times New Roman" w:hAnsi="Times New Roman"/>
        </w:rPr>
        <w:fldChar w:fldCharType="begin"/>
      </w:r>
      <w:r>
        <w:rPr>
          <w:rFonts w:ascii="Times New Roman" w:hAnsi="Times New Roman"/>
        </w:rPr>
        <w:instrText xml:space="preserve">TOC \o "1-2" \h \u </w:instrText>
      </w:r>
      <w:r>
        <w:rPr>
          <w:rFonts w:ascii="Times New Roman" w:hAnsi="Times New Roman"/>
        </w:rPr>
        <w:fldChar w:fldCharType="separate"/>
      </w:r>
      <w:r>
        <w:rPr>
          <w:rFonts w:ascii="Times New Roman" w:hAnsi="Times New Roman"/>
        </w:rPr>
        <w:fldChar w:fldCharType="begin"/>
      </w:r>
      <w:r>
        <w:rPr>
          <w:rFonts w:ascii="Times New Roman" w:hAnsi="Times New Roman"/>
        </w:rPr>
        <w:instrText xml:space="preserve"> HYPERLINK \l _Toc3365726 </w:instrText>
      </w:r>
      <w:r>
        <w:rPr>
          <w:rFonts w:ascii="Times New Roman" w:hAnsi="Times New Roman"/>
        </w:rPr>
        <w:fldChar w:fldCharType="separate"/>
      </w:r>
      <w:r>
        <w:rPr>
          <w:rFonts w:hint="eastAsia" w:ascii="黑体" w:hAnsi="黑体" w:eastAsia="黑体" w:cs="黑体"/>
          <w:szCs w:val="32"/>
        </w:rPr>
        <w:t>1 总则</w:t>
      </w:r>
      <w:r>
        <w:tab/>
      </w:r>
      <w:r>
        <w:fldChar w:fldCharType="begin"/>
      </w:r>
      <w:r>
        <w:instrText xml:space="preserve"> PAGEREF _Toc3365726 \h </w:instrText>
      </w:r>
      <w:r>
        <w:fldChar w:fldCharType="separate"/>
      </w:r>
      <w:r>
        <w:t>1</w:t>
      </w:r>
      <w:r>
        <w:fldChar w:fldCharType="end"/>
      </w:r>
      <w:r>
        <w:rPr>
          <w:rFonts w:ascii="Times New Roman" w:hAnsi="Times New Roman"/>
        </w:rPr>
        <w:fldChar w:fldCharType="end"/>
      </w:r>
    </w:p>
    <w:p w14:paraId="22A51520">
      <w:pPr>
        <w:pStyle w:val="10"/>
        <w:tabs>
          <w:tab w:val="right" w:leader="dot" w:pos="8306"/>
        </w:tabs>
      </w:pPr>
      <w:r>
        <w:rPr>
          <w:rFonts w:ascii="Times New Roman" w:hAnsi="Times New Roman"/>
        </w:rPr>
        <w:fldChar w:fldCharType="begin"/>
      </w:r>
      <w:r>
        <w:rPr>
          <w:rFonts w:ascii="Times New Roman" w:hAnsi="Times New Roman"/>
        </w:rPr>
        <w:instrText xml:space="preserve"> HYPERLINK \l _Toc1536286227 </w:instrText>
      </w:r>
      <w:r>
        <w:rPr>
          <w:rFonts w:ascii="Times New Roman" w:hAnsi="Times New Roman"/>
        </w:rPr>
        <w:fldChar w:fldCharType="separate"/>
      </w:r>
      <w:r>
        <w:rPr>
          <w:rFonts w:hint="eastAsia"/>
        </w:rPr>
        <w:t>1.1 指导思想</w:t>
      </w:r>
      <w:r>
        <w:tab/>
      </w:r>
      <w:r>
        <w:fldChar w:fldCharType="begin"/>
      </w:r>
      <w:r>
        <w:instrText xml:space="preserve"> PAGEREF _Toc1536286227 \h </w:instrText>
      </w:r>
      <w:r>
        <w:fldChar w:fldCharType="separate"/>
      </w:r>
      <w:r>
        <w:t>1</w:t>
      </w:r>
      <w:r>
        <w:fldChar w:fldCharType="end"/>
      </w:r>
      <w:r>
        <w:rPr>
          <w:rFonts w:ascii="Times New Roman" w:hAnsi="Times New Roman"/>
        </w:rPr>
        <w:fldChar w:fldCharType="end"/>
      </w:r>
    </w:p>
    <w:p w14:paraId="292E36C4">
      <w:pPr>
        <w:pStyle w:val="10"/>
        <w:tabs>
          <w:tab w:val="right" w:leader="dot" w:pos="8306"/>
        </w:tabs>
      </w:pPr>
      <w:r>
        <w:rPr>
          <w:rFonts w:ascii="Times New Roman" w:hAnsi="Times New Roman"/>
        </w:rPr>
        <w:fldChar w:fldCharType="begin"/>
      </w:r>
      <w:r>
        <w:rPr>
          <w:rFonts w:ascii="Times New Roman" w:hAnsi="Times New Roman"/>
        </w:rPr>
        <w:instrText xml:space="preserve"> HYPERLINK \l _Toc1141408913 </w:instrText>
      </w:r>
      <w:r>
        <w:rPr>
          <w:rFonts w:ascii="Times New Roman" w:hAnsi="Times New Roman"/>
        </w:rPr>
        <w:fldChar w:fldCharType="separate"/>
      </w:r>
      <w:r>
        <w:rPr>
          <w:rFonts w:hint="eastAsia"/>
        </w:rPr>
        <w:t>1.2 编制依据</w:t>
      </w:r>
      <w:r>
        <w:tab/>
      </w:r>
      <w:r>
        <w:fldChar w:fldCharType="begin"/>
      </w:r>
      <w:r>
        <w:instrText xml:space="preserve"> PAGEREF _Toc1141408913 \h </w:instrText>
      </w:r>
      <w:r>
        <w:fldChar w:fldCharType="separate"/>
      </w:r>
      <w:r>
        <w:t>1</w:t>
      </w:r>
      <w:r>
        <w:fldChar w:fldCharType="end"/>
      </w:r>
      <w:r>
        <w:rPr>
          <w:rFonts w:ascii="Times New Roman" w:hAnsi="Times New Roman"/>
        </w:rPr>
        <w:fldChar w:fldCharType="end"/>
      </w:r>
    </w:p>
    <w:p w14:paraId="1E2497AB">
      <w:pPr>
        <w:pStyle w:val="10"/>
        <w:tabs>
          <w:tab w:val="right" w:leader="dot" w:pos="8306"/>
        </w:tabs>
      </w:pPr>
      <w:r>
        <w:rPr>
          <w:rFonts w:ascii="Times New Roman" w:hAnsi="Times New Roman"/>
        </w:rPr>
        <w:fldChar w:fldCharType="begin"/>
      </w:r>
      <w:r>
        <w:rPr>
          <w:rFonts w:ascii="Times New Roman" w:hAnsi="Times New Roman"/>
        </w:rPr>
        <w:instrText xml:space="preserve"> HYPERLINK \l _Toc1022021261 </w:instrText>
      </w:r>
      <w:r>
        <w:rPr>
          <w:rFonts w:ascii="Times New Roman" w:hAnsi="Times New Roman"/>
        </w:rPr>
        <w:fldChar w:fldCharType="separate"/>
      </w:r>
      <w:r>
        <w:rPr>
          <w:rFonts w:hint="eastAsia"/>
        </w:rPr>
        <w:t>1.3 风险现状</w:t>
      </w:r>
      <w:r>
        <w:tab/>
      </w:r>
      <w:r>
        <w:fldChar w:fldCharType="begin"/>
      </w:r>
      <w:r>
        <w:instrText xml:space="preserve"> PAGEREF _Toc1022021261 \h </w:instrText>
      </w:r>
      <w:r>
        <w:fldChar w:fldCharType="separate"/>
      </w:r>
      <w:r>
        <w:t>1</w:t>
      </w:r>
      <w:r>
        <w:fldChar w:fldCharType="end"/>
      </w:r>
      <w:r>
        <w:rPr>
          <w:rFonts w:ascii="Times New Roman" w:hAnsi="Times New Roman"/>
        </w:rPr>
        <w:fldChar w:fldCharType="end"/>
      </w:r>
    </w:p>
    <w:p w14:paraId="021B5CEA">
      <w:pPr>
        <w:pStyle w:val="10"/>
        <w:tabs>
          <w:tab w:val="right" w:leader="dot" w:pos="8306"/>
        </w:tabs>
      </w:pPr>
      <w:r>
        <w:rPr>
          <w:rFonts w:ascii="Times New Roman" w:hAnsi="Times New Roman"/>
        </w:rPr>
        <w:fldChar w:fldCharType="begin"/>
      </w:r>
      <w:r>
        <w:rPr>
          <w:rFonts w:ascii="Times New Roman" w:hAnsi="Times New Roman"/>
        </w:rPr>
        <w:instrText xml:space="preserve"> HYPERLINK \l _Toc732147690 </w:instrText>
      </w:r>
      <w:r>
        <w:rPr>
          <w:rFonts w:ascii="Times New Roman" w:hAnsi="Times New Roman"/>
        </w:rPr>
        <w:fldChar w:fldCharType="separate"/>
      </w:r>
      <w:r>
        <w:rPr>
          <w:rFonts w:hint="eastAsia"/>
        </w:rPr>
        <w:t>1.4 适用范围</w:t>
      </w:r>
      <w:r>
        <w:tab/>
      </w:r>
      <w:r>
        <w:fldChar w:fldCharType="begin"/>
      </w:r>
      <w:r>
        <w:instrText xml:space="preserve"> PAGEREF _Toc732147690 \h </w:instrText>
      </w:r>
      <w:r>
        <w:fldChar w:fldCharType="separate"/>
      </w:r>
      <w:r>
        <w:t>3</w:t>
      </w:r>
      <w:r>
        <w:fldChar w:fldCharType="end"/>
      </w:r>
      <w:r>
        <w:rPr>
          <w:rFonts w:ascii="Times New Roman" w:hAnsi="Times New Roman"/>
        </w:rPr>
        <w:fldChar w:fldCharType="end"/>
      </w:r>
    </w:p>
    <w:p w14:paraId="20166DC5">
      <w:pPr>
        <w:pStyle w:val="10"/>
        <w:tabs>
          <w:tab w:val="right" w:leader="dot" w:pos="8306"/>
        </w:tabs>
      </w:pPr>
      <w:r>
        <w:rPr>
          <w:rFonts w:ascii="Times New Roman" w:hAnsi="Times New Roman"/>
        </w:rPr>
        <w:fldChar w:fldCharType="begin"/>
      </w:r>
      <w:r>
        <w:rPr>
          <w:rFonts w:ascii="Times New Roman" w:hAnsi="Times New Roman"/>
        </w:rPr>
        <w:instrText xml:space="preserve"> HYPERLINK \l _Toc1419633738 </w:instrText>
      </w:r>
      <w:r>
        <w:rPr>
          <w:rFonts w:ascii="Times New Roman" w:hAnsi="Times New Roman"/>
        </w:rPr>
        <w:fldChar w:fldCharType="separate"/>
      </w:r>
      <w:r>
        <w:rPr>
          <w:rFonts w:hint="eastAsia"/>
        </w:rPr>
        <w:t>1.5 工作原则</w:t>
      </w:r>
      <w:r>
        <w:tab/>
      </w:r>
      <w:r>
        <w:fldChar w:fldCharType="begin"/>
      </w:r>
      <w:r>
        <w:instrText xml:space="preserve"> PAGEREF _Toc1419633738 \h </w:instrText>
      </w:r>
      <w:r>
        <w:fldChar w:fldCharType="separate"/>
      </w:r>
      <w:r>
        <w:t>3</w:t>
      </w:r>
      <w:r>
        <w:fldChar w:fldCharType="end"/>
      </w:r>
      <w:r>
        <w:rPr>
          <w:rFonts w:ascii="Times New Roman" w:hAnsi="Times New Roman"/>
        </w:rPr>
        <w:fldChar w:fldCharType="end"/>
      </w:r>
    </w:p>
    <w:p w14:paraId="678E49EC">
      <w:pPr>
        <w:pStyle w:val="9"/>
        <w:tabs>
          <w:tab w:val="right" w:leader="dot" w:pos="8306"/>
        </w:tabs>
      </w:pPr>
      <w:r>
        <w:rPr>
          <w:rFonts w:ascii="Times New Roman" w:hAnsi="Times New Roman"/>
        </w:rPr>
        <w:fldChar w:fldCharType="begin"/>
      </w:r>
      <w:r>
        <w:rPr>
          <w:rFonts w:ascii="Times New Roman" w:hAnsi="Times New Roman"/>
        </w:rPr>
        <w:instrText xml:space="preserve"> HYPERLINK \l _Toc1715185036 </w:instrText>
      </w:r>
      <w:r>
        <w:rPr>
          <w:rFonts w:ascii="Times New Roman" w:hAnsi="Times New Roman"/>
        </w:rPr>
        <w:fldChar w:fldCharType="separate"/>
      </w:r>
      <w:r>
        <w:rPr>
          <w:rFonts w:hint="eastAsia" w:ascii="黑体" w:hAnsi="黑体" w:eastAsia="黑体" w:cs="黑体"/>
          <w:szCs w:val="32"/>
        </w:rPr>
        <w:t>2 组织体系</w:t>
      </w:r>
      <w:r>
        <w:tab/>
      </w:r>
      <w:r>
        <w:fldChar w:fldCharType="begin"/>
      </w:r>
      <w:r>
        <w:instrText xml:space="preserve"> PAGEREF _Toc1715185036 \h </w:instrText>
      </w:r>
      <w:r>
        <w:fldChar w:fldCharType="separate"/>
      </w:r>
      <w:r>
        <w:t>4</w:t>
      </w:r>
      <w:r>
        <w:fldChar w:fldCharType="end"/>
      </w:r>
      <w:r>
        <w:rPr>
          <w:rFonts w:ascii="Times New Roman" w:hAnsi="Times New Roman"/>
        </w:rPr>
        <w:fldChar w:fldCharType="end"/>
      </w:r>
    </w:p>
    <w:p w14:paraId="036F0AA0">
      <w:pPr>
        <w:pStyle w:val="10"/>
        <w:tabs>
          <w:tab w:val="right" w:leader="dot" w:pos="8306"/>
        </w:tabs>
      </w:pPr>
      <w:r>
        <w:rPr>
          <w:rFonts w:ascii="Times New Roman" w:hAnsi="Times New Roman"/>
        </w:rPr>
        <w:fldChar w:fldCharType="begin"/>
      </w:r>
      <w:r>
        <w:rPr>
          <w:rFonts w:ascii="Times New Roman" w:hAnsi="Times New Roman"/>
        </w:rPr>
        <w:instrText xml:space="preserve"> HYPERLINK \l _Toc1065348657 </w:instrText>
      </w:r>
      <w:r>
        <w:rPr>
          <w:rFonts w:ascii="Times New Roman" w:hAnsi="Times New Roman"/>
        </w:rPr>
        <w:fldChar w:fldCharType="separate"/>
      </w:r>
      <w:r>
        <w:rPr>
          <w:rFonts w:hint="eastAsia"/>
        </w:rPr>
        <w:t>2.1 区地质灾害应急指挥部</w:t>
      </w:r>
      <w:r>
        <w:tab/>
      </w:r>
      <w:r>
        <w:fldChar w:fldCharType="begin"/>
      </w:r>
      <w:r>
        <w:instrText xml:space="preserve"> PAGEREF _Toc1065348657 \h </w:instrText>
      </w:r>
      <w:r>
        <w:fldChar w:fldCharType="separate"/>
      </w:r>
      <w:r>
        <w:t>4</w:t>
      </w:r>
      <w:r>
        <w:fldChar w:fldCharType="end"/>
      </w:r>
      <w:r>
        <w:rPr>
          <w:rFonts w:ascii="Times New Roman" w:hAnsi="Times New Roman"/>
        </w:rPr>
        <w:fldChar w:fldCharType="end"/>
      </w:r>
    </w:p>
    <w:p w14:paraId="2237D2A4">
      <w:pPr>
        <w:pStyle w:val="10"/>
        <w:tabs>
          <w:tab w:val="right" w:leader="dot" w:pos="8306"/>
        </w:tabs>
      </w:pPr>
      <w:r>
        <w:rPr>
          <w:rFonts w:ascii="Times New Roman" w:hAnsi="Times New Roman"/>
        </w:rPr>
        <w:fldChar w:fldCharType="begin"/>
      </w:r>
      <w:r>
        <w:rPr>
          <w:rFonts w:ascii="Times New Roman" w:hAnsi="Times New Roman"/>
        </w:rPr>
        <w:instrText xml:space="preserve"> HYPERLINK \l _Toc956800411 </w:instrText>
      </w:r>
      <w:r>
        <w:rPr>
          <w:rFonts w:ascii="Times New Roman" w:hAnsi="Times New Roman"/>
        </w:rPr>
        <w:fldChar w:fldCharType="separate"/>
      </w:r>
      <w:r>
        <w:rPr>
          <w:rFonts w:hint="eastAsia"/>
        </w:rPr>
        <w:t>2.2 街道级地质灾害应急指挥机构</w:t>
      </w:r>
      <w:r>
        <w:tab/>
      </w:r>
      <w:r>
        <w:fldChar w:fldCharType="begin"/>
      </w:r>
      <w:r>
        <w:instrText xml:space="preserve"> PAGEREF _Toc956800411 \h </w:instrText>
      </w:r>
      <w:r>
        <w:fldChar w:fldCharType="separate"/>
      </w:r>
      <w:r>
        <w:t>11</w:t>
      </w:r>
      <w:r>
        <w:fldChar w:fldCharType="end"/>
      </w:r>
      <w:r>
        <w:rPr>
          <w:rFonts w:ascii="Times New Roman" w:hAnsi="Times New Roman"/>
        </w:rPr>
        <w:fldChar w:fldCharType="end"/>
      </w:r>
    </w:p>
    <w:p w14:paraId="15691683">
      <w:pPr>
        <w:pStyle w:val="9"/>
        <w:tabs>
          <w:tab w:val="right" w:leader="dot" w:pos="8306"/>
        </w:tabs>
      </w:pPr>
      <w:r>
        <w:rPr>
          <w:rFonts w:ascii="Times New Roman" w:hAnsi="Times New Roman"/>
        </w:rPr>
        <w:fldChar w:fldCharType="begin"/>
      </w:r>
      <w:r>
        <w:rPr>
          <w:rFonts w:ascii="Times New Roman" w:hAnsi="Times New Roman"/>
        </w:rPr>
        <w:instrText xml:space="preserve"> HYPERLINK \l _Toc677413211 </w:instrText>
      </w:r>
      <w:r>
        <w:rPr>
          <w:rFonts w:ascii="Times New Roman" w:hAnsi="Times New Roman"/>
        </w:rPr>
        <w:fldChar w:fldCharType="separate"/>
      </w:r>
      <w:r>
        <w:rPr>
          <w:rFonts w:hint="eastAsia" w:ascii="黑体" w:hAnsi="黑体" w:eastAsia="黑体" w:cs="黑体"/>
          <w:szCs w:val="32"/>
        </w:rPr>
        <w:t>3 运行机制</w:t>
      </w:r>
      <w:r>
        <w:tab/>
      </w:r>
      <w:r>
        <w:fldChar w:fldCharType="begin"/>
      </w:r>
      <w:r>
        <w:instrText xml:space="preserve"> PAGEREF _Toc677413211 \h </w:instrText>
      </w:r>
      <w:r>
        <w:fldChar w:fldCharType="separate"/>
      </w:r>
      <w:r>
        <w:t>11</w:t>
      </w:r>
      <w:r>
        <w:fldChar w:fldCharType="end"/>
      </w:r>
      <w:r>
        <w:rPr>
          <w:rFonts w:ascii="Times New Roman" w:hAnsi="Times New Roman"/>
        </w:rPr>
        <w:fldChar w:fldCharType="end"/>
      </w:r>
    </w:p>
    <w:p w14:paraId="31BB8BBA">
      <w:pPr>
        <w:pStyle w:val="10"/>
        <w:tabs>
          <w:tab w:val="right" w:leader="dot" w:pos="8306"/>
        </w:tabs>
      </w:pPr>
      <w:r>
        <w:rPr>
          <w:rFonts w:ascii="Times New Roman" w:hAnsi="Times New Roman"/>
        </w:rPr>
        <w:fldChar w:fldCharType="begin"/>
      </w:r>
      <w:r>
        <w:rPr>
          <w:rFonts w:ascii="Times New Roman" w:hAnsi="Times New Roman"/>
        </w:rPr>
        <w:instrText xml:space="preserve"> HYPERLINK \l _Toc1546982999 </w:instrText>
      </w:r>
      <w:r>
        <w:rPr>
          <w:rFonts w:ascii="Times New Roman" w:hAnsi="Times New Roman"/>
        </w:rPr>
        <w:fldChar w:fldCharType="separate"/>
      </w:r>
      <w:r>
        <w:rPr>
          <w:rFonts w:hint="eastAsia"/>
        </w:rPr>
        <w:t>3.1 预防监测评估</w:t>
      </w:r>
      <w:r>
        <w:tab/>
      </w:r>
      <w:r>
        <w:fldChar w:fldCharType="begin"/>
      </w:r>
      <w:r>
        <w:instrText xml:space="preserve"> PAGEREF _Toc1546982999 \h </w:instrText>
      </w:r>
      <w:r>
        <w:fldChar w:fldCharType="separate"/>
      </w:r>
      <w:r>
        <w:t>11</w:t>
      </w:r>
      <w:r>
        <w:fldChar w:fldCharType="end"/>
      </w:r>
      <w:r>
        <w:rPr>
          <w:rFonts w:ascii="Times New Roman" w:hAnsi="Times New Roman"/>
        </w:rPr>
        <w:fldChar w:fldCharType="end"/>
      </w:r>
    </w:p>
    <w:p w14:paraId="1760AAD0">
      <w:pPr>
        <w:pStyle w:val="10"/>
        <w:tabs>
          <w:tab w:val="right" w:leader="dot" w:pos="8306"/>
        </w:tabs>
      </w:pPr>
      <w:r>
        <w:rPr>
          <w:rFonts w:ascii="Times New Roman" w:hAnsi="Times New Roman"/>
        </w:rPr>
        <w:fldChar w:fldCharType="begin"/>
      </w:r>
      <w:r>
        <w:rPr>
          <w:rFonts w:ascii="Times New Roman" w:hAnsi="Times New Roman"/>
        </w:rPr>
        <w:instrText xml:space="preserve"> HYPERLINK \l _Toc1363127609 </w:instrText>
      </w:r>
      <w:r>
        <w:rPr>
          <w:rFonts w:ascii="Times New Roman" w:hAnsi="Times New Roman"/>
        </w:rPr>
        <w:fldChar w:fldCharType="separate"/>
      </w:r>
      <w:r>
        <w:rPr>
          <w:rFonts w:hint="eastAsia"/>
        </w:rPr>
        <w:t>3.2 预警</w:t>
      </w:r>
      <w:r>
        <w:tab/>
      </w:r>
      <w:r>
        <w:fldChar w:fldCharType="begin"/>
      </w:r>
      <w:r>
        <w:instrText xml:space="preserve"> PAGEREF _Toc1363127609 \h </w:instrText>
      </w:r>
      <w:r>
        <w:fldChar w:fldCharType="separate"/>
      </w:r>
      <w:r>
        <w:t>13</w:t>
      </w:r>
      <w:r>
        <w:fldChar w:fldCharType="end"/>
      </w:r>
      <w:r>
        <w:rPr>
          <w:rFonts w:ascii="Times New Roman" w:hAnsi="Times New Roman"/>
        </w:rPr>
        <w:fldChar w:fldCharType="end"/>
      </w:r>
    </w:p>
    <w:p w14:paraId="0F1736BE">
      <w:pPr>
        <w:pStyle w:val="10"/>
        <w:tabs>
          <w:tab w:val="right" w:leader="dot" w:pos="8306"/>
        </w:tabs>
      </w:pPr>
      <w:r>
        <w:rPr>
          <w:rFonts w:ascii="Times New Roman" w:hAnsi="Times New Roman"/>
        </w:rPr>
        <w:fldChar w:fldCharType="begin"/>
      </w:r>
      <w:r>
        <w:rPr>
          <w:rFonts w:ascii="Times New Roman" w:hAnsi="Times New Roman"/>
        </w:rPr>
        <w:instrText xml:space="preserve"> HYPERLINK \l _Toc425182336 </w:instrText>
      </w:r>
      <w:r>
        <w:rPr>
          <w:rFonts w:ascii="Times New Roman" w:hAnsi="Times New Roman"/>
        </w:rPr>
        <w:fldChar w:fldCharType="separate"/>
      </w:r>
      <w:r>
        <w:rPr>
          <w:rFonts w:hint="eastAsia"/>
        </w:rPr>
        <w:t>3.3 应急处置</w:t>
      </w:r>
      <w:r>
        <w:tab/>
      </w:r>
      <w:r>
        <w:fldChar w:fldCharType="begin"/>
      </w:r>
      <w:r>
        <w:instrText xml:space="preserve"> PAGEREF _Toc425182336 \h </w:instrText>
      </w:r>
      <w:r>
        <w:fldChar w:fldCharType="separate"/>
      </w:r>
      <w:r>
        <w:t>14</w:t>
      </w:r>
      <w:r>
        <w:fldChar w:fldCharType="end"/>
      </w:r>
      <w:r>
        <w:rPr>
          <w:rFonts w:ascii="Times New Roman" w:hAnsi="Times New Roman"/>
        </w:rPr>
        <w:fldChar w:fldCharType="end"/>
      </w:r>
    </w:p>
    <w:p w14:paraId="120089E3">
      <w:pPr>
        <w:pStyle w:val="10"/>
        <w:tabs>
          <w:tab w:val="right" w:leader="dot" w:pos="8306"/>
        </w:tabs>
      </w:pPr>
      <w:r>
        <w:rPr>
          <w:rFonts w:ascii="Times New Roman" w:hAnsi="Times New Roman"/>
        </w:rPr>
        <w:fldChar w:fldCharType="begin"/>
      </w:r>
      <w:r>
        <w:rPr>
          <w:rFonts w:ascii="Times New Roman" w:hAnsi="Times New Roman"/>
        </w:rPr>
        <w:instrText xml:space="preserve"> HYPERLINK \l _Toc2140414618 </w:instrText>
      </w:r>
      <w:r>
        <w:rPr>
          <w:rFonts w:ascii="Times New Roman" w:hAnsi="Times New Roman"/>
        </w:rPr>
        <w:fldChar w:fldCharType="separate"/>
      </w:r>
      <w:r>
        <w:rPr>
          <w:rFonts w:hint="eastAsia"/>
          <w:szCs w:val="32"/>
        </w:rPr>
        <w:t>3.4 信息发布及舆情引导</w:t>
      </w:r>
      <w:r>
        <w:tab/>
      </w:r>
      <w:r>
        <w:fldChar w:fldCharType="begin"/>
      </w:r>
      <w:r>
        <w:instrText xml:space="preserve"> PAGEREF _Toc2140414618 \h </w:instrText>
      </w:r>
      <w:r>
        <w:fldChar w:fldCharType="separate"/>
      </w:r>
      <w:r>
        <w:t>19</w:t>
      </w:r>
      <w:r>
        <w:fldChar w:fldCharType="end"/>
      </w:r>
      <w:r>
        <w:rPr>
          <w:rFonts w:ascii="Times New Roman" w:hAnsi="Times New Roman"/>
        </w:rPr>
        <w:fldChar w:fldCharType="end"/>
      </w:r>
    </w:p>
    <w:p w14:paraId="6AE9E796">
      <w:pPr>
        <w:pStyle w:val="10"/>
        <w:tabs>
          <w:tab w:val="right" w:leader="dot" w:pos="8306"/>
        </w:tabs>
      </w:pPr>
      <w:r>
        <w:rPr>
          <w:rFonts w:ascii="Times New Roman" w:hAnsi="Times New Roman"/>
        </w:rPr>
        <w:fldChar w:fldCharType="begin"/>
      </w:r>
      <w:r>
        <w:rPr>
          <w:rFonts w:ascii="Times New Roman" w:hAnsi="Times New Roman"/>
        </w:rPr>
        <w:instrText xml:space="preserve"> HYPERLINK \l _Toc841560592 </w:instrText>
      </w:r>
      <w:r>
        <w:rPr>
          <w:rFonts w:ascii="Times New Roman" w:hAnsi="Times New Roman"/>
        </w:rPr>
        <w:fldChar w:fldCharType="separate"/>
      </w:r>
      <w:r>
        <w:rPr>
          <w:rFonts w:hint="eastAsia"/>
          <w:szCs w:val="32"/>
        </w:rPr>
        <w:t>3.5 总结评估</w:t>
      </w:r>
      <w:r>
        <w:tab/>
      </w:r>
      <w:r>
        <w:fldChar w:fldCharType="begin"/>
      </w:r>
      <w:r>
        <w:instrText xml:space="preserve"> PAGEREF _Toc841560592 \h </w:instrText>
      </w:r>
      <w:r>
        <w:fldChar w:fldCharType="separate"/>
      </w:r>
      <w:r>
        <w:t>19</w:t>
      </w:r>
      <w:r>
        <w:fldChar w:fldCharType="end"/>
      </w:r>
      <w:r>
        <w:rPr>
          <w:rFonts w:ascii="Times New Roman" w:hAnsi="Times New Roman"/>
        </w:rPr>
        <w:fldChar w:fldCharType="end"/>
      </w:r>
    </w:p>
    <w:p w14:paraId="439DDCD3">
      <w:pPr>
        <w:pStyle w:val="10"/>
        <w:tabs>
          <w:tab w:val="right" w:leader="dot" w:pos="8306"/>
        </w:tabs>
      </w:pPr>
      <w:r>
        <w:rPr>
          <w:rFonts w:ascii="Times New Roman" w:hAnsi="Times New Roman"/>
        </w:rPr>
        <w:fldChar w:fldCharType="begin"/>
      </w:r>
      <w:r>
        <w:rPr>
          <w:rFonts w:ascii="Times New Roman" w:hAnsi="Times New Roman"/>
        </w:rPr>
        <w:instrText xml:space="preserve"> HYPERLINK \l _Toc1279053881 </w:instrText>
      </w:r>
      <w:r>
        <w:rPr>
          <w:rFonts w:ascii="Times New Roman" w:hAnsi="Times New Roman"/>
        </w:rPr>
        <w:fldChar w:fldCharType="separate"/>
      </w:r>
      <w:r>
        <w:rPr>
          <w:rFonts w:hint="eastAsia"/>
        </w:rPr>
        <w:t>3.6 恢复重建</w:t>
      </w:r>
      <w:r>
        <w:tab/>
      </w:r>
      <w:r>
        <w:fldChar w:fldCharType="begin"/>
      </w:r>
      <w:r>
        <w:instrText xml:space="preserve"> PAGEREF _Toc1279053881 \h </w:instrText>
      </w:r>
      <w:r>
        <w:fldChar w:fldCharType="separate"/>
      </w:r>
      <w:r>
        <w:t>20</w:t>
      </w:r>
      <w:r>
        <w:fldChar w:fldCharType="end"/>
      </w:r>
      <w:r>
        <w:rPr>
          <w:rFonts w:ascii="Times New Roman" w:hAnsi="Times New Roman"/>
        </w:rPr>
        <w:fldChar w:fldCharType="end"/>
      </w:r>
    </w:p>
    <w:p w14:paraId="439D4136">
      <w:pPr>
        <w:pStyle w:val="9"/>
        <w:tabs>
          <w:tab w:val="right" w:leader="dot" w:pos="8306"/>
        </w:tabs>
      </w:pPr>
      <w:r>
        <w:rPr>
          <w:rFonts w:ascii="Times New Roman" w:hAnsi="Times New Roman"/>
        </w:rPr>
        <w:fldChar w:fldCharType="begin"/>
      </w:r>
      <w:r>
        <w:rPr>
          <w:rFonts w:ascii="Times New Roman" w:hAnsi="Times New Roman"/>
        </w:rPr>
        <w:instrText xml:space="preserve"> HYPERLINK \l _Toc1520901055 </w:instrText>
      </w:r>
      <w:r>
        <w:rPr>
          <w:rFonts w:ascii="Times New Roman" w:hAnsi="Times New Roman"/>
        </w:rPr>
        <w:fldChar w:fldCharType="separate"/>
      </w:r>
      <w:r>
        <w:rPr>
          <w:rFonts w:hint="eastAsia" w:ascii="黑体" w:hAnsi="黑体" w:eastAsia="黑体" w:cs="黑体"/>
          <w:szCs w:val="32"/>
        </w:rPr>
        <w:t>4 应急保障</w:t>
      </w:r>
      <w:r>
        <w:tab/>
      </w:r>
      <w:r>
        <w:fldChar w:fldCharType="begin"/>
      </w:r>
      <w:r>
        <w:instrText xml:space="preserve"> PAGEREF _Toc1520901055 \h </w:instrText>
      </w:r>
      <w:r>
        <w:fldChar w:fldCharType="separate"/>
      </w:r>
      <w:r>
        <w:t>20</w:t>
      </w:r>
      <w:r>
        <w:fldChar w:fldCharType="end"/>
      </w:r>
      <w:r>
        <w:rPr>
          <w:rFonts w:ascii="Times New Roman" w:hAnsi="Times New Roman"/>
        </w:rPr>
        <w:fldChar w:fldCharType="end"/>
      </w:r>
    </w:p>
    <w:p w14:paraId="7F7703DB">
      <w:pPr>
        <w:pStyle w:val="10"/>
        <w:tabs>
          <w:tab w:val="right" w:leader="dot" w:pos="8306"/>
        </w:tabs>
      </w:pPr>
      <w:r>
        <w:rPr>
          <w:rFonts w:ascii="Times New Roman" w:hAnsi="Times New Roman"/>
        </w:rPr>
        <w:fldChar w:fldCharType="begin"/>
      </w:r>
      <w:r>
        <w:rPr>
          <w:rFonts w:ascii="Times New Roman" w:hAnsi="Times New Roman"/>
        </w:rPr>
        <w:instrText xml:space="preserve"> HYPERLINK \l _Toc1737883697 </w:instrText>
      </w:r>
      <w:r>
        <w:rPr>
          <w:rFonts w:ascii="Times New Roman" w:hAnsi="Times New Roman"/>
        </w:rPr>
        <w:fldChar w:fldCharType="separate"/>
      </w:r>
      <w:r>
        <w:rPr>
          <w:rFonts w:hint="eastAsia"/>
        </w:rPr>
        <w:t>4.1 队伍保障</w:t>
      </w:r>
      <w:r>
        <w:tab/>
      </w:r>
      <w:r>
        <w:fldChar w:fldCharType="begin"/>
      </w:r>
      <w:r>
        <w:instrText xml:space="preserve"> PAGEREF _Toc1737883697 \h </w:instrText>
      </w:r>
      <w:r>
        <w:fldChar w:fldCharType="separate"/>
      </w:r>
      <w:r>
        <w:t>20</w:t>
      </w:r>
      <w:r>
        <w:fldChar w:fldCharType="end"/>
      </w:r>
      <w:r>
        <w:rPr>
          <w:rFonts w:ascii="Times New Roman" w:hAnsi="Times New Roman"/>
        </w:rPr>
        <w:fldChar w:fldCharType="end"/>
      </w:r>
    </w:p>
    <w:p w14:paraId="7DE41211">
      <w:pPr>
        <w:pStyle w:val="10"/>
        <w:tabs>
          <w:tab w:val="right" w:leader="dot" w:pos="8306"/>
        </w:tabs>
      </w:pPr>
      <w:r>
        <w:rPr>
          <w:rFonts w:ascii="Times New Roman" w:hAnsi="Times New Roman"/>
        </w:rPr>
        <w:fldChar w:fldCharType="begin"/>
      </w:r>
      <w:r>
        <w:rPr>
          <w:rFonts w:ascii="Times New Roman" w:hAnsi="Times New Roman"/>
        </w:rPr>
        <w:instrText xml:space="preserve"> HYPERLINK \l _Toc126126361 </w:instrText>
      </w:r>
      <w:r>
        <w:rPr>
          <w:rFonts w:ascii="Times New Roman" w:hAnsi="Times New Roman"/>
        </w:rPr>
        <w:fldChar w:fldCharType="separate"/>
      </w:r>
      <w:r>
        <w:rPr>
          <w:rFonts w:hint="eastAsia"/>
        </w:rPr>
        <w:t>4.2 资金保障</w:t>
      </w:r>
      <w:r>
        <w:tab/>
      </w:r>
      <w:r>
        <w:fldChar w:fldCharType="begin"/>
      </w:r>
      <w:r>
        <w:instrText xml:space="preserve"> PAGEREF _Toc126126361 \h </w:instrText>
      </w:r>
      <w:r>
        <w:fldChar w:fldCharType="separate"/>
      </w:r>
      <w:r>
        <w:t>21</w:t>
      </w:r>
      <w:r>
        <w:fldChar w:fldCharType="end"/>
      </w:r>
      <w:r>
        <w:rPr>
          <w:rFonts w:ascii="Times New Roman" w:hAnsi="Times New Roman"/>
        </w:rPr>
        <w:fldChar w:fldCharType="end"/>
      </w:r>
    </w:p>
    <w:p w14:paraId="1914F934">
      <w:pPr>
        <w:pStyle w:val="10"/>
        <w:tabs>
          <w:tab w:val="right" w:leader="dot" w:pos="8306"/>
        </w:tabs>
      </w:pPr>
      <w:r>
        <w:rPr>
          <w:rFonts w:ascii="Times New Roman" w:hAnsi="Times New Roman"/>
        </w:rPr>
        <w:fldChar w:fldCharType="begin"/>
      </w:r>
      <w:r>
        <w:rPr>
          <w:rFonts w:ascii="Times New Roman" w:hAnsi="Times New Roman"/>
        </w:rPr>
        <w:instrText xml:space="preserve"> HYPERLINK \l _Toc640809687 </w:instrText>
      </w:r>
      <w:r>
        <w:rPr>
          <w:rFonts w:ascii="Times New Roman" w:hAnsi="Times New Roman"/>
        </w:rPr>
        <w:fldChar w:fldCharType="separate"/>
      </w:r>
      <w:r>
        <w:rPr>
          <w:rFonts w:hint="eastAsia"/>
        </w:rPr>
        <w:t>4.3 物资保障</w:t>
      </w:r>
      <w:r>
        <w:tab/>
      </w:r>
      <w:r>
        <w:fldChar w:fldCharType="begin"/>
      </w:r>
      <w:r>
        <w:instrText xml:space="preserve"> PAGEREF _Toc640809687 \h </w:instrText>
      </w:r>
      <w:r>
        <w:fldChar w:fldCharType="separate"/>
      </w:r>
      <w:r>
        <w:t>21</w:t>
      </w:r>
      <w:r>
        <w:fldChar w:fldCharType="end"/>
      </w:r>
      <w:r>
        <w:rPr>
          <w:rFonts w:ascii="Times New Roman" w:hAnsi="Times New Roman"/>
        </w:rPr>
        <w:fldChar w:fldCharType="end"/>
      </w:r>
    </w:p>
    <w:p w14:paraId="5A9A59EE">
      <w:pPr>
        <w:pStyle w:val="10"/>
        <w:tabs>
          <w:tab w:val="right" w:leader="dot" w:pos="8306"/>
        </w:tabs>
      </w:pPr>
      <w:r>
        <w:rPr>
          <w:rFonts w:ascii="Times New Roman" w:hAnsi="Times New Roman"/>
        </w:rPr>
        <w:fldChar w:fldCharType="begin"/>
      </w:r>
      <w:r>
        <w:rPr>
          <w:rFonts w:ascii="Times New Roman" w:hAnsi="Times New Roman"/>
        </w:rPr>
        <w:instrText xml:space="preserve"> HYPERLINK \l _Toc168541232 </w:instrText>
      </w:r>
      <w:r>
        <w:rPr>
          <w:rFonts w:ascii="Times New Roman" w:hAnsi="Times New Roman"/>
        </w:rPr>
        <w:fldChar w:fldCharType="separate"/>
      </w:r>
      <w:r>
        <w:rPr>
          <w:rFonts w:hint="eastAsia"/>
        </w:rPr>
        <w:t>4.4 医疗卫生保障</w:t>
      </w:r>
      <w:r>
        <w:tab/>
      </w:r>
      <w:r>
        <w:fldChar w:fldCharType="begin"/>
      </w:r>
      <w:r>
        <w:instrText xml:space="preserve"> PAGEREF _Toc168541232 \h </w:instrText>
      </w:r>
      <w:r>
        <w:fldChar w:fldCharType="separate"/>
      </w:r>
      <w:r>
        <w:t>21</w:t>
      </w:r>
      <w:r>
        <w:fldChar w:fldCharType="end"/>
      </w:r>
      <w:r>
        <w:rPr>
          <w:rFonts w:ascii="Times New Roman" w:hAnsi="Times New Roman"/>
        </w:rPr>
        <w:fldChar w:fldCharType="end"/>
      </w:r>
    </w:p>
    <w:p w14:paraId="5F8D79B1">
      <w:pPr>
        <w:pStyle w:val="10"/>
        <w:tabs>
          <w:tab w:val="right" w:leader="dot" w:pos="8306"/>
        </w:tabs>
      </w:pPr>
      <w:r>
        <w:rPr>
          <w:rFonts w:ascii="Times New Roman" w:hAnsi="Times New Roman"/>
        </w:rPr>
        <w:fldChar w:fldCharType="begin"/>
      </w:r>
      <w:r>
        <w:rPr>
          <w:rFonts w:ascii="Times New Roman" w:hAnsi="Times New Roman"/>
        </w:rPr>
        <w:instrText xml:space="preserve"> HYPERLINK \l _Toc654111922 </w:instrText>
      </w:r>
      <w:r>
        <w:rPr>
          <w:rFonts w:ascii="Times New Roman" w:hAnsi="Times New Roman"/>
        </w:rPr>
        <w:fldChar w:fldCharType="separate"/>
      </w:r>
      <w:r>
        <w:rPr>
          <w:rFonts w:hint="eastAsia"/>
        </w:rPr>
        <w:t>4.5 治安保障</w:t>
      </w:r>
      <w:r>
        <w:tab/>
      </w:r>
      <w:r>
        <w:fldChar w:fldCharType="begin"/>
      </w:r>
      <w:r>
        <w:instrText xml:space="preserve"> PAGEREF _Toc654111922 \h </w:instrText>
      </w:r>
      <w:r>
        <w:fldChar w:fldCharType="separate"/>
      </w:r>
      <w:r>
        <w:t>21</w:t>
      </w:r>
      <w:r>
        <w:fldChar w:fldCharType="end"/>
      </w:r>
      <w:r>
        <w:rPr>
          <w:rFonts w:ascii="Times New Roman" w:hAnsi="Times New Roman"/>
        </w:rPr>
        <w:fldChar w:fldCharType="end"/>
      </w:r>
    </w:p>
    <w:p w14:paraId="5C55B789">
      <w:pPr>
        <w:pStyle w:val="10"/>
        <w:tabs>
          <w:tab w:val="right" w:leader="dot" w:pos="8306"/>
        </w:tabs>
      </w:pPr>
      <w:r>
        <w:rPr>
          <w:rFonts w:ascii="Times New Roman" w:hAnsi="Times New Roman"/>
        </w:rPr>
        <w:fldChar w:fldCharType="begin"/>
      </w:r>
      <w:r>
        <w:rPr>
          <w:rFonts w:ascii="Times New Roman" w:hAnsi="Times New Roman"/>
        </w:rPr>
        <w:instrText xml:space="preserve"> HYPERLINK \l _Toc2096764947 </w:instrText>
      </w:r>
      <w:r>
        <w:rPr>
          <w:rFonts w:ascii="Times New Roman" w:hAnsi="Times New Roman"/>
        </w:rPr>
        <w:fldChar w:fldCharType="separate"/>
      </w:r>
      <w:r>
        <w:rPr>
          <w:rFonts w:hint="eastAsia"/>
        </w:rPr>
        <w:t>4.6 人员防护保障</w:t>
      </w:r>
      <w:r>
        <w:tab/>
      </w:r>
      <w:r>
        <w:fldChar w:fldCharType="begin"/>
      </w:r>
      <w:r>
        <w:instrText xml:space="preserve"> PAGEREF _Toc2096764947 \h </w:instrText>
      </w:r>
      <w:r>
        <w:fldChar w:fldCharType="separate"/>
      </w:r>
      <w:r>
        <w:t>22</w:t>
      </w:r>
      <w:r>
        <w:fldChar w:fldCharType="end"/>
      </w:r>
      <w:r>
        <w:rPr>
          <w:rFonts w:ascii="Times New Roman" w:hAnsi="Times New Roman"/>
        </w:rPr>
        <w:fldChar w:fldCharType="end"/>
      </w:r>
    </w:p>
    <w:p w14:paraId="7A609E91">
      <w:pPr>
        <w:pStyle w:val="10"/>
        <w:tabs>
          <w:tab w:val="right" w:leader="dot" w:pos="8306"/>
        </w:tabs>
      </w:pPr>
      <w:r>
        <w:rPr>
          <w:rFonts w:ascii="Times New Roman" w:hAnsi="Times New Roman"/>
        </w:rPr>
        <w:fldChar w:fldCharType="begin"/>
      </w:r>
      <w:r>
        <w:rPr>
          <w:rFonts w:ascii="Times New Roman" w:hAnsi="Times New Roman"/>
        </w:rPr>
        <w:instrText xml:space="preserve"> HYPERLINK \l _Toc1636232199 </w:instrText>
      </w:r>
      <w:r>
        <w:rPr>
          <w:rFonts w:ascii="Times New Roman" w:hAnsi="Times New Roman"/>
        </w:rPr>
        <w:fldChar w:fldCharType="separate"/>
      </w:r>
      <w:r>
        <w:rPr>
          <w:rFonts w:hint="eastAsia"/>
        </w:rPr>
        <w:t>4.7 避难场所保障</w:t>
      </w:r>
      <w:r>
        <w:tab/>
      </w:r>
      <w:r>
        <w:fldChar w:fldCharType="begin"/>
      </w:r>
      <w:r>
        <w:instrText xml:space="preserve"> PAGEREF _Toc1636232199 \h </w:instrText>
      </w:r>
      <w:r>
        <w:fldChar w:fldCharType="separate"/>
      </w:r>
      <w:r>
        <w:t>22</w:t>
      </w:r>
      <w:r>
        <w:fldChar w:fldCharType="end"/>
      </w:r>
      <w:r>
        <w:rPr>
          <w:rFonts w:ascii="Times New Roman" w:hAnsi="Times New Roman"/>
        </w:rPr>
        <w:fldChar w:fldCharType="end"/>
      </w:r>
    </w:p>
    <w:p w14:paraId="68790A05">
      <w:pPr>
        <w:pStyle w:val="10"/>
        <w:tabs>
          <w:tab w:val="right" w:leader="dot" w:pos="8306"/>
        </w:tabs>
      </w:pPr>
      <w:r>
        <w:rPr>
          <w:rFonts w:ascii="Times New Roman" w:hAnsi="Times New Roman"/>
        </w:rPr>
        <w:fldChar w:fldCharType="begin"/>
      </w:r>
      <w:r>
        <w:rPr>
          <w:rFonts w:ascii="Times New Roman" w:hAnsi="Times New Roman"/>
        </w:rPr>
        <w:instrText xml:space="preserve"> HYPERLINK \l _Toc244773329 </w:instrText>
      </w:r>
      <w:r>
        <w:rPr>
          <w:rFonts w:ascii="Times New Roman" w:hAnsi="Times New Roman"/>
        </w:rPr>
        <w:fldChar w:fldCharType="separate"/>
      </w:r>
      <w:r>
        <w:rPr>
          <w:rFonts w:hint="eastAsia"/>
        </w:rPr>
        <w:t>4.8 基础设施保障</w:t>
      </w:r>
      <w:r>
        <w:tab/>
      </w:r>
      <w:r>
        <w:fldChar w:fldCharType="begin"/>
      </w:r>
      <w:r>
        <w:instrText xml:space="preserve"> PAGEREF _Toc244773329 \h </w:instrText>
      </w:r>
      <w:r>
        <w:fldChar w:fldCharType="separate"/>
      </w:r>
      <w:r>
        <w:t>22</w:t>
      </w:r>
      <w:r>
        <w:fldChar w:fldCharType="end"/>
      </w:r>
      <w:r>
        <w:rPr>
          <w:rFonts w:ascii="Times New Roman" w:hAnsi="Times New Roman"/>
        </w:rPr>
        <w:fldChar w:fldCharType="end"/>
      </w:r>
    </w:p>
    <w:p w14:paraId="270BA723">
      <w:pPr>
        <w:pStyle w:val="10"/>
        <w:tabs>
          <w:tab w:val="right" w:leader="dot" w:pos="8306"/>
        </w:tabs>
      </w:pPr>
      <w:r>
        <w:rPr>
          <w:rFonts w:ascii="Times New Roman" w:hAnsi="Times New Roman"/>
        </w:rPr>
        <w:fldChar w:fldCharType="begin"/>
      </w:r>
      <w:r>
        <w:rPr>
          <w:rFonts w:ascii="Times New Roman" w:hAnsi="Times New Roman"/>
        </w:rPr>
        <w:instrText xml:space="preserve"> HYPERLINK \l _Toc828268370 </w:instrText>
      </w:r>
      <w:r>
        <w:rPr>
          <w:rFonts w:ascii="Times New Roman" w:hAnsi="Times New Roman"/>
        </w:rPr>
        <w:fldChar w:fldCharType="separate"/>
      </w:r>
      <w:r>
        <w:rPr>
          <w:rFonts w:hint="eastAsia"/>
        </w:rPr>
        <w:t>4.9 平台保障</w:t>
      </w:r>
      <w:r>
        <w:tab/>
      </w:r>
      <w:r>
        <w:fldChar w:fldCharType="begin"/>
      </w:r>
      <w:r>
        <w:instrText xml:space="preserve"> PAGEREF _Toc828268370 \h </w:instrText>
      </w:r>
      <w:r>
        <w:fldChar w:fldCharType="separate"/>
      </w:r>
      <w:r>
        <w:t>23</w:t>
      </w:r>
      <w:r>
        <w:fldChar w:fldCharType="end"/>
      </w:r>
      <w:r>
        <w:rPr>
          <w:rFonts w:ascii="Times New Roman" w:hAnsi="Times New Roman"/>
        </w:rPr>
        <w:fldChar w:fldCharType="end"/>
      </w:r>
    </w:p>
    <w:p w14:paraId="49B64F80">
      <w:pPr>
        <w:pStyle w:val="10"/>
        <w:tabs>
          <w:tab w:val="right" w:leader="dot" w:pos="8306"/>
        </w:tabs>
      </w:pPr>
      <w:r>
        <w:rPr>
          <w:rFonts w:ascii="Times New Roman" w:hAnsi="Times New Roman"/>
        </w:rPr>
        <w:fldChar w:fldCharType="begin"/>
      </w:r>
      <w:r>
        <w:rPr>
          <w:rFonts w:ascii="Times New Roman" w:hAnsi="Times New Roman"/>
        </w:rPr>
        <w:instrText xml:space="preserve"> HYPERLINK \l _Toc622607466 </w:instrText>
      </w:r>
      <w:r>
        <w:rPr>
          <w:rFonts w:ascii="Times New Roman" w:hAnsi="Times New Roman"/>
        </w:rPr>
        <w:fldChar w:fldCharType="separate"/>
      </w:r>
      <w:r>
        <w:rPr>
          <w:rFonts w:hint="eastAsia"/>
        </w:rPr>
        <w:t>4.10其他保障</w:t>
      </w:r>
      <w:r>
        <w:tab/>
      </w:r>
      <w:r>
        <w:fldChar w:fldCharType="begin"/>
      </w:r>
      <w:r>
        <w:instrText xml:space="preserve"> PAGEREF _Toc622607466 \h </w:instrText>
      </w:r>
      <w:r>
        <w:fldChar w:fldCharType="separate"/>
      </w:r>
      <w:r>
        <w:t>23</w:t>
      </w:r>
      <w:r>
        <w:fldChar w:fldCharType="end"/>
      </w:r>
      <w:r>
        <w:rPr>
          <w:rFonts w:ascii="Times New Roman" w:hAnsi="Times New Roman"/>
        </w:rPr>
        <w:fldChar w:fldCharType="end"/>
      </w:r>
    </w:p>
    <w:p w14:paraId="5EE54CCF">
      <w:pPr>
        <w:pStyle w:val="9"/>
        <w:tabs>
          <w:tab w:val="right" w:leader="dot" w:pos="8306"/>
        </w:tabs>
      </w:pPr>
      <w:r>
        <w:rPr>
          <w:rFonts w:ascii="Times New Roman" w:hAnsi="Times New Roman"/>
        </w:rPr>
        <w:fldChar w:fldCharType="begin"/>
      </w:r>
      <w:r>
        <w:rPr>
          <w:rFonts w:ascii="Times New Roman" w:hAnsi="Times New Roman"/>
        </w:rPr>
        <w:instrText xml:space="preserve"> HYPERLINK \l _Toc1940541037 </w:instrText>
      </w:r>
      <w:r>
        <w:rPr>
          <w:rFonts w:ascii="Times New Roman" w:hAnsi="Times New Roman"/>
        </w:rPr>
        <w:fldChar w:fldCharType="separate"/>
      </w:r>
      <w:r>
        <w:rPr>
          <w:rFonts w:hint="eastAsia" w:ascii="黑体" w:hAnsi="黑体" w:eastAsia="黑体" w:cs="黑体"/>
          <w:szCs w:val="32"/>
          <w:lang w:val="en-US" w:eastAsia="zh-CN"/>
        </w:rPr>
        <w:t>5 监督管理</w:t>
      </w:r>
      <w:r>
        <w:tab/>
      </w:r>
      <w:r>
        <w:fldChar w:fldCharType="begin"/>
      </w:r>
      <w:r>
        <w:instrText xml:space="preserve"> PAGEREF _Toc1940541037 \h </w:instrText>
      </w:r>
      <w:r>
        <w:fldChar w:fldCharType="separate"/>
      </w:r>
      <w:r>
        <w:t>23</w:t>
      </w:r>
      <w:r>
        <w:fldChar w:fldCharType="end"/>
      </w:r>
      <w:r>
        <w:rPr>
          <w:rFonts w:ascii="Times New Roman" w:hAnsi="Times New Roman"/>
        </w:rPr>
        <w:fldChar w:fldCharType="end"/>
      </w:r>
    </w:p>
    <w:p w14:paraId="585DB3E2">
      <w:pPr>
        <w:pStyle w:val="10"/>
        <w:tabs>
          <w:tab w:val="right" w:leader="dot" w:pos="8306"/>
        </w:tabs>
      </w:pPr>
      <w:r>
        <w:rPr>
          <w:rFonts w:ascii="Times New Roman" w:hAnsi="Times New Roman"/>
        </w:rPr>
        <w:fldChar w:fldCharType="begin"/>
      </w:r>
      <w:r>
        <w:rPr>
          <w:rFonts w:ascii="Times New Roman" w:hAnsi="Times New Roman"/>
        </w:rPr>
        <w:instrText xml:space="preserve"> HYPERLINK \l _Toc1527025730 </w:instrText>
      </w:r>
      <w:r>
        <w:rPr>
          <w:rFonts w:ascii="Times New Roman" w:hAnsi="Times New Roman"/>
        </w:rPr>
        <w:fldChar w:fldCharType="separate"/>
      </w:r>
      <w:r>
        <w:rPr>
          <w:rFonts w:hint="eastAsia"/>
        </w:rPr>
        <w:t>5.1 预案演练</w:t>
      </w:r>
      <w:r>
        <w:tab/>
      </w:r>
      <w:r>
        <w:fldChar w:fldCharType="begin"/>
      </w:r>
      <w:r>
        <w:instrText xml:space="preserve"> PAGEREF _Toc1527025730 \h </w:instrText>
      </w:r>
      <w:r>
        <w:fldChar w:fldCharType="separate"/>
      </w:r>
      <w:r>
        <w:t>23</w:t>
      </w:r>
      <w:r>
        <w:fldChar w:fldCharType="end"/>
      </w:r>
      <w:r>
        <w:rPr>
          <w:rFonts w:ascii="Times New Roman" w:hAnsi="Times New Roman"/>
        </w:rPr>
        <w:fldChar w:fldCharType="end"/>
      </w:r>
    </w:p>
    <w:p w14:paraId="30250A30">
      <w:pPr>
        <w:pStyle w:val="10"/>
        <w:tabs>
          <w:tab w:val="right" w:leader="dot" w:pos="8306"/>
        </w:tabs>
      </w:pPr>
      <w:r>
        <w:rPr>
          <w:rFonts w:ascii="Times New Roman" w:hAnsi="Times New Roman"/>
        </w:rPr>
        <w:fldChar w:fldCharType="begin"/>
      </w:r>
      <w:r>
        <w:rPr>
          <w:rFonts w:ascii="Times New Roman" w:hAnsi="Times New Roman"/>
        </w:rPr>
        <w:instrText xml:space="preserve"> HYPERLINK \l _Toc413401922 </w:instrText>
      </w:r>
      <w:r>
        <w:rPr>
          <w:rFonts w:ascii="Times New Roman" w:hAnsi="Times New Roman"/>
        </w:rPr>
        <w:fldChar w:fldCharType="separate"/>
      </w:r>
      <w:r>
        <w:rPr>
          <w:rFonts w:hint="eastAsia"/>
        </w:rPr>
        <w:t>5.2 宣传培训</w:t>
      </w:r>
      <w:r>
        <w:tab/>
      </w:r>
      <w:r>
        <w:fldChar w:fldCharType="begin"/>
      </w:r>
      <w:r>
        <w:instrText xml:space="preserve"> PAGEREF _Toc413401922 \h </w:instrText>
      </w:r>
      <w:r>
        <w:fldChar w:fldCharType="separate"/>
      </w:r>
      <w:r>
        <w:t>23</w:t>
      </w:r>
      <w:r>
        <w:fldChar w:fldCharType="end"/>
      </w:r>
      <w:r>
        <w:rPr>
          <w:rFonts w:ascii="Times New Roman" w:hAnsi="Times New Roman"/>
        </w:rPr>
        <w:fldChar w:fldCharType="end"/>
      </w:r>
    </w:p>
    <w:p w14:paraId="5E3083A9">
      <w:pPr>
        <w:pStyle w:val="10"/>
        <w:tabs>
          <w:tab w:val="right" w:leader="dot" w:pos="8306"/>
        </w:tabs>
      </w:pPr>
      <w:r>
        <w:rPr>
          <w:rFonts w:ascii="Times New Roman" w:hAnsi="Times New Roman"/>
        </w:rPr>
        <w:fldChar w:fldCharType="begin"/>
      </w:r>
      <w:r>
        <w:rPr>
          <w:rFonts w:ascii="Times New Roman" w:hAnsi="Times New Roman"/>
        </w:rPr>
        <w:instrText xml:space="preserve"> HYPERLINK \l _Toc1290858784 </w:instrText>
      </w:r>
      <w:r>
        <w:rPr>
          <w:rFonts w:ascii="Times New Roman" w:hAnsi="Times New Roman"/>
        </w:rPr>
        <w:fldChar w:fldCharType="separate"/>
      </w:r>
      <w:r>
        <w:rPr>
          <w:rFonts w:hint="eastAsia"/>
        </w:rPr>
        <w:t>5.3 责任与奖惩</w:t>
      </w:r>
      <w:r>
        <w:tab/>
      </w:r>
      <w:r>
        <w:fldChar w:fldCharType="begin"/>
      </w:r>
      <w:r>
        <w:instrText xml:space="preserve"> PAGEREF _Toc1290858784 \h </w:instrText>
      </w:r>
      <w:r>
        <w:fldChar w:fldCharType="separate"/>
      </w:r>
      <w:r>
        <w:t>24</w:t>
      </w:r>
      <w:r>
        <w:fldChar w:fldCharType="end"/>
      </w:r>
      <w:r>
        <w:rPr>
          <w:rFonts w:ascii="Times New Roman" w:hAnsi="Times New Roman"/>
        </w:rPr>
        <w:fldChar w:fldCharType="end"/>
      </w:r>
    </w:p>
    <w:p w14:paraId="6273BFDF">
      <w:pPr>
        <w:pStyle w:val="10"/>
        <w:tabs>
          <w:tab w:val="right" w:leader="dot" w:pos="8306"/>
        </w:tabs>
      </w:pPr>
      <w:r>
        <w:rPr>
          <w:rFonts w:ascii="Times New Roman" w:hAnsi="Times New Roman"/>
        </w:rPr>
        <w:fldChar w:fldCharType="begin"/>
      </w:r>
      <w:r>
        <w:rPr>
          <w:rFonts w:ascii="Times New Roman" w:hAnsi="Times New Roman"/>
        </w:rPr>
        <w:instrText xml:space="preserve"> HYPERLINK \l _Toc1530391456 </w:instrText>
      </w:r>
      <w:r>
        <w:rPr>
          <w:rFonts w:ascii="Times New Roman" w:hAnsi="Times New Roman"/>
        </w:rPr>
        <w:fldChar w:fldCharType="separate"/>
      </w:r>
      <w:r>
        <w:rPr>
          <w:rFonts w:hint="eastAsia"/>
        </w:rPr>
        <w:t>5.</w:t>
      </w:r>
      <w:r>
        <w:rPr>
          <w:rFonts w:hint="eastAsia"/>
          <w:lang w:val="en-US" w:eastAsia="zh-CN"/>
        </w:rPr>
        <w:t>4</w:t>
      </w:r>
      <w:r>
        <w:rPr>
          <w:rFonts w:hint="eastAsia"/>
        </w:rPr>
        <w:t xml:space="preserve"> 预案评估和修订</w:t>
      </w:r>
      <w:r>
        <w:tab/>
      </w:r>
      <w:r>
        <w:fldChar w:fldCharType="begin"/>
      </w:r>
      <w:r>
        <w:instrText xml:space="preserve"> PAGEREF _Toc1530391456 \h </w:instrText>
      </w:r>
      <w:r>
        <w:fldChar w:fldCharType="separate"/>
      </w:r>
      <w:r>
        <w:t>24</w:t>
      </w:r>
      <w:r>
        <w:fldChar w:fldCharType="end"/>
      </w:r>
      <w:r>
        <w:rPr>
          <w:rFonts w:ascii="Times New Roman" w:hAnsi="Times New Roman"/>
        </w:rPr>
        <w:fldChar w:fldCharType="end"/>
      </w:r>
    </w:p>
    <w:p w14:paraId="654306CF">
      <w:pPr>
        <w:pStyle w:val="9"/>
        <w:tabs>
          <w:tab w:val="right" w:leader="dot" w:pos="8306"/>
        </w:tabs>
      </w:pPr>
      <w:r>
        <w:rPr>
          <w:rFonts w:ascii="Times New Roman" w:hAnsi="Times New Roman"/>
        </w:rPr>
        <w:fldChar w:fldCharType="begin"/>
      </w:r>
      <w:r>
        <w:rPr>
          <w:rFonts w:ascii="Times New Roman" w:hAnsi="Times New Roman"/>
        </w:rPr>
        <w:instrText xml:space="preserve"> HYPERLINK \l _Toc1949688149 </w:instrText>
      </w:r>
      <w:r>
        <w:rPr>
          <w:rFonts w:ascii="Times New Roman" w:hAnsi="Times New Roman"/>
        </w:rPr>
        <w:fldChar w:fldCharType="separate"/>
      </w:r>
      <w:r>
        <w:rPr>
          <w:rFonts w:hint="eastAsia" w:ascii="黑体" w:hAnsi="黑体" w:eastAsia="黑体" w:cs="黑体"/>
          <w:szCs w:val="32"/>
        </w:rPr>
        <w:t>6 附则</w:t>
      </w:r>
      <w:r>
        <w:tab/>
      </w:r>
      <w:r>
        <w:fldChar w:fldCharType="begin"/>
      </w:r>
      <w:r>
        <w:instrText xml:space="preserve"> PAGEREF _Toc1949688149 \h </w:instrText>
      </w:r>
      <w:r>
        <w:fldChar w:fldCharType="separate"/>
      </w:r>
      <w:r>
        <w:t>24</w:t>
      </w:r>
      <w:r>
        <w:fldChar w:fldCharType="end"/>
      </w:r>
      <w:r>
        <w:rPr>
          <w:rFonts w:ascii="Times New Roman" w:hAnsi="Times New Roman"/>
        </w:rPr>
        <w:fldChar w:fldCharType="end"/>
      </w:r>
    </w:p>
    <w:p w14:paraId="3EEA528C">
      <w:pPr>
        <w:pStyle w:val="10"/>
        <w:tabs>
          <w:tab w:val="right" w:leader="dot" w:pos="8306"/>
        </w:tabs>
      </w:pPr>
      <w:r>
        <w:rPr>
          <w:rFonts w:ascii="Times New Roman" w:hAnsi="Times New Roman"/>
        </w:rPr>
        <w:fldChar w:fldCharType="begin"/>
      </w:r>
      <w:r>
        <w:rPr>
          <w:rFonts w:ascii="Times New Roman" w:hAnsi="Times New Roman"/>
        </w:rPr>
        <w:instrText xml:space="preserve"> HYPERLINK \l _Toc284784049 </w:instrText>
      </w:r>
      <w:r>
        <w:rPr>
          <w:rFonts w:ascii="Times New Roman" w:hAnsi="Times New Roman"/>
        </w:rPr>
        <w:fldChar w:fldCharType="separate"/>
      </w:r>
      <w:r>
        <w:rPr>
          <w:rFonts w:hint="eastAsia"/>
        </w:rPr>
        <w:t>6.1 名词术语</w:t>
      </w:r>
      <w:r>
        <w:tab/>
      </w:r>
      <w:r>
        <w:fldChar w:fldCharType="begin"/>
      </w:r>
      <w:r>
        <w:instrText xml:space="preserve"> PAGEREF _Toc284784049 \h </w:instrText>
      </w:r>
      <w:r>
        <w:fldChar w:fldCharType="separate"/>
      </w:r>
      <w:r>
        <w:t>24</w:t>
      </w:r>
      <w:r>
        <w:fldChar w:fldCharType="end"/>
      </w:r>
      <w:r>
        <w:rPr>
          <w:rFonts w:ascii="Times New Roman" w:hAnsi="Times New Roman"/>
        </w:rPr>
        <w:fldChar w:fldCharType="end"/>
      </w:r>
    </w:p>
    <w:p w14:paraId="3E212E83">
      <w:pPr>
        <w:pStyle w:val="10"/>
        <w:tabs>
          <w:tab w:val="right" w:leader="dot" w:pos="8306"/>
        </w:tabs>
      </w:pPr>
      <w:r>
        <w:rPr>
          <w:rFonts w:ascii="Times New Roman" w:hAnsi="Times New Roman"/>
        </w:rPr>
        <w:fldChar w:fldCharType="begin"/>
      </w:r>
      <w:r>
        <w:rPr>
          <w:rFonts w:ascii="Times New Roman" w:hAnsi="Times New Roman"/>
        </w:rPr>
        <w:instrText xml:space="preserve"> HYPERLINK \l _Toc404929070 </w:instrText>
      </w:r>
      <w:r>
        <w:rPr>
          <w:rFonts w:ascii="Times New Roman" w:hAnsi="Times New Roman"/>
        </w:rPr>
        <w:fldChar w:fldCharType="separate"/>
      </w:r>
      <w:r>
        <w:rPr>
          <w:rFonts w:hint="eastAsia"/>
        </w:rPr>
        <w:t>6.2 预案管理</w:t>
      </w:r>
      <w:r>
        <w:tab/>
      </w:r>
      <w:r>
        <w:fldChar w:fldCharType="begin"/>
      </w:r>
      <w:r>
        <w:instrText xml:space="preserve"> PAGEREF _Toc404929070 \h </w:instrText>
      </w:r>
      <w:r>
        <w:fldChar w:fldCharType="separate"/>
      </w:r>
      <w:r>
        <w:t>25</w:t>
      </w:r>
      <w:r>
        <w:fldChar w:fldCharType="end"/>
      </w:r>
      <w:r>
        <w:rPr>
          <w:rFonts w:ascii="Times New Roman" w:hAnsi="Times New Roman"/>
        </w:rPr>
        <w:fldChar w:fldCharType="end"/>
      </w:r>
    </w:p>
    <w:p w14:paraId="2D3160D9">
      <w:pPr>
        <w:pStyle w:val="10"/>
        <w:tabs>
          <w:tab w:val="right" w:leader="dot" w:pos="8306"/>
        </w:tabs>
      </w:pPr>
      <w:r>
        <w:rPr>
          <w:rFonts w:ascii="Times New Roman" w:hAnsi="Times New Roman"/>
        </w:rPr>
        <w:fldChar w:fldCharType="begin"/>
      </w:r>
      <w:r>
        <w:rPr>
          <w:rFonts w:ascii="Times New Roman" w:hAnsi="Times New Roman"/>
        </w:rPr>
        <w:instrText xml:space="preserve"> HYPERLINK \l _Toc534352192 </w:instrText>
      </w:r>
      <w:r>
        <w:rPr>
          <w:rFonts w:ascii="Times New Roman" w:hAnsi="Times New Roman"/>
        </w:rPr>
        <w:fldChar w:fldCharType="separate"/>
      </w:r>
      <w:r>
        <w:rPr>
          <w:rFonts w:hint="eastAsia"/>
        </w:rPr>
        <w:t>6.3 预案衔接</w:t>
      </w:r>
      <w:r>
        <w:tab/>
      </w:r>
      <w:r>
        <w:fldChar w:fldCharType="begin"/>
      </w:r>
      <w:r>
        <w:instrText xml:space="preserve"> PAGEREF _Toc534352192 \h </w:instrText>
      </w:r>
      <w:r>
        <w:fldChar w:fldCharType="separate"/>
      </w:r>
      <w:r>
        <w:t>25</w:t>
      </w:r>
      <w:r>
        <w:fldChar w:fldCharType="end"/>
      </w:r>
      <w:r>
        <w:rPr>
          <w:rFonts w:ascii="Times New Roman" w:hAnsi="Times New Roman"/>
        </w:rPr>
        <w:fldChar w:fldCharType="end"/>
      </w:r>
    </w:p>
    <w:p w14:paraId="162C5654">
      <w:pPr>
        <w:pStyle w:val="10"/>
        <w:tabs>
          <w:tab w:val="right" w:leader="dot" w:pos="8306"/>
        </w:tabs>
      </w:pPr>
      <w:r>
        <w:rPr>
          <w:rFonts w:ascii="Times New Roman" w:hAnsi="Times New Roman"/>
        </w:rPr>
        <w:fldChar w:fldCharType="begin"/>
      </w:r>
      <w:r>
        <w:rPr>
          <w:rFonts w:ascii="Times New Roman" w:hAnsi="Times New Roman"/>
        </w:rPr>
        <w:instrText xml:space="preserve"> HYPERLINK \l _Toc1704417788 </w:instrText>
      </w:r>
      <w:r>
        <w:rPr>
          <w:rFonts w:ascii="Times New Roman" w:hAnsi="Times New Roman"/>
        </w:rPr>
        <w:fldChar w:fldCharType="separate"/>
      </w:r>
      <w:r>
        <w:rPr>
          <w:rFonts w:hint="eastAsia"/>
        </w:rPr>
        <w:t>6.4 预案实施时间</w:t>
      </w:r>
      <w:r>
        <w:tab/>
      </w:r>
      <w:r>
        <w:fldChar w:fldCharType="begin"/>
      </w:r>
      <w:r>
        <w:instrText xml:space="preserve"> PAGEREF _Toc1704417788 \h </w:instrText>
      </w:r>
      <w:r>
        <w:fldChar w:fldCharType="separate"/>
      </w:r>
      <w:r>
        <w:t>25</w:t>
      </w:r>
      <w:r>
        <w:fldChar w:fldCharType="end"/>
      </w:r>
      <w:r>
        <w:rPr>
          <w:rFonts w:ascii="Times New Roman" w:hAnsi="Times New Roman"/>
        </w:rPr>
        <w:fldChar w:fldCharType="end"/>
      </w:r>
    </w:p>
    <w:p w14:paraId="4A549A27">
      <w:pPr>
        <w:pStyle w:val="10"/>
        <w:tabs>
          <w:tab w:val="right" w:leader="dot" w:pos="8306"/>
        </w:tabs>
        <w:ind w:left="0" w:leftChars="0" w:firstLine="0" w:firstLineChars="0"/>
      </w:pPr>
      <w:r>
        <w:rPr>
          <w:rFonts w:ascii="Times New Roman" w:hAnsi="Times New Roman"/>
        </w:rPr>
        <w:fldChar w:fldCharType="begin"/>
      </w:r>
      <w:r>
        <w:rPr>
          <w:rFonts w:ascii="Times New Roman" w:hAnsi="Times New Roman"/>
        </w:rPr>
        <w:instrText xml:space="preserve"> HYPERLINK \l _Toc2120114106 </w:instrText>
      </w:r>
      <w:r>
        <w:rPr>
          <w:rFonts w:ascii="Times New Roman" w:hAnsi="Times New Roman"/>
        </w:rPr>
        <w:fldChar w:fldCharType="separate"/>
      </w:r>
      <w:r>
        <w:rPr>
          <w:rFonts w:hint="eastAsia" w:ascii="方正黑体_GBK" w:hAnsi="方正黑体_GBK" w:eastAsia="方正黑体_GBK" w:cs="方正黑体_GBK"/>
        </w:rPr>
        <w:t>附件</w:t>
      </w:r>
      <w:r>
        <w:rPr>
          <w:rFonts w:hint="eastAsia" w:ascii="CESI仿宋-GB18030" w:hAnsi="CESI仿宋-GB18030" w:eastAsia="CESI仿宋-GB18030" w:cs="CESI仿宋-GB18030"/>
          <w:lang w:val="en-US" w:eastAsia="zh-CN"/>
        </w:rPr>
        <w:t>1.</w:t>
      </w:r>
      <w:r>
        <w:rPr>
          <w:rFonts w:hint="eastAsia" w:ascii="CESI仿宋-GB18030" w:hAnsi="CESI仿宋-GB18030" w:eastAsia="CESI仿宋-GB18030" w:cs="CESI仿宋-GB18030"/>
        </w:rPr>
        <w:t>盐田区地质灾害应急指挥架构图</w:t>
      </w:r>
      <w:r>
        <w:tab/>
      </w:r>
      <w:r>
        <w:fldChar w:fldCharType="begin"/>
      </w:r>
      <w:r>
        <w:instrText xml:space="preserve"> PAGEREF _Toc2120114106 \h </w:instrText>
      </w:r>
      <w:r>
        <w:fldChar w:fldCharType="separate"/>
      </w:r>
      <w:r>
        <w:t>26</w:t>
      </w:r>
      <w:r>
        <w:fldChar w:fldCharType="end"/>
      </w:r>
      <w:r>
        <w:rPr>
          <w:rFonts w:ascii="Times New Roman" w:hAnsi="Times New Roman"/>
        </w:rPr>
        <w:fldChar w:fldCharType="end"/>
      </w:r>
    </w:p>
    <w:p w14:paraId="625490B3">
      <w:pPr>
        <w:pStyle w:val="10"/>
        <w:tabs>
          <w:tab w:val="right" w:leader="dot" w:pos="8306"/>
        </w:tabs>
      </w:pPr>
      <w:r>
        <w:rPr>
          <w:rFonts w:ascii="Times New Roman" w:hAnsi="Times New Roman"/>
        </w:rPr>
        <w:fldChar w:fldCharType="begin"/>
      </w:r>
      <w:r>
        <w:rPr>
          <w:rFonts w:ascii="Times New Roman" w:hAnsi="Times New Roman"/>
        </w:rPr>
        <w:instrText xml:space="preserve"> HYPERLINK \l _Toc1599700849 </w:instrText>
      </w:r>
      <w:r>
        <w:rPr>
          <w:rFonts w:ascii="Times New Roman" w:hAnsi="Times New Roman"/>
        </w:rPr>
        <w:fldChar w:fldCharType="separate"/>
      </w:r>
      <w:r>
        <w:rPr>
          <w:rFonts w:hint="eastAsia" w:ascii="CESI仿宋-GB18030" w:hAnsi="CESI仿宋-GB18030" w:eastAsia="CESI仿宋-GB18030" w:cs="CESI仿宋-GB18030"/>
          <w:lang w:val="en-US" w:eastAsia="zh-CN"/>
        </w:rPr>
        <w:t>2.</w:t>
      </w:r>
      <w:r>
        <w:rPr>
          <w:rFonts w:hint="eastAsia" w:ascii="CESI仿宋-GB18030" w:hAnsi="CESI仿宋-GB18030" w:eastAsia="CESI仿宋-GB18030" w:cs="CESI仿宋-GB18030"/>
        </w:rPr>
        <w:t>盐田区地质灾害应急指挥部工作组及职责</w:t>
      </w:r>
      <w:r>
        <w:tab/>
      </w:r>
      <w:r>
        <w:fldChar w:fldCharType="begin"/>
      </w:r>
      <w:r>
        <w:instrText xml:space="preserve"> PAGEREF _Toc1599700849 \h </w:instrText>
      </w:r>
      <w:r>
        <w:fldChar w:fldCharType="separate"/>
      </w:r>
      <w:r>
        <w:t>26</w:t>
      </w:r>
      <w:r>
        <w:fldChar w:fldCharType="end"/>
      </w:r>
      <w:r>
        <w:rPr>
          <w:rFonts w:ascii="Times New Roman" w:hAnsi="Times New Roman"/>
        </w:rPr>
        <w:fldChar w:fldCharType="end"/>
      </w:r>
    </w:p>
    <w:p w14:paraId="691F6F04">
      <w:pPr>
        <w:pStyle w:val="10"/>
        <w:tabs>
          <w:tab w:val="right" w:leader="dot" w:pos="8306"/>
        </w:tabs>
      </w:pPr>
      <w:r>
        <w:rPr>
          <w:rFonts w:ascii="Times New Roman" w:hAnsi="Times New Roman"/>
        </w:rPr>
        <w:fldChar w:fldCharType="begin"/>
      </w:r>
      <w:r>
        <w:rPr>
          <w:rFonts w:ascii="Times New Roman" w:hAnsi="Times New Roman"/>
        </w:rPr>
        <w:instrText xml:space="preserve"> HYPERLINK \l _Toc513734551 </w:instrText>
      </w:r>
      <w:r>
        <w:rPr>
          <w:rFonts w:ascii="Times New Roman" w:hAnsi="Times New Roman"/>
        </w:rPr>
        <w:fldChar w:fldCharType="separate"/>
      </w:r>
      <w:r>
        <w:rPr>
          <w:rFonts w:hint="eastAsia" w:ascii="CESI仿宋-GB18030" w:hAnsi="CESI仿宋-GB18030" w:eastAsia="CESI仿宋-GB18030" w:cs="CESI仿宋-GB18030"/>
          <w:lang w:val="en-US" w:eastAsia="zh-CN"/>
        </w:rPr>
        <w:t>3.</w:t>
      </w:r>
      <w:r>
        <w:rPr>
          <w:rFonts w:hint="eastAsia" w:ascii="CESI仿宋-GB18030" w:hAnsi="CESI仿宋-GB18030" w:eastAsia="CESI仿宋-GB18030" w:cs="CESI仿宋-GB18030"/>
        </w:rPr>
        <w:t>突发地质灾害分级</w:t>
      </w:r>
      <w:r>
        <w:tab/>
      </w:r>
      <w:r>
        <w:fldChar w:fldCharType="begin"/>
      </w:r>
      <w:r>
        <w:instrText xml:space="preserve"> PAGEREF _Toc513734551 \h </w:instrText>
      </w:r>
      <w:r>
        <w:fldChar w:fldCharType="separate"/>
      </w:r>
      <w:r>
        <w:t>26</w:t>
      </w:r>
      <w:r>
        <w:fldChar w:fldCharType="end"/>
      </w:r>
      <w:r>
        <w:rPr>
          <w:rFonts w:ascii="Times New Roman" w:hAnsi="Times New Roman"/>
        </w:rPr>
        <w:fldChar w:fldCharType="end"/>
      </w:r>
    </w:p>
    <w:p w14:paraId="1A64B767">
      <w:pPr>
        <w:pStyle w:val="10"/>
        <w:tabs>
          <w:tab w:val="right" w:leader="dot" w:pos="8306"/>
        </w:tabs>
      </w:pPr>
      <w:r>
        <w:rPr>
          <w:rFonts w:ascii="Times New Roman" w:hAnsi="Times New Roman"/>
        </w:rPr>
        <w:fldChar w:fldCharType="begin"/>
      </w:r>
      <w:r>
        <w:rPr>
          <w:rFonts w:ascii="Times New Roman" w:hAnsi="Times New Roman"/>
        </w:rPr>
        <w:instrText xml:space="preserve"> HYPERLINK \l _Toc650043669 </w:instrText>
      </w:r>
      <w:r>
        <w:rPr>
          <w:rFonts w:ascii="Times New Roman" w:hAnsi="Times New Roman"/>
        </w:rPr>
        <w:fldChar w:fldCharType="separate"/>
      </w:r>
      <w:r>
        <w:rPr>
          <w:rFonts w:hint="eastAsia" w:ascii="CESI仿宋-GB18030" w:hAnsi="CESI仿宋-GB18030" w:eastAsia="CESI仿宋-GB18030" w:cs="CESI仿宋-GB18030"/>
          <w:lang w:val="en-US" w:eastAsia="zh-CN"/>
        </w:rPr>
        <w:t>4.</w:t>
      </w:r>
      <w:r>
        <w:rPr>
          <w:rFonts w:hint="eastAsia" w:ascii="CESI仿宋-GB18030" w:hAnsi="CESI仿宋-GB18030" w:eastAsia="CESI仿宋-GB18030" w:cs="CESI仿宋-GB18030"/>
        </w:rPr>
        <w:t>盐田区地质灾害应急指挥体系流程图</w:t>
      </w:r>
      <w:r>
        <w:tab/>
      </w:r>
      <w:r>
        <w:fldChar w:fldCharType="begin"/>
      </w:r>
      <w:r>
        <w:instrText xml:space="preserve"> PAGEREF _Toc650043669 \h </w:instrText>
      </w:r>
      <w:r>
        <w:fldChar w:fldCharType="separate"/>
      </w:r>
      <w:r>
        <w:t>26</w:t>
      </w:r>
      <w:r>
        <w:fldChar w:fldCharType="end"/>
      </w:r>
      <w:r>
        <w:rPr>
          <w:rFonts w:ascii="Times New Roman" w:hAnsi="Times New Roman"/>
        </w:rPr>
        <w:fldChar w:fldCharType="end"/>
      </w:r>
    </w:p>
    <w:p w14:paraId="149C6829">
      <w:pPr>
        <w:pStyle w:val="10"/>
        <w:tabs>
          <w:tab w:val="right" w:leader="dot" w:pos="8306"/>
        </w:tabs>
      </w:pPr>
      <w:r>
        <w:rPr>
          <w:rFonts w:ascii="Times New Roman" w:hAnsi="Times New Roman"/>
        </w:rPr>
        <w:fldChar w:fldCharType="begin"/>
      </w:r>
      <w:r>
        <w:rPr>
          <w:rFonts w:ascii="Times New Roman" w:hAnsi="Times New Roman"/>
        </w:rPr>
        <w:instrText xml:space="preserve"> HYPERLINK \l _Toc999200201 </w:instrText>
      </w:r>
      <w:r>
        <w:rPr>
          <w:rFonts w:ascii="Times New Roman" w:hAnsi="Times New Roman"/>
        </w:rPr>
        <w:fldChar w:fldCharType="separate"/>
      </w:r>
      <w:r>
        <w:rPr>
          <w:rFonts w:hint="eastAsia" w:ascii="CESI仿宋-GB18030" w:hAnsi="CESI仿宋-GB18030" w:eastAsia="CESI仿宋-GB18030" w:cs="CESI仿宋-GB18030"/>
          <w:lang w:val="en-US" w:eastAsia="zh-CN"/>
        </w:rPr>
        <w:t>5.</w:t>
      </w:r>
      <w:r>
        <w:rPr>
          <w:rFonts w:hint="eastAsia" w:ascii="CESI仿宋-GB18030" w:hAnsi="CESI仿宋-GB18030" w:eastAsia="CESI仿宋-GB18030" w:cs="CESI仿宋-GB18030"/>
        </w:rPr>
        <w:t>盐田区突发地质灾害信息报告表</w:t>
      </w:r>
      <w:r>
        <w:tab/>
      </w:r>
      <w:r>
        <w:fldChar w:fldCharType="begin"/>
      </w:r>
      <w:r>
        <w:instrText xml:space="preserve"> PAGEREF _Toc999200201 \h </w:instrText>
      </w:r>
      <w:r>
        <w:fldChar w:fldCharType="separate"/>
      </w:r>
      <w:r>
        <w:t>26</w:t>
      </w:r>
      <w:r>
        <w:fldChar w:fldCharType="end"/>
      </w:r>
      <w:r>
        <w:rPr>
          <w:rFonts w:ascii="Times New Roman" w:hAnsi="Times New Roman"/>
        </w:rPr>
        <w:fldChar w:fldCharType="end"/>
      </w:r>
    </w:p>
    <w:p w14:paraId="5543152A">
      <w:pPr>
        <w:pStyle w:val="10"/>
        <w:tabs>
          <w:tab w:val="right" w:leader="dot" w:pos="8306"/>
        </w:tabs>
      </w:pPr>
      <w:r>
        <w:rPr>
          <w:rFonts w:ascii="Times New Roman" w:hAnsi="Times New Roman"/>
        </w:rPr>
        <w:fldChar w:fldCharType="begin"/>
      </w:r>
      <w:r>
        <w:rPr>
          <w:rFonts w:ascii="Times New Roman" w:hAnsi="Times New Roman"/>
        </w:rPr>
        <w:instrText xml:space="preserve"> HYPERLINK \l _Toc1876862160 </w:instrText>
      </w:r>
      <w:r>
        <w:rPr>
          <w:rFonts w:ascii="Times New Roman" w:hAnsi="Times New Roman"/>
        </w:rPr>
        <w:fldChar w:fldCharType="separate"/>
      </w:r>
      <w:r>
        <w:rPr>
          <w:rFonts w:hint="eastAsia" w:ascii="CESI仿宋-GB18030" w:hAnsi="CESI仿宋-GB18030" w:eastAsia="CESI仿宋-GB18030" w:cs="CESI仿宋-GB18030"/>
          <w:lang w:val="en-US" w:eastAsia="zh-CN"/>
        </w:rPr>
        <w:t>6.</w:t>
      </w:r>
      <w:r>
        <w:rPr>
          <w:rFonts w:hint="eastAsia" w:ascii="CESI仿宋-GB18030" w:hAnsi="CESI仿宋-GB18030" w:eastAsia="CESI仿宋-GB18030" w:cs="CESI仿宋-GB18030"/>
        </w:rPr>
        <w:t>盐田区突发地质灾害应急响应工作情况报送表</w:t>
      </w:r>
      <w:r>
        <w:tab/>
      </w:r>
      <w:r>
        <w:fldChar w:fldCharType="begin"/>
      </w:r>
      <w:r>
        <w:instrText xml:space="preserve"> PAGEREF _Toc1876862160 \h </w:instrText>
      </w:r>
      <w:r>
        <w:fldChar w:fldCharType="separate"/>
      </w:r>
      <w:r>
        <w:t>26</w:t>
      </w:r>
      <w:r>
        <w:fldChar w:fldCharType="end"/>
      </w:r>
      <w:r>
        <w:rPr>
          <w:rFonts w:ascii="Times New Roman" w:hAnsi="Times New Roman"/>
        </w:rPr>
        <w:fldChar w:fldCharType="end"/>
      </w:r>
    </w:p>
    <w:p w14:paraId="19F2EE92">
      <w:pPr>
        <w:pStyle w:val="10"/>
        <w:tabs>
          <w:tab w:val="right" w:leader="dot" w:pos="8306"/>
        </w:tabs>
      </w:pPr>
      <w:r>
        <w:rPr>
          <w:rFonts w:ascii="Times New Roman" w:hAnsi="Times New Roman"/>
        </w:rPr>
        <w:fldChar w:fldCharType="begin"/>
      </w:r>
      <w:r>
        <w:rPr>
          <w:rFonts w:ascii="Times New Roman" w:hAnsi="Times New Roman"/>
        </w:rPr>
        <w:instrText xml:space="preserve"> HYPERLINK \l _Toc1075226005 </w:instrText>
      </w:r>
      <w:r>
        <w:rPr>
          <w:rFonts w:ascii="Times New Roman" w:hAnsi="Times New Roman"/>
        </w:rPr>
        <w:fldChar w:fldCharType="separate"/>
      </w:r>
      <w:r>
        <w:rPr>
          <w:rFonts w:hint="eastAsia" w:ascii="CESI仿宋-GB18030" w:hAnsi="CESI仿宋-GB18030" w:eastAsia="CESI仿宋-GB18030" w:cs="CESI仿宋-GB18030"/>
          <w:lang w:val="en-US" w:eastAsia="zh-CN"/>
        </w:rPr>
        <w:t>7.</w:t>
      </w:r>
      <w:r>
        <w:rPr>
          <w:rFonts w:hint="eastAsia" w:ascii="CESI仿宋-GB18030" w:hAnsi="CESI仿宋-GB18030" w:eastAsia="CESI仿宋-GB18030" w:cs="CESI仿宋-GB18030"/>
        </w:rPr>
        <w:t>关于启动盐田区突发地质灾害应急响应的通知</w:t>
      </w:r>
      <w:r>
        <w:tab/>
      </w:r>
      <w:r>
        <w:fldChar w:fldCharType="begin"/>
      </w:r>
      <w:r>
        <w:instrText xml:space="preserve"> PAGEREF _Toc1075226005 \h </w:instrText>
      </w:r>
      <w:r>
        <w:fldChar w:fldCharType="separate"/>
      </w:r>
      <w:r>
        <w:t>26</w:t>
      </w:r>
      <w:r>
        <w:fldChar w:fldCharType="end"/>
      </w:r>
      <w:r>
        <w:rPr>
          <w:rFonts w:ascii="Times New Roman" w:hAnsi="Times New Roman"/>
        </w:rPr>
        <w:fldChar w:fldCharType="end"/>
      </w:r>
    </w:p>
    <w:p w14:paraId="0A2A1957">
      <w:pPr>
        <w:pStyle w:val="10"/>
        <w:tabs>
          <w:tab w:val="right" w:leader="dot" w:pos="8306"/>
        </w:tabs>
      </w:pPr>
      <w:r>
        <w:rPr>
          <w:rFonts w:ascii="Times New Roman" w:hAnsi="Times New Roman"/>
        </w:rPr>
        <w:fldChar w:fldCharType="begin"/>
      </w:r>
      <w:r>
        <w:rPr>
          <w:rFonts w:ascii="Times New Roman" w:hAnsi="Times New Roman"/>
        </w:rPr>
        <w:instrText xml:space="preserve"> HYPERLINK \l _Toc992131171 </w:instrText>
      </w:r>
      <w:r>
        <w:rPr>
          <w:rFonts w:ascii="Times New Roman" w:hAnsi="Times New Roman"/>
        </w:rPr>
        <w:fldChar w:fldCharType="separate"/>
      </w:r>
      <w:r>
        <w:rPr>
          <w:rFonts w:hint="eastAsia" w:ascii="CESI仿宋-GB18030" w:hAnsi="CESI仿宋-GB18030" w:eastAsia="CESI仿宋-GB18030" w:cs="CESI仿宋-GB18030"/>
          <w:lang w:val="en-US" w:eastAsia="zh-CN"/>
        </w:rPr>
        <w:t>8.</w:t>
      </w:r>
      <w:r>
        <w:rPr>
          <w:rFonts w:hint="eastAsia" w:ascii="CESI仿宋-GB18030" w:hAnsi="CESI仿宋-GB18030" w:eastAsia="CESI仿宋-GB18030" w:cs="CESI仿宋-GB18030"/>
        </w:rPr>
        <w:t>盐田区突发地质灾害专家库</w:t>
      </w:r>
      <w:r>
        <w:tab/>
      </w:r>
      <w:r>
        <w:fldChar w:fldCharType="begin"/>
      </w:r>
      <w:r>
        <w:instrText xml:space="preserve"> PAGEREF _Toc992131171 \h </w:instrText>
      </w:r>
      <w:r>
        <w:fldChar w:fldCharType="separate"/>
      </w:r>
      <w:r>
        <w:t>26</w:t>
      </w:r>
      <w:r>
        <w:fldChar w:fldCharType="end"/>
      </w:r>
      <w:r>
        <w:rPr>
          <w:rFonts w:ascii="Times New Roman" w:hAnsi="Times New Roman"/>
        </w:rPr>
        <w:fldChar w:fldCharType="end"/>
      </w:r>
    </w:p>
    <w:p w14:paraId="5D57077E">
      <w:pPr>
        <w:pStyle w:val="10"/>
        <w:tabs>
          <w:tab w:val="right" w:leader="dot" w:pos="8306"/>
        </w:tabs>
      </w:pPr>
      <w:r>
        <w:rPr>
          <w:rFonts w:ascii="Times New Roman" w:hAnsi="Times New Roman"/>
        </w:rPr>
        <w:fldChar w:fldCharType="begin"/>
      </w:r>
      <w:r>
        <w:rPr>
          <w:rFonts w:ascii="Times New Roman" w:hAnsi="Times New Roman"/>
        </w:rPr>
        <w:instrText xml:space="preserve"> HYPERLINK \l _Toc570939105 </w:instrText>
      </w:r>
      <w:r>
        <w:rPr>
          <w:rFonts w:ascii="Times New Roman" w:hAnsi="Times New Roman"/>
        </w:rPr>
        <w:fldChar w:fldCharType="separate"/>
      </w:r>
      <w:r>
        <w:rPr>
          <w:rFonts w:hint="eastAsia" w:ascii="CESI仿宋-GB18030" w:hAnsi="CESI仿宋-GB18030" w:eastAsia="CESI仿宋-GB18030" w:cs="CESI仿宋-GB18030"/>
          <w:lang w:val="en-US" w:eastAsia="zh-CN"/>
        </w:rPr>
        <w:t>9.</w:t>
      </w:r>
      <w:r>
        <w:rPr>
          <w:rFonts w:hint="eastAsia" w:ascii="CESI仿宋-GB18030" w:hAnsi="CESI仿宋-GB18030" w:eastAsia="CESI仿宋-GB18030" w:cs="CESI仿宋-GB18030"/>
        </w:rPr>
        <w:t>盐田区地质灾害隐患点一览表</w:t>
      </w:r>
      <w:r>
        <w:tab/>
      </w:r>
      <w:r>
        <w:fldChar w:fldCharType="begin"/>
      </w:r>
      <w:r>
        <w:instrText xml:space="preserve"> PAGEREF _Toc570939105 \h </w:instrText>
      </w:r>
      <w:r>
        <w:fldChar w:fldCharType="separate"/>
      </w:r>
      <w:r>
        <w:t>26</w:t>
      </w:r>
      <w:r>
        <w:fldChar w:fldCharType="end"/>
      </w:r>
      <w:r>
        <w:rPr>
          <w:rFonts w:ascii="Times New Roman" w:hAnsi="Times New Roman"/>
        </w:rPr>
        <w:fldChar w:fldCharType="end"/>
      </w:r>
    </w:p>
    <w:p w14:paraId="20D723F7">
      <w:pPr>
        <w:pStyle w:val="10"/>
        <w:tabs>
          <w:tab w:val="right" w:leader="dot" w:pos="8306"/>
        </w:tabs>
      </w:pPr>
      <w:r>
        <w:rPr>
          <w:rFonts w:ascii="Times New Roman" w:hAnsi="Times New Roman"/>
        </w:rPr>
        <w:fldChar w:fldCharType="begin"/>
      </w:r>
      <w:r>
        <w:rPr>
          <w:rFonts w:ascii="Times New Roman" w:hAnsi="Times New Roman"/>
        </w:rPr>
        <w:instrText xml:space="preserve"> HYPERLINK \l _Toc206796238 </w:instrText>
      </w:r>
      <w:r>
        <w:rPr>
          <w:rFonts w:ascii="Times New Roman" w:hAnsi="Times New Roman"/>
        </w:rPr>
        <w:fldChar w:fldCharType="separate"/>
      </w:r>
      <w:r>
        <w:rPr>
          <w:rFonts w:hint="eastAsia" w:ascii="CESI仿宋-GB18030" w:hAnsi="CESI仿宋-GB18030" w:eastAsia="CESI仿宋-GB18030" w:cs="CESI仿宋-GB18030"/>
          <w:lang w:val="en-US" w:eastAsia="zh-CN"/>
        </w:rPr>
        <w:t>10.盐田区地质灾害应急指挥部通讯录</w:t>
      </w:r>
      <w:r>
        <w:tab/>
      </w:r>
      <w:r>
        <w:fldChar w:fldCharType="begin"/>
      </w:r>
      <w:r>
        <w:instrText xml:space="preserve"> PAGEREF _Toc206796238 \h </w:instrText>
      </w:r>
      <w:r>
        <w:fldChar w:fldCharType="separate"/>
      </w:r>
      <w:r>
        <w:t>26</w:t>
      </w:r>
      <w:r>
        <w:fldChar w:fldCharType="end"/>
      </w:r>
      <w:r>
        <w:rPr>
          <w:rFonts w:ascii="Times New Roman" w:hAnsi="Times New Roman"/>
        </w:rPr>
        <w:fldChar w:fldCharType="end"/>
      </w:r>
    </w:p>
    <w:p w14:paraId="35A70218">
      <w:pPr>
        <w:pStyle w:val="10"/>
        <w:tabs>
          <w:tab w:val="right" w:leader="dot" w:pos="8306"/>
        </w:tabs>
      </w:pPr>
      <w:r>
        <w:rPr>
          <w:rFonts w:ascii="Times New Roman" w:hAnsi="Times New Roman"/>
        </w:rPr>
        <w:fldChar w:fldCharType="begin"/>
      </w:r>
      <w:r>
        <w:rPr>
          <w:rFonts w:ascii="Times New Roman" w:hAnsi="Times New Roman"/>
        </w:rPr>
        <w:instrText xml:space="preserve"> HYPERLINK \l _Toc365548578 </w:instrText>
      </w:r>
      <w:r>
        <w:rPr>
          <w:rFonts w:ascii="Times New Roman" w:hAnsi="Times New Roman"/>
        </w:rPr>
        <w:fldChar w:fldCharType="separate"/>
      </w:r>
      <w:r>
        <w:rPr>
          <w:rFonts w:hint="eastAsia" w:ascii="CESI仿宋-GB18030" w:hAnsi="CESI仿宋-GB18030" w:eastAsia="CESI仿宋-GB18030" w:cs="CESI仿宋-GB18030"/>
          <w:lang w:val="en-US" w:eastAsia="zh-CN"/>
        </w:rPr>
        <w:t>11.突发地质灾害应急指挥与处置工作图</w:t>
      </w:r>
      <w:r>
        <w:tab/>
      </w:r>
      <w:r>
        <w:fldChar w:fldCharType="begin"/>
      </w:r>
      <w:r>
        <w:instrText xml:space="preserve"> PAGEREF _Toc365548578 \h </w:instrText>
      </w:r>
      <w:r>
        <w:fldChar w:fldCharType="separate"/>
      </w:r>
      <w:r>
        <w:t>26</w:t>
      </w:r>
      <w:r>
        <w:fldChar w:fldCharType="end"/>
      </w:r>
      <w:r>
        <w:rPr>
          <w:rFonts w:ascii="Times New Roman" w:hAnsi="Times New Roman"/>
        </w:rPr>
        <w:fldChar w:fldCharType="end"/>
      </w:r>
    </w:p>
    <w:p w14:paraId="2D0BE77E">
      <w:pPr>
        <w:tabs>
          <w:tab w:val="right" w:leader="dot" w:pos="8306"/>
        </w:tabs>
        <w:spacing w:line="560" w:lineRule="exact"/>
        <w:rPr>
          <w:rFonts w:hint="eastAsia" w:ascii="仿宋_GB2312" w:hAnsi="仿宋_GB2312" w:cs="仿宋_GB2312"/>
        </w:rPr>
      </w:pPr>
      <w:r>
        <w:rPr>
          <w:rFonts w:ascii="Times New Roman" w:hAnsi="Times New Roman"/>
        </w:rPr>
        <w:fldChar w:fldCharType="end"/>
      </w:r>
    </w:p>
    <w:p w14:paraId="7F80116E">
      <w:pPr>
        <w:pStyle w:val="11"/>
        <w:widowControl/>
        <w:spacing w:before="0" w:beforeAutospacing="0" w:after="0" w:afterAutospacing="0"/>
        <w:ind w:firstLine="0" w:firstLineChars="0"/>
        <w:rPr>
          <w:rFonts w:hint="eastAsia" w:ascii="黑体" w:hAnsi="黑体" w:eastAsia="黑体" w:cs="黑体"/>
          <w:kern w:val="2"/>
          <w:sz w:val="32"/>
        </w:rPr>
        <w:sectPr>
          <w:footerReference r:id="rId3" w:type="default"/>
          <w:pgSz w:w="11906" w:h="16838"/>
          <w:pgMar w:top="1440" w:right="1800" w:bottom="1440" w:left="1800" w:header="851" w:footer="992" w:gutter="0"/>
          <w:pgNumType w:fmt="decimal" w:start="1"/>
          <w:cols w:space="720" w:num="1"/>
          <w:docGrid w:type="lines" w:linePitch="312" w:charSpace="0"/>
        </w:sectPr>
      </w:pPr>
    </w:p>
    <w:p w14:paraId="7B2A3496">
      <w:pPr>
        <w:pStyle w:val="3"/>
        <w:spacing w:before="0" w:beforeLines="0" w:after="0" w:afterLines="0"/>
        <w:ind w:firstLine="640" w:firstLineChars="200"/>
        <w:jc w:val="both"/>
        <w:rPr>
          <w:rFonts w:hint="eastAsia" w:ascii="黑体" w:hAnsi="黑体" w:eastAsia="黑体" w:cs="黑体"/>
          <w:sz w:val="32"/>
          <w:szCs w:val="32"/>
        </w:rPr>
      </w:pPr>
      <w:bookmarkStart w:id="0" w:name="_Toc27499"/>
      <w:bookmarkStart w:id="1" w:name="_Toc3365726"/>
      <w:bookmarkStart w:id="2" w:name="_Toc11503"/>
      <w:bookmarkStart w:id="3" w:name="_Toc23352"/>
      <w:r>
        <w:rPr>
          <w:rFonts w:hint="eastAsia" w:ascii="黑体" w:hAnsi="黑体" w:eastAsia="黑体" w:cs="黑体"/>
          <w:sz w:val="32"/>
          <w:szCs w:val="32"/>
        </w:rPr>
        <w:t>1 总则</w:t>
      </w:r>
      <w:bookmarkEnd w:id="0"/>
      <w:bookmarkEnd w:id="1"/>
      <w:bookmarkEnd w:id="2"/>
      <w:bookmarkEnd w:id="3"/>
    </w:p>
    <w:p w14:paraId="6E7B4C18">
      <w:pPr>
        <w:pStyle w:val="4"/>
        <w:ind w:firstLine="640"/>
        <w:rPr>
          <w:rFonts w:hint="eastAsia"/>
        </w:rPr>
      </w:pPr>
      <w:bookmarkStart w:id="4" w:name="_Toc22495"/>
      <w:bookmarkStart w:id="5" w:name="_Toc6532"/>
      <w:bookmarkStart w:id="6" w:name="_Toc3257"/>
      <w:bookmarkStart w:id="7" w:name="_Toc1536286227"/>
      <w:r>
        <w:rPr>
          <w:rFonts w:hint="eastAsia"/>
        </w:rPr>
        <w:t>1.1 指导思想</w:t>
      </w:r>
      <w:bookmarkEnd w:id="4"/>
      <w:bookmarkEnd w:id="5"/>
      <w:bookmarkEnd w:id="6"/>
      <w:bookmarkEnd w:id="7"/>
    </w:p>
    <w:p w14:paraId="1C85EF59">
      <w:pPr>
        <w:pStyle w:val="11"/>
        <w:widowControl/>
        <w:spacing w:before="0" w:beforeAutospacing="0" w:after="0" w:afterAutospacing="0"/>
        <w:ind w:firstLine="640"/>
        <w:rPr>
          <w:rFonts w:hint="eastAsia" w:cs="仿宋_GB2312"/>
          <w:sz w:val="32"/>
          <w:szCs w:val="32"/>
        </w:rPr>
      </w:pPr>
      <w:r>
        <w:rPr>
          <w:rFonts w:hint="eastAsia" w:cs="仿宋_GB2312"/>
          <w:sz w:val="32"/>
          <w:szCs w:val="32"/>
        </w:rPr>
        <w:t>深入贯彻习近平总书记关于防灾减灾救灾重要论述精神，坚持以防为主、防抗救相结合，坚持常态减灾和非常态救灾相统一，努力实现从注重灾后救助向注重灾前预防转变，从应对单一灾种向综合减灾转变，从减少灾害损失向减轻灾害风险转变。科学、有序、高效地做好突发地质灾害应急工作，为全面推进盐田区地质灾害防治能力现代化建设提供有力保障。</w:t>
      </w:r>
    </w:p>
    <w:p w14:paraId="5A049DF2">
      <w:pPr>
        <w:pStyle w:val="4"/>
        <w:ind w:firstLine="640"/>
        <w:rPr>
          <w:rFonts w:hint="eastAsia"/>
        </w:rPr>
      </w:pPr>
      <w:bookmarkStart w:id="8" w:name="_Toc5910"/>
      <w:bookmarkStart w:id="9" w:name="_Toc12646"/>
      <w:bookmarkStart w:id="10" w:name="_Toc26206"/>
      <w:bookmarkStart w:id="11" w:name="_Toc1141408913"/>
      <w:r>
        <w:rPr>
          <w:rFonts w:hint="eastAsia"/>
        </w:rPr>
        <w:t>1.2 编制依据</w:t>
      </w:r>
      <w:bookmarkEnd w:id="8"/>
      <w:bookmarkEnd w:id="9"/>
      <w:bookmarkEnd w:id="10"/>
      <w:bookmarkEnd w:id="11"/>
    </w:p>
    <w:p w14:paraId="58E65E16">
      <w:pPr>
        <w:pStyle w:val="11"/>
        <w:widowControl/>
        <w:spacing w:before="0" w:beforeAutospacing="0" w:after="0" w:afterAutospacing="0"/>
        <w:ind w:firstLine="640"/>
        <w:rPr>
          <w:rFonts w:hint="eastAsia" w:cs="仿宋_GB2312"/>
          <w:sz w:val="32"/>
          <w:szCs w:val="32"/>
        </w:rPr>
      </w:pPr>
      <w:r>
        <w:rPr>
          <w:rFonts w:hint="eastAsia" w:cs="仿宋_GB2312"/>
          <w:sz w:val="32"/>
          <w:szCs w:val="32"/>
        </w:rPr>
        <w:t>依据《中华人民共和国突发事件应对法》《地质灾害防治条例》《突发事件应急预案管理办法》《广东省突发事件应对条例》《深圳经济特区自然灾害防治条例》《深圳市地质灾害防治管理办法》《深圳市突发事件总体应急预案》《深圳市突发地质灾害应急预案》《盐田区突发事件总体应急预案》《盐田区突发事件应急预案管理办法》等法律法规及有关规定，制定本预案。</w:t>
      </w:r>
    </w:p>
    <w:p w14:paraId="4078C4EE">
      <w:pPr>
        <w:pStyle w:val="4"/>
        <w:ind w:firstLine="640"/>
        <w:rPr>
          <w:rFonts w:hint="eastAsia"/>
        </w:rPr>
      </w:pPr>
      <w:bookmarkStart w:id="12" w:name="_Toc5357"/>
      <w:bookmarkStart w:id="13" w:name="_Toc2002"/>
      <w:bookmarkStart w:id="14" w:name="_Toc1022021261"/>
      <w:bookmarkStart w:id="15" w:name="_Toc13085"/>
      <w:r>
        <w:rPr>
          <w:rFonts w:hint="eastAsia"/>
        </w:rPr>
        <w:t>1.3 风险现状</w:t>
      </w:r>
      <w:bookmarkEnd w:id="12"/>
      <w:bookmarkEnd w:id="13"/>
      <w:bookmarkEnd w:id="14"/>
      <w:bookmarkEnd w:id="15"/>
    </w:p>
    <w:p w14:paraId="04834CD7">
      <w:pPr>
        <w:spacing w:line="560" w:lineRule="exact"/>
        <w:ind w:firstLine="640" w:firstLineChars="200"/>
        <w:jc w:val="left"/>
        <w:rPr>
          <w:rFonts w:hint="eastAsia" w:ascii="仿宋_GB2312" w:hAnsi="仿宋_GB2312" w:cs="仿宋_GB2312"/>
          <w:kern w:val="0"/>
          <w:szCs w:val="32"/>
        </w:rPr>
      </w:pPr>
      <w:bookmarkStart w:id="16" w:name="_Toc9848"/>
      <w:bookmarkStart w:id="17" w:name="_Toc8990"/>
      <w:bookmarkStart w:id="18" w:name="_Toc23713"/>
      <w:r>
        <w:rPr>
          <w:rFonts w:hint="eastAsia" w:ascii="仿宋_GB2312" w:hAnsi="仿宋_GB2312" w:cs="仿宋_GB2312"/>
          <w:kern w:val="0"/>
          <w:szCs w:val="32"/>
        </w:rPr>
        <w:t>盐田区位于深圳市东部，背山面海</w:t>
      </w:r>
      <w:r>
        <w:rPr>
          <w:rFonts w:hint="eastAsia" w:ascii="仿宋_GB2312" w:hAnsi="仿宋_GB2312" w:cs="仿宋_GB2312"/>
          <w:kern w:val="0"/>
          <w:szCs w:val="32"/>
          <w:lang w:eastAsia="zh-CN"/>
        </w:rPr>
        <w:t>，</w:t>
      </w:r>
      <w:r>
        <w:rPr>
          <w:rFonts w:hint="eastAsia" w:ascii="仿宋_GB2312" w:hAnsi="仿宋_GB2312" w:cs="仿宋_GB2312"/>
          <w:kern w:val="0"/>
          <w:szCs w:val="32"/>
        </w:rPr>
        <w:t>地形北高南低，属低山丘陵滨海地貌。地貌以裸露的基岩和山林为主，主城区建设在狭长的海岸平缓区域。城市建设过程中，因自然山坡开挖与填方工程，形成</w:t>
      </w:r>
      <w:r>
        <w:rPr>
          <w:rFonts w:hint="eastAsia" w:ascii="仿宋_GB2312" w:hAnsi="仿宋_GB2312" w:cs="仿宋_GB2312"/>
          <w:kern w:val="0"/>
          <w:szCs w:val="32"/>
          <w:lang w:eastAsia="zh-CN"/>
        </w:rPr>
        <w:t>的</w:t>
      </w:r>
      <w:r>
        <w:rPr>
          <w:rFonts w:hint="eastAsia" w:ascii="仿宋_GB2312" w:hAnsi="仿宋_GB2312" w:cs="仿宋_GB2312"/>
          <w:kern w:val="0"/>
          <w:szCs w:val="32"/>
        </w:rPr>
        <w:t>众多人工边坡和建筑挡墙，是山体滑坡、挡墙崩塌防治</w:t>
      </w:r>
      <w:r>
        <w:rPr>
          <w:rFonts w:hint="eastAsia" w:ascii="仿宋_GB2312" w:hAnsi="仿宋_GB2312" w:cs="仿宋_GB2312"/>
          <w:kern w:val="0"/>
          <w:szCs w:val="32"/>
          <w:lang w:eastAsia="zh-CN"/>
        </w:rPr>
        <w:t>的</w:t>
      </w:r>
      <w:r>
        <w:rPr>
          <w:rFonts w:hint="eastAsia" w:ascii="仿宋_GB2312" w:hAnsi="仿宋_GB2312" w:cs="仿宋_GB2312"/>
          <w:kern w:val="0"/>
          <w:szCs w:val="32"/>
        </w:rPr>
        <w:t>工作重点。</w:t>
      </w:r>
    </w:p>
    <w:p w14:paraId="7FE21872">
      <w:pPr>
        <w:spacing w:line="560" w:lineRule="exact"/>
        <w:ind w:firstLine="640" w:firstLineChars="200"/>
        <w:rPr>
          <w:rFonts w:hint="eastAsia" w:ascii="仿宋_GB2312" w:hAnsi="仿宋_GB2312" w:cs="仿宋_GB2312"/>
          <w:kern w:val="0"/>
          <w:szCs w:val="32"/>
        </w:rPr>
      </w:pPr>
      <w:r>
        <w:rPr>
          <w:rFonts w:hint="eastAsia" w:ascii="仿宋_GB2312" w:hAnsi="仿宋_GB2312" w:cs="仿宋_GB2312"/>
          <w:kern w:val="0"/>
          <w:szCs w:val="32"/>
        </w:rPr>
        <w:t>我区地质灾害和危险边坡主要分布在沿梧桐山脉城市建设区一线和交通运输道路沿线，主要是修建房屋或修筑交通工程对山体开挖、切坡、回填而形成的建筑边坡。城区北高南低，居住小区逐级分布，形成较多高大挡墙，随着建成时间推移，挡墙结构性变化较大，稳定性存在较大差异，需开展维护管理。</w:t>
      </w:r>
    </w:p>
    <w:p w14:paraId="067038C5">
      <w:pPr>
        <w:spacing w:line="560" w:lineRule="exact"/>
        <w:ind w:firstLine="640" w:firstLineChars="200"/>
        <w:jc w:val="left"/>
        <w:rPr>
          <w:rFonts w:hint="eastAsia" w:ascii="仿宋_GB2312" w:hAnsi="仿宋_GB2312" w:cs="仿宋_GB2312"/>
          <w:kern w:val="0"/>
          <w:szCs w:val="32"/>
        </w:rPr>
      </w:pPr>
      <w:r>
        <w:rPr>
          <w:rFonts w:hint="eastAsia" w:ascii="仿宋_GB2312" w:hAnsi="仿宋_GB2312" w:cs="仿宋_GB2312"/>
          <w:kern w:val="0"/>
          <w:szCs w:val="32"/>
        </w:rPr>
        <w:t>我区地质灾害预防的重点区域为地质灾害易发区</w:t>
      </w:r>
      <w:r>
        <w:rPr>
          <w:rFonts w:hint="eastAsia" w:ascii="仿宋_GB2312" w:hAnsi="仿宋_GB2312" w:cs="仿宋_GB2312"/>
          <w:kern w:val="0"/>
          <w:szCs w:val="32"/>
          <w:lang w:eastAsia="zh-CN"/>
        </w:rPr>
        <w:t>，</w:t>
      </w:r>
      <w:r>
        <w:rPr>
          <w:rFonts w:hint="eastAsia" w:ascii="仿宋_GB2312" w:hAnsi="仿宋_GB2312" w:cs="仿宋_GB2312"/>
          <w:kern w:val="0"/>
          <w:szCs w:val="32"/>
        </w:rPr>
        <w:t>人口密集</w:t>
      </w:r>
      <w:r>
        <w:rPr>
          <w:rFonts w:hint="eastAsia" w:ascii="仿宋_GB2312" w:hAnsi="仿宋_GB2312" w:cs="仿宋_GB2312"/>
          <w:kern w:val="0"/>
          <w:szCs w:val="32"/>
          <w:lang w:eastAsia="zh-CN"/>
        </w:rPr>
        <w:t>，</w:t>
      </w:r>
      <w:r>
        <w:rPr>
          <w:rFonts w:hint="eastAsia" w:ascii="仿宋_GB2312" w:hAnsi="仿宋_GB2312" w:cs="仿宋_GB2312"/>
          <w:kern w:val="0"/>
          <w:szCs w:val="32"/>
        </w:rPr>
        <w:t>工程活动强烈的地区</w:t>
      </w:r>
      <w:r>
        <w:rPr>
          <w:rFonts w:hint="eastAsia" w:ascii="仿宋_GB2312" w:hAnsi="仿宋_GB2312" w:cs="仿宋_GB2312"/>
          <w:kern w:val="0"/>
          <w:szCs w:val="32"/>
          <w:lang w:eastAsia="zh-CN"/>
        </w:rPr>
        <w:t>，</w:t>
      </w:r>
      <w:r>
        <w:rPr>
          <w:rFonts w:hint="eastAsia" w:ascii="仿宋_GB2312" w:hAnsi="仿宋_GB2312" w:cs="仿宋_GB2312"/>
          <w:kern w:val="0"/>
          <w:szCs w:val="32"/>
        </w:rPr>
        <w:t>削坡建房地段</w:t>
      </w:r>
      <w:r>
        <w:rPr>
          <w:rFonts w:hint="eastAsia" w:ascii="仿宋_GB2312" w:hAnsi="仿宋_GB2312" w:cs="仿宋_GB2312"/>
          <w:kern w:val="0"/>
          <w:szCs w:val="32"/>
          <w:lang w:eastAsia="zh-CN"/>
        </w:rPr>
        <w:t>，</w:t>
      </w:r>
      <w:r>
        <w:rPr>
          <w:rFonts w:hint="eastAsia" w:ascii="仿宋_GB2312" w:hAnsi="仿宋_GB2312" w:cs="仿宋_GB2312"/>
          <w:kern w:val="0"/>
          <w:szCs w:val="32"/>
        </w:rPr>
        <w:t>重要交通要道沿线、绿道、登山道等存在地质灾害和危险边坡隐患的区域，主要有：</w:t>
      </w:r>
    </w:p>
    <w:p w14:paraId="7F1F9FE7">
      <w:pPr>
        <w:spacing w:line="560" w:lineRule="exact"/>
        <w:ind w:firstLine="640" w:firstLineChars="200"/>
        <w:jc w:val="left"/>
        <w:rPr>
          <w:rFonts w:hint="eastAsia" w:ascii="仿宋_GB2312" w:hAnsi="仿宋_GB2312" w:cs="仿宋_GB2312"/>
          <w:kern w:val="0"/>
          <w:szCs w:val="32"/>
        </w:rPr>
      </w:pPr>
      <w:r>
        <w:rPr>
          <w:rFonts w:hint="eastAsia" w:ascii="仿宋_GB2312" w:hAnsi="仿宋_GB2312" w:cs="仿宋_GB2312"/>
          <w:kern w:val="0"/>
          <w:szCs w:val="32"/>
        </w:rPr>
        <w:t>（1）沙头角街道办辖区：紧邻梧桐山脚一线，罗沙盘山公路沿线。</w:t>
      </w:r>
    </w:p>
    <w:p w14:paraId="1C3790AB">
      <w:pPr>
        <w:spacing w:line="560" w:lineRule="exact"/>
        <w:ind w:firstLine="640" w:firstLineChars="200"/>
        <w:jc w:val="left"/>
        <w:rPr>
          <w:rFonts w:hint="eastAsia" w:ascii="仿宋_GB2312" w:hAnsi="仿宋_GB2312" w:cs="仿宋_GB2312"/>
          <w:kern w:val="0"/>
          <w:szCs w:val="32"/>
        </w:rPr>
      </w:pPr>
      <w:r>
        <w:rPr>
          <w:rFonts w:hint="eastAsia" w:ascii="仿宋_GB2312" w:hAnsi="仿宋_GB2312" w:cs="仿宋_GB2312"/>
          <w:kern w:val="0"/>
          <w:szCs w:val="32"/>
        </w:rPr>
        <w:t>（2）海山街道办辖区：紧邻梧桐山脚一线，恩上公路、上梧桐路公路沿线挡墙区域。</w:t>
      </w:r>
    </w:p>
    <w:p w14:paraId="6C70EEE6">
      <w:pPr>
        <w:spacing w:line="560" w:lineRule="exact"/>
        <w:ind w:firstLine="640" w:firstLineChars="200"/>
        <w:jc w:val="left"/>
        <w:rPr>
          <w:rFonts w:hint="eastAsia" w:ascii="仿宋_GB2312" w:hAnsi="仿宋_GB2312" w:cs="仿宋_GB2312"/>
          <w:kern w:val="0"/>
          <w:szCs w:val="32"/>
        </w:rPr>
      </w:pPr>
      <w:r>
        <w:rPr>
          <w:rFonts w:hint="eastAsia" w:ascii="仿宋_GB2312" w:hAnsi="仿宋_GB2312" w:cs="仿宋_GB2312"/>
          <w:kern w:val="0"/>
          <w:szCs w:val="32"/>
        </w:rPr>
        <w:t>（3）盐田街道办辖区：环山脚一线，后方陆域建设工地，盐坝高速、盐梅路、横盐公路、盐三公路沿线。</w:t>
      </w:r>
    </w:p>
    <w:p w14:paraId="582B6258">
      <w:pPr>
        <w:spacing w:line="560" w:lineRule="exact"/>
        <w:ind w:firstLine="640" w:firstLineChars="200"/>
        <w:jc w:val="left"/>
        <w:rPr>
          <w:rFonts w:ascii="仿宋_GB2312" w:hAnsi="仿宋_GB2312" w:cs="仿宋_GB2312"/>
          <w:kern w:val="0"/>
          <w:szCs w:val="32"/>
        </w:rPr>
      </w:pPr>
      <w:r>
        <w:rPr>
          <w:rFonts w:hint="eastAsia" w:ascii="仿宋_GB2312" w:hAnsi="仿宋_GB2312" w:cs="仿宋_GB2312"/>
          <w:kern w:val="0"/>
          <w:szCs w:val="32"/>
        </w:rPr>
        <w:t>（4）梅沙街道办辖区：沿山脚建设开发区域，东部华侨城开发区域，大梅沙截洪沟两侧，及盐葵公路沿线、栈道沿线。</w:t>
      </w:r>
    </w:p>
    <w:p w14:paraId="5A345992">
      <w:pPr>
        <w:spacing w:line="560" w:lineRule="exact"/>
        <w:ind w:firstLine="640" w:firstLineChars="200"/>
        <w:jc w:val="left"/>
        <w:rPr>
          <w:rFonts w:hint="eastAsia" w:ascii="仿宋_GB2312" w:hAnsi="仿宋_GB2312" w:cs="仿宋_GB2312"/>
          <w:kern w:val="0"/>
          <w:szCs w:val="32"/>
        </w:rPr>
      </w:pPr>
      <w:r>
        <w:rPr>
          <w:rFonts w:hint="eastAsia" w:ascii="仿宋_GB2312" w:hAnsi="仿宋_GB2312" w:cs="仿宋_GB2312"/>
          <w:kern w:val="0"/>
          <w:szCs w:val="32"/>
        </w:rPr>
        <w:t>强降雨是地质灾害和危险边坡的主要诱发因素，每年汛期是我区地质灾害和危险边坡险情灾情多发期，也是重点防范期。</w:t>
      </w:r>
    </w:p>
    <w:p w14:paraId="6549B2E6">
      <w:pPr>
        <w:spacing w:line="560" w:lineRule="exact"/>
        <w:ind w:firstLine="640" w:firstLineChars="200"/>
        <w:jc w:val="left"/>
        <w:rPr>
          <w:rFonts w:hint="eastAsia" w:ascii="仿宋_GB2312" w:hAnsi="仿宋_GB2312" w:cs="仿宋_GB2312"/>
          <w:kern w:val="0"/>
          <w:szCs w:val="32"/>
        </w:rPr>
      </w:pPr>
      <w:r>
        <w:rPr>
          <w:rFonts w:hint="eastAsia" w:ascii="仿宋_GB2312" w:hAnsi="Arial" w:cs="Arial"/>
          <w:kern w:val="0"/>
          <w:szCs w:val="32"/>
        </w:rPr>
        <w:t>我区可能发生的地质灾害主要是边坡类地质灾害，发生地质灾害的范围、规模及地质灾害的危险程度与降水量和工程建设活</w:t>
      </w:r>
      <w:r>
        <w:rPr>
          <w:rFonts w:hint="eastAsia" w:ascii="仿宋_GB2312"/>
          <w:szCs w:val="32"/>
          <w:lang w:val="zh-CN"/>
        </w:rPr>
        <w:t>动密切相关。</w:t>
      </w:r>
    </w:p>
    <w:p w14:paraId="69A6568B">
      <w:pPr>
        <w:pStyle w:val="4"/>
        <w:ind w:firstLine="640"/>
        <w:rPr>
          <w:rFonts w:hint="eastAsia"/>
        </w:rPr>
      </w:pPr>
      <w:bookmarkStart w:id="19" w:name="_Toc732147690"/>
      <w:r>
        <w:rPr>
          <w:rFonts w:hint="eastAsia"/>
        </w:rPr>
        <w:t>1.4 适用范围</w:t>
      </w:r>
      <w:bookmarkEnd w:id="16"/>
      <w:bookmarkEnd w:id="17"/>
      <w:bookmarkEnd w:id="18"/>
      <w:bookmarkEnd w:id="19"/>
    </w:p>
    <w:p w14:paraId="4D2D0ECB">
      <w:pPr>
        <w:pStyle w:val="11"/>
        <w:widowControl/>
        <w:spacing w:before="0" w:beforeAutospacing="0" w:after="0" w:afterAutospacing="0"/>
        <w:ind w:firstLine="640"/>
        <w:rPr>
          <w:rFonts w:hint="eastAsia" w:cs="仿宋_GB2312"/>
          <w:sz w:val="32"/>
          <w:szCs w:val="32"/>
        </w:rPr>
      </w:pPr>
      <w:r>
        <w:rPr>
          <w:rFonts w:hint="eastAsia" w:cs="仿宋_GB2312"/>
          <w:sz w:val="32"/>
          <w:szCs w:val="32"/>
        </w:rPr>
        <w:t>本预案适用于盐田区范围内，处置自然因素或人为活动引发的危害人民群众生命和财产安全的突发性山体崩塌、滑坡、泥石流等与地质作用有关的地质灾害。</w:t>
      </w:r>
    </w:p>
    <w:p w14:paraId="39EEBB01">
      <w:pPr>
        <w:pStyle w:val="11"/>
        <w:widowControl/>
        <w:spacing w:before="0" w:beforeAutospacing="0" w:after="0" w:afterAutospacing="0"/>
        <w:ind w:firstLine="640"/>
        <w:rPr>
          <w:rFonts w:hint="eastAsia" w:ascii="仿宋" w:hAnsi="仿宋" w:eastAsia="仿宋" w:cs="仿宋_GB2312"/>
          <w:sz w:val="32"/>
          <w:szCs w:val="32"/>
        </w:rPr>
      </w:pPr>
      <w:r>
        <w:rPr>
          <w:rFonts w:hint="eastAsia" w:ascii="仿宋" w:hAnsi="仿宋" w:eastAsia="仿宋" w:cs="仿宋_GB2312"/>
          <w:sz w:val="32"/>
          <w:szCs w:val="32"/>
        </w:rPr>
        <w:t>地面</w:t>
      </w:r>
      <w:r>
        <w:rPr>
          <w:rFonts w:hint="eastAsia" w:ascii="仿宋" w:hAnsi="仿宋" w:eastAsia="仿宋" w:cs="宋体"/>
          <w:sz w:val="32"/>
          <w:szCs w:val="32"/>
        </w:rPr>
        <w:t>坍</w:t>
      </w:r>
      <w:r>
        <w:rPr>
          <w:rFonts w:hint="eastAsia" w:ascii="仿宋" w:hAnsi="仿宋" w:eastAsia="仿宋" w:cs="___WRD_EMBED_SUB_43"/>
          <w:sz w:val="32"/>
          <w:szCs w:val="32"/>
        </w:rPr>
        <w:t>塌不适用</w:t>
      </w:r>
      <w:r>
        <w:rPr>
          <w:rFonts w:hint="eastAsia" w:ascii="仿宋" w:hAnsi="仿宋" w:eastAsia="仿宋" w:cs="仿宋_GB2312"/>
          <w:sz w:val="32"/>
          <w:szCs w:val="32"/>
        </w:rPr>
        <w:t>于本预案，盐田区范围内发生的地面</w:t>
      </w:r>
      <w:r>
        <w:rPr>
          <w:rFonts w:hint="eastAsia" w:ascii="仿宋" w:hAnsi="仿宋" w:eastAsia="仿宋" w:cs="宋体"/>
          <w:sz w:val="32"/>
          <w:szCs w:val="32"/>
        </w:rPr>
        <w:t>坍</w:t>
      </w:r>
      <w:r>
        <w:rPr>
          <w:rFonts w:hint="eastAsia" w:ascii="仿宋" w:hAnsi="仿宋" w:eastAsia="仿宋" w:cs="___WRD_EMBED_SUB_43"/>
          <w:sz w:val="32"/>
          <w:szCs w:val="32"/>
        </w:rPr>
        <w:t>塌的应急救援及处置工作按照地面</w:t>
      </w:r>
      <w:r>
        <w:rPr>
          <w:rFonts w:hint="eastAsia" w:ascii="仿宋" w:hAnsi="仿宋" w:eastAsia="仿宋" w:cs="宋体"/>
          <w:sz w:val="32"/>
          <w:szCs w:val="32"/>
        </w:rPr>
        <w:t>坍</w:t>
      </w:r>
      <w:r>
        <w:rPr>
          <w:rFonts w:hint="eastAsia" w:ascii="仿宋" w:hAnsi="仿宋" w:eastAsia="仿宋" w:cs="___WRD_EMBED_SUB_43"/>
          <w:sz w:val="32"/>
          <w:szCs w:val="32"/>
        </w:rPr>
        <w:t>塌事</w:t>
      </w:r>
      <w:r>
        <w:rPr>
          <w:rFonts w:hint="eastAsia" w:ascii="仿宋" w:hAnsi="仿宋" w:eastAsia="仿宋" w:cs="宋体"/>
          <w:sz w:val="32"/>
          <w:szCs w:val="32"/>
        </w:rPr>
        <w:t>故</w:t>
      </w:r>
      <w:r>
        <w:rPr>
          <w:rFonts w:hint="eastAsia" w:ascii="仿宋" w:hAnsi="仿宋" w:eastAsia="仿宋" w:cs="___WRD_EMBED_SUB_43"/>
          <w:sz w:val="32"/>
          <w:szCs w:val="32"/>
        </w:rPr>
        <w:t>应急预案有关规定执行</w:t>
      </w:r>
      <w:r>
        <w:rPr>
          <w:rFonts w:hint="eastAsia" w:ascii="仿宋" w:hAnsi="仿宋" w:eastAsia="仿宋" w:cs="仿宋_GB2312"/>
          <w:sz w:val="32"/>
          <w:szCs w:val="32"/>
        </w:rPr>
        <w:t>。</w:t>
      </w:r>
    </w:p>
    <w:p w14:paraId="5883DF9A">
      <w:pPr>
        <w:pStyle w:val="4"/>
        <w:ind w:firstLine="640"/>
        <w:rPr>
          <w:rFonts w:hint="eastAsia"/>
        </w:rPr>
      </w:pPr>
      <w:bookmarkStart w:id="20" w:name="_Toc14533"/>
      <w:bookmarkStart w:id="21" w:name="_Toc1419633738"/>
      <w:bookmarkStart w:id="22" w:name="_Toc14810"/>
      <w:bookmarkStart w:id="23" w:name="_Toc19246"/>
      <w:r>
        <w:rPr>
          <w:rFonts w:hint="eastAsia"/>
        </w:rPr>
        <w:t>1.5 工作原则</w:t>
      </w:r>
      <w:bookmarkEnd w:id="20"/>
      <w:bookmarkEnd w:id="21"/>
      <w:bookmarkEnd w:id="22"/>
      <w:bookmarkEnd w:id="23"/>
    </w:p>
    <w:p w14:paraId="3C43557F">
      <w:pPr>
        <w:pStyle w:val="11"/>
        <w:widowControl/>
        <w:spacing w:before="0" w:beforeAutospacing="0" w:after="0" w:afterAutospacing="0"/>
        <w:ind w:firstLine="640"/>
        <w:rPr>
          <w:rFonts w:hint="eastAsia" w:cs="仿宋_GB2312"/>
          <w:sz w:val="32"/>
          <w:szCs w:val="32"/>
        </w:rPr>
      </w:pPr>
      <w:r>
        <w:rPr>
          <w:rFonts w:hint="eastAsia" w:cs="仿宋_GB2312"/>
          <w:sz w:val="32"/>
          <w:szCs w:val="32"/>
        </w:rPr>
        <w:t>（1）以人为本，预防为主。牢固树立底线思维，立足防大灾、抗大险，做到关口前移，注重平时防范和减轻灾害风险，建立健全群测群防机制，最大限度减少人员伤亡和财产损失。</w:t>
      </w:r>
    </w:p>
    <w:p w14:paraId="2E891D5B">
      <w:pPr>
        <w:pStyle w:val="11"/>
        <w:widowControl/>
        <w:spacing w:before="0" w:beforeAutospacing="0" w:after="0" w:afterAutospacing="0"/>
        <w:ind w:firstLine="640"/>
        <w:rPr>
          <w:rFonts w:hint="eastAsia" w:cs="仿宋_GB2312"/>
          <w:sz w:val="32"/>
          <w:szCs w:val="32"/>
        </w:rPr>
      </w:pPr>
      <w:r>
        <w:rPr>
          <w:rFonts w:hint="eastAsia" w:cs="仿宋_GB2312"/>
          <w:sz w:val="32"/>
          <w:szCs w:val="32"/>
        </w:rPr>
        <w:t>（2）统一领导，分级负责。在区委区政府的统一领导下，实行行政首长负责制，各街道（含中英街管理局</w:t>
      </w:r>
      <w:r>
        <w:rPr>
          <w:rFonts w:hint="eastAsia" w:cs="仿宋_GB2312"/>
          <w:sz w:val="32"/>
          <w:szCs w:val="32"/>
          <w:lang w:eastAsia="zh-CN"/>
        </w:rPr>
        <w:t>，下同</w:t>
      </w:r>
      <w:r>
        <w:rPr>
          <w:rFonts w:hint="eastAsia" w:cs="仿宋_GB2312"/>
          <w:sz w:val="32"/>
          <w:szCs w:val="32"/>
        </w:rPr>
        <w:t>）和有关单位各司其职，密切配合，共同做好突发地质灾害应急处置工作。</w:t>
      </w:r>
    </w:p>
    <w:p w14:paraId="761AFE7B">
      <w:pPr>
        <w:pStyle w:val="11"/>
        <w:widowControl/>
        <w:spacing w:before="0" w:beforeAutospacing="0" w:after="0" w:afterAutospacing="0"/>
        <w:ind w:firstLine="640"/>
        <w:rPr>
          <w:rFonts w:hint="eastAsia" w:cs="仿宋_GB2312"/>
          <w:sz w:val="32"/>
          <w:szCs w:val="32"/>
        </w:rPr>
      </w:pPr>
      <w:r>
        <w:rPr>
          <w:rFonts w:hint="eastAsia" w:cs="仿宋_GB2312"/>
          <w:sz w:val="32"/>
          <w:szCs w:val="32"/>
        </w:rPr>
        <w:t>（3）依法规范，协同运作。按照法定职责，细化部门分工，确保应急处置工作规范有序、落实到位。各街道和有关单位按照职责分工密切配合、信息互通、资源共享、协同行动，建立广泛的社会动员机制。</w:t>
      </w:r>
    </w:p>
    <w:p w14:paraId="24C290C3">
      <w:pPr>
        <w:pStyle w:val="11"/>
        <w:widowControl/>
        <w:spacing w:before="0" w:beforeAutospacing="0" w:after="0" w:afterAutospacing="0"/>
        <w:ind w:firstLine="640"/>
        <w:rPr>
          <w:rFonts w:hint="eastAsia" w:cs="仿宋_GB2312"/>
          <w:sz w:val="32"/>
          <w:szCs w:val="32"/>
        </w:rPr>
      </w:pPr>
      <w:r>
        <w:rPr>
          <w:rFonts w:hint="eastAsia" w:cs="仿宋_GB2312"/>
          <w:sz w:val="32"/>
          <w:szCs w:val="32"/>
        </w:rPr>
        <w:t>（4）快速反应，科学处置。善于抓住时机，依靠科技手段和专业力量，精准研判，科学决策，提高地质灾害应急处置的科技水平。</w:t>
      </w:r>
    </w:p>
    <w:p w14:paraId="0BA06888">
      <w:pPr>
        <w:pStyle w:val="3"/>
        <w:spacing w:before="0" w:beforeLines="0" w:after="0" w:afterLines="0"/>
        <w:ind w:firstLine="640" w:firstLineChars="200"/>
        <w:jc w:val="both"/>
        <w:rPr>
          <w:rFonts w:hint="eastAsia" w:ascii="黑体" w:hAnsi="黑体" w:eastAsia="黑体" w:cs="黑体"/>
          <w:sz w:val="32"/>
          <w:szCs w:val="32"/>
        </w:rPr>
      </w:pPr>
      <w:bookmarkStart w:id="24" w:name="_Toc1715185036"/>
      <w:bookmarkStart w:id="25" w:name="_Toc13493"/>
      <w:bookmarkStart w:id="26" w:name="_Toc14932"/>
      <w:bookmarkStart w:id="27" w:name="_Toc9121"/>
      <w:r>
        <w:rPr>
          <w:rFonts w:hint="eastAsia" w:ascii="黑体" w:hAnsi="黑体" w:eastAsia="黑体" w:cs="黑体"/>
          <w:sz w:val="32"/>
          <w:szCs w:val="32"/>
        </w:rPr>
        <w:t>2 组织体系</w:t>
      </w:r>
      <w:bookmarkEnd w:id="24"/>
      <w:bookmarkEnd w:id="25"/>
      <w:bookmarkEnd w:id="26"/>
      <w:bookmarkEnd w:id="27"/>
    </w:p>
    <w:p w14:paraId="45A96AB6">
      <w:pPr>
        <w:pStyle w:val="4"/>
        <w:ind w:firstLine="640"/>
        <w:rPr>
          <w:rFonts w:hint="eastAsia"/>
        </w:rPr>
      </w:pPr>
      <w:bookmarkStart w:id="28" w:name="_Toc18089"/>
      <w:bookmarkStart w:id="29" w:name="_Toc30546"/>
      <w:bookmarkStart w:id="30" w:name="_Toc1065348657"/>
      <w:bookmarkStart w:id="31" w:name="_Toc140"/>
      <w:r>
        <w:rPr>
          <w:rFonts w:hint="eastAsia"/>
        </w:rPr>
        <w:t>2.1 区地质灾害应急指挥部</w:t>
      </w:r>
      <w:bookmarkEnd w:id="28"/>
      <w:bookmarkEnd w:id="29"/>
      <w:bookmarkEnd w:id="30"/>
      <w:bookmarkEnd w:id="31"/>
    </w:p>
    <w:p w14:paraId="290092BE">
      <w:pPr>
        <w:pStyle w:val="11"/>
        <w:widowControl/>
        <w:spacing w:before="0" w:beforeAutospacing="0" w:after="0" w:afterAutospacing="0"/>
        <w:ind w:firstLine="640"/>
        <w:rPr>
          <w:rFonts w:hint="eastAsia" w:cs="仿宋_GB2312"/>
          <w:sz w:val="32"/>
          <w:szCs w:val="32"/>
        </w:rPr>
      </w:pPr>
      <w:r>
        <w:rPr>
          <w:rFonts w:hint="eastAsia" w:cs="仿宋_GB2312"/>
          <w:sz w:val="32"/>
          <w:szCs w:val="32"/>
        </w:rPr>
        <w:t>在区应急委的统一领导下成立区地质灾害应急指挥部（以下简称区指挥部），负责组织、指挥、指导、协调、监督全区开展地质灾害应急管理工作，统一领导和指挥全区突发地质灾害应急救援工作。</w:t>
      </w:r>
    </w:p>
    <w:p w14:paraId="2BCE56E7">
      <w:pPr>
        <w:spacing w:line="560" w:lineRule="exact"/>
        <w:ind w:firstLine="640"/>
        <w:rPr>
          <w:rFonts w:cs="仿宋_GB2312"/>
          <w:szCs w:val="32"/>
        </w:rPr>
      </w:pPr>
      <w:r>
        <w:rPr>
          <w:rFonts w:hint="eastAsia" w:cs="仿宋_GB2312"/>
          <w:szCs w:val="32"/>
        </w:rPr>
        <w:t>主要职责：贯彻落实国家、省、市、区关于地质灾害防治和应急救援的有关决策部署；</w:t>
      </w:r>
      <w:r>
        <w:rPr>
          <w:rFonts w:cs="仿宋_GB2312"/>
          <w:szCs w:val="32"/>
        </w:rPr>
        <w:t>研究制定全</w:t>
      </w:r>
      <w:r>
        <w:rPr>
          <w:rFonts w:hint="eastAsia" w:cs="仿宋_GB2312"/>
          <w:szCs w:val="32"/>
        </w:rPr>
        <w:t>区突发地质灾害</w:t>
      </w:r>
      <w:r>
        <w:rPr>
          <w:rFonts w:cs="仿宋_GB2312"/>
          <w:szCs w:val="32"/>
        </w:rPr>
        <w:t>应急救援的有关政策措施</w:t>
      </w:r>
      <w:r>
        <w:rPr>
          <w:rFonts w:hint="eastAsia" w:cs="仿宋_GB2312"/>
          <w:szCs w:val="32"/>
        </w:rPr>
        <w:t>；</w:t>
      </w:r>
      <w:r>
        <w:rPr>
          <w:rFonts w:cs="仿宋_GB2312"/>
          <w:szCs w:val="32"/>
        </w:rPr>
        <w:t>统一指挥</w:t>
      </w:r>
      <w:r>
        <w:rPr>
          <w:rFonts w:hint="eastAsia" w:cs="仿宋_GB2312"/>
          <w:szCs w:val="32"/>
        </w:rPr>
        <w:t>全区突发地质灾害</w:t>
      </w:r>
      <w:r>
        <w:rPr>
          <w:rFonts w:cs="仿宋_GB2312"/>
          <w:szCs w:val="32"/>
        </w:rPr>
        <w:t>的应急救援工作</w:t>
      </w:r>
      <w:r>
        <w:rPr>
          <w:rFonts w:hint="eastAsia" w:cs="仿宋_GB2312"/>
          <w:szCs w:val="32"/>
        </w:rPr>
        <w:t>，协调组织驻盐部队、武警、民兵预备役和消防救援队伍等参与抢险救灾；</w:t>
      </w:r>
      <w:r>
        <w:rPr>
          <w:rFonts w:cs="仿宋_GB2312"/>
          <w:szCs w:val="32"/>
        </w:rPr>
        <w:t>指导开展地质灾害监测预警；组织险情、灾情会商研判，以及</w:t>
      </w:r>
      <w:r>
        <w:rPr>
          <w:rFonts w:hint="eastAsia" w:cs="仿宋_GB2312"/>
          <w:szCs w:val="32"/>
        </w:rPr>
        <w:t>地质灾害</w:t>
      </w:r>
      <w:r>
        <w:rPr>
          <w:rFonts w:cs="仿宋_GB2312"/>
          <w:szCs w:val="32"/>
        </w:rPr>
        <w:t>调查评估工作；</w:t>
      </w:r>
      <w:r>
        <w:rPr>
          <w:rFonts w:hint="eastAsia" w:ascii="仿宋_GB2312" w:hAnsi="仿宋_GB2312" w:cs="仿宋_GB2312"/>
          <w:kern w:val="0"/>
          <w:szCs w:val="32"/>
        </w:rPr>
        <w:t>确定</w:t>
      </w:r>
      <w:r>
        <w:rPr>
          <w:rFonts w:hint="eastAsia" w:cs="仿宋_GB2312"/>
          <w:kern w:val="0"/>
          <w:szCs w:val="32"/>
        </w:rPr>
        <w:t>地质灾害</w:t>
      </w:r>
      <w:r>
        <w:rPr>
          <w:rFonts w:hint="eastAsia" w:ascii="仿宋_GB2312" w:hAnsi="仿宋_GB2312" w:cs="仿宋_GB2312"/>
          <w:kern w:val="0"/>
          <w:szCs w:val="32"/>
        </w:rPr>
        <w:t>等级及区级层面响应级别，按本预案规定程序启动和结束应急响应</w:t>
      </w:r>
      <w:r>
        <w:rPr>
          <w:rFonts w:cs="仿宋_GB2312"/>
          <w:szCs w:val="32"/>
        </w:rPr>
        <w:t>；组织开展</w:t>
      </w:r>
      <w:r>
        <w:rPr>
          <w:rFonts w:hint="eastAsia" w:cs="仿宋_GB2312"/>
          <w:szCs w:val="32"/>
        </w:rPr>
        <w:t>地质灾害</w:t>
      </w:r>
      <w:r>
        <w:rPr>
          <w:rFonts w:cs="仿宋_GB2312"/>
          <w:szCs w:val="32"/>
        </w:rPr>
        <w:t>信息上报，以及舆情应对工作；协调、指导、监督各成员单位开展应急救援</w:t>
      </w:r>
      <w:r>
        <w:rPr>
          <w:rFonts w:hint="eastAsia" w:cs="仿宋_GB2312"/>
          <w:szCs w:val="32"/>
        </w:rPr>
        <w:t>、</w:t>
      </w:r>
      <w:r>
        <w:rPr>
          <w:rFonts w:cs="仿宋_GB2312"/>
          <w:szCs w:val="32"/>
        </w:rPr>
        <w:t>恢复重建工作；研究决定</w:t>
      </w:r>
      <w:r>
        <w:rPr>
          <w:rFonts w:hint="eastAsia" w:cs="仿宋_GB2312"/>
          <w:szCs w:val="32"/>
        </w:rPr>
        <w:t>全区地质灾害防治和应急救援工作等</w:t>
      </w:r>
      <w:r>
        <w:rPr>
          <w:rFonts w:cs="仿宋_GB2312"/>
          <w:szCs w:val="32"/>
        </w:rPr>
        <w:t>其他重大事项。</w:t>
      </w:r>
    </w:p>
    <w:p w14:paraId="0F2E5AAA">
      <w:pPr>
        <w:spacing w:line="560" w:lineRule="exact"/>
        <w:ind w:firstLine="640"/>
        <w:rPr>
          <w:rFonts w:cs="仿宋_GB2312"/>
          <w:szCs w:val="32"/>
        </w:rPr>
      </w:pPr>
      <w:r>
        <w:rPr>
          <w:rFonts w:hint="eastAsia" w:cs="仿宋_GB2312"/>
          <w:szCs w:val="32"/>
        </w:rPr>
        <w:t>区指挥部办公室设在区应急管理局，</w:t>
      </w:r>
      <w:r>
        <w:t>承担</w:t>
      </w:r>
      <w:r>
        <w:rPr>
          <w:rFonts w:hint="eastAsia"/>
        </w:rPr>
        <w:t>区</w:t>
      </w:r>
      <w:r>
        <w:t>指挥部日常工作。</w:t>
      </w:r>
    </w:p>
    <w:p w14:paraId="1DB7C2DC">
      <w:pPr>
        <w:pStyle w:val="11"/>
        <w:widowControl/>
        <w:spacing w:before="0" w:beforeAutospacing="0" w:after="0" w:afterAutospacing="0"/>
        <w:ind w:firstLine="643"/>
        <w:rPr>
          <w:rFonts w:hint="eastAsia" w:cs="仿宋_GB2312"/>
          <w:sz w:val="32"/>
          <w:szCs w:val="32"/>
        </w:rPr>
      </w:pPr>
      <w:r>
        <w:rPr>
          <w:rFonts w:hint="eastAsia" w:cs="仿宋_GB2312"/>
          <w:b/>
          <w:bCs/>
          <w:sz w:val="32"/>
          <w:szCs w:val="32"/>
        </w:rPr>
        <w:t>总指挥：</w:t>
      </w:r>
      <w:r>
        <w:rPr>
          <w:rFonts w:hint="eastAsia" w:ascii="Calibri" w:hAnsi="Calibri"/>
          <w:kern w:val="2"/>
          <w:sz w:val="32"/>
        </w:rPr>
        <w:t>分管应急管理工作的区领导</w:t>
      </w:r>
      <w:r>
        <w:rPr>
          <w:rFonts w:hint="eastAsia" w:cs="仿宋_GB2312"/>
          <w:sz w:val="32"/>
          <w:szCs w:val="32"/>
        </w:rPr>
        <w:t>。</w:t>
      </w:r>
    </w:p>
    <w:p w14:paraId="4AAE9D62">
      <w:pPr>
        <w:spacing w:line="560" w:lineRule="exact"/>
        <w:ind w:firstLine="640"/>
      </w:pPr>
      <w:r>
        <w:rPr>
          <w:rFonts w:hint="eastAsia" w:cs="仿宋_GB2312"/>
          <w:b/>
          <w:bCs/>
          <w:szCs w:val="32"/>
        </w:rPr>
        <w:t>副总指挥</w:t>
      </w:r>
      <w:r>
        <w:rPr>
          <w:rFonts w:hint="eastAsia"/>
          <w:b/>
          <w:bCs/>
        </w:rPr>
        <w:t>：</w:t>
      </w:r>
      <w:r>
        <w:rPr>
          <w:rFonts w:hint="eastAsia"/>
        </w:rPr>
        <w:t>市规划和自然资源局盐田管理局局长、事发街道主要负责同志、区人民武装部副部长、区消防救援大队大队长、区应急管理局局长</w:t>
      </w:r>
      <w:r>
        <w:t>。</w:t>
      </w:r>
    </w:p>
    <w:p w14:paraId="7366F48E">
      <w:pPr>
        <w:spacing w:line="560" w:lineRule="exact"/>
        <w:ind w:firstLine="640"/>
      </w:pPr>
      <w:r>
        <w:rPr>
          <w:b/>
          <w:bCs/>
        </w:rPr>
        <w:t>执行总指挥：</w:t>
      </w:r>
      <w:r>
        <w:t>由区应急管理局局长或其指定的区应急管理局</w:t>
      </w:r>
      <w:r>
        <w:rPr>
          <w:rFonts w:hint="eastAsia"/>
        </w:rPr>
        <w:t>其他</w:t>
      </w:r>
      <w:r>
        <w:t>负责同志担任。</w:t>
      </w:r>
    </w:p>
    <w:p w14:paraId="47AC7D6F">
      <w:pPr>
        <w:spacing w:line="560" w:lineRule="exact"/>
        <w:ind w:firstLine="640"/>
        <w:rPr>
          <w:rFonts w:hint="eastAsia" w:ascii="仿宋_GB2312" w:hAnsi="仿宋_GB2312" w:cs="仿宋_GB2312"/>
          <w:szCs w:val="32"/>
        </w:rPr>
      </w:pPr>
      <w:r>
        <w:rPr>
          <w:rFonts w:hint="eastAsia" w:ascii="仿宋_GB2312" w:hAnsi="仿宋_GB2312" w:cs="仿宋_GB2312"/>
          <w:szCs w:val="32"/>
        </w:rPr>
        <w:t>区应急指挥部成员单位及职责：</w:t>
      </w:r>
    </w:p>
    <w:p w14:paraId="6EB116AA">
      <w:pPr>
        <w:spacing w:line="560" w:lineRule="exact"/>
        <w:ind w:firstLine="640" w:firstLineChars="200"/>
        <w:rPr>
          <w:rFonts w:ascii="仿宋_GB2312" w:hAnsi="Arial" w:cs="Arial"/>
          <w:kern w:val="0"/>
          <w:szCs w:val="32"/>
        </w:rPr>
      </w:pPr>
      <w:r>
        <w:rPr>
          <w:rFonts w:hint="eastAsia" w:ascii="仿宋_GB2312" w:hAnsi="Arial" w:cs="Arial"/>
          <w:b/>
          <w:kern w:val="0"/>
          <w:szCs w:val="32"/>
        </w:rPr>
        <w:t>（1）区委（区政府）办公室：</w:t>
      </w:r>
      <w:r>
        <w:rPr>
          <w:rFonts w:hint="eastAsia" w:ascii="仿宋_GB2312" w:hAnsi="Arial" w:cs="Arial"/>
          <w:kern w:val="0"/>
          <w:szCs w:val="32"/>
          <w:lang w:eastAsia="zh-CN"/>
        </w:rPr>
        <w:t>负责</w:t>
      </w:r>
      <w:r>
        <w:rPr>
          <w:rFonts w:hint="eastAsia" w:ascii="仿宋_GB2312" w:hAnsi="Arial" w:cs="Arial"/>
          <w:kern w:val="0"/>
          <w:szCs w:val="32"/>
        </w:rPr>
        <w:t>市、区政府领导政务安排，向市、区政府及有关领导汇报灾害动态信息和抢险救灾情况。</w:t>
      </w:r>
    </w:p>
    <w:p w14:paraId="74179CBE">
      <w:pPr>
        <w:spacing w:line="560" w:lineRule="exact"/>
        <w:ind w:firstLine="640"/>
        <w:rPr>
          <w:rFonts w:hint="eastAsia" w:ascii="仿宋_GB2312" w:hAnsi="仿宋_GB2312" w:cs="仿宋_GB2312"/>
          <w:szCs w:val="32"/>
        </w:rPr>
      </w:pPr>
      <w:r>
        <w:rPr>
          <w:rFonts w:hint="eastAsia" w:ascii="仿宋_GB2312" w:hAnsi="仿宋_GB2312" w:cs="仿宋_GB2312"/>
          <w:b/>
          <w:bCs/>
          <w:szCs w:val="32"/>
        </w:rPr>
        <w:t>（2）区委宣传部（区网信中心）：</w:t>
      </w:r>
      <w:r>
        <w:rPr>
          <w:rFonts w:hint="eastAsia" w:ascii="仿宋_GB2312" w:hAnsi="仿宋_GB2312" w:cs="仿宋_GB2312"/>
          <w:szCs w:val="32"/>
        </w:rPr>
        <w:t>负责突发地质灾害应急宣传报道的组织协调工作，协调新闻媒体做好抢险救灾宣传报道，发布地质灾害灾情和救灾信息，做好舆论引导和舆情应对工作。</w:t>
      </w:r>
      <w:bookmarkStart w:id="32" w:name="_Hlk17300623"/>
    </w:p>
    <w:p w14:paraId="4361FE2F">
      <w:pPr>
        <w:spacing w:line="560" w:lineRule="exact"/>
        <w:ind w:firstLine="640"/>
        <w:rPr>
          <w:rFonts w:hint="eastAsia" w:ascii="仿宋_GB2312" w:hAnsi="仿宋_GB2312" w:cs="仿宋_GB2312"/>
          <w:szCs w:val="32"/>
        </w:rPr>
      </w:pPr>
      <w:r>
        <w:rPr>
          <w:rFonts w:hint="eastAsia" w:ascii="仿宋_GB2312" w:hAnsi="仿宋_GB2312" w:cs="仿宋_GB2312"/>
          <w:b/>
          <w:bCs/>
          <w:szCs w:val="32"/>
        </w:rPr>
        <w:t>（3）</w:t>
      </w:r>
      <w:bookmarkEnd w:id="32"/>
      <w:r>
        <w:rPr>
          <w:rFonts w:hint="eastAsia" w:ascii="仿宋_GB2312" w:hAnsi="仿宋_GB2312" w:cs="仿宋_GB2312"/>
          <w:b/>
          <w:bCs/>
          <w:szCs w:val="32"/>
        </w:rPr>
        <w:t>区应急管理局：</w:t>
      </w:r>
      <w:r>
        <w:rPr>
          <w:rFonts w:hint="eastAsia" w:ascii="仿宋_GB2312" w:hAnsi="仿宋_GB2312" w:cs="仿宋_GB2312"/>
          <w:szCs w:val="32"/>
        </w:rPr>
        <w:t>负责区指挥部办公室日常工作；负责汇总灾情和报告，制定应急救援行动计划，协调有关救援队伍参与救灾、应急救援工作；组织制订受灾群众安置与救助方案，指导、协调受灾街道和相关部门做好受灾群众紧急转移安置和生活救助工作；组织开展地质灾害灾后调查评估工作；指导协调全区应急避难场所建设管理；牵头编制地质灾害</w:t>
      </w:r>
      <w:r>
        <w:rPr>
          <w:rFonts w:ascii="仿宋_GB2312" w:hAnsi="仿宋_GB2312" w:cs="仿宋_GB2312"/>
          <w:szCs w:val="32"/>
        </w:rPr>
        <w:t>年度防治方案</w:t>
      </w:r>
      <w:r>
        <w:rPr>
          <w:rFonts w:hint="eastAsia" w:ascii="仿宋_GB2312" w:hAnsi="仿宋_GB2312" w:cs="仿宋_GB2312"/>
          <w:szCs w:val="32"/>
        </w:rPr>
        <w:t>；协助有关单位督促危险化学品企业和其他工矿商贸企业做好危及自身安全和威胁人民群众生命财产安全的地质灾害防治工作。</w:t>
      </w:r>
    </w:p>
    <w:p w14:paraId="583A45BA">
      <w:pPr>
        <w:spacing w:line="560" w:lineRule="exact"/>
        <w:ind w:firstLine="640"/>
        <w:rPr>
          <w:rFonts w:hint="eastAsia" w:ascii="仿宋_GB2312" w:hAnsi="仿宋_GB2312" w:cs="仿宋_GB2312"/>
          <w:szCs w:val="32"/>
        </w:rPr>
      </w:pPr>
      <w:r>
        <w:rPr>
          <w:rFonts w:hint="eastAsia" w:ascii="仿宋_GB2312" w:hAnsi="仿宋_GB2312" w:cs="仿宋_GB2312"/>
          <w:b/>
          <w:bCs/>
          <w:szCs w:val="32"/>
        </w:rPr>
        <w:t>（4）区发展改革局：</w:t>
      </w:r>
      <w:r>
        <w:rPr>
          <w:rFonts w:hint="eastAsia" w:ascii="仿宋_GB2312" w:hAnsi="仿宋_GB2312" w:cs="仿宋_GB2312"/>
          <w:szCs w:val="32"/>
        </w:rPr>
        <w:t>负责区政府投资建设的地质灾害专项治理、救灾、重建基建项目的审批和资金计划下达；组织协调各街道及有关部门编制灾后恢复重建总体规划；组织对油气长输管线地质灾害隐患的排查、监测和治理工作</w:t>
      </w:r>
      <w:r>
        <w:rPr>
          <w:rFonts w:hint="eastAsia" w:ascii="仿宋_GB2312" w:hAnsi="仿宋_GB2312" w:cs="仿宋_GB2312"/>
          <w:szCs w:val="32"/>
          <w:lang w:eastAsia="zh-CN"/>
        </w:rPr>
        <w:t>；</w:t>
      </w:r>
      <w:r>
        <w:rPr>
          <w:rFonts w:hint="eastAsia" w:ascii="仿宋_GB2312" w:hAnsi="仿宋_GB2312" w:cs="仿宋_GB2312"/>
          <w:szCs w:val="32"/>
        </w:rPr>
        <w:t>负责协调供电企业做好供电设施抢修保障工作。</w:t>
      </w:r>
    </w:p>
    <w:p w14:paraId="55DB24F3">
      <w:pPr>
        <w:spacing w:line="560" w:lineRule="exact"/>
        <w:ind w:firstLine="640"/>
      </w:pPr>
      <w:r>
        <w:rPr>
          <w:rFonts w:hint="eastAsia" w:ascii="仿宋_GB2312" w:hAnsi="仿宋_GB2312" w:cs="仿宋_GB2312"/>
          <w:b/>
          <w:bCs/>
          <w:szCs w:val="32"/>
        </w:rPr>
        <w:t>（5）区教育局：</w:t>
      </w:r>
      <w:r>
        <w:rPr>
          <w:rFonts w:hint="eastAsia" w:ascii="仿宋_GB2312" w:hAnsi="仿宋_GB2312" w:cs="仿宋_GB2312"/>
          <w:szCs w:val="32"/>
        </w:rPr>
        <w:t>负责组织开展危及学校、幼儿园及纳管的社会机构（含培训机构、午托机构）校舍和附属设施安全的地质灾害险情排查、监测和治理工作；灾害发生时，指导协调在校师生安全管理和组织疏散，妥善解决灾区学生就学问题；组织开展学生防灾减灾应急知识宣传教育工作；按分工组织落实学校室内应急避难场所建设管理和维护。</w:t>
      </w:r>
    </w:p>
    <w:p w14:paraId="204BCA7D">
      <w:pPr>
        <w:spacing w:line="560" w:lineRule="exact"/>
        <w:ind w:firstLine="640"/>
        <w:rPr>
          <w:rFonts w:ascii="Times New Roman" w:hAnsi="Times New Roman"/>
          <w:szCs w:val="32"/>
        </w:rPr>
      </w:pPr>
      <w:r>
        <w:rPr>
          <w:rFonts w:hint="eastAsia" w:ascii="仿宋_GB2312" w:hAnsi="仿宋_GB2312" w:cs="仿宋_GB2312"/>
          <w:b/>
          <w:bCs/>
          <w:szCs w:val="32"/>
        </w:rPr>
        <w:t>（6）区工业和信息化局：</w:t>
      </w:r>
      <w:r>
        <w:rPr>
          <w:rFonts w:hint="eastAsia" w:ascii="Times New Roman" w:hAnsi="Times New Roman"/>
          <w:szCs w:val="32"/>
        </w:rPr>
        <w:t>负责协调各通信运营企业做好公共通信设施抢修保障工作。</w:t>
      </w:r>
    </w:p>
    <w:p w14:paraId="567F13E2">
      <w:pPr>
        <w:spacing w:line="560" w:lineRule="exact"/>
        <w:ind w:firstLine="640"/>
        <w:rPr>
          <w:rFonts w:hint="eastAsia" w:ascii="仿宋_GB2312" w:hAnsi="仿宋_GB2312" w:cs="仿宋_GB2312"/>
          <w:szCs w:val="32"/>
        </w:rPr>
      </w:pPr>
      <w:r>
        <w:rPr>
          <w:rFonts w:hint="eastAsia" w:ascii="仿宋_GB2312" w:hAnsi="仿宋_GB2312" w:cs="仿宋_GB2312"/>
          <w:b/>
          <w:bCs/>
          <w:szCs w:val="32"/>
        </w:rPr>
        <w:t>（7）区公安分局：</w:t>
      </w:r>
      <w:r>
        <w:rPr>
          <w:rFonts w:hint="eastAsia" w:ascii="仿宋_GB2312" w:hAnsi="仿宋_GB2312" w:cs="仿宋_GB2312"/>
          <w:szCs w:val="32"/>
        </w:rPr>
        <w:t>协助组织疏散、撤离受地质灾害威胁的人员；组织维护灾区社会治安，依法打击灾区违法犯罪活动，有效预防和妥善处置突发地质灾害引发的群体性事件。</w:t>
      </w:r>
    </w:p>
    <w:p w14:paraId="5EB63BE5">
      <w:pPr>
        <w:spacing w:line="560" w:lineRule="exact"/>
        <w:ind w:firstLine="640"/>
        <w:rPr>
          <w:rFonts w:hint="eastAsia" w:ascii="仿宋_GB2312" w:hAnsi="仿宋_GB2312" w:cs="仿宋_GB2312"/>
          <w:szCs w:val="32"/>
        </w:rPr>
      </w:pPr>
      <w:r>
        <w:rPr>
          <w:rFonts w:hint="eastAsia" w:ascii="仿宋_GB2312" w:hAnsi="仿宋_GB2312" w:cs="仿宋_GB2312"/>
          <w:b/>
          <w:bCs/>
          <w:szCs w:val="32"/>
        </w:rPr>
        <w:t>（8）区民政局：</w:t>
      </w:r>
      <w:r>
        <w:rPr>
          <w:rFonts w:hint="eastAsia" w:ascii="仿宋_GB2312" w:hAnsi="仿宋_GB2312" w:cs="仿宋_GB2312"/>
          <w:szCs w:val="32"/>
        </w:rPr>
        <w:t>负责组织做好福利机构、救助机构及人员的安全管理和组织疏散工作；指导救灾捐赠工作；妥善做好遇难人员遗体处理和家属的安抚工作。</w:t>
      </w:r>
    </w:p>
    <w:p w14:paraId="7C8C1887">
      <w:pPr>
        <w:spacing w:line="560" w:lineRule="exact"/>
        <w:ind w:firstLine="640"/>
        <w:rPr>
          <w:rFonts w:hint="eastAsia" w:ascii="仿宋_GB2312" w:hAnsi="仿宋_GB2312" w:cs="仿宋_GB2312"/>
          <w:szCs w:val="32"/>
        </w:rPr>
      </w:pPr>
      <w:r>
        <w:rPr>
          <w:rFonts w:hint="eastAsia" w:ascii="仿宋_GB2312" w:hAnsi="仿宋_GB2312" w:cs="仿宋_GB2312"/>
          <w:b/>
          <w:bCs/>
          <w:szCs w:val="32"/>
        </w:rPr>
        <w:t>（9）区商务局：</w:t>
      </w:r>
      <w:r>
        <w:rPr>
          <w:rFonts w:hint="eastAsia" w:ascii="仿宋_GB2312" w:hAnsi="仿宋_GB2312" w:cs="仿宋_GB2312"/>
          <w:szCs w:val="32"/>
        </w:rPr>
        <w:t>负责协调组织市民群众生活必需品的市场供应，协调做好应急用油保障；督促商业机构落实地质灾害防治工作。</w:t>
      </w:r>
    </w:p>
    <w:p w14:paraId="32B637B1">
      <w:pPr>
        <w:spacing w:line="560" w:lineRule="exact"/>
        <w:ind w:firstLine="640"/>
        <w:rPr>
          <w:rFonts w:hint="eastAsia" w:ascii="仿宋_GB2312" w:hAnsi="仿宋_GB2312" w:cs="仿宋_GB2312"/>
          <w:szCs w:val="32"/>
        </w:rPr>
      </w:pPr>
      <w:r>
        <w:rPr>
          <w:rFonts w:hint="eastAsia" w:ascii="仿宋_GB2312" w:hAnsi="仿宋_GB2312" w:cs="仿宋_GB2312"/>
          <w:b/>
          <w:bCs/>
          <w:szCs w:val="32"/>
        </w:rPr>
        <w:t>（10）区财政局：</w:t>
      </w:r>
      <w:r>
        <w:rPr>
          <w:rFonts w:hint="eastAsia" w:ascii="仿宋_GB2312" w:hAnsi="仿宋_GB2312" w:cs="仿宋_GB2312"/>
          <w:szCs w:val="32"/>
        </w:rPr>
        <w:t>负责做好应急资金的保障、监督工作。</w:t>
      </w:r>
    </w:p>
    <w:p w14:paraId="4AE45B8C">
      <w:pPr>
        <w:spacing w:line="560" w:lineRule="exact"/>
        <w:ind w:firstLine="640"/>
        <w:rPr>
          <w:rFonts w:hint="eastAsia" w:ascii="仿宋_GB2312" w:hAnsi="仿宋_GB2312" w:cs="仿宋_GB2312"/>
          <w:szCs w:val="32"/>
        </w:rPr>
      </w:pPr>
      <w:r>
        <w:rPr>
          <w:rFonts w:hint="eastAsia" w:ascii="仿宋_GB2312" w:hAnsi="仿宋_GB2312" w:cs="仿宋_GB2312"/>
          <w:b/>
          <w:bCs/>
          <w:szCs w:val="32"/>
        </w:rPr>
        <w:t>（11）区人力资源局：</w:t>
      </w:r>
      <w:r>
        <w:rPr>
          <w:rFonts w:hint="eastAsia" w:ascii="仿宋_GB2312" w:hAnsi="仿宋_GB2312" w:cs="仿宋_GB2312"/>
          <w:szCs w:val="32"/>
        </w:rPr>
        <w:t>负责组织对危及职业培训机构校舍和附属设施安全的地质灾害险情排查、监测和治理工作；指导协调灾害发生时职业培训机构在校师生安全管理和组织疏散；组织开展防灾减灾应急知识宣传教育工作。</w:t>
      </w:r>
    </w:p>
    <w:p w14:paraId="7845DCF9">
      <w:pPr>
        <w:spacing w:line="560" w:lineRule="exact"/>
        <w:ind w:firstLine="640"/>
        <w:rPr>
          <w:rFonts w:hint="eastAsia" w:ascii="仿宋_GB2312" w:hAnsi="仿宋_GB2312" w:cs="仿宋_GB2312"/>
          <w:szCs w:val="32"/>
        </w:rPr>
      </w:pPr>
      <w:r>
        <w:rPr>
          <w:rFonts w:hint="eastAsia" w:ascii="仿宋_GB2312" w:hAnsi="仿宋_GB2312" w:cs="仿宋_GB2312"/>
          <w:b/>
          <w:bCs/>
          <w:szCs w:val="32"/>
        </w:rPr>
        <w:t>（12）市规划和自然资源局盐田管理局：</w:t>
      </w:r>
      <w:r>
        <w:rPr>
          <w:rFonts w:ascii="仿宋_GB2312" w:hAnsi="仿宋_GB2312" w:cs="仿宋_GB2312"/>
          <w:szCs w:val="32"/>
        </w:rPr>
        <w:t>对各相关职能部门和街道上报的地质灾害类型及其等级、监测预防责任单位、治理范围、专项治理责任单位进行调查、责任认定；</w:t>
      </w:r>
      <w:r>
        <w:rPr>
          <w:rFonts w:hint="eastAsia" w:ascii="仿宋_GB2312" w:hAnsi="仿宋_GB2312" w:cs="仿宋_GB2312"/>
          <w:szCs w:val="32"/>
        </w:rPr>
        <w:t>做好隐患点登记、核销等管理工作；指导各街道、相关部门开展地质灾害群测群防、专业监测、预警预报和地质灾害隐患综合治理等工作</w:t>
      </w:r>
      <w:r>
        <w:rPr>
          <w:rFonts w:hint="eastAsia" w:ascii="仿宋_GB2312" w:hAnsi="仿宋_GB2312" w:cs="仿宋_GB2312"/>
          <w:szCs w:val="32"/>
          <w:lang w:eastAsia="zh-CN"/>
        </w:rPr>
        <w:t>；</w:t>
      </w:r>
      <w:r>
        <w:rPr>
          <w:rFonts w:hint="eastAsia" w:ascii="仿宋_GB2312" w:hAnsi="仿宋_GB2312" w:cs="仿宋_GB2312"/>
          <w:szCs w:val="32"/>
        </w:rPr>
        <w:t>转发地质灾害气象风险预警；承担地质灾害应急救援的技术支撑工作，</w:t>
      </w:r>
      <w:r>
        <w:rPr>
          <w:rFonts w:ascii="仿宋_GB2312" w:hAnsi="仿宋_GB2312" w:cs="仿宋_GB2312"/>
          <w:szCs w:val="32"/>
        </w:rPr>
        <w:t>组织专家参与地质灾害应急调查和现场处置；</w:t>
      </w:r>
      <w:r>
        <w:rPr>
          <w:rFonts w:hint="eastAsia" w:ascii="仿宋_GB2312" w:hAnsi="仿宋_GB2312" w:cs="仿宋_GB2312"/>
          <w:szCs w:val="32"/>
        </w:rPr>
        <w:t>参与指导各街道及有关部门编制灾后恢复重建规划；协助做好防灾减灾救灾有关用地保障工作；指导各街道、相关部门地质灾害应急抢险治理技术队伍储备库建设。</w:t>
      </w:r>
    </w:p>
    <w:p w14:paraId="49A4273E">
      <w:pPr>
        <w:spacing w:line="560" w:lineRule="exact"/>
        <w:ind w:firstLine="640"/>
        <w:rPr>
          <w:rFonts w:hint="eastAsia" w:ascii="仿宋_GB2312" w:hAnsi="仿宋_GB2312" w:cs="仿宋_GB2312"/>
          <w:szCs w:val="32"/>
        </w:rPr>
      </w:pPr>
      <w:r>
        <w:rPr>
          <w:rFonts w:hint="eastAsia" w:ascii="仿宋_GB2312" w:hAnsi="仿宋_GB2312" w:cs="仿宋_GB2312"/>
          <w:b/>
          <w:bCs/>
          <w:szCs w:val="32"/>
        </w:rPr>
        <w:t>（13）市生态环境局盐田管理局：</w:t>
      </w:r>
      <w:r>
        <w:rPr>
          <w:rFonts w:ascii="仿宋_GB2312" w:hAnsi="仿宋_GB2312" w:cs="仿宋_GB2312"/>
          <w:szCs w:val="32"/>
        </w:rPr>
        <w:t>负责组织开展因</w:t>
      </w:r>
      <w:r>
        <w:rPr>
          <w:rFonts w:hint="eastAsia" w:ascii="仿宋_GB2312" w:hAnsi="仿宋_GB2312" w:cs="仿宋_GB2312"/>
          <w:szCs w:val="32"/>
        </w:rPr>
        <w:t>地质灾害</w:t>
      </w:r>
      <w:r>
        <w:rPr>
          <w:rFonts w:ascii="仿宋_GB2312" w:hAnsi="仿宋_GB2312" w:cs="仿宋_GB2312"/>
          <w:szCs w:val="32"/>
        </w:rPr>
        <w:t>导致的次生突发环境事件的应急监测和处置工作</w:t>
      </w:r>
      <w:r>
        <w:rPr>
          <w:rFonts w:hint="eastAsia" w:ascii="仿宋_GB2312" w:hAnsi="仿宋_GB2312" w:cs="仿宋_GB2312"/>
          <w:szCs w:val="32"/>
        </w:rPr>
        <w:t>，参与指导编制灾后重建规划和工程建设指导。</w:t>
      </w:r>
    </w:p>
    <w:p w14:paraId="13312B01">
      <w:pPr>
        <w:spacing w:line="560" w:lineRule="exact"/>
        <w:ind w:firstLine="640"/>
        <w:rPr>
          <w:rFonts w:hint="eastAsia" w:ascii="仿宋_GB2312" w:hAnsi="仿宋_GB2312" w:cs="仿宋_GB2312"/>
          <w:szCs w:val="32"/>
        </w:rPr>
      </w:pPr>
      <w:r>
        <w:rPr>
          <w:rFonts w:hint="eastAsia" w:ascii="仿宋_GB2312" w:hAnsi="仿宋_GB2312" w:cs="仿宋_GB2312"/>
          <w:b/>
          <w:bCs/>
          <w:szCs w:val="32"/>
        </w:rPr>
        <w:t>（14）区住房和建设局：</w:t>
      </w:r>
      <w:r>
        <w:rPr>
          <w:rFonts w:hint="eastAsia" w:ascii="仿宋_GB2312" w:hAnsi="仿宋_GB2312" w:cs="仿宋_GB2312"/>
          <w:szCs w:val="32"/>
        </w:rPr>
        <w:t>负责组织、指导房屋工程造成的建筑边坡、削坡建房风险点、市政基础设施和城市燃气管道及附属设施的地质灾害险情排查、监测和治理；指导评估灾区房屋建筑、市政基础设施的损坏程度，指导处置受损建筑物的安全隐患；指导燃气设施的抢险、抢修工作；负责组织建筑工程应急抢险队伍，配合开展地质灾害应急抢险工作；指导灾区做好城市供气保障工作；指导灾后重建工程建设工作。</w:t>
      </w:r>
    </w:p>
    <w:p w14:paraId="07A2BFE6">
      <w:pPr>
        <w:spacing w:line="560" w:lineRule="exact"/>
        <w:ind w:firstLine="640"/>
        <w:rPr>
          <w:rFonts w:hint="eastAsia" w:ascii="仿宋_GB2312" w:hAnsi="仿宋_GB2312" w:cs="仿宋_GB2312"/>
          <w:szCs w:val="32"/>
        </w:rPr>
      </w:pPr>
      <w:r>
        <w:rPr>
          <w:rFonts w:hint="eastAsia" w:ascii="仿宋_GB2312" w:hAnsi="仿宋_GB2312" w:cs="仿宋_GB2312"/>
          <w:b/>
          <w:bCs/>
          <w:szCs w:val="32"/>
        </w:rPr>
        <w:t>（15）市交通运输局盐田管理局：</w:t>
      </w:r>
      <w:r>
        <w:rPr>
          <w:rFonts w:hint="eastAsia" w:ascii="仿宋_GB2312" w:hAnsi="仿宋_GB2312" w:cs="仿宋_GB2312"/>
          <w:szCs w:val="32"/>
        </w:rPr>
        <w:t>负责对公路用地范围内的公路沿线、危害交通干线的已接管设施的地质灾害险情排查、监测和治理工作；及时组织、</w:t>
      </w:r>
      <w:r>
        <w:rPr>
          <w:rFonts w:ascii="仿宋_GB2312" w:hAnsi="仿宋_GB2312" w:cs="仿宋_GB2312"/>
          <w:szCs w:val="32"/>
        </w:rPr>
        <w:t>指导、</w:t>
      </w:r>
      <w:r>
        <w:rPr>
          <w:rFonts w:hint="eastAsia" w:ascii="仿宋_GB2312" w:hAnsi="仿宋_GB2312" w:cs="仿宋_GB2312"/>
          <w:szCs w:val="32"/>
        </w:rPr>
        <w:t>指挥、协调抢修损毁的交通设施，做好职责范围内的交通抢通保障工作，保障道路应急通行路线安全畅通；在危险路段设立警示标志；配合做好抢险救灾人员、物资以及撤离人员的紧急运输工作；参与指导编制灾后重建规划和工程建设指导。</w:t>
      </w:r>
    </w:p>
    <w:p w14:paraId="08296E39">
      <w:pPr>
        <w:spacing w:line="560" w:lineRule="exact"/>
        <w:ind w:firstLine="640"/>
        <w:rPr>
          <w:rFonts w:hint="eastAsia" w:ascii="仿宋_GB2312" w:hAnsi="仿宋_GB2312" w:cs="仿宋_GB2312"/>
          <w:szCs w:val="32"/>
        </w:rPr>
      </w:pPr>
      <w:r>
        <w:rPr>
          <w:rFonts w:hint="eastAsia" w:ascii="仿宋_GB2312" w:hAnsi="仿宋_GB2312" w:cs="仿宋_GB2312"/>
          <w:b/>
          <w:bCs/>
          <w:szCs w:val="32"/>
        </w:rPr>
        <w:t>（16）区水务局：</w:t>
      </w:r>
      <w:r>
        <w:rPr>
          <w:rFonts w:hint="eastAsia" w:ascii="仿宋_GB2312" w:hAnsi="仿宋_GB2312" w:cs="仿宋_GB2312"/>
          <w:szCs w:val="32"/>
        </w:rPr>
        <w:t>负责水务管理范围内地质灾害险情排查、监测、应急和治理工作；组织水情汛情监测并对地质灾害损毁水利工程设施进行修复等工作；负责水务工程设施抢修，指导协调供水企业开展城市供水工程设施的抢修，保障城市供水安全。</w:t>
      </w:r>
    </w:p>
    <w:p w14:paraId="47C5E6C1">
      <w:pPr>
        <w:spacing w:line="560" w:lineRule="exact"/>
        <w:ind w:firstLine="640"/>
        <w:rPr>
          <w:rFonts w:hint="eastAsia" w:ascii="仿宋_GB2312" w:hAnsi="仿宋_GB2312" w:cs="仿宋_GB2312"/>
          <w:szCs w:val="32"/>
        </w:rPr>
      </w:pPr>
      <w:r>
        <w:rPr>
          <w:rFonts w:hint="eastAsia" w:ascii="仿宋_GB2312" w:hAnsi="仿宋_GB2312" w:cs="仿宋_GB2312"/>
          <w:b/>
          <w:bCs/>
          <w:szCs w:val="32"/>
        </w:rPr>
        <w:t>（17）区文化广电旅游体育局：</w:t>
      </w:r>
      <w:r>
        <w:rPr>
          <w:rFonts w:hint="eastAsia" w:ascii="仿宋_GB2312" w:hAnsi="仿宋_GB2312" w:cs="仿宋_GB2312"/>
          <w:szCs w:val="32"/>
        </w:rPr>
        <w:t>负责督促指导职责范围内的旅游景区做好地质灾害隐患的巡查排查、监测和治理工作；督促指导相关旅游景区内受地质灾害损毁的旅游基础设施和服务设施的恢复重建工作。</w:t>
      </w:r>
    </w:p>
    <w:p w14:paraId="0664209E">
      <w:pPr>
        <w:spacing w:line="560" w:lineRule="exact"/>
        <w:ind w:firstLine="640"/>
        <w:rPr>
          <w:rFonts w:hint="eastAsia" w:ascii="仿宋_GB2312" w:hAnsi="仿宋_GB2312" w:cs="仿宋_GB2312"/>
          <w:szCs w:val="32"/>
        </w:rPr>
      </w:pPr>
      <w:r>
        <w:rPr>
          <w:rFonts w:hint="eastAsia" w:ascii="仿宋_GB2312" w:hAnsi="仿宋_GB2312" w:cs="仿宋_GB2312"/>
          <w:b/>
          <w:bCs/>
          <w:szCs w:val="32"/>
        </w:rPr>
        <w:t>（18）区卫生健康局：</w:t>
      </w:r>
      <w:r>
        <w:rPr>
          <w:rFonts w:hint="eastAsia" w:ascii="仿宋_GB2312" w:hAnsi="仿宋_GB2312" w:cs="仿宋_GB2312"/>
          <w:szCs w:val="32"/>
        </w:rPr>
        <w:t>负责组织指导医疗卫生机构对周边地质灾害隐患的巡查排查，会同有关部门加强对医疗卫生机构及周边危及附属设施安全的地质灾害险情的监测和治理；组织调度医疗卫生技术力量，开展医疗救护和抢救伤病员工作；加强灾区卫生防疫，做好疾病预防控制和卫生监督等工作，必要时提供医疗技术支持。</w:t>
      </w:r>
    </w:p>
    <w:p w14:paraId="42A8B54C">
      <w:pPr>
        <w:spacing w:line="560" w:lineRule="exact"/>
        <w:ind w:firstLine="640"/>
        <w:rPr>
          <w:rFonts w:hint="eastAsia" w:ascii="仿宋_GB2312" w:hAnsi="仿宋_GB2312" w:cs="仿宋_GB2312"/>
          <w:szCs w:val="32"/>
        </w:rPr>
      </w:pPr>
      <w:r>
        <w:rPr>
          <w:rFonts w:hint="eastAsia" w:ascii="仿宋_GB2312" w:hAnsi="仿宋_GB2312" w:cs="仿宋_GB2312"/>
          <w:b/>
          <w:bCs/>
          <w:szCs w:val="32"/>
        </w:rPr>
        <w:t>（19）区机关事务局：</w:t>
      </w:r>
      <w:r>
        <w:rPr>
          <w:rFonts w:hint="eastAsia" w:ascii="仿宋_GB2312" w:hAnsi="仿宋_GB2312" w:cs="仿宋_GB2312"/>
          <w:szCs w:val="32"/>
        </w:rPr>
        <w:t>负责协助提供抢险救灾后勤保障。</w:t>
      </w:r>
    </w:p>
    <w:p w14:paraId="2AACA831">
      <w:pPr>
        <w:spacing w:line="560" w:lineRule="exact"/>
        <w:ind w:firstLine="640"/>
        <w:rPr>
          <w:rFonts w:hint="eastAsia" w:ascii="仿宋_GB2312" w:hAnsi="仿宋_GB2312" w:cs="仿宋_GB2312"/>
          <w:szCs w:val="32"/>
        </w:rPr>
      </w:pPr>
      <w:r>
        <w:rPr>
          <w:rFonts w:hint="eastAsia" w:ascii="仿宋_GB2312" w:hAnsi="仿宋_GB2312" w:cs="仿宋_GB2312"/>
          <w:b/>
          <w:bCs/>
          <w:szCs w:val="32"/>
        </w:rPr>
        <w:t>（20）市市场监督管理局盐田监管局：</w:t>
      </w:r>
      <w:r>
        <w:rPr>
          <w:rFonts w:hint="eastAsia" w:ascii="仿宋_GB2312" w:hAnsi="仿宋_GB2312" w:cs="仿宋_GB2312"/>
          <w:szCs w:val="32"/>
        </w:rPr>
        <w:t>负责市场监管工作，维护灾区食品、药品市场稳定，依法打击制售假冒伪劣救灾物资违法行为。</w:t>
      </w:r>
    </w:p>
    <w:p w14:paraId="46173B65">
      <w:pPr>
        <w:spacing w:line="560" w:lineRule="exact"/>
        <w:ind w:firstLine="640"/>
        <w:rPr>
          <w:rFonts w:ascii="仿宋_GB2312" w:hAnsi="Arial" w:cs="Arial"/>
          <w:kern w:val="0"/>
          <w:szCs w:val="32"/>
        </w:rPr>
      </w:pPr>
      <w:r>
        <w:rPr>
          <w:rFonts w:hint="eastAsia" w:ascii="仿宋_GB2312" w:hAnsi="仿宋_GB2312" w:cs="仿宋_GB2312"/>
          <w:b/>
          <w:bCs/>
          <w:szCs w:val="32"/>
        </w:rPr>
        <w:t>（21）区城管和综合执法局：</w:t>
      </w:r>
      <w:r>
        <w:rPr>
          <w:rFonts w:ascii="仿宋_GB2312" w:hAnsi="Arial" w:cs="Arial"/>
          <w:kern w:val="0"/>
          <w:szCs w:val="32"/>
        </w:rPr>
        <w:t>负责本行业建设工程可能引发地质灾害的建筑边坡监管工作</w:t>
      </w:r>
      <w:r>
        <w:rPr>
          <w:rFonts w:hint="eastAsia" w:ascii="仿宋_GB2312" w:hAnsi="Arial" w:cs="Arial"/>
          <w:kern w:val="0"/>
          <w:szCs w:val="32"/>
        </w:rPr>
        <w:t>，</w:t>
      </w:r>
      <w:r>
        <w:rPr>
          <w:rFonts w:ascii="仿宋_GB2312" w:hAnsi="Arial" w:cs="Arial"/>
          <w:kern w:val="0"/>
          <w:szCs w:val="32"/>
        </w:rPr>
        <w:t>负责公园、绿道、海滨栈道等管理职责范围内地质灾害（隐患）点的巡查、日常安全维护管养</w:t>
      </w:r>
      <w:r>
        <w:rPr>
          <w:rFonts w:hint="eastAsia" w:ascii="仿宋_GB2312" w:hAnsi="Arial" w:cs="Arial"/>
          <w:kern w:val="0"/>
          <w:szCs w:val="32"/>
          <w:lang w:eastAsia="zh-CN"/>
        </w:rPr>
        <w:t>；</w:t>
      </w:r>
      <w:r>
        <w:rPr>
          <w:rFonts w:hint="eastAsia" w:ascii="仿宋_GB2312" w:hAnsi="仿宋_GB2312" w:cs="仿宋_GB2312"/>
          <w:szCs w:val="32"/>
        </w:rPr>
        <w:t>指导公共绿地、市政公园内基础设施和服务设施灾后恢复重建工作。</w:t>
      </w:r>
    </w:p>
    <w:p w14:paraId="65BCE4AA">
      <w:pPr>
        <w:spacing w:line="560" w:lineRule="exact"/>
        <w:ind w:firstLine="640"/>
        <w:rPr>
          <w:rFonts w:hint="eastAsia" w:ascii="仿宋_GB2312" w:hAnsi="仿宋_GB2312" w:cs="仿宋_GB2312"/>
          <w:szCs w:val="32"/>
        </w:rPr>
      </w:pPr>
      <w:r>
        <w:rPr>
          <w:rFonts w:hint="eastAsia" w:ascii="仿宋_GB2312" w:hAnsi="仿宋_GB2312" w:cs="仿宋_GB2312"/>
          <w:b/>
          <w:bCs/>
          <w:szCs w:val="32"/>
        </w:rPr>
        <w:t>（22）区消防救援大队：</w:t>
      </w:r>
      <w:r>
        <w:rPr>
          <w:rFonts w:hint="eastAsia" w:ascii="仿宋_GB2312" w:hAnsi="仿宋_GB2312" w:cs="仿宋_GB2312"/>
          <w:szCs w:val="32"/>
        </w:rPr>
        <w:t>负责现场综合应急救援工作，</w:t>
      </w:r>
      <w:r>
        <w:rPr>
          <w:rFonts w:hint="eastAsia" w:ascii="仿宋_GB2312" w:hAnsi="Arial" w:cs="Arial"/>
          <w:kern w:val="0"/>
          <w:szCs w:val="32"/>
        </w:rPr>
        <w:t>抢救遇险人员，</w:t>
      </w:r>
      <w:r>
        <w:rPr>
          <w:rFonts w:hint="eastAsia" w:ascii="仿宋_GB2312" w:hAnsi="仿宋_GB2312" w:cs="仿宋_GB2312"/>
          <w:szCs w:val="32"/>
        </w:rPr>
        <w:t>组织指挥专业应急救援队伍进行现场应急救援；</w:t>
      </w:r>
      <w:r>
        <w:rPr>
          <w:rFonts w:hint="eastAsia" w:ascii="仿宋_GB2312" w:hAnsi="Arial" w:cs="Arial"/>
          <w:kern w:val="0"/>
          <w:szCs w:val="32"/>
        </w:rPr>
        <w:t>协助区开展灾后重建的相关工作。</w:t>
      </w:r>
    </w:p>
    <w:p w14:paraId="2D239420">
      <w:pPr>
        <w:spacing w:line="560" w:lineRule="exact"/>
        <w:ind w:firstLine="640"/>
        <w:rPr>
          <w:rFonts w:hint="eastAsia" w:ascii="仿宋_GB2312" w:hAnsi="仿宋_GB2312" w:cs="仿宋_GB2312"/>
          <w:szCs w:val="32"/>
        </w:rPr>
      </w:pPr>
      <w:r>
        <w:rPr>
          <w:rFonts w:hint="eastAsia" w:ascii="仿宋_GB2312" w:hAnsi="仿宋_GB2312" w:cs="仿宋_GB2312"/>
          <w:b/>
          <w:bCs/>
          <w:szCs w:val="32"/>
        </w:rPr>
        <w:t>（23）区建筑工程事务署：</w:t>
      </w:r>
      <w:r>
        <w:rPr>
          <w:rFonts w:hint="eastAsia" w:ascii="仿宋_GB2312" w:hAnsi="仿宋_GB2312" w:cs="仿宋_GB2312"/>
          <w:szCs w:val="32"/>
        </w:rPr>
        <w:t>负责组织、协调、监督有关单位做好由区建筑工程事务</w:t>
      </w:r>
      <w:r>
        <w:rPr>
          <w:rFonts w:hint="eastAsia" w:ascii="仿宋_GB2312" w:hAnsi="仿宋_GB2312" w:cs="仿宋_GB2312"/>
          <w:szCs w:val="32"/>
          <w:lang w:eastAsia="zh-CN"/>
        </w:rPr>
        <w:t>署</w:t>
      </w:r>
      <w:r>
        <w:rPr>
          <w:rFonts w:hint="eastAsia" w:ascii="仿宋_GB2312" w:hAnsi="仿宋_GB2312" w:cs="仿宋_GB2312"/>
          <w:szCs w:val="32"/>
        </w:rPr>
        <w:t>负责实施的政府投资建设工程项目的地质灾害隐患排查、监测和治理工作。</w:t>
      </w:r>
    </w:p>
    <w:p w14:paraId="5053B6BB">
      <w:pPr>
        <w:spacing w:line="560" w:lineRule="exact"/>
        <w:ind w:firstLine="640"/>
        <w:rPr>
          <w:rFonts w:ascii="仿宋_GB2312" w:hAnsi="Arial" w:cs="Arial"/>
          <w:kern w:val="0"/>
          <w:szCs w:val="32"/>
        </w:rPr>
      </w:pPr>
      <w:r>
        <w:rPr>
          <w:rFonts w:hint="eastAsia" w:ascii="仿宋_GB2312" w:hAnsi="仿宋_GB2312" w:cs="仿宋_GB2312"/>
          <w:b/>
          <w:bCs/>
          <w:szCs w:val="32"/>
        </w:rPr>
        <w:t>（24）盐田交警大队：</w:t>
      </w:r>
      <w:r>
        <w:rPr>
          <w:rFonts w:hint="eastAsia" w:ascii="仿宋_GB2312" w:hAnsi="Arial" w:cs="Arial"/>
          <w:kern w:val="0"/>
          <w:szCs w:val="32"/>
        </w:rPr>
        <w:t>负责维护灾区道路交通秩序，开展交通引导，确保抢救现场和灾区的交通通畅，保障运输抢险队伍和物资车辆优先、快速通行</w:t>
      </w:r>
      <w:r>
        <w:rPr>
          <w:rFonts w:hint="eastAsia" w:ascii="仿宋_GB2312" w:hAnsi="Arial" w:cs="Arial"/>
          <w:kern w:val="0"/>
          <w:szCs w:val="32"/>
          <w:lang w:eastAsia="zh-CN"/>
        </w:rPr>
        <w:t>；</w:t>
      </w:r>
      <w:r>
        <w:rPr>
          <w:rFonts w:hint="eastAsia" w:ascii="仿宋_GB2312" w:hAnsi="仿宋_GB2312" w:cs="仿宋_GB2312"/>
          <w:szCs w:val="32"/>
        </w:rPr>
        <w:t>协助开展受灾群众安全疏散。</w:t>
      </w:r>
    </w:p>
    <w:p w14:paraId="55537558">
      <w:pPr>
        <w:spacing w:line="560" w:lineRule="exact"/>
        <w:ind w:firstLine="640"/>
        <w:rPr>
          <w:rFonts w:hint="eastAsia" w:ascii="仿宋_GB2312" w:hAnsi="仿宋_GB2312" w:cs="仿宋_GB2312"/>
          <w:szCs w:val="32"/>
        </w:rPr>
      </w:pPr>
      <w:r>
        <w:rPr>
          <w:rFonts w:hint="eastAsia" w:ascii="仿宋_GB2312" w:hAnsi="仿宋_GB2312" w:cs="仿宋_GB2312"/>
          <w:b/>
          <w:bCs/>
          <w:szCs w:val="32"/>
        </w:rPr>
        <w:t>（25）区人民武装部：</w:t>
      </w:r>
      <w:r>
        <w:rPr>
          <w:rFonts w:hint="eastAsia" w:ascii="仿宋_GB2312" w:hAnsi="仿宋_GB2312" w:cs="仿宋_GB2312"/>
          <w:szCs w:val="32"/>
        </w:rPr>
        <w:t>负责组织协调驻</w:t>
      </w:r>
      <w:r>
        <w:rPr>
          <w:rFonts w:hint="eastAsia" w:ascii="仿宋_GB2312" w:hAnsi="仿宋_GB2312" w:cs="仿宋_GB2312"/>
          <w:szCs w:val="32"/>
          <w:lang w:eastAsia="zh-CN"/>
        </w:rPr>
        <w:t>盐</w:t>
      </w:r>
      <w:r>
        <w:rPr>
          <w:rFonts w:hint="eastAsia" w:ascii="仿宋_GB2312" w:hAnsi="仿宋_GB2312" w:cs="仿宋_GB2312"/>
          <w:szCs w:val="32"/>
        </w:rPr>
        <w:t>部队</w:t>
      </w:r>
      <w:r>
        <w:rPr>
          <w:rFonts w:hint="eastAsia" w:ascii="仿宋_GB2312" w:hAnsi="仿宋_GB2312" w:cs="仿宋_GB2312"/>
          <w:szCs w:val="32"/>
          <w:lang w:eastAsia="zh-CN"/>
        </w:rPr>
        <w:t>、武警</w:t>
      </w:r>
      <w:r>
        <w:rPr>
          <w:rFonts w:hint="eastAsia" w:ascii="仿宋_GB2312" w:hAnsi="仿宋_GB2312" w:cs="仿宋_GB2312"/>
          <w:szCs w:val="32"/>
        </w:rPr>
        <w:t>和民兵预备役人员参与抢险救灾工作。</w:t>
      </w:r>
    </w:p>
    <w:p w14:paraId="003688C7">
      <w:pPr>
        <w:spacing w:line="560" w:lineRule="exact"/>
        <w:ind w:firstLine="640"/>
      </w:pPr>
      <w:r>
        <w:rPr>
          <w:rFonts w:hint="eastAsia" w:ascii="仿宋_GB2312" w:hAnsi="仿宋_GB2312" w:cs="仿宋_GB2312"/>
          <w:b/>
          <w:bCs/>
          <w:szCs w:val="32"/>
        </w:rPr>
        <w:t>（26）区政务服务和数据管理局：</w:t>
      </w:r>
      <w:r>
        <w:rPr>
          <w:rFonts w:hint="eastAsia" w:ascii="仿宋_GB2312"/>
          <w:snapToGrid w:val="0"/>
          <w:kern w:val="0"/>
          <w:szCs w:val="32"/>
        </w:rPr>
        <w:t>负责</w:t>
      </w:r>
      <w:r>
        <w:rPr>
          <w:rFonts w:hint="eastAsia" w:ascii="仿宋_GB2312"/>
          <w:snapToGrid w:val="0"/>
          <w:kern w:val="0"/>
          <w:szCs w:val="32"/>
          <w:lang w:eastAsia="zh-CN"/>
        </w:rPr>
        <w:t>区</w:t>
      </w:r>
      <w:r>
        <w:rPr>
          <w:rFonts w:hint="eastAsia" w:ascii="仿宋_GB2312"/>
          <w:snapToGrid w:val="0"/>
          <w:kern w:val="0"/>
          <w:szCs w:val="32"/>
        </w:rPr>
        <w:t>指挥部在防灾及抢险救灾期间政务数据的归集、管理、分析的技术保障和网络安全保障工作；为区指挥部开通区政府门户网站的信息报送权限，在区政府网站开设抢险救灾专栏。</w:t>
      </w:r>
    </w:p>
    <w:p w14:paraId="549CD1B0">
      <w:pPr>
        <w:spacing w:line="560" w:lineRule="exact"/>
        <w:ind w:firstLine="640"/>
        <w:rPr>
          <w:rFonts w:ascii="仿宋_GB2312" w:hAnsi="Arial" w:cs="Arial"/>
          <w:kern w:val="0"/>
        </w:rPr>
      </w:pPr>
      <w:r>
        <w:rPr>
          <w:rFonts w:hint="eastAsia" w:ascii="仿宋_GB2312" w:hAnsi="仿宋_GB2312" w:cs="仿宋_GB2312"/>
          <w:b/>
          <w:bCs/>
          <w:szCs w:val="32"/>
        </w:rPr>
        <w:t>（27）盐田供电局：</w:t>
      </w:r>
      <w:r>
        <w:rPr>
          <w:rFonts w:hint="eastAsia" w:ascii="仿宋_GB2312" w:hAnsi="Arial" w:cs="Arial"/>
          <w:kern w:val="0"/>
          <w:szCs w:val="32"/>
        </w:rPr>
        <w:t>负责受灾电力系统恢复及电力设施的抢险、抢修工作，为</w:t>
      </w:r>
      <w:r>
        <w:rPr>
          <w:rFonts w:hint="eastAsia" w:ascii="仿宋_GB2312" w:hAnsi="仿宋_GB2312" w:cs="仿宋_GB2312"/>
          <w:szCs w:val="32"/>
        </w:rPr>
        <w:t>应急抢险</w:t>
      </w:r>
      <w:r>
        <w:rPr>
          <w:rFonts w:hint="eastAsia" w:ascii="仿宋_GB2312" w:hAnsi="Arial" w:cs="Arial"/>
          <w:kern w:val="0"/>
          <w:szCs w:val="32"/>
        </w:rPr>
        <w:t>提供电力保障，及时恢复灾区电力供应。</w:t>
      </w:r>
    </w:p>
    <w:p w14:paraId="03633109">
      <w:pPr>
        <w:spacing w:line="560" w:lineRule="exact"/>
        <w:ind w:firstLine="640" w:firstLineChars="200"/>
        <w:rPr>
          <w:rFonts w:ascii="仿宋_GB2312" w:hAnsi="Arial" w:cs="Arial"/>
          <w:bCs/>
          <w:kern w:val="0"/>
          <w:szCs w:val="32"/>
        </w:rPr>
      </w:pPr>
      <w:r>
        <w:rPr>
          <w:rFonts w:hint="eastAsia" w:ascii="仿宋_GB2312" w:hAnsi="仿宋_GB2312" w:cs="仿宋_GB2312"/>
          <w:b/>
          <w:bCs/>
          <w:szCs w:val="32"/>
        </w:rPr>
        <w:t>（28）中国移动盐田分公司、中国联通盐田分公司、中国电信盐田分公司：</w:t>
      </w:r>
      <w:r>
        <w:rPr>
          <w:rFonts w:hint="eastAsia" w:ascii="仿宋_GB2312" w:hAnsi="Arial" w:cs="Arial"/>
          <w:bCs/>
          <w:kern w:val="0"/>
          <w:szCs w:val="32"/>
        </w:rPr>
        <w:t>保障区指挥部及抢险救灾现场通信通畅，及时抢修受损设施</w:t>
      </w:r>
      <w:r>
        <w:rPr>
          <w:rFonts w:hint="eastAsia" w:ascii="仿宋_GB2312" w:hAnsi="Arial" w:cs="Arial"/>
          <w:bCs/>
          <w:kern w:val="0"/>
          <w:szCs w:val="32"/>
          <w:lang w:eastAsia="zh-CN"/>
        </w:rPr>
        <w:t>；</w:t>
      </w:r>
      <w:r>
        <w:rPr>
          <w:rFonts w:hint="eastAsia" w:ascii="仿宋_GB2312" w:hAnsi="Arial" w:cs="Arial"/>
          <w:bCs/>
          <w:kern w:val="0"/>
          <w:szCs w:val="32"/>
        </w:rPr>
        <w:t>根据抢险救灾需要，协调调度应急通信设施。</w:t>
      </w:r>
    </w:p>
    <w:p w14:paraId="4943B557">
      <w:pPr>
        <w:spacing w:line="560" w:lineRule="exact"/>
        <w:ind w:firstLine="640" w:firstLineChars="200"/>
        <w:rPr>
          <w:rFonts w:ascii="仿宋_GB2312" w:hAnsi="Arial" w:cs="Arial"/>
          <w:bCs/>
          <w:kern w:val="0"/>
          <w:szCs w:val="32"/>
        </w:rPr>
      </w:pPr>
      <w:r>
        <w:rPr>
          <w:rFonts w:hint="eastAsia" w:ascii="仿宋_GB2312" w:hAnsi="仿宋_GB2312" w:cs="仿宋_GB2312"/>
          <w:b/>
          <w:bCs/>
          <w:szCs w:val="32"/>
        </w:rPr>
        <w:t>（29）市水务集团盐田分公司：</w:t>
      </w:r>
      <w:r>
        <w:rPr>
          <w:rFonts w:hint="eastAsia" w:ascii="仿宋_GB2312" w:hAnsi="Arial" w:cs="Arial"/>
          <w:bCs/>
          <w:kern w:val="0"/>
          <w:szCs w:val="32"/>
        </w:rPr>
        <w:t>负责管辖范围内的排水管网、供水设施正常运行保障。</w:t>
      </w:r>
    </w:p>
    <w:p w14:paraId="5CA2DF8E">
      <w:pPr>
        <w:spacing w:line="560" w:lineRule="exact"/>
        <w:ind w:firstLine="640" w:firstLineChars="200"/>
        <w:rPr>
          <w:rFonts w:ascii="仿宋_GB2312" w:hAnsi="Arial" w:cs="Arial"/>
          <w:bCs/>
          <w:kern w:val="0"/>
          <w:szCs w:val="32"/>
        </w:rPr>
      </w:pPr>
      <w:r>
        <w:rPr>
          <w:rFonts w:hint="eastAsia" w:ascii="仿宋_GB2312" w:hAnsi="仿宋_GB2312" w:cs="仿宋_GB2312"/>
          <w:b/>
          <w:bCs/>
          <w:szCs w:val="32"/>
        </w:rPr>
        <w:t>（30）市燃气集团盐田分公司：</w:t>
      </w:r>
      <w:r>
        <w:rPr>
          <w:rFonts w:hint="eastAsia" w:ascii="仿宋_GB2312" w:hAnsi="Arial" w:cs="Arial"/>
          <w:bCs/>
          <w:kern w:val="0"/>
          <w:szCs w:val="32"/>
        </w:rPr>
        <w:t>负责燃气设施的地质灾害防治工作，及时抢修受损设施，保障供气设施安全运行。</w:t>
      </w:r>
    </w:p>
    <w:p w14:paraId="3BC1904C">
      <w:pPr>
        <w:spacing w:line="560" w:lineRule="exact"/>
        <w:ind w:firstLine="640" w:firstLineChars="200"/>
        <w:rPr>
          <w:rFonts w:ascii="仿宋_GB2312" w:hAnsi="Arial" w:cs="Arial"/>
          <w:bCs/>
          <w:kern w:val="0"/>
          <w:szCs w:val="32"/>
        </w:rPr>
      </w:pPr>
      <w:r>
        <w:rPr>
          <w:rFonts w:hint="eastAsia" w:ascii="仿宋_GB2312" w:hAnsi="仿宋_GB2312" w:cs="仿宋_GB2312"/>
          <w:b/>
          <w:bCs/>
          <w:szCs w:val="32"/>
        </w:rPr>
        <w:t>（31）深圳蓄能发电有限公司：</w:t>
      </w:r>
      <w:r>
        <w:rPr>
          <w:rFonts w:hint="eastAsia" w:ascii="仿宋_GB2312" w:hAnsi="Arial" w:cs="Arial"/>
          <w:bCs/>
          <w:kern w:val="0"/>
          <w:szCs w:val="32"/>
        </w:rPr>
        <w:t>负责抽水蓄能上水库及发电、输变电设施的地质灾害救灾抢险工作。</w:t>
      </w:r>
    </w:p>
    <w:p w14:paraId="49A9D0FA">
      <w:pPr>
        <w:spacing w:line="560" w:lineRule="exact"/>
        <w:ind w:firstLine="640" w:firstLineChars="200"/>
        <w:rPr>
          <w:rFonts w:ascii="仿宋_GB2312" w:hAnsi="Arial" w:cs="Arial"/>
          <w:bCs/>
          <w:kern w:val="0"/>
          <w:szCs w:val="32"/>
        </w:rPr>
      </w:pPr>
      <w:r>
        <w:rPr>
          <w:rFonts w:hint="eastAsia" w:ascii="仿宋_GB2312" w:hAnsi="仿宋_GB2312" w:cs="仿宋_GB2312"/>
          <w:b/>
          <w:bCs/>
          <w:szCs w:val="32"/>
        </w:rPr>
        <w:t>（32）深圳港集团：</w:t>
      </w:r>
      <w:r>
        <w:rPr>
          <w:rFonts w:hint="eastAsia" w:ascii="仿宋_GB2312" w:hAnsi="Arial" w:cs="Arial"/>
          <w:bCs/>
          <w:kern w:val="0"/>
          <w:szCs w:val="32"/>
        </w:rPr>
        <w:t>负责责任区域内的地质灾害防治和抢险救灾工作。</w:t>
      </w:r>
    </w:p>
    <w:p w14:paraId="0B53355D">
      <w:pPr>
        <w:spacing w:line="560" w:lineRule="exact"/>
        <w:ind w:firstLine="640" w:firstLineChars="200"/>
        <w:rPr>
          <w:rFonts w:ascii="仿宋_GB2312" w:hAnsi="Arial" w:cs="Arial"/>
          <w:bCs/>
          <w:kern w:val="0"/>
          <w:szCs w:val="32"/>
        </w:rPr>
      </w:pPr>
      <w:r>
        <w:rPr>
          <w:rFonts w:hint="eastAsia" w:ascii="仿宋_GB2312" w:hAnsi="仿宋_GB2312" w:cs="仿宋_GB2312"/>
          <w:b/>
          <w:bCs/>
          <w:szCs w:val="32"/>
        </w:rPr>
        <w:t>（33）盐田国际集装箱码头有限公司：</w:t>
      </w:r>
      <w:r>
        <w:rPr>
          <w:rFonts w:hint="eastAsia" w:ascii="仿宋_GB2312" w:hAnsi="Arial" w:cs="Arial"/>
          <w:bCs/>
          <w:kern w:val="0"/>
          <w:szCs w:val="32"/>
        </w:rPr>
        <w:t>负责责任区域内的地质灾害防治和抢险救灾工作</w:t>
      </w:r>
      <w:r>
        <w:rPr>
          <w:rFonts w:hint="eastAsia" w:ascii="仿宋_GB2312" w:hAnsi="Arial" w:cs="Arial"/>
          <w:bCs/>
          <w:kern w:val="0"/>
          <w:szCs w:val="32"/>
          <w:lang w:eastAsia="zh-CN"/>
        </w:rPr>
        <w:t>；</w:t>
      </w:r>
      <w:r>
        <w:rPr>
          <w:rFonts w:hint="eastAsia" w:ascii="仿宋_GB2312" w:hAnsi="Arial" w:cs="Arial"/>
          <w:bCs/>
          <w:kern w:val="0"/>
          <w:szCs w:val="32"/>
        </w:rPr>
        <w:t>配合交警做好交通疏导。</w:t>
      </w:r>
    </w:p>
    <w:p w14:paraId="4E8C5BF6">
      <w:pPr>
        <w:spacing w:line="560" w:lineRule="exact"/>
        <w:ind w:firstLine="640" w:firstLineChars="200"/>
        <w:rPr>
          <w:rFonts w:ascii="仿宋_GB2312" w:hAnsi="Arial" w:cs="Arial"/>
          <w:b/>
          <w:kern w:val="0"/>
          <w:szCs w:val="32"/>
        </w:rPr>
      </w:pPr>
      <w:r>
        <w:rPr>
          <w:rFonts w:hint="eastAsia" w:ascii="仿宋_GB2312" w:hAnsi="仿宋_GB2312" w:cs="仿宋_GB2312"/>
          <w:b/>
          <w:bCs/>
          <w:szCs w:val="32"/>
        </w:rPr>
        <w:t>（34）东部华侨城：</w:t>
      </w:r>
      <w:r>
        <w:rPr>
          <w:rFonts w:hint="eastAsia" w:ascii="仿宋_GB2312" w:hAnsi="Arial" w:cs="Arial"/>
          <w:bCs/>
          <w:kern w:val="0"/>
          <w:szCs w:val="32"/>
        </w:rPr>
        <w:t>负责责任区域内的地质灾害防治工作，做好景区游客安全保障和疏散。</w:t>
      </w:r>
    </w:p>
    <w:p w14:paraId="2EA56240">
      <w:pPr>
        <w:pageBreakBefore w:val="0"/>
        <w:kinsoku/>
        <w:wordWrap/>
        <w:overflowPunct/>
        <w:topLinePunct w:val="0"/>
        <w:autoSpaceDE/>
        <w:autoSpaceDN/>
        <w:bidi w:val="0"/>
        <w:spacing w:line="560" w:lineRule="exact"/>
        <w:ind w:firstLine="640"/>
        <w:textAlignment w:val="auto"/>
        <w:rPr>
          <w:rFonts w:hint="eastAsia" w:ascii="仿宋_GB2312" w:hAnsi="仿宋_GB2312" w:cs="仿宋_GB2312"/>
          <w:szCs w:val="32"/>
        </w:rPr>
      </w:pPr>
      <w:r>
        <w:rPr>
          <w:rFonts w:hint="eastAsia" w:ascii="仿宋_GB2312" w:hAnsi="仿宋_GB2312" w:cs="仿宋_GB2312"/>
          <w:b/>
          <w:bCs/>
          <w:szCs w:val="32"/>
        </w:rPr>
        <w:t>（35）各街道</w:t>
      </w:r>
      <w:r>
        <w:rPr>
          <w:rFonts w:hint="eastAsia" w:ascii="仿宋_GB2312" w:hAnsi="仿宋_GB2312" w:cs="仿宋_GB2312"/>
          <w:b/>
          <w:bCs/>
          <w:szCs w:val="32"/>
          <w:lang w:eastAsia="zh-CN"/>
        </w:rPr>
        <w:t>（含中英街管理局）</w:t>
      </w:r>
      <w:r>
        <w:rPr>
          <w:rFonts w:hint="eastAsia" w:ascii="仿宋_GB2312" w:hAnsi="仿宋_GB2312" w:cs="仿宋_GB2312"/>
          <w:b/>
          <w:bCs/>
          <w:szCs w:val="32"/>
        </w:rPr>
        <w:t>：</w:t>
      </w:r>
      <w:r>
        <w:rPr>
          <w:rFonts w:hint="eastAsia" w:ascii="仿宋_GB2312" w:hAnsi="仿宋_GB2312" w:cs="仿宋_GB2312"/>
          <w:szCs w:val="32"/>
        </w:rPr>
        <w:t>负责建立健全街道级突发地质灾害应急指挥机构，统一领导、组织、指挥、协调辖区突发地质灾害应急处置工作。负责组织制定和公布实施本辖区突发地质灾害应急预案；负责所管辖的应急救灾物资储备库和应急避难场所建设管理和维护，储备应急救灾物资及设备；协助建立健全辖区综合救援队伍、专业队伍和基层地质灾害抢险救灾队伍；组织开展辖区内突发地质灾害应急演练和宣传教育工作；组织所辖应急力量对突发地质灾害实施先期处置，及时上报突发地质灾害信息，及时组织人员实施紧急救助、疏散安置，控制次生、衍生灾害，开展社会动员，防止险情、灾情扩大；</w:t>
      </w:r>
      <w:r>
        <w:rPr>
          <w:rFonts w:hint="eastAsia" w:ascii="仿宋_GB2312" w:hAnsi="仿宋_GB2312" w:cs="仿宋_GB2312"/>
          <w:kern w:val="0"/>
          <w:szCs w:val="32"/>
        </w:rPr>
        <w:t>必要时，根据需要搭设现场指挥部，并提供现场指挥部运作的相关保障</w:t>
      </w:r>
      <w:r>
        <w:rPr>
          <w:rFonts w:hint="eastAsia" w:ascii="仿宋_GB2312" w:hAnsi="仿宋_GB2312" w:cs="仿宋_GB2312"/>
          <w:szCs w:val="32"/>
        </w:rPr>
        <w:t>。</w:t>
      </w:r>
    </w:p>
    <w:p w14:paraId="546BED9A">
      <w:pPr>
        <w:pageBreakBefore w:val="0"/>
        <w:kinsoku/>
        <w:wordWrap/>
        <w:overflowPunct/>
        <w:topLinePunct w:val="0"/>
        <w:autoSpaceDE/>
        <w:autoSpaceDN/>
        <w:bidi w:val="0"/>
        <w:spacing w:line="560" w:lineRule="exact"/>
        <w:ind w:firstLine="640"/>
        <w:textAlignment w:val="auto"/>
        <w:rPr>
          <w:rFonts w:hint="eastAsia" w:ascii="仿宋_GB2312" w:hAnsi="仿宋_GB2312" w:cs="仿宋_GB2312"/>
          <w:szCs w:val="32"/>
        </w:rPr>
      </w:pPr>
      <w:r>
        <w:rPr>
          <w:rFonts w:hint="eastAsia" w:ascii="仿宋_GB2312" w:hAnsi="仿宋_GB2312" w:cs="仿宋_GB2312"/>
          <w:b/>
          <w:bCs/>
          <w:szCs w:val="32"/>
        </w:rPr>
        <w:t>（36）其他成员单位：</w:t>
      </w:r>
      <w:r>
        <w:rPr>
          <w:rFonts w:hint="eastAsia" w:ascii="仿宋_GB2312" w:hAnsi="仿宋_GB2312" w:cs="仿宋_GB2312"/>
          <w:szCs w:val="32"/>
        </w:rPr>
        <w:t>根据区指挥部的安排部署，配合做好地质灾害应急处置工作。</w:t>
      </w:r>
    </w:p>
    <w:p w14:paraId="6BD9B514">
      <w:pPr>
        <w:pStyle w:val="4"/>
        <w:keepNext/>
        <w:keepLines/>
        <w:pageBreakBefore w:val="0"/>
        <w:widowControl w:val="0"/>
        <w:kinsoku/>
        <w:wordWrap/>
        <w:overflowPunct/>
        <w:topLinePunct w:val="0"/>
        <w:autoSpaceDE/>
        <w:autoSpaceDN/>
        <w:bidi w:val="0"/>
        <w:adjustRightInd/>
        <w:snapToGrid/>
        <w:spacing w:line="560" w:lineRule="exact"/>
        <w:ind w:firstLine="640"/>
        <w:textAlignment w:val="auto"/>
        <w:rPr>
          <w:rFonts w:hint="eastAsia"/>
          <w:color w:val="000000"/>
        </w:rPr>
      </w:pPr>
      <w:bookmarkStart w:id="33" w:name="_Toc8121"/>
      <w:bookmarkStart w:id="34" w:name="_Toc20077"/>
      <w:bookmarkStart w:id="35" w:name="_Toc5506"/>
      <w:bookmarkStart w:id="36" w:name="_Toc956800411"/>
      <w:r>
        <w:rPr>
          <w:rFonts w:hint="eastAsia"/>
          <w:color w:val="000000"/>
        </w:rPr>
        <w:t xml:space="preserve">2.2 </w:t>
      </w:r>
      <w:bookmarkEnd w:id="33"/>
      <w:bookmarkEnd w:id="34"/>
      <w:bookmarkEnd w:id="35"/>
      <w:r>
        <w:rPr>
          <w:rFonts w:hint="eastAsia"/>
          <w:color w:val="000000"/>
        </w:rPr>
        <w:t>街道级地质灾害应急指挥机构</w:t>
      </w:r>
      <w:bookmarkEnd w:id="36"/>
    </w:p>
    <w:p w14:paraId="7641DF20">
      <w:pPr>
        <w:pageBreakBefore w:val="0"/>
        <w:widowControl w:val="0"/>
        <w:kinsoku/>
        <w:wordWrap/>
        <w:overflowPunct/>
        <w:topLinePunct w:val="0"/>
        <w:autoSpaceDE/>
        <w:autoSpaceDN/>
        <w:bidi w:val="0"/>
        <w:adjustRightInd/>
        <w:snapToGrid/>
        <w:spacing w:line="560" w:lineRule="exact"/>
        <w:ind w:firstLine="641"/>
        <w:textAlignment w:val="auto"/>
        <w:rPr>
          <w:color w:val="000000"/>
        </w:rPr>
      </w:pPr>
      <w:bookmarkStart w:id="37" w:name="_Toc18309618"/>
      <w:r>
        <w:rPr>
          <w:color w:val="000000"/>
        </w:rPr>
        <w:t>各</w:t>
      </w:r>
      <w:r>
        <w:rPr>
          <w:rFonts w:hint="eastAsia"/>
          <w:color w:val="000000"/>
        </w:rPr>
        <w:t>街道地质灾害</w:t>
      </w:r>
      <w:r>
        <w:rPr>
          <w:color w:val="000000"/>
        </w:rPr>
        <w:t>应急指挥机构负责本行政区域的</w:t>
      </w:r>
      <w:r>
        <w:rPr>
          <w:rFonts w:hint="eastAsia"/>
          <w:color w:val="000000"/>
        </w:rPr>
        <w:t>突发地质灾害</w:t>
      </w:r>
      <w:r>
        <w:rPr>
          <w:color w:val="000000"/>
        </w:rPr>
        <w:t>应急救援工作。各</w:t>
      </w:r>
      <w:r>
        <w:rPr>
          <w:rFonts w:hint="eastAsia"/>
          <w:color w:val="000000"/>
        </w:rPr>
        <w:t>街道</w:t>
      </w:r>
      <w:r>
        <w:rPr>
          <w:color w:val="000000"/>
        </w:rPr>
        <w:t>有关部门和单位，按照职责分工，各负其责，密切配合，共同做好</w:t>
      </w:r>
      <w:r>
        <w:rPr>
          <w:rFonts w:hint="eastAsia"/>
          <w:color w:val="000000"/>
        </w:rPr>
        <w:t>突发地质灾害</w:t>
      </w:r>
      <w:r>
        <w:rPr>
          <w:color w:val="000000"/>
        </w:rPr>
        <w:t>应急救援工作。</w:t>
      </w:r>
    </w:p>
    <w:bookmarkEnd w:id="37"/>
    <w:p w14:paraId="4C87462F">
      <w:pPr>
        <w:pStyle w:val="3"/>
        <w:pageBreakBefore w:val="0"/>
        <w:kinsoku/>
        <w:wordWrap/>
        <w:overflowPunct/>
        <w:topLinePunct w:val="0"/>
        <w:autoSpaceDE/>
        <w:autoSpaceDN/>
        <w:bidi w:val="0"/>
        <w:spacing w:before="0" w:beforeLines="0" w:after="0" w:afterLines="0" w:line="560" w:lineRule="exact"/>
        <w:ind w:firstLine="640" w:firstLineChars="200"/>
        <w:jc w:val="both"/>
        <w:textAlignment w:val="auto"/>
        <w:rPr>
          <w:rFonts w:hint="eastAsia" w:ascii="黑体" w:hAnsi="黑体" w:eastAsia="黑体" w:cs="黑体"/>
          <w:sz w:val="32"/>
          <w:szCs w:val="32"/>
        </w:rPr>
      </w:pPr>
      <w:bookmarkStart w:id="38" w:name="_Toc677413211"/>
      <w:bookmarkStart w:id="39" w:name="_Toc19537"/>
      <w:bookmarkStart w:id="40" w:name="_Toc28345"/>
      <w:bookmarkStart w:id="41" w:name="_Toc1758"/>
      <w:r>
        <w:rPr>
          <w:rFonts w:hint="eastAsia" w:ascii="黑体" w:hAnsi="黑体" w:eastAsia="黑体" w:cs="黑体"/>
          <w:sz w:val="32"/>
          <w:szCs w:val="32"/>
        </w:rPr>
        <w:t>3 运行机制</w:t>
      </w:r>
      <w:bookmarkEnd w:id="38"/>
      <w:bookmarkEnd w:id="39"/>
      <w:bookmarkEnd w:id="40"/>
      <w:bookmarkEnd w:id="41"/>
    </w:p>
    <w:p w14:paraId="235DF0FF">
      <w:pPr>
        <w:pStyle w:val="4"/>
        <w:pageBreakBefore w:val="0"/>
        <w:kinsoku/>
        <w:wordWrap/>
        <w:overflowPunct/>
        <w:topLinePunct w:val="0"/>
        <w:autoSpaceDE/>
        <w:autoSpaceDN/>
        <w:bidi w:val="0"/>
        <w:spacing w:line="560" w:lineRule="exact"/>
        <w:ind w:firstLine="640"/>
        <w:textAlignment w:val="auto"/>
        <w:rPr>
          <w:rFonts w:hint="eastAsia"/>
        </w:rPr>
      </w:pPr>
      <w:bookmarkStart w:id="42" w:name="_Toc18763"/>
      <w:bookmarkStart w:id="43" w:name="_Toc1546982999"/>
      <w:bookmarkStart w:id="44" w:name="_Toc2168"/>
      <w:bookmarkStart w:id="45" w:name="_Toc5371"/>
      <w:r>
        <w:rPr>
          <w:rFonts w:hint="eastAsia"/>
        </w:rPr>
        <w:t>3.1 预防监测评估</w:t>
      </w:r>
      <w:bookmarkEnd w:id="42"/>
      <w:bookmarkEnd w:id="43"/>
      <w:bookmarkEnd w:id="44"/>
      <w:bookmarkEnd w:id="45"/>
    </w:p>
    <w:p w14:paraId="4B87F426">
      <w:pPr>
        <w:pageBreakBefore w:val="0"/>
        <w:kinsoku/>
        <w:wordWrap/>
        <w:overflowPunct/>
        <w:topLinePunct w:val="0"/>
        <w:autoSpaceDE/>
        <w:autoSpaceDN/>
        <w:bidi w:val="0"/>
        <w:spacing w:line="560" w:lineRule="exact"/>
        <w:ind w:firstLine="640" w:firstLineChars="200"/>
        <w:textAlignment w:val="auto"/>
        <w:outlineLvl w:val="2"/>
        <w:rPr>
          <w:rFonts w:hint="eastAsia" w:ascii="仿宋_GB2312" w:hAnsi="仿宋_GB2312"/>
        </w:rPr>
      </w:pPr>
      <w:r>
        <w:rPr>
          <w:rFonts w:hint="eastAsia" w:ascii="仿宋_GB2312" w:hAnsi="仿宋_GB2312"/>
        </w:rPr>
        <w:t>3.1.1 预防</w:t>
      </w:r>
    </w:p>
    <w:p w14:paraId="19BA6413">
      <w:pPr>
        <w:pStyle w:val="11"/>
        <w:pageBreakBefore w:val="0"/>
        <w:widowControl/>
        <w:kinsoku/>
        <w:wordWrap/>
        <w:overflowPunct/>
        <w:topLinePunct w:val="0"/>
        <w:autoSpaceDE/>
        <w:autoSpaceDN/>
        <w:bidi w:val="0"/>
        <w:spacing w:before="0" w:beforeAutospacing="0" w:after="0" w:afterAutospacing="0" w:line="560" w:lineRule="exact"/>
        <w:ind w:firstLine="640"/>
        <w:textAlignment w:val="auto"/>
        <w:rPr>
          <w:rFonts w:hint="eastAsia" w:cs="仿宋_GB2312"/>
          <w:sz w:val="32"/>
          <w:szCs w:val="32"/>
        </w:rPr>
      </w:pPr>
      <w:r>
        <w:rPr>
          <w:rFonts w:hint="eastAsia" w:cs="仿宋_GB2312"/>
          <w:sz w:val="32"/>
          <w:szCs w:val="32"/>
        </w:rPr>
        <w:t>（1）</w:t>
      </w:r>
      <w:bookmarkStart w:id="46" w:name="OLE_LINK43"/>
      <w:r>
        <w:rPr>
          <w:rFonts w:hint="eastAsia" w:cs="仿宋_GB2312"/>
          <w:sz w:val="32"/>
          <w:szCs w:val="32"/>
        </w:rPr>
        <w:t>编制年度地质灾害防治方案。</w:t>
      </w:r>
      <w:r>
        <w:rPr>
          <w:rFonts w:hint="eastAsia" w:cs="仿宋_GB2312"/>
          <w:sz w:val="32"/>
          <w:szCs w:val="32"/>
          <w:lang w:eastAsia="zh-CN"/>
        </w:rPr>
        <w:t>区地质灾害防治工作领导小组办公室</w:t>
      </w:r>
      <w:r>
        <w:rPr>
          <w:rFonts w:hint="eastAsia" w:cs="仿宋_GB2312"/>
          <w:sz w:val="32"/>
          <w:szCs w:val="32"/>
        </w:rPr>
        <w:t>在开展地质灾害调查的基础上，依据地质灾害防治规划，结合气象预测信息，</w:t>
      </w:r>
      <w:r>
        <w:rPr>
          <w:rFonts w:hint="eastAsia" w:hAnsi="Arial" w:cs="Arial"/>
          <w:sz w:val="32"/>
          <w:szCs w:val="32"/>
        </w:rPr>
        <w:t>会同地灾指挥部成员单位在年初编制</w:t>
      </w:r>
      <w:r>
        <w:rPr>
          <w:rFonts w:hint="eastAsia" w:cs="仿宋_GB2312"/>
          <w:sz w:val="32"/>
          <w:szCs w:val="32"/>
        </w:rPr>
        <w:t>年度地质灾害防治方案，并公布实施，同时抄送区指挥部办公室。</w:t>
      </w:r>
      <w:bookmarkEnd w:id="46"/>
      <w:r>
        <w:rPr>
          <w:rFonts w:hint="eastAsia" w:cs="仿宋_GB2312"/>
          <w:sz w:val="32"/>
          <w:szCs w:val="32"/>
        </w:rPr>
        <w:t>各街道年度应急管理工作中应包括地质灾害防治内容，对辖区内的地质灾害防治工作进行统筹安排。</w:t>
      </w:r>
    </w:p>
    <w:p w14:paraId="18146092">
      <w:pPr>
        <w:pStyle w:val="11"/>
        <w:widowControl/>
        <w:spacing w:before="0" w:beforeAutospacing="0" w:after="0" w:afterAutospacing="0"/>
        <w:ind w:firstLine="640"/>
        <w:rPr>
          <w:rFonts w:hint="eastAsia" w:cs="仿宋_GB2312"/>
          <w:sz w:val="32"/>
          <w:szCs w:val="32"/>
        </w:rPr>
      </w:pPr>
      <w:r>
        <w:rPr>
          <w:rFonts w:hint="eastAsia" w:cs="仿宋_GB2312"/>
          <w:sz w:val="32"/>
          <w:szCs w:val="32"/>
        </w:rPr>
        <w:t>（2）发放“两卡一预案”。各街道要做好本辖区地质灾害易发区、隐患点和风险点的群测群防工作，并将责任部门制定的涉及地质灾害防范措施的防灾明白卡、避险明白卡和单点应急预案分别发放到防灾责任人和受灾害隐患威胁的单位、居民，并落实隐患点挂点领导。</w:t>
      </w:r>
    </w:p>
    <w:p w14:paraId="150539C3">
      <w:pPr>
        <w:pStyle w:val="11"/>
        <w:widowControl/>
        <w:spacing w:before="0" w:beforeAutospacing="0" w:after="0" w:afterAutospacing="0"/>
        <w:ind w:firstLine="640"/>
        <w:rPr>
          <w:rFonts w:hint="eastAsia" w:cs="仿宋_GB2312"/>
          <w:sz w:val="32"/>
          <w:szCs w:val="32"/>
        </w:rPr>
      </w:pPr>
      <w:r>
        <w:rPr>
          <w:rFonts w:hint="eastAsia" w:cs="仿宋_GB2312"/>
          <w:sz w:val="32"/>
          <w:szCs w:val="32"/>
        </w:rPr>
        <w:t>（3）鼓励报灾报险。鼓励、支持群众和单位通过电话、短信、网络、信件等各种形式向当地街道办</w:t>
      </w:r>
      <w:r>
        <w:rPr>
          <w:rFonts w:hint="eastAsia" w:cs="仿宋_GB2312"/>
          <w:sz w:val="32"/>
          <w:szCs w:val="32"/>
          <w:lang w:eastAsia="zh-CN"/>
        </w:rPr>
        <w:t>、</w:t>
      </w:r>
      <w:r>
        <w:rPr>
          <w:rFonts w:hint="eastAsia" w:cs="仿宋_GB2312"/>
          <w:sz w:val="32"/>
          <w:szCs w:val="32"/>
        </w:rPr>
        <w:t>主管部门、有关地质灾害防治机构报告地质灾害信息。有关监测单位或监测人发现地质灾害灾情或险情时，要按照突发地质灾害分级标准报告自然资源部门或应急管理部门，自然资源和应急管理部门要及时共享灾情、险情信息。</w:t>
      </w:r>
    </w:p>
    <w:p w14:paraId="0BF1DD59">
      <w:pPr>
        <w:spacing w:line="560" w:lineRule="exact"/>
        <w:ind w:firstLine="640" w:firstLineChars="200"/>
        <w:outlineLvl w:val="2"/>
        <w:rPr>
          <w:rFonts w:hint="eastAsia" w:ascii="仿宋_GB2312" w:hAnsi="仿宋_GB2312"/>
        </w:rPr>
      </w:pPr>
      <w:r>
        <w:rPr>
          <w:rFonts w:hint="eastAsia" w:ascii="仿宋_GB2312" w:hAnsi="仿宋_GB2312"/>
        </w:rPr>
        <w:t>3.1.2 监测</w:t>
      </w:r>
    </w:p>
    <w:p w14:paraId="7E3D5859">
      <w:pPr>
        <w:spacing w:line="600" w:lineRule="exact"/>
        <w:ind w:firstLine="640"/>
      </w:pPr>
      <w:r>
        <w:rPr>
          <w:rFonts w:hint="eastAsia" w:ascii="仿宋_GB2312" w:hAnsi="仿宋_GB2312" w:cs="仿宋_GB2312"/>
          <w:kern w:val="0"/>
          <w:szCs w:val="32"/>
        </w:rPr>
        <w:t>（1）</w:t>
      </w:r>
      <w:r>
        <w:rPr>
          <w:rFonts w:hint="eastAsia"/>
        </w:rPr>
        <w:t>建立健全</w:t>
      </w:r>
      <w:r>
        <w:t>地质灾害监测</w:t>
      </w:r>
      <w:r>
        <w:rPr>
          <w:rFonts w:hint="eastAsia"/>
        </w:rPr>
        <w:t>网络</w:t>
      </w:r>
      <w:r>
        <w:t>。</w:t>
      </w:r>
      <w:r>
        <w:rPr>
          <w:rFonts w:hint="eastAsia"/>
        </w:rPr>
        <w:t>市规划和自然资源局盐田管理局会同各街道、区相关职能部门</w:t>
      </w:r>
      <w:r>
        <w:t>根据</w:t>
      </w:r>
      <w:r>
        <w:rPr>
          <w:rFonts w:hint="eastAsia"/>
        </w:rPr>
        <w:t>地质灾害防治规划和工作需要，结合地质灾害易发区、隐患点和风险点，确定地质灾害（隐患）监测点，建立健全地质灾害群测群防网络和专业监测网络，形成覆盖全区的地质灾害监测系统。</w:t>
      </w:r>
    </w:p>
    <w:p w14:paraId="2A96CED9">
      <w:pPr>
        <w:spacing w:line="600" w:lineRule="exact"/>
        <w:ind w:firstLine="640"/>
      </w:pPr>
      <w:r>
        <w:rPr>
          <w:rFonts w:hint="eastAsia" w:ascii="仿宋_GB2312" w:hAnsi="仿宋_GB2312" w:cs="仿宋_GB2312"/>
          <w:kern w:val="0"/>
          <w:szCs w:val="32"/>
        </w:rPr>
        <w:t>（2）</w:t>
      </w:r>
      <w:r>
        <w:rPr>
          <w:rFonts w:hint="eastAsia"/>
        </w:rPr>
        <w:t>市规划和自然资源局盐田管理局会同区相关职能部门加强地质灾害群测群防工作的组织领导和工作体系建设，根据年度地质灾害防治方案，组织街道办、社区工作站、居民委员会及相关预防、监测责任人登记地质灾害隐患点并组织做好防治工作。市规划和自然资源局盐田管理局应充分发挥专业优势，每年汛期前，组织辖区住建、交通、水务、城管和街道办等单位开展地质灾害隐患排查，发现险情及时报告，落实防灾责任人、监测单位和监测人；汛中、汛后进行定期和不定期的检查，加强对地质灾害重点地区的监测和防范。</w:t>
      </w:r>
    </w:p>
    <w:p w14:paraId="262EB9FF">
      <w:pPr>
        <w:spacing w:line="600" w:lineRule="exact"/>
        <w:ind w:firstLine="640"/>
      </w:pPr>
      <w:r>
        <w:rPr>
          <w:rFonts w:hint="eastAsia" w:ascii="仿宋_GB2312" w:hAnsi="仿宋_GB2312" w:cs="仿宋_GB2312"/>
          <w:kern w:val="0"/>
          <w:szCs w:val="32"/>
        </w:rPr>
        <w:t>（3）</w:t>
      </w:r>
      <w:r>
        <w:rPr>
          <w:rFonts w:hint="eastAsia"/>
        </w:rPr>
        <w:t>因工程建设可能引发地质灾害的，建设单位、产权人应加强地质灾害监测。住建、交通、水务、城管等行政主管部门按照各自职责分工做好指导、检查和监督工作。</w:t>
      </w:r>
    </w:p>
    <w:p w14:paraId="4AD15B9E">
      <w:pPr>
        <w:spacing w:line="560" w:lineRule="exact"/>
        <w:ind w:firstLine="640" w:firstLineChars="200"/>
        <w:outlineLvl w:val="2"/>
        <w:rPr>
          <w:rFonts w:hint="eastAsia" w:ascii="仿宋_GB2312" w:hAnsi="仿宋_GB2312"/>
        </w:rPr>
      </w:pPr>
      <w:r>
        <w:rPr>
          <w:rFonts w:hint="eastAsia" w:ascii="仿宋_GB2312" w:hAnsi="仿宋_GB2312"/>
        </w:rPr>
        <w:t>3.1.3 评估</w:t>
      </w:r>
    </w:p>
    <w:p w14:paraId="58AC13B7">
      <w:pPr>
        <w:pStyle w:val="11"/>
        <w:widowControl/>
        <w:spacing w:before="0" w:beforeAutospacing="0" w:after="0" w:afterAutospacing="0"/>
        <w:ind w:firstLine="640"/>
        <w:rPr>
          <w:rFonts w:hint="eastAsia" w:cs="仿宋_GB2312"/>
          <w:sz w:val="32"/>
          <w:szCs w:val="32"/>
        </w:rPr>
      </w:pPr>
      <w:r>
        <w:rPr>
          <w:rFonts w:hint="eastAsia" w:cs="仿宋_GB2312"/>
          <w:sz w:val="32"/>
          <w:szCs w:val="32"/>
        </w:rPr>
        <w:t>市规划和自然资源局盐田管理局</w:t>
      </w:r>
      <w:r>
        <w:rPr>
          <w:rFonts w:cs="仿宋_GB2312"/>
          <w:sz w:val="32"/>
          <w:szCs w:val="32"/>
        </w:rPr>
        <w:t>要会同有关单位建立健全地质灾害风险评估机制，定期或不定期组织对地质灾害风险进行评估，明确地质灾害防范和应对措施。</w:t>
      </w:r>
    </w:p>
    <w:p w14:paraId="16E03CD0">
      <w:pPr>
        <w:pStyle w:val="11"/>
        <w:widowControl/>
        <w:spacing w:before="0" w:beforeAutospacing="0" w:after="0" w:afterAutospacing="0"/>
        <w:ind w:firstLine="640"/>
        <w:rPr>
          <w:rFonts w:hint="eastAsia" w:cs="仿宋_GB2312"/>
          <w:sz w:val="32"/>
          <w:szCs w:val="32"/>
        </w:rPr>
      </w:pPr>
      <w:r>
        <w:rPr>
          <w:rFonts w:cs="仿宋_GB2312"/>
          <w:sz w:val="32"/>
          <w:szCs w:val="32"/>
        </w:rPr>
        <w:t>地质灾害风险主要包括危害人民群众生命安全风险，破坏</w:t>
      </w:r>
      <w:r>
        <w:rPr>
          <w:rFonts w:hint="eastAsia" w:cs="仿宋_GB2312"/>
          <w:sz w:val="32"/>
          <w:szCs w:val="32"/>
        </w:rPr>
        <w:t>城市</w:t>
      </w:r>
      <w:r>
        <w:rPr>
          <w:rFonts w:cs="仿宋_GB2312"/>
          <w:sz w:val="32"/>
          <w:szCs w:val="32"/>
        </w:rPr>
        <w:t>建筑设施及财产风险，破坏生命线工程风险，破坏水利工程风险，破坏森林、树木及土地资源风险等。</w:t>
      </w:r>
    </w:p>
    <w:p w14:paraId="15E2F938">
      <w:pPr>
        <w:pStyle w:val="4"/>
        <w:ind w:firstLine="640"/>
        <w:rPr>
          <w:rFonts w:hint="eastAsia"/>
        </w:rPr>
      </w:pPr>
      <w:bookmarkStart w:id="47" w:name="_Toc11077"/>
      <w:bookmarkStart w:id="48" w:name="_Toc9986"/>
      <w:bookmarkStart w:id="49" w:name="_Toc11656"/>
      <w:bookmarkStart w:id="50" w:name="_Toc1363127609"/>
      <w:r>
        <w:rPr>
          <w:rFonts w:hint="eastAsia"/>
        </w:rPr>
        <w:t>3.2 预警</w:t>
      </w:r>
      <w:bookmarkEnd w:id="47"/>
      <w:bookmarkEnd w:id="48"/>
      <w:bookmarkEnd w:id="49"/>
      <w:bookmarkEnd w:id="50"/>
    </w:p>
    <w:p w14:paraId="0B78B435">
      <w:pPr>
        <w:pStyle w:val="11"/>
        <w:widowControl/>
        <w:spacing w:before="0" w:beforeAutospacing="0" w:after="0" w:afterAutospacing="0"/>
        <w:ind w:firstLine="640"/>
        <w:rPr>
          <w:rFonts w:hint="eastAsia" w:cs="仿宋_GB2312"/>
          <w:sz w:val="32"/>
          <w:szCs w:val="32"/>
        </w:rPr>
      </w:pPr>
      <w:r>
        <w:rPr>
          <w:rFonts w:hint="eastAsia" w:cs="仿宋_GB2312"/>
          <w:sz w:val="32"/>
          <w:szCs w:val="32"/>
        </w:rPr>
        <w:t>（1）预警分级</w:t>
      </w:r>
    </w:p>
    <w:p w14:paraId="2A5E2B9F">
      <w:pPr>
        <w:pStyle w:val="11"/>
        <w:widowControl/>
        <w:spacing w:before="0" w:beforeAutospacing="0" w:after="0" w:afterAutospacing="0"/>
        <w:ind w:firstLine="640"/>
        <w:rPr>
          <w:rFonts w:hint="eastAsia" w:cs="仿宋_GB2312"/>
          <w:sz w:val="32"/>
          <w:szCs w:val="32"/>
        </w:rPr>
      </w:pPr>
      <w:r>
        <w:rPr>
          <w:rFonts w:hint="eastAsia" w:cs="仿宋_GB2312"/>
          <w:sz w:val="32"/>
          <w:szCs w:val="32"/>
        </w:rPr>
        <w:t>地质灾害气象风险预警分为四个等级，由弱到强依次为四级（提醒级）、三级（注意级）、二级（预警级）、一级（警报级），分别表示气象因素致地质灾害发生有一定风险、风险较高、高、很高，分别对应地质灾害蓝色、黄色、橙色和红色预警。</w:t>
      </w:r>
    </w:p>
    <w:p w14:paraId="52E53E14">
      <w:pPr>
        <w:pStyle w:val="11"/>
        <w:widowControl/>
        <w:spacing w:before="0" w:beforeAutospacing="0" w:after="0" w:afterAutospacing="0"/>
        <w:ind w:firstLine="640"/>
        <w:rPr>
          <w:rFonts w:hint="eastAsia" w:cs="仿宋_GB2312"/>
          <w:sz w:val="32"/>
          <w:szCs w:val="32"/>
        </w:rPr>
      </w:pPr>
      <w:r>
        <w:rPr>
          <w:rFonts w:hint="eastAsia" w:cs="仿宋_GB2312"/>
          <w:sz w:val="32"/>
          <w:szCs w:val="32"/>
        </w:rPr>
        <w:t>（2）预警信息发布</w:t>
      </w:r>
    </w:p>
    <w:p w14:paraId="506A049C">
      <w:pPr>
        <w:pStyle w:val="11"/>
        <w:widowControl/>
        <w:spacing w:before="0" w:beforeAutospacing="0" w:after="0" w:afterAutospacing="0"/>
        <w:ind w:firstLine="640"/>
        <w:rPr>
          <w:rFonts w:hint="eastAsia" w:cs="仿宋_GB2312"/>
          <w:sz w:val="32"/>
          <w:szCs w:val="32"/>
        </w:rPr>
      </w:pPr>
      <w:r>
        <w:rPr>
          <w:rFonts w:hint="eastAsia" w:cs="仿宋_GB2312"/>
          <w:sz w:val="32"/>
          <w:szCs w:val="32"/>
        </w:rPr>
        <w:t>市规划和自然资源局、市气象局联合发布地质灾害气象预警信息。预警信息内容主要包括：地质灾害可能发生的时间、地点、成灾范围、危险程度和应采取的防范措施等。</w:t>
      </w:r>
      <w:r>
        <w:rPr>
          <w:rFonts w:hint="eastAsia" w:hAnsi="Times New Roman"/>
          <w:kern w:val="32"/>
          <w:sz w:val="32"/>
          <w:szCs w:val="20"/>
        </w:rPr>
        <w:t>各街道和区相关部门（单位）</w:t>
      </w:r>
      <w:r>
        <w:rPr>
          <w:rFonts w:hint="eastAsia" w:cs="仿宋_GB2312"/>
          <w:sz w:val="32"/>
          <w:szCs w:val="32"/>
        </w:rPr>
        <w:t>应立即组织将有关预警信息告知地质灾害防灾责任人、监测人和受威胁人员。</w:t>
      </w:r>
    </w:p>
    <w:p w14:paraId="5A51A61C">
      <w:pPr>
        <w:pStyle w:val="11"/>
        <w:widowControl/>
        <w:spacing w:before="0" w:beforeAutospacing="0" w:after="0" w:afterAutospacing="0"/>
        <w:ind w:firstLine="640"/>
        <w:rPr>
          <w:rFonts w:hint="eastAsia" w:cs="仿宋_GB2312"/>
          <w:sz w:val="32"/>
          <w:szCs w:val="32"/>
        </w:rPr>
      </w:pPr>
      <w:r>
        <w:rPr>
          <w:rFonts w:hint="eastAsia" w:cs="仿宋_GB2312"/>
          <w:sz w:val="32"/>
          <w:szCs w:val="32"/>
        </w:rPr>
        <w:t>（3）预警信息发布后，预警区域内的街道办、区各有关部门应根据实际情况和分级负责的原则，制定相应的气象风险预警响应措施并予以落实，严格执行值班制度，加强地质灾害巡查、监测，及时发现险情、灾情并报告。</w:t>
      </w:r>
    </w:p>
    <w:p w14:paraId="2A4AC28B">
      <w:pPr>
        <w:pStyle w:val="4"/>
        <w:ind w:firstLine="640"/>
        <w:rPr>
          <w:rFonts w:hint="eastAsia"/>
        </w:rPr>
      </w:pPr>
      <w:bookmarkStart w:id="51" w:name="_Toc1284"/>
      <w:bookmarkStart w:id="52" w:name="_Toc13569"/>
      <w:bookmarkStart w:id="53" w:name="_Toc12535"/>
      <w:bookmarkStart w:id="54" w:name="_Toc425182336"/>
      <w:r>
        <w:rPr>
          <w:rFonts w:hint="eastAsia"/>
        </w:rPr>
        <w:t>3.3 应急处置</w:t>
      </w:r>
      <w:bookmarkEnd w:id="51"/>
      <w:bookmarkEnd w:id="52"/>
      <w:bookmarkEnd w:id="53"/>
      <w:bookmarkEnd w:id="54"/>
    </w:p>
    <w:p w14:paraId="2B243BC0">
      <w:pPr>
        <w:spacing w:line="560" w:lineRule="exact"/>
        <w:ind w:firstLine="640" w:firstLineChars="200"/>
        <w:outlineLvl w:val="2"/>
        <w:rPr>
          <w:rFonts w:hint="eastAsia" w:ascii="仿宋_GB2312" w:hAnsi="仿宋_GB2312"/>
        </w:rPr>
      </w:pPr>
      <w:bookmarkStart w:id="55" w:name="_Toc1886"/>
      <w:bookmarkStart w:id="56" w:name="_Toc26336"/>
      <w:bookmarkStart w:id="57" w:name="_Toc28904"/>
      <w:r>
        <w:rPr>
          <w:rFonts w:hint="eastAsia" w:ascii="仿宋_GB2312" w:hAnsi="仿宋_GB2312"/>
        </w:rPr>
        <w:t>3.3.1 信息报告</w:t>
      </w:r>
      <w:bookmarkEnd w:id="55"/>
      <w:bookmarkEnd w:id="56"/>
      <w:bookmarkEnd w:id="57"/>
    </w:p>
    <w:p w14:paraId="516EE5A5">
      <w:pPr>
        <w:spacing w:line="580" w:lineRule="exact"/>
        <w:ind w:firstLine="640" w:firstLineChars="200"/>
        <w:rPr>
          <w:rFonts w:ascii="仿宋_GB2312" w:hAnsi="Times New Roman"/>
          <w:kern w:val="32"/>
          <w:szCs w:val="20"/>
        </w:rPr>
      </w:pPr>
      <w:bookmarkStart w:id="58" w:name="_Toc12201"/>
      <w:bookmarkStart w:id="59" w:name="_Toc19992"/>
      <w:bookmarkStart w:id="60" w:name="_Toc6503"/>
      <w:r>
        <w:rPr>
          <w:rFonts w:hint="eastAsia" w:ascii="仿宋_GB2312" w:hAnsi="Times New Roman"/>
          <w:kern w:val="32"/>
          <w:szCs w:val="20"/>
        </w:rPr>
        <w:t>（1）各街道和区相关部门（单位）要认真执行值班和信息报送的有关规定，对地质灾害做到早发现、早报告、早处置。</w:t>
      </w:r>
    </w:p>
    <w:p w14:paraId="75803C00">
      <w:pPr>
        <w:spacing w:line="580" w:lineRule="exact"/>
        <w:ind w:firstLine="640" w:firstLineChars="200"/>
        <w:rPr>
          <w:rFonts w:ascii="仿宋_GB2312" w:hAnsi="Times New Roman"/>
          <w:kern w:val="32"/>
          <w:szCs w:val="20"/>
        </w:rPr>
      </w:pPr>
      <w:r>
        <w:rPr>
          <w:rFonts w:hint="eastAsia" w:ascii="仿宋_GB2312" w:hAnsi="Times New Roman"/>
          <w:kern w:val="32"/>
          <w:szCs w:val="20"/>
        </w:rPr>
        <w:t>（2）发现疑似地质灾害或者险情的单位和个人，应迅速向所在地街道办事处、区相关部门报告。接到报告的相关部门（单位），应当按照相关规定转报区指挥部办公室及</w:t>
      </w:r>
      <w:r>
        <w:rPr>
          <w:rFonts w:hint="eastAsia" w:cs="仿宋_GB2312"/>
          <w:szCs w:val="32"/>
        </w:rPr>
        <w:t>市规划和自然资源局盐田管理局</w:t>
      </w:r>
      <w:r>
        <w:rPr>
          <w:rFonts w:hint="eastAsia" w:ascii="仿宋_GB2312" w:hAnsi="Times New Roman"/>
          <w:kern w:val="32"/>
          <w:szCs w:val="20"/>
        </w:rPr>
        <w:t>。</w:t>
      </w:r>
    </w:p>
    <w:p w14:paraId="49927170">
      <w:pPr>
        <w:spacing w:line="580" w:lineRule="exact"/>
        <w:ind w:firstLine="640" w:firstLineChars="200"/>
        <w:rPr>
          <w:rFonts w:ascii="仿宋_GB2312" w:hAnsi="Times New Roman"/>
          <w:kern w:val="32"/>
          <w:szCs w:val="20"/>
        </w:rPr>
      </w:pPr>
      <w:r>
        <w:rPr>
          <w:rFonts w:hint="eastAsia" w:ascii="仿宋_GB2312" w:hAnsi="Times New Roman"/>
          <w:kern w:val="32"/>
          <w:szCs w:val="20"/>
        </w:rPr>
        <w:t>（3）发生一般地质灾害，事发街道应立即向区委区政府总值班室报告，报告时间原则上在灾害发生后60分钟内。</w:t>
      </w:r>
    </w:p>
    <w:p w14:paraId="11FED42B">
      <w:pPr>
        <w:spacing w:line="580" w:lineRule="exact"/>
        <w:ind w:firstLine="640" w:firstLineChars="200"/>
        <w:rPr>
          <w:rFonts w:ascii="仿宋_GB2312" w:hAnsi="Times New Roman"/>
          <w:kern w:val="32"/>
          <w:szCs w:val="20"/>
        </w:rPr>
      </w:pPr>
      <w:r>
        <w:rPr>
          <w:rFonts w:hint="eastAsia" w:ascii="仿宋_GB2312" w:hAnsi="Times New Roman"/>
          <w:kern w:val="32"/>
          <w:szCs w:val="20"/>
        </w:rPr>
        <w:t>（4）发生较大</w:t>
      </w:r>
      <w:r>
        <w:rPr>
          <w:rFonts w:hint="eastAsia" w:ascii="仿宋_GB2312" w:hAnsi="Times New Roman"/>
          <w:kern w:val="32"/>
          <w:szCs w:val="20"/>
          <w:lang w:eastAsia="zh-CN"/>
        </w:rPr>
        <w:t>、重大</w:t>
      </w:r>
      <w:r>
        <w:rPr>
          <w:rFonts w:hint="eastAsia" w:ascii="仿宋_GB2312" w:hAnsi="Times New Roman"/>
          <w:kern w:val="32"/>
          <w:szCs w:val="20"/>
        </w:rPr>
        <w:t>地质灾害，事发街道办必须在事发后30分钟内向区委区政府总值班室报告事件简要情况，并通报地质灾害可能涉及的其他街道、区有关部门（单位）。事件后续处置情况应及时报告。</w:t>
      </w:r>
    </w:p>
    <w:p w14:paraId="5224A169">
      <w:pPr>
        <w:spacing w:line="580" w:lineRule="exact"/>
        <w:ind w:firstLine="640" w:firstLineChars="200"/>
        <w:rPr>
          <w:rFonts w:ascii="仿宋_GB2312" w:hAnsi="Times New Roman"/>
          <w:kern w:val="32"/>
          <w:szCs w:val="20"/>
        </w:rPr>
      </w:pPr>
      <w:r>
        <w:rPr>
          <w:rFonts w:hint="eastAsia" w:ascii="仿宋_GB2312" w:hAnsi="Times New Roman"/>
          <w:kern w:val="32"/>
          <w:szCs w:val="20"/>
        </w:rPr>
        <w:t>（5）发生</w:t>
      </w:r>
      <w:r>
        <w:rPr>
          <w:rFonts w:hint="eastAsia" w:ascii="仿宋_GB2312" w:hAnsi="Times New Roman"/>
          <w:kern w:val="32"/>
          <w:szCs w:val="20"/>
          <w:lang w:eastAsia="zh-CN"/>
        </w:rPr>
        <w:t>特别重大</w:t>
      </w:r>
      <w:r>
        <w:rPr>
          <w:rFonts w:hint="eastAsia" w:ascii="仿宋_GB2312" w:hAnsi="Times New Roman"/>
          <w:kern w:val="32"/>
          <w:szCs w:val="20"/>
        </w:rPr>
        <w:t>地质灾害，事发街道办应立即向区委区政府总值班室报告，电话报告时间不超过15分钟、书面报告时间原则上不超过30分钟。</w:t>
      </w:r>
    </w:p>
    <w:p w14:paraId="07490B1C">
      <w:pPr>
        <w:spacing w:line="580" w:lineRule="exact"/>
        <w:ind w:firstLine="640" w:firstLineChars="200"/>
        <w:rPr>
          <w:rFonts w:hint="eastAsia" w:ascii="仿宋_GB2312" w:hAnsi="Times New Roman"/>
          <w:kern w:val="32"/>
          <w:szCs w:val="20"/>
        </w:rPr>
      </w:pPr>
      <w:r>
        <w:rPr>
          <w:rFonts w:hint="eastAsia" w:ascii="仿宋_GB2312" w:hAnsi="Times New Roman"/>
          <w:kern w:val="32"/>
          <w:szCs w:val="20"/>
        </w:rPr>
        <w:t>（6）突发地质灾害以“盐田区突发地质灾害信息报告</w:t>
      </w:r>
      <w:r>
        <w:rPr>
          <w:rFonts w:hint="eastAsia" w:ascii="仿宋_GB2312" w:hAnsi="Times New Roman"/>
          <w:kern w:val="32"/>
          <w:szCs w:val="20"/>
          <w:lang w:eastAsia="zh-CN"/>
        </w:rPr>
        <w:t>表</w:t>
      </w:r>
      <w:r>
        <w:rPr>
          <w:rFonts w:hint="eastAsia" w:ascii="仿宋_GB2312" w:hAnsi="Times New Roman"/>
          <w:kern w:val="32"/>
          <w:szCs w:val="20"/>
        </w:rPr>
        <w:t>”</w:t>
      </w:r>
      <w:r>
        <w:rPr>
          <w:rFonts w:hint="eastAsia" w:ascii="仿宋_GB2312" w:hAnsi="Times New Roman"/>
          <w:kern w:val="32"/>
          <w:szCs w:val="20"/>
          <w:lang w:eastAsia="zh-CN"/>
        </w:rPr>
        <w:t>（附件五）</w:t>
      </w:r>
      <w:r>
        <w:rPr>
          <w:rFonts w:hint="eastAsia" w:ascii="仿宋_GB2312" w:hAnsi="Times New Roman"/>
          <w:kern w:val="32"/>
          <w:szCs w:val="20"/>
        </w:rPr>
        <w:t>形式上报，内容主要包括：地质灾害或险情发生时间、地点、灾害或险情类型、影响程度、初判级别和成因、已采取措施及效果、发展趋势及对策建议等。</w:t>
      </w:r>
    </w:p>
    <w:p w14:paraId="4682686B">
      <w:pPr>
        <w:spacing w:line="580" w:lineRule="exact"/>
        <w:ind w:firstLine="640" w:firstLineChars="200"/>
        <w:rPr>
          <w:color w:val="000000"/>
        </w:rPr>
      </w:pPr>
      <w:r>
        <w:rPr>
          <w:rFonts w:hint="eastAsia" w:ascii="仿宋_GB2312" w:hAnsi="Times New Roman"/>
          <w:kern w:val="32"/>
          <w:szCs w:val="20"/>
        </w:rPr>
        <w:t>（7）当地质灾害造成港澳台人员或外籍人士伤亡时，区指挥部应根据情况及时通报区外事机关，依据相关应急预案处理。</w:t>
      </w:r>
    </w:p>
    <w:p w14:paraId="22F4C9BC">
      <w:pPr>
        <w:spacing w:line="560" w:lineRule="exact"/>
        <w:ind w:firstLine="640" w:firstLineChars="200"/>
        <w:outlineLvl w:val="2"/>
        <w:rPr>
          <w:rFonts w:hint="eastAsia" w:ascii="仿宋_GB2312" w:hAnsi="仿宋_GB2312"/>
        </w:rPr>
      </w:pPr>
      <w:r>
        <w:rPr>
          <w:rFonts w:hint="eastAsia" w:ascii="仿宋_GB2312" w:hAnsi="仿宋_GB2312"/>
        </w:rPr>
        <w:t>3.3.2 先期处置</w:t>
      </w:r>
      <w:bookmarkEnd w:id="58"/>
      <w:bookmarkEnd w:id="59"/>
      <w:bookmarkEnd w:id="60"/>
    </w:p>
    <w:p w14:paraId="7389754E">
      <w:pPr>
        <w:spacing w:line="580" w:lineRule="exact"/>
        <w:ind w:firstLine="640" w:firstLineChars="200"/>
        <w:rPr>
          <w:rFonts w:ascii="仿宋_GB2312" w:hAnsi="Times New Roman"/>
          <w:kern w:val="24"/>
          <w:szCs w:val="32"/>
        </w:rPr>
      </w:pPr>
      <w:r>
        <w:rPr>
          <w:rFonts w:hint="eastAsia" w:ascii="仿宋_GB2312" w:hAnsi="Times New Roman"/>
          <w:kern w:val="24"/>
          <w:szCs w:val="32"/>
        </w:rPr>
        <w:t>接报地质灾害信息后，事发地街道作为第一响应责任单位，应立即组织应急力量赶赴现场，发动基层干部群众开展自救互救，组织基层抢险救援队伍开展人员搜救和医疗救护，营救受害人员，初步划定危险区域，疏散受威胁人员，拉围警戒设施，警示无关人员不得靠近危险区；视需要</w:t>
      </w:r>
      <w:r>
        <w:rPr>
          <w:rFonts w:hint="eastAsia" w:cs="仿宋_GB2312"/>
          <w:szCs w:val="32"/>
        </w:rPr>
        <w:t>开放应急避难场所，及时转移、安置受灾群众；防范次生灾害，维护社会治安。</w:t>
      </w:r>
    </w:p>
    <w:p w14:paraId="4D5E7FB3">
      <w:pPr>
        <w:spacing w:line="560" w:lineRule="exact"/>
        <w:ind w:firstLine="640" w:firstLineChars="200"/>
        <w:outlineLvl w:val="2"/>
        <w:rPr>
          <w:rFonts w:hint="eastAsia" w:ascii="仿宋_GB2312" w:hAnsi="仿宋_GB2312"/>
        </w:rPr>
      </w:pPr>
      <w:bookmarkStart w:id="61" w:name="_Toc28516"/>
      <w:bookmarkStart w:id="62" w:name="_Toc20019"/>
      <w:bookmarkStart w:id="63" w:name="_Toc8856"/>
      <w:r>
        <w:rPr>
          <w:rFonts w:hint="eastAsia" w:ascii="仿宋_GB2312" w:hAnsi="仿宋_GB2312"/>
        </w:rPr>
        <w:t>3.3.3 响应启动</w:t>
      </w:r>
      <w:bookmarkEnd w:id="61"/>
      <w:bookmarkEnd w:id="62"/>
      <w:bookmarkEnd w:id="63"/>
    </w:p>
    <w:p w14:paraId="1EE7B004">
      <w:pPr>
        <w:pStyle w:val="6"/>
        <w:spacing w:line="580" w:lineRule="exact"/>
        <w:ind w:firstLine="640"/>
        <w:rPr>
          <w:rFonts w:hint="eastAsia" w:ascii="仿宋_GB2312" w:hAnsi="仿宋_GB2312" w:cs="仿宋_GB2312"/>
          <w:kern w:val="0"/>
          <w:szCs w:val="32"/>
        </w:rPr>
      </w:pPr>
      <w:r>
        <w:rPr>
          <w:rFonts w:hint="eastAsia" w:cs="仿宋_GB2312"/>
          <w:szCs w:val="32"/>
        </w:rPr>
        <w:t>接到地质灾害报告后，区指挥部办公室立即组织区指挥部有关成员和专家开展分析研判，对地质灾害影响及其发展趋势进行综合评估，根据分析研判结果，提出应急响应建议。按照地质灾害影响范围、严重程度等，</w:t>
      </w:r>
      <w:r>
        <w:rPr>
          <w:rFonts w:hint="eastAsia" w:ascii="仿宋_GB2312" w:hAnsi="仿宋_GB2312" w:cs="仿宋_GB2312"/>
          <w:kern w:val="0"/>
          <w:szCs w:val="32"/>
        </w:rPr>
        <w:t>区级层面应急响应由高到低划分为一级（Ⅰ级）、二级（</w:t>
      </w:r>
      <w:bookmarkStart w:id="64" w:name="OLE_LINK2"/>
      <w:r>
        <w:rPr>
          <w:rFonts w:hint="eastAsia" w:ascii="仿宋_GB2312" w:hAnsi="仿宋_GB2312" w:cs="仿宋_GB2312"/>
          <w:kern w:val="0"/>
          <w:szCs w:val="32"/>
        </w:rPr>
        <w:t>Ⅱ</w:t>
      </w:r>
      <w:bookmarkEnd w:id="64"/>
      <w:r>
        <w:rPr>
          <w:rFonts w:hint="eastAsia" w:ascii="仿宋_GB2312" w:hAnsi="仿宋_GB2312" w:cs="仿宋_GB2312"/>
          <w:kern w:val="0"/>
          <w:szCs w:val="32"/>
        </w:rPr>
        <w:t>级）、三级（Ⅲ级）和</w:t>
      </w:r>
      <w:r>
        <w:rPr>
          <w:rFonts w:hint="eastAsia" w:cs="仿宋_GB2312"/>
          <w:szCs w:val="32"/>
        </w:rPr>
        <w:t>四级（</w:t>
      </w:r>
      <w:r>
        <w:rPr>
          <w:rFonts w:hint="eastAsia" w:ascii="仿宋" w:hAnsi="仿宋" w:eastAsia="仿宋" w:cs="仿宋_GB2312"/>
          <w:szCs w:val="32"/>
        </w:rPr>
        <w:t>Ⅳ</w:t>
      </w:r>
      <w:r>
        <w:rPr>
          <w:rFonts w:hint="eastAsia" w:cs="仿宋_GB2312"/>
          <w:szCs w:val="32"/>
        </w:rPr>
        <w:t>级）</w:t>
      </w:r>
      <w:r>
        <w:rPr>
          <w:rFonts w:hint="eastAsia" w:ascii="仿宋_GB2312" w:hAnsi="仿宋_GB2312" w:cs="仿宋_GB2312"/>
          <w:kern w:val="0"/>
          <w:szCs w:val="32"/>
        </w:rPr>
        <w:t>。启动响应后，可视事态发展情况，及时调整响应级别。各街道的应急响应分级，参照区级层面响应分级设置，结合本街道实际情况予以明确。</w:t>
      </w:r>
    </w:p>
    <w:p w14:paraId="7BA0DC66">
      <w:pPr>
        <w:pStyle w:val="11"/>
        <w:widowControl/>
        <w:spacing w:before="0" w:beforeAutospacing="0" w:after="0" w:afterAutospacing="0"/>
        <w:ind w:firstLine="640"/>
        <w:rPr>
          <w:rFonts w:hint="eastAsia" w:cs="仿宋_GB2312"/>
          <w:sz w:val="32"/>
          <w:szCs w:val="32"/>
        </w:rPr>
      </w:pPr>
      <w:r>
        <w:rPr>
          <w:rFonts w:hint="eastAsia" w:cs="仿宋_GB2312"/>
          <w:sz w:val="32"/>
          <w:szCs w:val="32"/>
        </w:rPr>
        <w:t>（1）</w:t>
      </w:r>
      <w:r>
        <w:rPr>
          <w:rFonts w:hint="eastAsia" w:ascii="仿宋" w:hAnsi="仿宋" w:eastAsia="仿宋" w:cs="仿宋_GB2312"/>
          <w:sz w:val="32"/>
          <w:szCs w:val="32"/>
        </w:rPr>
        <w:t>Ⅳ</w:t>
      </w:r>
      <w:r>
        <w:rPr>
          <w:rFonts w:hint="eastAsia" w:cs="仿宋_GB2312"/>
          <w:sz w:val="32"/>
          <w:szCs w:val="32"/>
        </w:rPr>
        <w:t>级响应</w:t>
      </w:r>
    </w:p>
    <w:p w14:paraId="2A425F05">
      <w:pPr>
        <w:pStyle w:val="11"/>
        <w:widowControl/>
        <w:spacing w:before="0" w:beforeAutospacing="0" w:after="0" w:afterAutospacing="0"/>
        <w:ind w:firstLine="640"/>
        <w:rPr>
          <w:rFonts w:hint="eastAsia" w:cs="仿宋_GB2312"/>
          <w:sz w:val="32"/>
          <w:szCs w:val="32"/>
        </w:rPr>
      </w:pPr>
      <w:r>
        <w:rPr>
          <w:rFonts w:hint="eastAsia" w:cs="仿宋_GB2312"/>
          <w:sz w:val="32"/>
          <w:szCs w:val="32"/>
        </w:rPr>
        <w:t>启动条件：</w:t>
      </w:r>
    </w:p>
    <w:p w14:paraId="2B1CE514">
      <w:pPr>
        <w:pStyle w:val="6"/>
        <w:spacing w:line="580" w:lineRule="exact"/>
        <w:ind w:firstLine="640"/>
        <w:rPr>
          <w:rFonts w:hint="eastAsia" w:ascii="仿宋_GB2312" w:hAnsi="仿宋_GB2312" w:cs="仿宋_GB2312"/>
          <w:kern w:val="0"/>
          <w:szCs w:val="32"/>
        </w:rPr>
      </w:pPr>
      <w:r>
        <w:rPr>
          <w:rFonts w:hint="eastAsia" w:ascii="仿宋_GB2312" w:hAnsi="仿宋_GB2312" w:cs="仿宋_GB2312"/>
          <w:kern w:val="0"/>
          <w:szCs w:val="32"/>
        </w:rPr>
        <w:t>发生一般地质灾害，由区指挥部办公室决定启动Ⅳ级响应。</w:t>
      </w:r>
    </w:p>
    <w:p w14:paraId="34CB2ACB">
      <w:pPr>
        <w:pStyle w:val="6"/>
        <w:spacing w:line="580" w:lineRule="exact"/>
        <w:ind w:firstLine="640"/>
        <w:rPr>
          <w:rFonts w:hint="eastAsia" w:ascii="仿宋_GB2312" w:hAnsi="仿宋_GB2312" w:cs="仿宋_GB2312"/>
          <w:kern w:val="0"/>
          <w:szCs w:val="32"/>
        </w:rPr>
      </w:pPr>
      <w:r>
        <w:rPr>
          <w:rFonts w:hint="eastAsia" w:ascii="仿宋_GB2312" w:hAnsi="仿宋_GB2312" w:cs="仿宋_GB2312"/>
          <w:kern w:val="0"/>
          <w:szCs w:val="32"/>
        </w:rPr>
        <w:t>指挥协调：</w:t>
      </w:r>
    </w:p>
    <w:p w14:paraId="7E3066A2">
      <w:pPr>
        <w:pStyle w:val="6"/>
        <w:spacing w:line="580" w:lineRule="exact"/>
        <w:ind w:firstLine="640"/>
        <w:rPr>
          <w:rFonts w:hint="eastAsia" w:ascii="仿宋_GB2312" w:hAnsi="仿宋_GB2312" w:cs="仿宋_GB2312"/>
          <w:kern w:val="0"/>
          <w:szCs w:val="32"/>
        </w:rPr>
      </w:pPr>
      <w:r>
        <w:rPr>
          <w:rFonts w:hint="eastAsia" w:ascii="仿宋_GB2312" w:hAnsi="仿宋_GB2312" w:cs="仿宋_GB2312"/>
          <w:kern w:val="0"/>
          <w:szCs w:val="32"/>
        </w:rPr>
        <w:t>①事发街道办、业务主管部门组织现场应急处置工作。</w:t>
      </w:r>
    </w:p>
    <w:p w14:paraId="56DE56F2">
      <w:pPr>
        <w:pStyle w:val="6"/>
        <w:spacing w:line="580" w:lineRule="exact"/>
        <w:ind w:firstLine="640"/>
        <w:rPr>
          <w:rFonts w:hint="eastAsia" w:ascii="仿宋_GB2312" w:hAnsi="仿宋_GB2312" w:cs="仿宋_GB2312"/>
          <w:kern w:val="0"/>
          <w:szCs w:val="32"/>
        </w:rPr>
      </w:pPr>
      <w:r>
        <w:rPr>
          <w:rFonts w:hint="eastAsia" w:ascii="仿宋_GB2312" w:hAnsi="仿宋_GB2312" w:cs="仿宋_GB2312"/>
          <w:kern w:val="0"/>
          <w:szCs w:val="32"/>
        </w:rPr>
        <w:t>②区指挥部办公室协调区指挥部各成员单位、事发街道开展应急救援工作，及时掌握有关地质灾害、险情和应急救援信息，并将相关情况报告区委</w:t>
      </w:r>
      <w:r>
        <w:rPr>
          <w:rFonts w:hint="eastAsia" w:ascii="仿宋_GB2312" w:hAnsi="仿宋_GB2312" w:cs="仿宋_GB2312"/>
          <w:kern w:val="0"/>
          <w:szCs w:val="32"/>
          <w:lang w:eastAsia="zh-CN"/>
        </w:rPr>
        <w:t>、</w:t>
      </w:r>
      <w:r>
        <w:rPr>
          <w:rFonts w:hint="eastAsia" w:ascii="仿宋_GB2312" w:hAnsi="仿宋_GB2312" w:cs="仿宋_GB2312"/>
          <w:kern w:val="0"/>
          <w:szCs w:val="32"/>
        </w:rPr>
        <w:t>区政府、市应急管理局；组织相关单位参与险情、灾情会商研判，提出启动、终止地质灾害应急响应建议及应急处置方案；组织或配合发布地质灾害应急处置有关信息。</w:t>
      </w:r>
    </w:p>
    <w:p w14:paraId="653425D5">
      <w:pPr>
        <w:pStyle w:val="6"/>
        <w:spacing w:line="580" w:lineRule="exact"/>
        <w:ind w:firstLine="640"/>
        <w:rPr>
          <w:rFonts w:hint="eastAsia" w:ascii="仿宋_GB2312" w:hAnsi="仿宋_GB2312" w:cs="仿宋_GB2312"/>
          <w:kern w:val="0"/>
          <w:szCs w:val="32"/>
        </w:rPr>
      </w:pPr>
      <w:r>
        <w:rPr>
          <w:rFonts w:hint="eastAsia" w:ascii="仿宋_GB2312" w:hAnsi="仿宋_GB2312" w:cs="仿宋_GB2312"/>
          <w:kern w:val="0"/>
          <w:szCs w:val="32"/>
        </w:rPr>
        <w:t>③各成员单位按照各自职责及时做好现场抢险救灾、应急保障和善后处置等工作。</w:t>
      </w:r>
    </w:p>
    <w:p w14:paraId="4B36B3C0">
      <w:pPr>
        <w:pStyle w:val="11"/>
        <w:widowControl/>
        <w:spacing w:before="0" w:beforeAutospacing="0" w:after="0" w:afterAutospacing="0"/>
        <w:ind w:firstLine="640"/>
        <w:rPr>
          <w:rFonts w:hint="eastAsia" w:cs="仿宋_GB2312"/>
          <w:sz w:val="32"/>
          <w:szCs w:val="32"/>
        </w:rPr>
      </w:pPr>
      <w:r>
        <w:rPr>
          <w:rFonts w:hint="eastAsia" w:cs="仿宋_GB2312"/>
          <w:sz w:val="32"/>
          <w:szCs w:val="32"/>
        </w:rPr>
        <w:t>（2）Ⅲ级响应</w:t>
      </w:r>
    </w:p>
    <w:p w14:paraId="43A53A66">
      <w:pPr>
        <w:pStyle w:val="11"/>
        <w:widowControl/>
        <w:spacing w:before="0" w:beforeAutospacing="0" w:after="0" w:afterAutospacing="0"/>
        <w:ind w:firstLine="640"/>
        <w:rPr>
          <w:rFonts w:hint="eastAsia" w:cs="仿宋_GB2312"/>
          <w:sz w:val="32"/>
          <w:szCs w:val="32"/>
        </w:rPr>
      </w:pPr>
      <w:r>
        <w:rPr>
          <w:rFonts w:hint="eastAsia" w:cs="仿宋_GB2312"/>
          <w:sz w:val="32"/>
          <w:szCs w:val="32"/>
        </w:rPr>
        <w:t>启动条件：</w:t>
      </w:r>
    </w:p>
    <w:p w14:paraId="44380630">
      <w:pPr>
        <w:pStyle w:val="11"/>
        <w:widowControl/>
        <w:spacing w:before="0" w:beforeAutospacing="0" w:after="0" w:afterAutospacing="0"/>
        <w:ind w:firstLine="640"/>
        <w:rPr>
          <w:rFonts w:hint="eastAsia" w:cs="仿宋_GB2312"/>
          <w:sz w:val="32"/>
          <w:szCs w:val="32"/>
        </w:rPr>
      </w:pPr>
      <w:r>
        <w:rPr>
          <w:rFonts w:hint="eastAsia" w:cs="仿宋_GB2312"/>
          <w:sz w:val="32"/>
          <w:szCs w:val="32"/>
        </w:rPr>
        <w:t>发生一般地质灾害，事态有扩大趋势，或发生在特殊地点、敏感时期，由区指挥部总指挥启动Ⅲ级响应</w:t>
      </w:r>
      <w:r>
        <w:rPr>
          <w:rFonts w:cs="仿宋_GB2312"/>
          <w:sz w:val="32"/>
          <w:szCs w:val="32"/>
        </w:rPr>
        <w:t>。</w:t>
      </w:r>
      <w:r>
        <w:rPr>
          <w:rFonts w:hint="eastAsia" w:cs="仿宋_GB2312"/>
          <w:sz w:val="32"/>
          <w:szCs w:val="32"/>
        </w:rPr>
        <w:t>在</w:t>
      </w:r>
      <w:r>
        <w:rPr>
          <w:rFonts w:hint="eastAsia" w:ascii="仿宋" w:hAnsi="仿宋" w:eastAsia="仿宋" w:cs="仿宋_GB2312"/>
          <w:sz w:val="32"/>
          <w:szCs w:val="32"/>
        </w:rPr>
        <w:t>Ⅳ</w:t>
      </w:r>
      <w:r>
        <w:rPr>
          <w:rFonts w:hint="eastAsia" w:cs="仿宋_GB2312"/>
          <w:sz w:val="32"/>
          <w:szCs w:val="32"/>
        </w:rPr>
        <w:t>级响应基础上开展以下措施。</w:t>
      </w:r>
    </w:p>
    <w:p w14:paraId="1723A9FC">
      <w:pPr>
        <w:pStyle w:val="11"/>
        <w:widowControl/>
        <w:spacing w:before="0" w:beforeAutospacing="0" w:after="0" w:afterAutospacing="0"/>
        <w:ind w:firstLine="640"/>
        <w:rPr>
          <w:rFonts w:hint="eastAsia" w:cs="仿宋_GB2312"/>
          <w:sz w:val="32"/>
          <w:szCs w:val="32"/>
        </w:rPr>
      </w:pPr>
      <w:r>
        <w:rPr>
          <w:rFonts w:hint="eastAsia" w:cs="仿宋_GB2312"/>
          <w:sz w:val="32"/>
          <w:szCs w:val="32"/>
        </w:rPr>
        <w:t>指挥协调：</w:t>
      </w:r>
    </w:p>
    <w:p w14:paraId="564EE205">
      <w:pPr>
        <w:pStyle w:val="11"/>
        <w:widowControl/>
        <w:spacing w:before="0" w:beforeAutospacing="0" w:after="0" w:afterAutospacing="0"/>
        <w:ind w:firstLine="640"/>
        <w:rPr>
          <w:rFonts w:hint="eastAsia" w:cs="仿宋_GB2312"/>
          <w:sz w:val="32"/>
          <w:szCs w:val="32"/>
        </w:rPr>
      </w:pPr>
      <w:r>
        <w:rPr>
          <w:rFonts w:hint="eastAsia" w:cs="仿宋_GB2312"/>
          <w:sz w:val="32"/>
          <w:szCs w:val="32"/>
        </w:rPr>
        <w:t>①区指挥部领导灾区应急救援工作。</w:t>
      </w:r>
    </w:p>
    <w:p w14:paraId="619BFD68">
      <w:pPr>
        <w:pStyle w:val="11"/>
        <w:widowControl/>
        <w:spacing w:before="0" w:beforeAutospacing="0" w:after="0" w:afterAutospacing="0"/>
        <w:ind w:firstLine="640"/>
        <w:rPr>
          <w:rFonts w:hint="eastAsia" w:cs="仿宋_GB2312"/>
          <w:sz w:val="32"/>
          <w:szCs w:val="32"/>
        </w:rPr>
      </w:pPr>
      <w:r>
        <w:rPr>
          <w:rFonts w:hint="eastAsia" w:cs="仿宋_GB2312"/>
          <w:sz w:val="32"/>
          <w:szCs w:val="32"/>
        </w:rPr>
        <w:t>②总指挥委派副总指挥带领工作组赶赴灾区，指导协调应急救援工作。区指挥部有关成员单位派员到区指挥部参与联合值守，随时报告灾情信息。</w:t>
      </w:r>
    </w:p>
    <w:p w14:paraId="5860369C">
      <w:pPr>
        <w:pStyle w:val="11"/>
        <w:widowControl/>
        <w:spacing w:before="0" w:beforeAutospacing="0" w:after="0" w:afterAutospacing="0"/>
        <w:ind w:firstLine="640"/>
        <w:rPr>
          <w:rFonts w:hint="eastAsia" w:cs="仿宋_GB2312"/>
          <w:sz w:val="32"/>
          <w:szCs w:val="32"/>
        </w:rPr>
      </w:pPr>
      <w:r>
        <w:rPr>
          <w:rFonts w:hint="eastAsia" w:cs="仿宋_GB2312"/>
          <w:sz w:val="32"/>
          <w:szCs w:val="32"/>
        </w:rPr>
        <w:t>（3）Ⅱ级响应</w:t>
      </w:r>
    </w:p>
    <w:p w14:paraId="745AA848">
      <w:pPr>
        <w:pStyle w:val="11"/>
        <w:widowControl/>
        <w:spacing w:before="0" w:beforeAutospacing="0" w:after="0" w:afterAutospacing="0"/>
        <w:ind w:firstLine="640"/>
        <w:rPr>
          <w:rFonts w:hint="eastAsia" w:cs="仿宋_GB2312"/>
          <w:sz w:val="32"/>
          <w:szCs w:val="32"/>
        </w:rPr>
      </w:pPr>
      <w:r>
        <w:rPr>
          <w:rFonts w:hint="eastAsia" w:cs="仿宋_GB2312"/>
          <w:sz w:val="32"/>
          <w:szCs w:val="32"/>
        </w:rPr>
        <w:t>启动条件：</w:t>
      </w:r>
    </w:p>
    <w:p w14:paraId="004111C6">
      <w:pPr>
        <w:pStyle w:val="11"/>
        <w:widowControl/>
        <w:spacing w:before="0" w:beforeAutospacing="0" w:after="0" w:afterAutospacing="0"/>
        <w:ind w:firstLine="640"/>
        <w:rPr>
          <w:rFonts w:hint="eastAsia" w:cs="仿宋_GB2312"/>
          <w:sz w:val="32"/>
          <w:szCs w:val="32"/>
        </w:rPr>
      </w:pPr>
      <w:r>
        <w:rPr>
          <w:rFonts w:hint="eastAsia" w:cs="仿宋_GB2312"/>
          <w:sz w:val="32"/>
          <w:szCs w:val="32"/>
        </w:rPr>
        <w:t>发生较大地质灾害，区指挥部报请区政府决定启动Ⅱ级响应，在Ⅲ级响应基础上开展以下措施。</w:t>
      </w:r>
    </w:p>
    <w:p w14:paraId="08162E7D">
      <w:pPr>
        <w:pStyle w:val="11"/>
        <w:widowControl/>
        <w:spacing w:before="0" w:beforeAutospacing="0" w:after="0" w:afterAutospacing="0"/>
        <w:ind w:firstLine="640"/>
        <w:rPr>
          <w:rFonts w:hint="eastAsia" w:cs="仿宋_GB2312"/>
          <w:sz w:val="32"/>
          <w:szCs w:val="32"/>
        </w:rPr>
      </w:pPr>
      <w:r>
        <w:rPr>
          <w:rFonts w:hint="eastAsia" w:cs="仿宋_GB2312"/>
          <w:sz w:val="32"/>
          <w:szCs w:val="32"/>
        </w:rPr>
        <w:t>指挥协调：</w:t>
      </w:r>
    </w:p>
    <w:p w14:paraId="6A4306B1">
      <w:pPr>
        <w:pStyle w:val="11"/>
        <w:widowControl/>
        <w:spacing w:before="0" w:beforeAutospacing="0" w:after="0" w:afterAutospacing="0"/>
        <w:ind w:firstLine="640"/>
        <w:rPr>
          <w:rFonts w:hint="eastAsia" w:cs="仿宋_GB2312"/>
          <w:sz w:val="32"/>
          <w:szCs w:val="32"/>
        </w:rPr>
      </w:pPr>
      <w:bookmarkStart w:id="65" w:name="_Toc27663"/>
      <w:bookmarkStart w:id="66" w:name="_Toc1575"/>
      <w:bookmarkStart w:id="67" w:name="_Toc9281"/>
      <w:r>
        <w:rPr>
          <w:rFonts w:hint="eastAsia" w:cs="仿宋_GB2312"/>
          <w:sz w:val="32"/>
          <w:szCs w:val="32"/>
        </w:rPr>
        <w:t>区指挥部按照市应急指挥部要求开展应急救援工作。区政府主要领导或委派区指挥部总指挥赶赴现场指挥各项应急救援工作。</w:t>
      </w:r>
    </w:p>
    <w:p w14:paraId="507F4BE0">
      <w:pPr>
        <w:pStyle w:val="11"/>
        <w:widowControl/>
        <w:spacing w:before="0" w:beforeAutospacing="0" w:after="0" w:afterAutospacing="0"/>
        <w:ind w:firstLine="640"/>
        <w:rPr>
          <w:rFonts w:hint="eastAsia" w:cs="仿宋_GB2312"/>
          <w:sz w:val="32"/>
          <w:szCs w:val="32"/>
        </w:rPr>
      </w:pPr>
      <w:r>
        <w:rPr>
          <w:rFonts w:hint="eastAsia" w:cs="仿宋_GB2312"/>
          <w:sz w:val="32"/>
          <w:szCs w:val="32"/>
        </w:rPr>
        <w:t>（4）Ⅰ级响应</w:t>
      </w:r>
    </w:p>
    <w:p w14:paraId="0F4566C2">
      <w:pPr>
        <w:pStyle w:val="11"/>
        <w:widowControl/>
        <w:spacing w:before="0" w:beforeAutospacing="0" w:after="0" w:afterAutospacing="0"/>
        <w:ind w:firstLine="640"/>
        <w:rPr>
          <w:rFonts w:hint="eastAsia" w:cs="仿宋_GB2312"/>
          <w:sz w:val="32"/>
          <w:szCs w:val="32"/>
        </w:rPr>
      </w:pPr>
      <w:r>
        <w:rPr>
          <w:rFonts w:hint="eastAsia" w:cs="仿宋_GB2312"/>
          <w:sz w:val="32"/>
          <w:szCs w:val="32"/>
        </w:rPr>
        <w:t>启动条件：</w:t>
      </w:r>
    </w:p>
    <w:p w14:paraId="1BEAFE87">
      <w:pPr>
        <w:pStyle w:val="11"/>
        <w:widowControl/>
        <w:spacing w:before="0" w:beforeAutospacing="0" w:after="0" w:afterAutospacing="0"/>
        <w:ind w:firstLine="640"/>
        <w:rPr>
          <w:rFonts w:hint="eastAsia" w:cs="仿宋_GB2312"/>
          <w:sz w:val="32"/>
          <w:szCs w:val="32"/>
        </w:rPr>
      </w:pPr>
      <w:r>
        <w:rPr>
          <w:rFonts w:hint="eastAsia" w:cs="仿宋_GB2312"/>
          <w:sz w:val="32"/>
          <w:szCs w:val="32"/>
        </w:rPr>
        <w:t>发生较大地质灾害，事态有扩大趋势，或发生重大地质灾害，区指挥部报请区政府决定启动Ⅰ级响应，向各有关单位发布启动相关应急程序的命令，并报告市指挥机构。</w:t>
      </w:r>
    </w:p>
    <w:p w14:paraId="3FC149A7">
      <w:pPr>
        <w:pStyle w:val="11"/>
        <w:widowControl/>
        <w:spacing w:before="0" w:beforeAutospacing="0" w:after="0" w:afterAutospacing="0"/>
        <w:ind w:firstLine="640"/>
        <w:rPr>
          <w:rFonts w:hint="eastAsia" w:cs="仿宋_GB2312"/>
          <w:sz w:val="32"/>
          <w:szCs w:val="32"/>
        </w:rPr>
      </w:pPr>
      <w:r>
        <w:rPr>
          <w:rFonts w:hint="eastAsia" w:cs="仿宋_GB2312"/>
          <w:sz w:val="32"/>
          <w:szCs w:val="32"/>
        </w:rPr>
        <w:t>指挥协调：</w:t>
      </w:r>
    </w:p>
    <w:p w14:paraId="15670C0D">
      <w:pPr>
        <w:pStyle w:val="11"/>
        <w:widowControl/>
        <w:spacing w:before="0" w:beforeAutospacing="0" w:after="0" w:afterAutospacing="0"/>
        <w:ind w:firstLine="640"/>
        <w:rPr>
          <w:rFonts w:hint="eastAsia" w:cs="仿宋_GB2312"/>
          <w:sz w:val="32"/>
          <w:szCs w:val="32"/>
        </w:rPr>
      </w:pPr>
      <w:r>
        <w:rPr>
          <w:rFonts w:hint="eastAsia" w:ascii="仿宋" w:hAnsi="仿宋" w:eastAsia="仿宋" w:cs="仿宋_GB2312"/>
          <w:sz w:val="32"/>
          <w:szCs w:val="32"/>
        </w:rPr>
        <w:t>①</w:t>
      </w:r>
      <w:r>
        <w:rPr>
          <w:rFonts w:hint="eastAsia" w:cs="仿宋_GB2312"/>
          <w:sz w:val="32"/>
          <w:szCs w:val="32"/>
        </w:rPr>
        <w:t>区指挥部在市应急指挥机构的统一领导下，做好灾区应急救援工作。</w:t>
      </w:r>
    </w:p>
    <w:p w14:paraId="30D6C47D">
      <w:pPr>
        <w:pStyle w:val="11"/>
        <w:widowControl/>
        <w:spacing w:before="0" w:beforeAutospacing="0" w:after="0" w:afterAutospacing="0"/>
        <w:ind w:firstLine="640"/>
        <w:rPr>
          <w:rFonts w:hint="eastAsia" w:cs="仿宋_GB2312"/>
          <w:sz w:val="32"/>
          <w:szCs w:val="32"/>
        </w:rPr>
      </w:pPr>
      <w:r>
        <w:rPr>
          <w:rFonts w:hint="eastAsia" w:cs="仿宋_GB2312"/>
          <w:sz w:val="32"/>
          <w:szCs w:val="32"/>
        </w:rPr>
        <w:t>②区政府主要领导按照</w:t>
      </w:r>
      <w:r>
        <w:rPr>
          <w:rFonts w:hint="eastAsia" w:cs="仿宋_GB2312"/>
          <w:sz w:val="32"/>
          <w:szCs w:val="32"/>
          <w:lang w:eastAsia="zh-CN"/>
        </w:rPr>
        <w:t>市</w:t>
      </w:r>
      <w:r>
        <w:rPr>
          <w:rFonts w:hint="eastAsia" w:cs="仿宋_GB2312"/>
          <w:sz w:val="32"/>
          <w:szCs w:val="32"/>
        </w:rPr>
        <w:t>应急指挥部要求指挥应急救援工作。区政府主要领导或委派区指挥部指挥长带领工作组赶赴灾区，在市指挥机构领导、指挥和协调下，做好各项应急救援工作。区指挥部成员单位派员到区指挥部参与联合值守，随时报告各部门、各行业灾情信息。</w:t>
      </w:r>
    </w:p>
    <w:p w14:paraId="323519D1">
      <w:pPr>
        <w:pStyle w:val="11"/>
        <w:widowControl/>
        <w:spacing w:before="0" w:beforeAutospacing="0" w:after="0" w:afterAutospacing="0"/>
        <w:ind w:firstLine="640"/>
        <w:rPr>
          <w:rFonts w:hint="eastAsia" w:cs="仿宋_GB2312"/>
          <w:sz w:val="32"/>
          <w:szCs w:val="32"/>
          <w:lang w:bidi="ar"/>
        </w:rPr>
      </w:pPr>
      <w:r>
        <w:rPr>
          <w:rFonts w:hint="eastAsia" w:cs="仿宋_GB2312"/>
          <w:sz w:val="32"/>
          <w:szCs w:val="32"/>
        </w:rPr>
        <w:t>③区指挥部办公室协调区指挥部各成员单位、发生灾害的街道办开展应急救援工作；及时掌握有关地质灾害灾情、险情和应急救援信息，并将相关情况报告区委、区政府、市应急管理局；组织相关单位参与险情、灾情会商研判，提出启动、终止地质灾害应急响应建议及应急处置方案；组织或配合发布突发地质灾害应急处置有关信息。各有关部门按照各自职责及时做好现场抢险救灾、应急保障和善后处置等工作。</w:t>
      </w:r>
    </w:p>
    <w:p w14:paraId="70668DFF">
      <w:pPr>
        <w:spacing w:line="560" w:lineRule="exact"/>
        <w:ind w:firstLine="640" w:firstLineChars="200"/>
        <w:outlineLvl w:val="2"/>
        <w:rPr>
          <w:rFonts w:hint="eastAsia" w:ascii="仿宋_GB2312" w:hAnsi="仿宋_GB2312"/>
        </w:rPr>
      </w:pPr>
      <w:r>
        <w:rPr>
          <w:rFonts w:hint="eastAsia" w:ascii="仿宋_GB2312" w:hAnsi="仿宋_GB2312"/>
        </w:rPr>
        <w:t>3.3.4 现场处置</w:t>
      </w:r>
      <w:bookmarkEnd w:id="65"/>
      <w:bookmarkEnd w:id="66"/>
      <w:bookmarkEnd w:id="67"/>
    </w:p>
    <w:p w14:paraId="0718BC2D">
      <w:pPr>
        <w:spacing w:line="560" w:lineRule="exact"/>
        <w:ind w:firstLine="640" w:firstLineChars="200"/>
        <w:rPr>
          <w:rFonts w:hint="eastAsia" w:ascii="仿宋_GB2312" w:hAnsi="仿宋_GB2312" w:cs="仿宋_GB2312"/>
          <w:kern w:val="0"/>
          <w:szCs w:val="32"/>
          <w:highlight w:val="yellow"/>
          <w:lang w:bidi="ar"/>
        </w:rPr>
      </w:pPr>
      <w:r>
        <w:rPr>
          <w:rFonts w:hint="eastAsia" w:ascii="仿宋_GB2312" w:hAnsi="仿宋_GB2312" w:cs="仿宋_GB2312"/>
          <w:kern w:val="0"/>
          <w:szCs w:val="32"/>
          <w:lang w:bidi="ar"/>
        </w:rPr>
        <w:t>地质灾害现场应急处置，</w:t>
      </w:r>
      <w:r>
        <w:rPr>
          <w:rFonts w:hint="eastAsia" w:ascii="仿宋_GB2312" w:hAnsi="仿宋_GB2312" w:cs="仿宋_GB2312"/>
          <w:kern w:val="0"/>
          <w:szCs w:val="32"/>
        </w:rPr>
        <w:t>区指挥部办公室视情况成立现场指挥部；较大及以上</w:t>
      </w:r>
      <w:r>
        <w:rPr>
          <w:rFonts w:hint="eastAsia" w:ascii="Times New Roman" w:hAnsi="Times New Roman"/>
          <w:szCs w:val="32"/>
        </w:rPr>
        <w:t>突发地质灾害</w:t>
      </w:r>
      <w:r>
        <w:rPr>
          <w:rFonts w:hint="eastAsia" w:ascii="仿宋_GB2312" w:hAnsi="仿宋_GB2312" w:cs="仿宋_GB2312"/>
          <w:kern w:val="0"/>
          <w:szCs w:val="32"/>
        </w:rPr>
        <w:t>发生后，区指挥部协助市指挥部设立现场指挥部。现场指挥部由总指挥、副总指挥和各工作组组长组成，实行总指挥负责制</w:t>
      </w:r>
      <w:r>
        <w:rPr>
          <w:rFonts w:hint="eastAsia" w:ascii="仿宋_GB2312" w:hAnsi="仿宋_GB2312" w:cs="仿宋_GB2312"/>
          <w:kern w:val="0"/>
          <w:szCs w:val="32"/>
          <w:lang w:bidi="ar"/>
        </w:rPr>
        <w:t>，统一指挥调度，各有关单位按照职责参与应急处置工作。应急处置主要包括以下措施：组织搜救受灾被困人员，救治受伤人员；确定预警信号和撤离路线，疏散撤离并妥善安置受灾人员；及时掌握、报告灾情和人员伤亡情况；协调各级各类救援队伍参与救援工作；根据抢险救灾需要，及时划定地质灾害危险区，设立明显的危险区警示标志；加强现场监测，及时分析研判灾害发展趋势，组织力量消除次生、衍生灾害；加强现场卫生防疫工作；组织抢修基础设施；调用应急物资，接收与分配援助物资；加强现场道路交通、治安管理，做好涉灾涉稳舆情应对工作，维护社会稳定。</w:t>
      </w:r>
    </w:p>
    <w:p w14:paraId="081344DD">
      <w:pPr>
        <w:spacing w:line="560" w:lineRule="exact"/>
        <w:ind w:firstLine="640" w:firstLineChars="200"/>
        <w:rPr>
          <w:rFonts w:hint="eastAsia" w:ascii="仿宋_GB2312" w:hAnsi="仿宋_GB2312" w:cs="仿宋_GB2312"/>
          <w:kern w:val="0"/>
          <w:szCs w:val="32"/>
          <w:highlight w:val="yellow"/>
          <w:lang w:bidi="ar"/>
        </w:rPr>
      </w:pPr>
      <w:r>
        <w:rPr>
          <w:rFonts w:hint="eastAsia" w:ascii="仿宋_GB2312" w:hAnsi="仿宋_GB2312" w:cs="仿宋_GB2312"/>
          <w:kern w:val="0"/>
          <w:szCs w:val="32"/>
        </w:rPr>
        <w:t>现场指挥部可根据工作需要设立综合协调组、技术专家组、治安疏导组、新闻宣传组、后勤保障组、抢险救援组、医疗卫生组、善后处置组、交通运输组、环境保护组、涉境外联络组、调查评估组等工作组。各工作组分工及职责见附件二。</w:t>
      </w:r>
    </w:p>
    <w:p w14:paraId="1705C033">
      <w:pPr>
        <w:spacing w:line="560" w:lineRule="exact"/>
        <w:ind w:firstLine="640" w:firstLineChars="200"/>
        <w:outlineLvl w:val="2"/>
        <w:rPr>
          <w:rFonts w:hint="eastAsia" w:ascii="仿宋_GB2312" w:hAnsi="仿宋_GB2312"/>
        </w:rPr>
      </w:pPr>
      <w:bookmarkStart w:id="68" w:name="_Toc14428"/>
      <w:bookmarkStart w:id="69" w:name="_Toc9958"/>
      <w:bookmarkStart w:id="70" w:name="_Toc23288"/>
      <w:r>
        <w:rPr>
          <w:rFonts w:hint="eastAsia" w:ascii="仿宋_GB2312" w:hAnsi="仿宋_GB2312"/>
        </w:rPr>
        <w:t>3.3.5 响应升级（扩大）</w:t>
      </w:r>
      <w:bookmarkEnd w:id="68"/>
      <w:bookmarkEnd w:id="69"/>
      <w:bookmarkEnd w:id="70"/>
    </w:p>
    <w:p w14:paraId="6085EB2C">
      <w:pPr>
        <w:pStyle w:val="11"/>
        <w:widowControl/>
        <w:spacing w:before="0" w:beforeAutospacing="0" w:after="0" w:afterAutospacing="0"/>
        <w:ind w:firstLine="640"/>
        <w:rPr>
          <w:rFonts w:hint="eastAsia" w:cs="仿宋_GB2312"/>
          <w:sz w:val="32"/>
          <w:szCs w:val="32"/>
          <w:lang w:bidi="ar"/>
        </w:rPr>
      </w:pPr>
      <w:r>
        <w:rPr>
          <w:rFonts w:hint="eastAsia" w:cs="仿宋_GB2312"/>
          <w:sz w:val="32"/>
          <w:szCs w:val="32"/>
          <w:lang w:bidi="ar"/>
        </w:rPr>
        <w:t>（1）在应急处置过程中，因突发地质灾害次生或衍生出其它突发事件，已经采取的应急措施不足以控制事态发展，需由多个专项应急指挥部、多个部门（单位）增援参与应急处置的，区指挥部应立即报告区应急委，由区应急委指挥和协调其他相关单位参与应急处置工作。</w:t>
      </w:r>
    </w:p>
    <w:p w14:paraId="3DDEC38C">
      <w:pPr>
        <w:pStyle w:val="11"/>
        <w:widowControl/>
        <w:spacing w:before="0" w:beforeAutospacing="0" w:after="0" w:afterAutospacing="0"/>
        <w:ind w:firstLine="640"/>
        <w:rPr>
          <w:rFonts w:hint="eastAsia" w:cs="仿宋_GB2312"/>
          <w:sz w:val="32"/>
          <w:szCs w:val="32"/>
          <w:lang w:bidi="ar"/>
        </w:rPr>
      </w:pPr>
      <w:r>
        <w:rPr>
          <w:rFonts w:hint="eastAsia" w:cs="仿宋_GB2312"/>
          <w:sz w:val="32"/>
          <w:szCs w:val="32"/>
          <w:lang w:bidi="ar"/>
        </w:rPr>
        <w:t>（2）在应急处置过程中，当突发地质灾害波及周边街道的，由区</w:t>
      </w:r>
      <w:r>
        <w:rPr>
          <w:rFonts w:hint="eastAsia" w:cs="仿宋_GB2312"/>
          <w:sz w:val="32"/>
          <w:szCs w:val="32"/>
          <w:lang w:eastAsia="zh-CN" w:bidi="ar"/>
        </w:rPr>
        <w:t>指挥部</w:t>
      </w:r>
      <w:r>
        <w:rPr>
          <w:rFonts w:hint="eastAsia" w:cs="仿宋_GB2312"/>
          <w:sz w:val="32"/>
          <w:szCs w:val="32"/>
          <w:lang w:bidi="ar"/>
        </w:rPr>
        <w:t>协调周边街道启动应急联动机制。</w:t>
      </w:r>
    </w:p>
    <w:p w14:paraId="6F436FF0">
      <w:pPr>
        <w:spacing w:line="560" w:lineRule="exact"/>
        <w:ind w:firstLine="640" w:firstLineChars="200"/>
        <w:outlineLvl w:val="2"/>
        <w:rPr>
          <w:rFonts w:hint="eastAsia" w:ascii="仿宋_GB2312" w:hAnsi="仿宋_GB2312"/>
        </w:rPr>
      </w:pPr>
      <w:bookmarkStart w:id="71" w:name="_Toc8537"/>
      <w:bookmarkStart w:id="72" w:name="_Toc1528"/>
      <w:bookmarkStart w:id="73" w:name="_Toc15385"/>
      <w:r>
        <w:rPr>
          <w:rFonts w:hint="eastAsia" w:ascii="仿宋_GB2312" w:hAnsi="仿宋_GB2312"/>
        </w:rPr>
        <w:t>3.3.6 社会动员</w:t>
      </w:r>
      <w:bookmarkEnd w:id="71"/>
      <w:bookmarkEnd w:id="72"/>
      <w:bookmarkEnd w:id="73"/>
    </w:p>
    <w:p w14:paraId="549B900E">
      <w:pPr>
        <w:spacing w:line="560" w:lineRule="exact"/>
        <w:ind w:firstLine="640" w:firstLineChars="200"/>
        <w:rPr>
          <w:rFonts w:hint="eastAsia" w:ascii="仿宋_GB2312" w:hAnsi="仿宋_GB2312" w:cs="仿宋_GB2312"/>
          <w:kern w:val="0"/>
          <w:szCs w:val="32"/>
          <w:lang w:bidi="ar"/>
        </w:rPr>
      </w:pPr>
      <w:r>
        <w:rPr>
          <w:rFonts w:hint="eastAsia" w:ascii="仿宋_GB2312" w:hAnsi="仿宋_GB2312" w:cs="仿宋_GB2312"/>
          <w:kern w:val="0"/>
          <w:szCs w:val="32"/>
          <w:lang w:bidi="ar"/>
        </w:rPr>
        <w:t>区各级应急救援指挥机构可根据地质灾害的危害程度和范围，调动社会力量参与应急处置。</w:t>
      </w:r>
    </w:p>
    <w:p w14:paraId="3BFCE4E7">
      <w:pPr>
        <w:spacing w:line="560" w:lineRule="exact"/>
        <w:ind w:firstLine="640" w:firstLineChars="200"/>
        <w:rPr>
          <w:rFonts w:hint="eastAsia" w:ascii="仿宋_GB2312" w:hAnsi="仿宋_GB2312" w:cs="仿宋_GB2312"/>
          <w:kern w:val="0"/>
          <w:szCs w:val="32"/>
          <w:lang w:bidi="ar"/>
        </w:rPr>
      </w:pPr>
      <w:r>
        <w:rPr>
          <w:rFonts w:hint="eastAsia" w:ascii="仿宋_GB2312" w:hAnsi="仿宋_GB2312" w:cs="仿宋_GB2312"/>
          <w:kern w:val="0"/>
          <w:szCs w:val="32"/>
          <w:lang w:bidi="ar"/>
        </w:rPr>
        <w:t>鼓励公民、法人和其他组织按照《中华人民共和国公益事业捐赠法》等有关法律法规的规定进行捐赠和援助。</w:t>
      </w:r>
    </w:p>
    <w:p w14:paraId="24DB5084">
      <w:pPr>
        <w:spacing w:line="560" w:lineRule="exact"/>
        <w:ind w:firstLine="640" w:firstLineChars="200"/>
        <w:outlineLvl w:val="2"/>
        <w:rPr>
          <w:rFonts w:hint="eastAsia" w:ascii="仿宋_GB2312" w:hAnsi="仿宋_GB2312"/>
          <w:szCs w:val="32"/>
        </w:rPr>
      </w:pPr>
      <w:bookmarkStart w:id="74" w:name="_Toc22865"/>
      <w:bookmarkStart w:id="75" w:name="_Toc3862"/>
      <w:bookmarkStart w:id="76" w:name="_Toc18718"/>
      <w:r>
        <w:rPr>
          <w:rFonts w:hint="eastAsia" w:ascii="仿宋_GB2312" w:hAnsi="仿宋_GB2312"/>
          <w:szCs w:val="32"/>
        </w:rPr>
        <w:t>3.3.7 响应终止</w:t>
      </w:r>
      <w:bookmarkEnd w:id="74"/>
      <w:bookmarkEnd w:id="75"/>
      <w:bookmarkEnd w:id="76"/>
    </w:p>
    <w:p w14:paraId="5CECB674">
      <w:pPr>
        <w:pStyle w:val="11"/>
        <w:widowControl/>
        <w:spacing w:before="0" w:beforeAutospacing="0" w:after="0" w:afterAutospacing="0"/>
        <w:ind w:firstLine="640"/>
        <w:rPr>
          <w:rFonts w:hint="eastAsia" w:cs="仿宋_GB2312"/>
          <w:sz w:val="32"/>
          <w:szCs w:val="32"/>
        </w:rPr>
      </w:pPr>
      <w:r>
        <w:rPr>
          <w:rFonts w:hint="eastAsia" w:cs="仿宋_GB2312"/>
          <w:sz w:val="32"/>
          <w:szCs w:val="32"/>
        </w:rPr>
        <w:t>地质灾害或险情得到有效处置后，经评估短期内灾害影响不再扩大或已减轻，由原来宣布启动应急响应的机构决定降低应急响应级别或终止应急响应。</w:t>
      </w:r>
    </w:p>
    <w:p w14:paraId="0EAA137A">
      <w:pPr>
        <w:pStyle w:val="4"/>
        <w:ind w:firstLine="640"/>
        <w:rPr>
          <w:rFonts w:hint="eastAsia"/>
          <w:szCs w:val="32"/>
        </w:rPr>
      </w:pPr>
      <w:bookmarkStart w:id="77" w:name="_Toc25439"/>
      <w:bookmarkStart w:id="78" w:name="_Toc16880"/>
      <w:bookmarkStart w:id="79" w:name="_Toc28592"/>
      <w:bookmarkStart w:id="80" w:name="_Toc2140414618"/>
      <w:r>
        <w:rPr>
          <w:rFonts w:hint="eastAsia"/>
          <w:szCs w:val="32"/>
        </w:rPr>
        <w:t xml:space="preserve">3.4 </w:t>
      </w:r>
      <w:bookmarkEnd w:id="77"/>
      <w:bookmarkEnd w:id="78"/>
      <w:bookmarkEnd w:id="79"/>
      <w:r>
        <w:rPr>
          <w:rFonts w:hint="eastAsia"/>
          <w:szCs w:val="32"/>
        </w:rPr>
        <w:t>信息发布及舆情引导</w:t>
      </w:r>
      <w:bookmarkEnd w:id="80"/>
    </w:p>
    <w:p w14:paraId="138DBFCC">
      <w:pPr>
        <w:pStyle w:val="11"/>
        <w:spacing w:before="0" w:beforeAutospacing="0" w:after="0" w:afterAutospacing="0" w:line="620" w:lineRule="exact"/>
        <w:ind w:firstLine="640"/>
        <w:rPr>
          <w:rFonts w:ascii="Times New Roman" w:hAnsi="Times New Roman"/>
          <w:kern w:val="2"/>
          <w:sz w:val="32"/>
          <w:szCs w:val="32"/>
        </w:rPr>
      </w:pPr>
      <w:r>
        <w:rPr>
          <w:rFonts w:ascii="Times New Roman" w:hAnsi="Times New Roman"/>
          <w:kern w:val="2"/>
          <w:sz w:val="32"/>
          <w:szCs w:val="32"/>
        </w:rPr>
        <w:t>区委宣传部（区网信中心）做好地质灾害信息发布相关工作，指导业务主管部门加强信息发布内容管理和舆情分析，及时回应社会关切，迅速澄清谣言，引导公众依法、理性表达意见，形成积极健康的社会舆论。</w:t>
      </w:r>
      <w:bookmarkStart w:id="81" w:name="_Toc14627"/>
      <w:bookmarkStart w:id="82" w:name="_Toc27779"/>
      <w:bookmarkStart w:id="83" w:name="_Toc6941"/>
    </w:p>
    <w:p w14:paraId="48D56150">
      <w:pPr>
        <w:pStyle w:val="4"/>
        <w:ind w:firstLine="640"/>
        <w:rPr>
          <w:rFonts w:hint="eastAsia"/>
          <w:szCs w:val="32"/>
        </w:rPr>
      </w:pPr>
      <w:bookmarkStart w:id="84" w:name="_Toc841560592"/>
      <w:r>
        <w:rPr>
          <w:rFonts w:hint="eastAsia"/>
          <w:szCs w:val="32"/>
        </w:rPr>
        <w:t>3.5 总结评估</w:t>
      </w:r>
      <w:bookmarkEnd w:id="81"/>
      <w:bookmarkEnd w:id="82"/>
      <w:bookmarkEnd w:id="83"/>
      <w:bookmarkEnd w:id="84"/>
    </w:p>
    <w:p w14:paraId="4E5C42A0">
      <w:pPr>
        <w:pStyle w:val="11"/>
        <w:spacing w:before="0" w:beforeAutospacing="0" w:after="0" w:afterAutospacing="0" w:line="620" w:lineRule="exact"/>
        <w:ind w:firstLine="640"/>
        <w:rPr>
          <w:rFonts w:hint="eastAsia" w:cs="仿宋_GB2312"/>
          <w:sz w:val="32"/>
          <w:szCs w:val="32"/>
        </w:rPr>
      </w:pPr>
      <w:r>
        <w:rPr>
          <w:rFonts w:cs="仿宋_GB2312"/>
          <w:sz w:val="32"/>
          <w:szCs w:val="32"/>
        </w:rPr>
        <w:t>突发地质灾害应急</w:t>
      </w:r>
      <w:r>
        <w:rPr>
          <w:rFonts w:hint="eastAsia" w:cs="仿宋_GB2312"/>
          <w:sz w:val="32"/>
          <w:szCs w:val="32"/>
          <w:lang w:eastAsia="zh-CN"/>
        </w:rPr>
        <w:t>工作</w:t>
      </w:r>
      <w:r>
        <w:rPr>
          <w:rFonts w:cs="仿宋_GB2312"/>
          <w:sz w:val="32"/>
          <w:szCs w:val="32"/>
        </w:rPr>
        <w:t>结束后，参与应急</w:t>
      </w:r>
      <w:r>
        <w:rPr>
          <w:rFonts w:hint="eastAsia" w:cs="仿宋_GB2312"/>
          <w:sz w:val="32"/>
          <w:szCs w:val="32"/>
          <w:lang w:eastAsia="zh-CN"/>
        </w:rPr>
        <w:t>处置</w:t>
      </w:r>
      <w:r>
        <w:rPr>
          <w:rFonts w:cs="仿宋_GB2312"/>
          <w:sz w:val="32"/>
          <w:szCs w:val="32"/>
        </w:rPr>
        <w:t>工作的各有关部门（单位）应对本单位应急处置工作及时进行总结，并书面报送</w:t>
      </w:r>
      <w:r>
        <w:rPr>
          <w:rFonts w:hint="eastAsia" w:cs="仿宋_GB2312"/>
          <w:sz w:val="32"/>
          <w:szCs w:val="32"/>
        </w:rPr>
        <w:t>区指挥部</w:t>
      </w:r>
      <w:r>
        <w:rPr>
          <w:rFonts w:cs="仿宋_GB2312"/>
          <w:sz w:val="32"/>
          <w:szCs w:val="32"/>
        </w:rPr>
        <w:t>办公室。</w:t>
      </w:r>
      <w:r>
        <w:rPr>
          <w:rFonts w:hint="eastAsia" w:cs="仿宋_GB2312"/>
          <w:sz w:val="32"/>
          <w:szCs w:val="32"/>
        </w:rPr>
        <w:t>区指挥部</w:t>
      </w:r>
      <w:r>
        <w:rPr>
          <w:rFonts w:cs="仿宋_GB2312"/>
          <w:sz w:val="32"/>
          <w:szCs w:val="32"/>
        </w:rPr>
        <w:t>办公室根据各应急处置参与部门（单位）工作总结和专家组调查意见，编制地质灾害应急处置</w:t>
      </w:r>
      <w:r>
        <w:rPr>
          <w:rFonts w:hint="eastAsia" w:cs="仿宋_GB2312"/>
          <w:sz w:val="32"/>
          <w:szCs w:val="32"/>
        </w:rPr>
        <w:t>总结</w:t>
      </w:r>
      <w:r>
        <w:rPr>
          <w:rFonts w:cs="仿宋_GB2312"/>
          <w:sz w:val="32"/>
          <w:szCs w:val="32"/>
        </w:rPr>
        <w:t>评估报告。</w:t>
      </w:r>
    </w:p>
    <w:p w14:paraId="4DFF1C6A">
      <w:pPr>
        <w:pStyle w:val="4"/>
        <w:ind w:firstLine="640"/>
        <w:rPr>
          <w:rFonts w:hint="eastAsia"/>
        </w:rPr>
      </w:pPr>
      <w:bookmarkStart w:id="85" w:name="_Toc8873"/>
      <w:bookmarkStart w:id="86" w:name="_Toc22652"/>
      <w:bookmarkStart w:id="87" w:name="_Toc16659"/>
      <w:bookmarkStart w:id="88" w:name="_Toc1279053881"/>
      <w:r>
        <w:rPr>
          <w:rFonts w:hint="eastAsia"/>
        </w:rPr>
        <w:t>3.6 恢复重建</w:t>
      </w:r>
      <w:bookmarkEnd w:id="85"/>
      <w:bookmarkEnd w:id="86"/>
      <w:bookmarkEnd w:id="87"/>
      <w:bookmarkEnd w:id="88"/>
    </w:p>
    <w:p w14:paraId="5E7E5B03">
      <w:pPr>
        <w:spacing w:line="560" w:lineRule="exact"/>
        <w:ind w:firstLine="640" w:firstLineChars="200"/>
        <w:outlineLvl w:val="2"/>
        <w:rPr>
          <w:rFonts w:hint="eastAsia" w:ascii="仿宋_GB2312" w:hAnsi="仿宋_GB2312"/>
        </w:rPr>
      </w:pPr>
      <w:bookmarkStart w:id="89" w:name="_Toc3850"/>
      <w:bookmarkStart w:id="90" w:name="_Toc1429"/>
      <w:bookmarkStart w:id="91" w:name="_Toc29961"/>
      <w:r>
        <w:rPr>
          <w:rFonts w:hint="eastAsia" w:ascii="仿宋_GB2312" w:hAnsi="仿宋_GB2312"/>
        </w:rPr>
        <w:t>3.6.1 制订规划</w:t>
      </w:r>
      <w:bookmarkEnd w:id="89"/>
      <w:bookmarkEnd w:id="90"/>
      <w:bookmarkEnd w:id="91"/>
    </w:p>
    <w:p w14:paraId="45A55E24">
      <w:pPr>
        <w:spacing w:line="560" w:lineRule="exact"/>
        <w:ind w:firstLine="640" w:firstLineChars="200"/>
        <w:rPr>
          <w:rFonts w:hint="eastAsia" w:ascii="仿宋_GB2312" w:hAnsi="仿宋_GB2312" w:cs="仿宋_GB2312"/>
          <w:szCs w:val="32"/>
          <w:highlight w:val="yellow"/>
        </w:rPr>
      </w:pPr>
      <w:r>
        <w:rPr>
          <w:rFonts w:hint="eastAsia" w:ascii="仿宋_GB2312" w:hAnsi="仿宋_GB2312" w:cs="仿宋_GB2312"/>
          <w:kern w:val="0"/>
          <w:szCs w:val="32"/>
          <w:lang w:eastAsia="zh-CN" w:bidi="ar"/>
        </w:rPr>
        <w:t>突发</w:t>
      </w:r>
      <w:r>
        <w:rPr>
          <w:rFonts w:hint="eastAsia" w:ascii="仿宋_GB2312" w:hAnsi="仿宋_GB2312" w:cs="仿宋_GB2312"/>
          <w:kern w:val="0"/>
          <w:szCs w:val="32"/>
          <w:lang w:bidi="ar"/>
        </w:rPr>
        <w:t>地质灾害应急处置</w:t>
      </w:r>
      <w:r>
        <w:rPr>
          <w:rFonts w:hint="eastAsia" w:ascii="仿宋_GB2312" w:hAnsi="仿宋_GB2312" w:cs="仿宋_GB2312"/>
          <w:kern w:val="0"/>
          <w:szCs w:val="32"/>
          <w:lang w:eastAsia="zh-CN" w:bidi="ar"/>
        </w:rPr>
        <w:t>工作</w:t>
      </w:r>
      <w:r>
        <w:rPr>
          <w:rFonts w:hint="eastAsia" w:ascii="仿宋_GB2312" w:hAnsi="仿宋_GB2312" w:cs="仿宋_GB2312"/>
          <w:kern w:val="0"/>
          <w:szCs w:val="32"/>
          <w:lang w:bidi="ar"/>
        </w:rPr>
        <w:t>结束后，对需要开展恢复重建的，由区发展改革局、</w:t>
      </w:r>
      <w:r>
        <w:rPr>
          <w:rFonts w:hint="eastAsia"/>
        </w:rPr>
        <w:t>市规划和自然资源局盐田管理局及相关单位</w:t>
      </w:r>
      <w:r>
        <w:rPr>
          <w:rFonts w:hint="eastAsia" w:ascii="仿宋_GB2312" w:hAnsi="仿宋_GB2312" w:cs="仿宋_GB2312"/>
          <w:kern w:val="0"/>
          <w:szCs w:val="32"/>
          <w:lang w:bidi="ar"/>
        </w:rPr>
        <w:t>组织编制灾后恢复重建规划，统筹安排受灾地区重建工作。</w:t>
      </w:r>
    </w:p>
    <w:p w14:paraId="025BB76C">
      <w:pPr>
        <w:spacing w:line="560" w:lineRule="exact"/>
        <w:ind w:firstLine="640" w:firstLineChars="200"/>
        <w:outlineLvl w:val="2"/>
        <w:rPr>
          <w:rFonts w:hint="eastAsia" w:ascii="仿宋_GB2312" w:hAnsi="仿宋_GB2312"/>
        </w:rPr>
      </w:pPr>
      <w:bookmarkStart w:id="92" w:name="_Toc31789"/>
      <w:bookmarkStart w:id="93" w:name="_Toc7649"/>
      <w:bookmarkStart w:id="94" w:name="_Toc24316"/>
      <w:r>
        <w:rPr>
          <w:rFonts w:hint="eastAsia" w:ascii="仿宋_GB2312" w:hAnsi="仿宋_GB2312"/>
        </w:rPr>
        <w:t>3.6.2 灾害保险</w:t>
      </w:r>
      <w:bookmarkEnd w:id="92"/>
      <w:bookmarkEnd w:id="93"/>
      <w:bookmarkEnd w:id="94"/>
    </w:p>
    <w:p w14:paraId="336C0386">
      <w:pPr>
        <w:pStyle w:val="11"/>
        <w:widowControl/>
        <w:spacing w:before="0" w:beforeAutospacing="0" w:after="0" w:afterAutospacing="0"/>
        <w:ind w:firstLine="640"/>
        <w:rPr>
          <w:rFonts w:hint="eastAsia" w:cs="仿宋_GB2312"/>
          <w:sz w:val="32"/>
          <w:szCs w:val="32"/>
        </w:rPr>
      </w:pPr>
      <w:r>
        <w:rPr>
          <w:rFonts w:hint="eastAsia" w:cs="仿宋_GB2312"/>
          <w:sz w:val="32"/>
          <w:szCs w:val="32"/>
          <w:lang w:bidi="ar"/>
        </w:rPr>
        <w:t>地质灾害发生后，根据巨灾保险制度有关规定，开展理赔工作。</w:t>
      </w:r>
      <w:r>
        <w:rPr>
          <w:rFonts w:hint="eastAsia" w:cs="仿宋_GB2312"/>
          <w:sz w:val="32"/>
          <w:szCs w:val="32"/>
        </w:rPr>
        <w:t>鼓励商业保险公司进一步开办地质灾害保险，鼓励企业、团体、组织和公众积极参加有关地质灾害的商业保险和互助保险，不断完善公众灾害补偿保障机制。保险机构要根据灾情主动办理受灾单位、个人的人身和财产保险理赔事项，各相关单位要为保险理赔工作提供便利。</w:t>
      </w:r>
    </w:p>
    <w:p w14:paraId="35783CE3">
      <w:pPr>
        <w:pStyle w:val="3"/>
        <w:spacing w:before="0" w:beforeLines="0" w:after="0" w:afterLines="0"/>
        <w:ind w:firstLine="640" w:firstLineChars="200"/>
        <w:jc w:val="both"/>
        <w:rPr>
          <w:rFonts w:hint="eastAsia" w:ascii="黑体" w:hAnsi="黑体" w:eastAsia="黑体" w:cs="黑体"/>
          <w:sz w:val="32"/>
          <w:szCs w:val="32"/>
        </w:rPr>
      </w:pPr>
      <w:bookmarkStart w:id="95" w:name="_Toc27488"/>
      <w:bookmarkStart w:id="96" w:name="_Toc12747"/>
      <w:bookmarkStart w:id="97" w:name="_Toc1520901055"/>
      <w:bookmarkStart w:id="98" w:name="_Toc32200"/>
      <w:r>
        <w:rPr>
          <w:rFonts w:hint="eastAsia" w:ascii="黑体" w:hAnsi="黑体" w:eastAsia="黑体" w:cs="黑体"/>
          <w:sz w:val="32"/>
          <w:szCs w:val="32"/>
        </w:rPr>
        <w:t>4 应急保障</w:t>
      </w:r>
      <w:bookmarkEnd w:id="95"/>
      <w:bookmarkEnd w:id="96"/>
      <w:bookmarkEnd w:id="97"/>
      <w:bookmarkEnd w:id="98"/>
    </w:p>
    <w:p w14:paraId="2A70FAD3">
      <w:pPr>
        <w:pStyle w:val="4"/>
        <w:ind w:firstLine="640"/>
        <w:rPr>
          <w:rFonts w:hint="eastAsia"/>
        </w:rPr>
      </w:pPr>
      <w:bookmarkStart w:id="99" w:name="_Toc1737883697"/>
      <w:bookmarkStart w:id="100" w:name="_Toc24897"/>
      <w:bookmarkStart w:id="101" w:name="_Toc20102"/>
      <w:bookmarkStart w:id="102" w:name="_Toc15031"/>
      <w:r>
        <w:rPr>
          <w:rFonts w:hint="eastAsia"/>
        </w:rPr>
        <w:t>4.1 队伍保障</w:t>
      </w:r>
      <w:bookmarkEnd w:id="99"/>
      <w:bookmarkEnd w:id="100"/>
      <w:bookmarkEnd w:id="101"/>
      <w:bookmarkEnd w:id="102"/>
    </w:p>
    <w:p w14:paraId="63E70C19">
      <w:pPr>
        <w:pStyle w:val="11"/>
        <w:widowControl/>
        <w:spacing w:before="0" w:beforeAutospacing="0" w:after="0" w:afterAutospacing="0"/>
        <w:ind w:firstLine="640"/>
        <w:rPr>
          <w:rFonts w:hint="eastAsia" w:cs="仿宋_GB2312"/>
          <w:sz w:val="32"/>
          <w:szCs w:val="32"/>
        </w:rPr>
      </w:pPr>
      <w:r>
        <w:rPr>
          <w:rFonts w:hint="eastAsia" w:cs="仿宋_GB2312"/>
          <w:sz w:val="32"/>
          <w:szCs w:val="32"/>
        </w:rPr>
        <w:t>各街道以及应急管理、消防救援等部门要加强综合应急救援队伍建设，开展专业培训和演练，提高应对地质灾害的救援能力。</w:t>
      </w:r>
    </w:p>
    <w:p w14:paraId="1E97D396">
      <w:pPr>
        <w:pStyle w:val="11"/>
        <w:widowControl/>
        <w:spacing w:before="0" w:beforeAutospacing="0" w:after="0" w:afterAutospacing="0"/>
        <w:ind w:firstLine="640"/>
        <w:rPr>
          <w:rFonts w:hint="eastAsia" w:cs="仿宋_GB2312"/>
          <w:sz w:val="32"/>
          <w:szCs w:val="32"/>
        </w:rPr>
      </w:pPr>
      <w:r>
        <w:rPr>
          <w:rFonts w:hint="eastAsia" w:cs="仿宋_GB2312"/>
          <w:sz w:val="32"/>
          <w:szCs w:val="32"/>
        </w:rPr>
        <w:t>城市供水、供电、输油、供气等生命线工程设施产权单位、管理或者生产经营单位要加强抢险、抢修队伍建设。</w:t>
      </w:r>
    </w:p>
    <w:p w14:paraId="541BB81E">
      <w:pPr>
        <w:pStyle w:val="11"/>
        <w:widowControl/>
        <w:spacing w:before="0" w:beforeAutospacing="0" w:after="0" w:afterAutospacing="0"/>
        <w:ind w:firstLine="640"/>
        <w:rPr>
          <w:rFonts w:hint="eastAsia" w:cs="仿宋_GB2312"/>
          <w:sz w:val="32"/>
          <w:szCs w:val="32"/>
        </w:rPr>
      </w:pPr>
      <w:r>
        <w:rPr>
          <w:rFonts w:hint="eastAsia" w:cs="仿宋_GB2312"/>
          <w:sz w:val="32"/>
          <w:szCs w:val="32"/>
        </w:rPr>
        <w:t>各街道和有条件的社区组织，应组织动员社会力量，建立基层地质灾害抢险救灾队伍，加强日常防灾减灾救灾培训和演练工作。</w:t>
      </w:r>
    </w:p>
    <w:p w14:paraId="018FDCD3">
      <w:pPr>
        <w:pStyle w:val="11"/>
        <w:widowControl/>
        <w:spacing w:before="0" w:beforeAutospacing="0" w:after="0" w:afterAutospacing="0"/>
        <w:ind w:firstLine="640"/>
        <w:rPr>
          <w:rFonts w:hint="eastAsia" w:cs="仿宋_GB2312"/>
          <w:sz w:val="32"/>
          <w:szCs w:val="32"/>
        </w:rPr>
      </w:pPr>
      <w:r>
        <w:rPr>
          <w:rFonts w:hint="eastAsia" w:cs="仿宋_GB2312"/>
          <w:sz w:val="32"/>
          <w:szCs w:val="32"/>
        </w:rPr>
        <w:t>各街道、各有关单位要依托社会组织、企事业单位及社区建立地质灾害应急救援志愿者队伍，形成广泛参与应急救援的社会动员机制。</w:t>
      </w:r>
    </w:p>
    <w:p w14:paraId="76AB959C">
      <w:pPr>
        <w:spacing w:line="560" w:lineRule="exact"/>
        <w:ind w:firstLine="640" w:firstLineChars="200"/>
        <w:rPr>
          <w:rFonts w:hint="eastAsia" w:ascii="仿宋_GB2312" w:hAnsi="仿宋_GB2312" w:cs="仿宋_GB2312"/>
          <w:szCs w:val="32"/>
        </w:rPr>
      </w:pPr>
      <w:r>
        <w:rPr>
          <w:rFonts w:hint="eastAsia" w:ascii="仿宋_GB2312"/>
        </w:rPr>
        <w:t>市规划和自然资源局盐田管理局负责</w:t>
      </w:r>
      <w:r>
        <w:rPr>
          <w:rFonts w:ascii="仿宋_GB2312"/>
        </w:rPr>
        <w:t>利用</w:t>
      </w:r>
      <w:r>
        <w:rPr>
          <w:rFonts w:hint="eastAsia" w:ascii="仿宋_GB2312"/>
        </w:rPr>
        <w:t>地质灾害防治专业技术单位</w:t>
      </w:r>
      <w:r>
        <w:rPr>
          <w:rFonts w:ascii="仿宋_GB2312"/>
        </w:rPr>
        <w:t>充实应急力量，保证相对稳定和相应数量的</w:t>
      </w:r>
      <w:r>
        <w:rPr>
          <w:rFonts w:hint="eastAsia" w:ascii="仿宋_GB2312"/>
        </w:rPr>
        <w:t>工程</w:t>
      </w:r>
      <w:r>
        <w:rPr>
          <w:rFonts w:ascii="仿宋_GB2312"/>
        </w:rPr>
        <w:t>技术人员，</w:t>
      </w:r>
      <w:r>
        <w:rPr>
          <w:rFonts w:hint="eastAsia" w:ascii="仿宋_GB2312"/>
        </w:rPr>
        <w:t>应对</w:t>
      </w:r>
      <w:r>
        <w:rPr>
          <w:rFonts w:ascii="仿宋_GB2312"/>
        </w:rPr>
        <w:t>地质灾害</w:t>
      </w:r>
      <w:r>
        <w:rPr>
          <w:rFonts w:hint="eastAsia" w:ascii="仿宋_GB2312"/>
        </w:rPr>
        <w:t>监测、</w:t>
      </w:r>
      <w:r>
        <w:rPr>
          <w:rFonts w:ascii="仿宋_GB2312"/>
        </w:rPr>
        <w:t>应急</w:t>
      </w:r>
      <w:r>
        <w:rPr>
          <w:rFonts w:hint="eastAsia" w:ascii="仿宋_GB2312"/>
        </w:rPr>
        <w:t>抢险等</w:t>
      </w:r>
      <w:r>
        <w:rPr>
          <w:rFonts w:ascii="仿宋_GB2312"/>
        </w:rPr>
        <w:t>需要。</w:t>
      </w:r>
    </w:p>
    <w:p w14:paraId="488169CE">
      <w:pPr>
        <w:pStyle w:val="4"/>
        <w:ind w:firstLine="640"/>
        <w:rPr>
          <w:rFonts w:hint="eastAsia"/>
        </w:rPr>
      </w:pPr>
      <w:bookmarkStart w:id="103" w:name="_Toc3360"/>
      <w:bookmarkStart w:id="104" w:name="_Toc303"/>
      <w:bookmarkStart w:id="105" w:name="_Toc2689"/>
      <w:bookmarkStart w:id="106" w:name="_Toc126126361"/>
      <w:r>
        <w:rPr>
          <w:rFonts w:hint="eastAsia"/>
        </w:rPr>
        <w:t>4.2 资金保障</w:t>
      </w:r>
      <w:bookmarkEnd w:id="103"/>
      <w:bookmarkEnd w:id="104"/>
      <w:bookmarkEnd w:id="105"/>
      <w:bookmarkEnd w:id="106"/>
    </w:p>
    <w:p w14:paraId="10106855">
      <w:pPr>
        <w:pStyle w:val="11"/>
        <w:widowControl/>
        <w:spacing w:before="0" w:beforeAutospacing="0" w:after="0" w:afterAutospacing="0"/>
        <w:ind w:firstLine="640"/>
        <w:rPr>
          <w:rFonts w:hint="eastAsia" w:cs="仿宋_GB2312"/>
          <w:sz w:val="32"/>
          <w:szCs w:val="32"/>
        </w:rPr>
      </w:pPr>
      <w:bookmarkStart w:id="107" w:name="_Toc15029"/>
      <w:bookmarkStart w:id="108" w:name="_Toc1697"/>
      <w:bookmarkStart w:id="109" w:name="_Toc32567"/>
      <w:r>
        <w:rPr>
          <w:rFonts w:hint="eastAsia" w:cs="仿宋_GB2312"/>
          <w:sz w:val="32"/>
          <w:szCs w:val="32"/>
        </w:rPr>
        <w:t>区财政局要保障突发地质灾害应对工作所需经费，纳入区政府财政预算。</w:t>
      </w:r>
    </w:p>
    <w:p w14:paraId="7BF881C0">
      <w:pPr>
        <w:pStyle w:val="11"/>
        <w:widowControl/>
        <w:spacing w:before="0" w:beforeAutospacing="0" w:after="0" w:afterAutospacing="0"/>
        <w:ind w:firstLine="640"/>
        <w:rPr>
          <w:rFonts w:hint="eastAsia" w:cs="仿宋_GB2312"/>
          <w:sz w:val="32"/>
          <w:szCs w:val="32"/>
        </w:rPr>
      </w:pPr>
      <w:r>
        <w:rPr>
          <w:rFonts w:hint="eastAsia" w:cs="仿宋_GB2312"/>
          <w:sz w:val="32"/>
          <w:szCs w:val="32"/>
        </w:rPr>
        <w:t>鼓励公民、法人和其他组织为突发地质灾害提供资金捐赠和支持。</w:t>
      </w:r>
    </w:p>
    <w:p w14:paraId="608F947A">
      <w:pPr>
        <w:pStyle w:val="4"/>
        <w:ind w:firstLine="640"/>
        <w:rPr>
          <w:rFonts w:hint="eastAsia"/>
        </w:rPr>
      </w:pPr>
      <w:bookmarkStart w:id="110" w:name="_Toc640809687"/>
      <w:r>
        <w:rPr>
          <w:rFonts w:hint="eastAsia"/>
        </w:rPr>
        <w:t>4.3 物资保障</w:t>
      </w:r>
      <w:bookmarkEnd w:id="107"/>
      <w:bookmarkEnd w:id="108"/>
      <w:bookmarkEnd w:id="109"/>
      <w:bookmarkEnd w:id="110"/>
    </w:p>
    <w:p w14:paraId="1F06596F">
      <w:pPr>
        <w:pStyle w:val="11"/>
        <w:widowControl/>
        <w:spacing w:before="0" w:beforeAutospacing="0" w:after="0" w:afterAutospacing="0"/>
        <w:ind w:firstLine="640"/>
        <w:rPr>
          <w:rFonts w:hint="eastAsia" w:cs="仿宋_GB2312"/>
          <w:sz w:val="32"/>
          <w:szCs w:val="32"/>
        </w:rPr>
      </w:pPr>
      <w:r>
        <w:rPr>
          <w:rFonts w:hint="eastAsia" w:cs="仿宋_GB2312"/>
          <w:sz w:val="32"/>
          <w:szCs w:val="32"/>
        </w:rPr>
        <w:t>各街道、各有关单位要建立健全应急物资储备网络和生产、调拨及紧急配送体系，保障地质灾害灾区应急物资的供应。</w:t>
      </w:r>
    </w:p>
    <w:p w14:paraId="374B8C26">
      <w:pPr>
        <w:pStyle w:val="4"/>
        <w:keepNext w:val="0"/>
        <w:keepLines w:val="0"/>
        <w:widowControl/>
        <w:ind w:firstLine="640"/>
        <w:rPr>
          <w:rFonts w:hint="eastAsia"/>
        </w:rPr>
      </w:pPr>
      <w:bookmarkStart w:id="111" w:name="_Toc168541232"/>
      <w:bookmarkStart w:id="112" w:name="_Toc18635"/>
      <w:bookmarkStart w:id="113" w:name="_Toc18837"/>
      <w:r>
        <w:rPr>
          <w:rFonts w:hint="eastAsia"/>
        </w:rPr>
        <w:t>4.4 医疗卫生保障</w:t>
      </w:r>
      <w:bookmarkEnd w:id="111"/>
      <w:bookmarkEnd w:id="112"/>
      <w:bookmarkEnd w:id="113"/>
    </w:p>
    <w:p w14:paraId="7E6F6006">
      <w:pPr>
        <w:pStyle w:val="11"/>
        <w:widowControl/>
        <w:spacing w:before="0" w:beforeAutospacing="0" w:after="0" w:afterAutospacing="0"/>
        <w:ind w:firstLine="640"/>
        <w:rPr>
          <w:rFonts w:hint="eastAsia" w:cs="仿宋_GB2312"/>
          <w:sz w:val="32"/>
          <w:szCs w:val="32"/>
        </w:rPr>
      </w:pPr>
      <w:r>
        <w:rPr>
          <w:rFonts w:hint="eastAsia" w:cs="仿宋_GB2312"/>
          <w:sz w:val="32"/>
          <w:szCs w:val="32"/>
        </w:rPr>
        <w:t>区卫生健康局负责健全完善全区医疗卫生救援体系，组建卫生应急专家和卫生应急队伍，储备医疗救治、监测检验等卫生应急物资，开展医疗救护演练。</w:t>
      </w:r>
    </w:p>
    <w:p w14:paraId="0A446961">
      <w:pPr>
        <w:pStyle w:val="4"/>
        <w:keepNext w:val="0"/>
        <w:keepLines w:val="0"/>
        <w:widowControl/>
        <w:ind w:firstLine="640"/>
        <w:rPr>
          <w:rFonts w:hint="eastAsia"/>
        </w:rPr>
      </w:pPr>
      <w:bookmarkStart w:id="114" w:name="_Toc17471"/>
      <w:bookmarkStart w:id="115" w:name="_Toc654111922"/>
      <w:bookmarkStart w:id="116" w:name="_Toc25012"/>
      <w:r>
        <w:rPr>
          <w:rFonts w:hint="eastAsia"/>
        </w:rPr>
        <w:t>4.5 治安保障</w:t>
      </w:r>
      <w:bookmarkEnd w:id="114"/>
      <w:bookmarkEnd w:id="115"/>
      <w:bookmarkEnd w:id="116"/>
    </w:p>
    <w:p w14:paraId="770A9B85">
      <w:pPr>
        <w:pStyle w:val="11"/>
        <w:widowControl/>
        <w:spacing w:before="0" w:beforeAutospacing="0" w:after="0" w:afterAutospacing="0"/>
        <w:ind w:firstLine="640"/>
        <w:rPr>
          <w:rFonts w:hint="eastAsia" w:cs="仿宋_GB2312"/>
          <w:sz w:val="32"/>
          <w:szCs w:val="32"/>
        </w:rPr>
      </w:pPr>
      <w:r>
        <w:rPr>
          <w:rFonts w:hint="eastAsia" w:cs="仿宋_GB2312"/>
          <w:sz w:val="32"/>
          <w:szCs w:val="32"/>
        </w:rPr>
        <w:t>突发地质灾害时，公安部门依据本部门应急预案维持地质灾害事发地社会治安秩序，集结警力，巡逻执勤，采取相应措施保障社会治安稳定有序，阻止破坏社会秩序的行为。</w:t>
      </w:r>
    </w:p>
    <w:p w14:paraId="28F2D599">
      <w:pPr>
        <w:pStyle w:val="4"/>
        <w:keepNext w:val="0"/>
        <w:keepLines w:val="0"/>
        <w:widowControl/>
        <w:ind w:firstLine="640"/>
        <w:rPr>
          <w:rFonts w:hint="eastAsia"/>
        </w:rPr>
      </w:pPr>
      <w:bookmarkStart w:id="117" w:name="_Toc8126"/>
      <w:bookmarkStart w:id="118" w:name="_Toc28382"/>
      <w:bookmarkStart w:id="119" w:name="_Toc2096764947"/>
      <w:r>
        <w:rPr>
          <w:rFonts w:hint="eastAsia"/>
        </w:rPr>
        <w:t>4.6 人员防护保障</w:t>
      </w:r>
      <w:bookmarkEnd w:id="117"/>
      <w:bookmarkEnd w:id="118"/>
      <w:bookmarkEnd w:id="119"/>
    </w:p>
    <w:p w14:paraId="496F0973">
      <w:pPr>
        <w:pStyle w:val="11"/>
        <w:widowControl/>
        <w:spacing w:before="0" w:beforeAutospacing="0" w:after="0" w:afterAutospacing="0"/>
        <w:ind w:firstLine="640"/>
        <w:rPr>
          <w:rFonts w:hint="eastAsia" w:cs="仿宋_GB2312"/>
          <w:sz w:val="32"/>
          <w:szCs w:val="32"/>
        </w:rPr>
      </w:pPr>
      <w:r>
        <w:rPr>
          <w:rFonts w:hint="eastAsia" w:cs="仿宋_GB2312"/>
          <w:sz w:val="32"/>
          <w:szCs w:val="32"/>
        </w:rPr>
        <w:t>各成员单位应根据地质灾害特点和工作职责，充分考虑应急处置过程中的参与人员受到伤害的可能性和伤害类别，建立健全紧急情况下人员安全防护机制，配备相应专业防护装备，采取必要的安全防护措施，确保应急处置工作人员安全。</w:t>
      </w:r>
    </w:p>
    <w:p w14:paraId="230E6F14">
      <w:pPr>
        <w:pStyle w:val="4"/>
        <w:ind w:firstLine="640"/>
        <w:rPr>
          <w:rFonts w:hint="eastAsia"/>
        </w:rPr>
      </w:pPr>
      <w:bookmarkStart w:id="120" w:name="_Toc10395"/>
      <w:bookmarkStart w:id="121" w:name="_Toc11552"/>
      <w:bookmarkStart w:id="122" w:name="_Toc16952"/>
      <w:bookmarkStart w:id="123" w:name="_Toc1636232199"/>
      <w:r>
        <w:rPr>
          <w:rFonts w:hint="eastAsia"/>
        </w:rPr>
        <w:t>4.7 避难场所保障</w:t>
      </w:r>
      <w:bookmarkEnd w:id="120"/>
      <w:bookmarkEnd w:id="121"/>
      <w:bookmarkEnd w:id="122"/>
      <w:bookmarkEnd w:id="123"/>
    </w:p>
    <w:p w14:paraId="61E99F76">
      <w:pPr>
        <w:pStyle w:val="11"/>
        <w:widowControl/>
        <w:spacing w:before="0" w:beforeAutospacing="0" w:after="0" w:afterAutospacing="0"/>
        <w:ind w:firstLine="640"/>
        <w:rPr>
          <w:rFonts w:hint="eastAsia" w:cs="仿宋_GB2312"/>
          <w:sz w:val="32"/>
          <w:szCs w:val="32"/>
        </w:rPr>
      </w:pPr>
      <w:r>
        <w:rPr>
          <w:rFonts w:hint="eastAsia" w:cs="仿宋_GB2312"/>
          <w:sz w:val="32"/>
          <w:szCs w:val="32"/>
        </w:rPr>
        <w:t>各街道、各</w:t>
      </w:r>
      <w:r>
        <w:rPr>
          <w:rFonts w:cs="仿宋_GB2312"/>
          <w:sz w:val="32"/>
          <w:szCs w:val="32"/>
        </w:rPr>
        <w:t>有关单位按职责分工，负责室内</w:t>
      </w:r>
      <w:r>
        <w:rPr>
          <w:rFonts w:hint="eastAsia" w:cs="仿宋_GB2312"/>
          <w:sz w:val="32"/>
          <w:szCs w:val="32"/>
        </w:rPr>
        <w:t>、外</w:t>
      </w:r>
      <w:r>
        <w:rPr>
          <w:rFonts w:cs="仿宋_GB2312"/>
          <w:sz w:val="32"/>
          <w:szCs w:val="32"/>
        </w:rPr>
        <w:t>应急避难场所启用并做好管理和保障工作。</w:t>
      </w:r>
    </w:p>
    <w:p w14:paraId="60C56408">
      <w:pPr>
        <w:pStyle w:val="4"/>
        <w:ind w:firstLine="640"/>
        <w:rPr>
          <w:rFonts w:hint="eastAsia"/>
        </w:rPr>
      </w:pPr>
      <w:bookmarkStart w:id="124" w:name="_Toc244773329"/>
      <w:r>
        <w:rPr>
          <w:rFonts w:hint="eastAsia"/>
        </w:rPr>
        <w:t>4.8 基础设施保障</w:t>
      </w:r>
      <w:bookmarkEnd w:id="124"/>
    </w:p>
    <w:p w14:paraId="1BF9F75B">
      <w:pPr>
        <w:pStyle w:val="11"/>
        <w:widowControl/>
        <w:spacing w:before="0" w:beforeAutospacing="0" w:after="0" w:afterAutospacing="0"/>
        <w:ind w:firstLine="640"/>
        <w:rPr>
          <w:rFonts w:hint="eastAsia" w:cs="仿宋_GB2312"/>
          <w:sz w:val="32"/>
          <w:szCs w:val="32"/>
        </w:rPr>
      </w:pPr>
      <w:r>
        <w:rPr>
          <w:rFonts w:hint="eastAsia" w:cs="仿宋_GB2312"/>
          <w:sz w:val="32"/>
          <w:szCs w:val="32"/>
        </w:rPr>
        <w:t>区工业和信息化局</w:t>
      </w:r>
      <w:r>
        <w:rPr>
          <w:rFonts w:cs="仿宋_GB2312"/>
          <w:sz w:val="32"/>
          <w:szCs w:val="32"/>
        </w:rPr>
        <w:t>要指导、协调</w:t>
      </w:r>
      <w:r>
        <w:rPr>
          <w:rFonts w:hint="eastAsia" w:cs="仿宋_GB2312"/>
          <w:sz w:val="32"/>
          <w:szCs w:val="32"/>
          <w:lang w:eastAsia="zh-CN"/>
        </w:rPr>
        <w:t>通</w:t>
      </w:r>
      <w:r>
        <w:rPr>
          <w:rFonts w:cs="仿宋_GB2312"/>
          <w:sz w:val="32"/>
          <w:szCs w:val="32"/>
        </w:rPr>
        <w:t>信运营企业做好地质灾害公众通信网络保障工作。</w:t>
      </w:r>
    </w:p>
    <w:p w14:paraId="4AA34309">
      <w:pPr>
        <w:pStyle w:val="11"/>
        <w:widowControl/>
        <w:spacing w:before="0" w:beforeAutospacing="0" w:after="0" w:afterAutospacing="0"/>
        <w:ind w:firstLine="640"/>
        <w:rPr>
          <w:rFonts w:hint="eastAsia" w:cs="仿宋_GB2312"/>
          <w:sz w:val="32"/>
          <w:szCs w:val="32"/>
        </w:rPr>
      </w:pPr>
      <w:r>
        <w:rPr>
          <w:rFonts w:hint="eastAsia" w:cs="仿宋_GB2312"/>
          <w:sz w:val="32"/>
          <w:szCs w:val="32"/>
        </w:rPr>
        <w:t>区文化广电旅游体育局</w:t>
      </w:r>
      <w:r>
        <w:rPr>
          <w:rFonts w:cs="仿宋_GB2312"/>
          <w:sz w:val="32"/>
          <w:szCs w:val="32"/>
        </w:rPr>
        <w:t>要完善广播电视传输覆盖网，建立完善应急广播体系，确保公众能及时、准确地获取政府部门发布的权威地质灾害信息。</w:t>
      </w:r>
    </w:p>
    <w:p w14:paraId="3F99D46E">
      <w:pPr>
        <w:pStyle w:val="11"/>
        <w:widowControl/>
        <w:spacing w:before="0" w:beforeAutospacing="0" w:after="0" w:afterAutospacing="0"/>
        <w:ind w:firstLine="640"/>
        <w:rPr>
          <w:rFonts w:hint="eastAsia" w:cs="仿宋_GB2312"/>
          <w:sz w:val="32"/>
          <w:szCs w:val="32"/>
        </w:rPr>
      </w:pPr>
      <w:r>
        <w:rPr>
          <w:rFonts w:hint="eastAsia" w:cs="仿宋_GB2312"/>
          <w:sz w:val="32"/>
          <w:szCs w:val="32"/>
        </w:rPr>
        <w:t>盐田供电局</w:t>
      </w:r>
      <w:r>
        <w:rPr>
          <w:rFonts w:cs="仿宋_GB2312"/>
          <w:sz w:val="32"/>
          <w:szCs w:val="32"/>
        </w:rPr>
        <w:t>要及时修复受损毁的电力系统和设施，保障灾区应急装备和应急通信基础设施的临时供电需求以及灾区电力供应。</w:t>
      </w:r>
    </w:p>
    <w:p w14:paraId="64804847">
      <w:pPr>
        <w:pStyle w:val="11"/>
        <w:widowControl/>
        <w:spacing w:before="0" w:beforeAutospacing="0" w:after="0" w:afterAutospacing="0"/>
        <w:ind w:firstLine="640"/>
        <w:rPr>
          <w:rFonts w:hint="eastAsia" w:cs="仿宋_GB2312"/>
          <w:sz w:val="32"/>
          <w:szCs w:val="32"/>
        </w:rPr>
      </w:pPr>
      <w:r>
        <w:rPr>
          <w:rFonts w:hint="eastAsia" w:cs="仿宋_GB2312"/>
          <w:sz w:val="32"/>
          <w:szCs w:val="32"/>
        </w:rPr>
        <w:t>区发展改革局、区住房和建设局、区应急管理局等部门要依职责组织协调相关企业排查油气库、燃气设施、加油加气站安全隐患</w:t>
      </w:r>
      <w:r>
        <w:rPr>
          <w:rFonts w:hint="eastAsia" w:cs="仿宋_GB2312"/>
          <w:sz w:val="32"/>
          <w:szCs w:val="32"/>
          <w:lang w:eastAsia="zh-CN"/>
        </w:rPr>
        <w:t>，</w:t>
      </w:r>
      <w:r>
        <w:rPr>
          <w:rFonts w:hint="eastAsia" w:cs="仿宋_GB2312"/>
          <w:sz w:val="32"/>
          <w:szCs w:val="32"/>
        </w:rPr>
        <w:t>及时修复受损设施，保障灾区居民基本生活和应急处置能源需求。</w:t>
      </w:r>
    </w:p>
    <w:p w14:paraId="3AC8CD0F">
      <w:pPr>
        <w:pStyle w:val="11"/>
        <w:widowControl/>
        <w:spacing w:before="0" w:beforeAutospacing="0" w:after="0" w:afterAutospacing="0"/>
        <w:ind w:firstLine="640"/>
        <w:rPr>
          <w:rFonts w:hint="eastAsia" w:cs="仿宋_GB2312"/>
          <w:sz w:val="32"/>
          <w:szCs w:val="32"/>
        </w:rPr>
      </w:pPr>
      <w:r>
        <w:rPr>
          <w:rFonts w:hint="eastAsia" w:cs="仿宋_GB2312"/>
          <w:sz w:val="32"/>
          <w:szCs w:val="32"/>
        </w:rPr>
        <w:t>市交通运输局盐田管理局、</w:t>
      </w:r>
      <w:r>
        <w:rPr>
          <w:rFonts w:hint="eastAsia" w:cs="仿宋_GB2312"/>
          <w:sz w:val="32"/>
          <w:szCs w:val="32"/>
          <w:lang w:eastAsia="zh-CN"/>
        </w:rPr>
        <w:t>盐田</w:t>
      </w:r>
      <w:r>
        <w:rPr>
          <w:rFonts w:hint="eastAsia" w:cs="仿宋_GB2312"/>
          <w:sz w:val="32"/>
          <w:szCs w:val="32"/>
        </w:rPr>
        <w:t>交警大队</w:t>
      </w:r>
      <w:r>
        <w:rPr>
          <w:rFonts w:cs="仿宋_GB2312"/>
          <w:sz w:val="32"/>
          <w:szCs w:val="32"/>
        </w:rPr>
        <w:t>等单位要建立健全公路紧急运输保障体系，加强统一指挥调度，采取必要的交通管制措施，建立应急救援</w:t>
      </w:r>
      <w:r>
        <w:rPr>
          <w:rFonts w:hint="eastAsia" w:cs="仿宋_GB2312"/>
          <w:sz w:val="32"/>
          <w:szCs w:val="32"/>
        </w:rPr>
        <w:t>“</w:t>
      </w:r>
      <w:r>
        <w:rPr>
          <w:rFonts w:cs="仿宋_GB2312"/>
          <w:sz w:val="32"/>
          <w:szCs w:val="32"/>
        </w:rPr>
        <w:t>绿色通道</w:t>
      </w:r>
      <w:r>
        <w:rPr>
          <w:rFonts w:hint="eastAsia" w:cs="仿宋_GB2312"/>
          <w:sz w:val="32"/>
          <w:szCs w:val="32"/>
        </w:rPr>
        <w:t>”</w:t>
      </w:r>
      <w:r>
        <w:rPr>
          <w:rFonts w:cs="仿宋_GB2312"/>
          <w:sz w:val="32"/>
          <w:szCs w:val="32"/>
        </w:rPr>
        <w:t>机制。</w:t>
      </w:r>
    </w:p>
    <w:p w14:paraId="7CBFE8FF">
      <w:pPr>
        <w:pStyle w:val="4"/>
        <w:ind w:firstLine="640"/>
        <w:rPr>
          <w:rFonts w:hint="eastAsia"/>
        </w:rPr>
      </w:pPr>
      <w:bookmarkStart w:id="125" w:name="_Toc828268370"/>
      <w:r>
        <w:rPr>
          <w:rFonts w:hint="eastAsia"/>
        </w:rPr>
        <w:t>4.9 平台保障</w:t>
      </w:r>
      <w:bookmarkEnd w:id="125"/>
    </w:p>
    <w:p w14:paraId="7A43EBB1">
      <w:pPr>
        <w:ind w:firstLine="640"/>
      </w:pPr>
      <w:r>
        <w:rPr>
          <w:rFonts w:hint="eastAsia" w:ascii="仿宋_GB2312" w:hAnsi="仿宋_GB2312" w:cs="仿宋_GB2312"/>
          <w:kern w:val="0"/>
          <w:szCs w:val="32"/>
          <w:lang w:bidi="ar"/>
        </w:rPr>
        <w:t>区应急管理局要建立健全地质灾害应急指挥系统，形成上下贯通、反应灵敏、功能完善、统一高效的地质灾害应急救援指挥平台。</w:t>
      </w:r>
    </w:p>
    <w:p w14:paraId="65E07328">
      <w:pPr>
        <w:pStyle w:val="4"/>
        <w:ind w:firstLine="640"/>
        <w:rPr>
          <w:rFonts w:hint="eastAsia"/>
        </w:rPr>
      </w:pPr>
      <w:bookmarkStart w:id="126" w:name="_Toc622607466"/>
      <w:r>
        <w:rPr>
          <w:rFonts w:hint="eastAsia"/>
        </w:rPr>
        <w:t>4.10其他保障</w:t>
      </w:r>
      <w:bookmarkEnd w:id="126"/>
    </w:p>
    <w:p w14:paraId="52DD8210">
      <w:pPr>
        <w:ind w:firstLine="640"/>
      </w:pPr>
      <w:bookmarkStart w:id="127" w:name="_Toc408494710"/>
      <w:bookmarkStart w:id="128" w:name="_Toc6396"/>
      <w:bookmarkStart w:id="129" w:name="_Toc26878"/>
      <w:bookmarkStart w:id="130" w:name="_Toc7129"/>
      <w:r>
        <w:rPr>
          <w:rFonts w:hint="eastAsia" w:ascii="仿宋_GB2312" w:hAnsi="仿宋_GB2312" w:cs="仿宋_GB2312"/>
          <w:kern w:val="0"/>
          <w:szCs w:val="32"/>
          <w:lang w:bidi="ar"/>
        </w:rPr>
        <w:t>其他</w:t>
      </w:r>
      <w:r>
        <w:rPr>
          <w:rFonts w:ascii="仿宋_GB2312" w:hAnsi="仿宋_GB2312" w:cs="仿宋_GB2312"/>
          <w:kern w:val="0"/>
          <w:szCs w:val="32"/>
          <w:lang w:bidi="ar"/>
        </w:rPr>
        <w:t>成员单位按照各自职责完成其他相关应急保障工作。</w:t>
      </w:r>
      <w:bookmarkEnd w:id="127"/>
    </w:p>
    <w:p w14:paraId="5CA6F83C">
      <w:pPr>
        <w:pStyle w:val="3"/>
        <w:spacing w:before="0" w:beforeLines="0" w:after="0" w:afterLines="0"/>
        <w:ind w:firstLine="640" w:firstLineChars="200"/>
        <w:jc w:val="both"/>
        <w:rPr>
          <w:rFonts w:hint="eastAsia" w:ascii="黑体" w:hAnsi="黑体" w:eastAsia="黑体" w:cs="黑体"/>
          <w:sz w:val="32"/>
          <w:szCs w:val="32"/>
          <w:lang w:val="en-US" w:eastAsia="zh-CN"/>
        </w:rPr>
      </w:pPr>
      <w:bookmarkStart w:id="131" w:name="_Toc1940541037"/>
      <w:r>
        <w:rPr>
          <w:rFonts w:hint="eastAsia" w:ascii="黑体" w:hAnsi="黑体" w:eastAsia="黑体" w:cs="黑体"/>
          <w:sz w:val="32"/>
          <w:szCs w:val="32"/>
          <w:lang w:val="en-US" w:eastAsia="zh-CN"/>
        </w:rPr>
        <w:t>5 监督管理</w:t>
      </w:r>
      <w:bookmarkEnd w:id="128"/>
      <w:bookmarkEnd w:id="129"/>
      <w:bookmarkEnd w:id="130"/>
      <w:bookmarkEnd w:id="131"/>
      <w:bookmarkStart w:id="132" w:name="_Toc2231"/>
      <w:bookmarkStart w:id="133" w:name="_Toc13257"/>
      <w:bookmarkStart w:id="134" w:name="_Toc21141"/>
    </w:p>
    <w:p w14:paraId="16306B2A">
      <w:pPr>
        <w:pStyle w:val="4"/>
        <w:keepNext w:val="0"/>
        <w:keepLines w:val="0"/>
        <w:widowControl/>
        <w:ind w:firstLine="640"/>
        <w:rPr>
          <w:rFonts w:hint="eastAsia"/>
        </w:rPr>
      </w:pPr>
      <w:bookmarkStart w:id="135" w:name="_Toc1527025730"/>
      <w:r>
        <w:rPr>
          <w:rFonts w:hint="eastAsia"/>
        </w:rPr>
        <w:t>5.1 预案演练</w:t>
      </w:r>
      <w:bookmarkEnd w:id="132"/>
      <w:bookmarkEnd w:id="133"/>
      <w:bookmarkEnd w:id="134"/>
      <w:bookmarkEnd w:id="135"/>
    </w:p>
    <w:p w14:paraId="34F20419">
      <w:pPr>
        <w:pStyle w:val="11"/>
        <w:widowControl/>
        <w:spacing w:before="0" w:beforeAutospacing="0" w:after="0" w:afterAutospacing="0"/>
        <w:ind w:firstLine="640"/>
        <w:rPr>
          <w:rFonts w:hint="eastAsia" w:cs="仿宋_GB2312"/>
          <w:sz w:val="32"/>
          <w:szCs w:val="32"/>
        </w:rPr>
      </w:pPr>
      <w:r>
        <w:rPr>
          <w:rFonts w:hint="eastAsia" w:cs="仿宋_GB2312"/>
          <w:sz w:val="32"/>
          <w:szCs w:val="32"/>
        </w:rPr>
        <w:t>区指挥部办公室会同区指挥部有关成员单位开展本预案的应急演练。区指挥部有关成员单位应结合自身职责，有计划地组织开展本系统、本领域地质灾害专项应急演练，检验并提升地质灾害应急处置能力。地质灾害应急演练原则上每年不少于一次，每次应急演练结束后牵头部门应对应急演练进行系统评估。区指挥部应加强对各成员单位地质灾害应急演练工作的检查和指导。</w:t>
      </w:r>
    </w:p>
    <w:p w14:paraId="1852F6CC">
      <w:pPr>
        <w:pStyle w:val="4"/>
        <w:ind w:firstLine="640"/>
        <w:rPr>
          <w:rFonts w:hint="eastAsia"/>
        </w:rPr>
      </w:pPr>
      <w:bookmarkStart w:id="136" w:name="_Toc7331"/>
      <w:bookmarkStart w:id="137" w:name="_Toc24863"/>
      <w:bookmarkStart w:id="138" w:name="_Toc413401922"/>
      <w:bookmarkStart w:id="139" w:name="_Toc19465"/>
      <w:r>
        <w:rPr>
          <w:rFonts w:hint="eastAsia"/>
        </w:rPr>
        <w:t>5.2 宣传培训</w:t>
      </w:r>
      <w:bookmarkEnd w:id="136"/>
      <w:bookmarkEnd w:id="137"/>
      <w:bookmarkEnd w:id="138"/>
      <w:bookmarkEnd w:id="139"/>
    </w:p>
    <w:p w14:paraId="7698BAE2">
      <w:pPr>
        <w:pStyle w:val="11"/>
        <w:widowControl/>
        <w:spacing w:before="0" w:beforeAutospacing="0" w:after="0" w:afterAutospacing="0"/>
        <w:ind w:firstLine="640"/>
        <w:rPr>
          <w:rFonts w:hint="eastAsia" w:cs="仿宋_GB2312"/>
          <w:sz w:val="32"/>
          <w:szCs w:val="32"/>
        </w:rPr>
      </w:pPr>
      <w:r>
        <w:rPr>
          <w:rFonts w:cs="仿宋_GB2312"/>
          <w:sz w:val="32"/>
          <w:szCs w:val="32"/>
        </w:rPr>
        <w:t>各</w:t>
      </w:r>
      <w:r>
        <w:rPr>
          <w:rFonts w:hint="eastAsia" w:cs="仿宋_GB2312"/>
          <w:sz w:val="32"/>
          <w:szCs w:val="32"/>
        </w:rPr>
        <w:t>街道</w:t>
      </w:r>
      <w:r>
        <w:rPr>
          <w:rFonts w:cs="仿宋_GB2312"/>
          <w:sz w:val="32"/>
          <w:szCs w:val="32"/>
        </w:rPr>
        <w:t>、</w:t>
      </w:r>
      <w:r>
        <w:rPr>
          <w:rFonts w:hint="eastAsia" w:cs="仿宋_GB2312"/>
          <w:sz w:val="32"/>
          <w:szCs w:val="32"/>
        </w:rPr>
        <w:t>各</w:t>
      </w:r>
      <w:r>
        <w:rPr>
          <w:rFonts w:cs="仿宋_GB2312"/>
          <w:sz w:val="32"/>
          <w:szCs w:val="32"/>
        </w:rPr>
        <w:t>有关单位要做好防灾减灾救灾科普知识的宣传教育工作，不断提高公众的防灾减灾救灾意识和自救互救能力。各</w:t>
      </w:r>
      <w:r>
        <w:rPr>
          <w:rFonts w:hint="eastAsia" w:cs="仿宋_GB2312"/>
          <w:sz w:val="32"/>
          <w:szCs w:val="32"/>
        </w:rPr>
        <w:t>街道</w:t>
      </w:r>
      <w:r>
        <w:rPr>
          <w:rFonts w:cs="仿宋_GB2312"/>
          <w:sz w:val="32"/>
          <w:szCs w:val="32"/>
        </w:rPr>
        <w:t>及教育、人力资源社会保障、文化、广播电视、新闻媒体等单位要充分利用广播、电视、互联网、报纸等各种媒体，加大对防灾减灾救灾工作的宣传、培训力度。</w:t>
      </w:r>
    </w:p>
    <w:p w14:paraId="2D49DECD">
      <w:pPr>
        <w:pStyle w:val="4"/>
        <w:ind w:firstLine="640"/>
        <w:rPr>
          <w:rFonts w:hint="eastAsia"/>
        </w:rPr>
      </w:pPr>
      <w:bookmarkStart w:id="140" w:name="_Toc5223"/>
      <w:bookmarkStart w:id="141" w:name="_Toc22196"/>
      <w:bookmarkStart w:id="142" w:name="_Toc29480"/>
      <w:bookmarkStart w:id="143" w:name="_Toc1290858784"/>
      <w:r>
        <w:rPr>
          <w:rFonts w:hint="eastAsia"/>
        </w:rPr>
        <w:t>5.3 责任与奖惩</w:t>
      </w:r>
      <w:bookmarkEnd w:id="140"/>
      <w:bookmarkEnd w:id="141"/>
      <w:bookmarkEnd w:id="142"/>
      <w:bookmarkEnd w:id="143"/>
    </w:p>
    <w:p w14:paraId="4891E0D4">
      <w:pPr>
        <w:pStyle w:val="11"/>
        <w:widowControl/>
        <w:spacing w:before="0" w:beforeAutospacing="0" w:after="0" w:afterAutospacing="0"/>
        <w:ind w:firstLine="640"/>
        <w:rPr>
          <w:rFonts w:hint="eastAsia" w:cs="仿宋_GB2312"/>
          <w:sz w:val="32"/>
          <w:szCs w:val="32"/>
        </w:rPr>
      </w:pPr>
      <w:r>
        <w:rPr>
          <w:rFonts w:hint="eastAsia" w:cs="仿宋_GB2312"/>
          <w:sz w:val="32"/>
          <w:szCs w:val="32"/>
        </w:rPr>
        <w:t>区政府、</w:t>
      </w:r>
      <w:r>
        <w:rPr>
          <w:rFonts w:hint="eastAsia" w:cs="仿宋_GB2312"/>
          <w:sz w:val="32"/>
          <w:szCs w:val="32"/>
          <w:lang w:eastAsia="zh-CN"/>
        </w:rPr>
        <w:t>各</w:t>
      </w:r>
      <w:r>
        <w:rPr>
          <w:rFonts w:hint="eastAsia" w:cs="仿宋_GB2312"/>
          <w:sz w:val="32"/>
          <w:szCs w:val="32"/>
        </w:rPr>
        <w:t>街道对在地质灾害监测预警、综合治理、应急抢险、救援工作中作出突出贡献的先进集体和个人，有关部门应给予表彰和奖励。对玩忽职守、失职、渎职的有关责任人，要依据有关规定严肃追究责任，构成犯罪的，依法追究刑事责任。</w:t>
      </w:r>
      <w:bookmarkStart w:id="144" w:name="_Toc25948"/>
      <w:bookmarkStart w:id="145" w:name="_Toc13329"/>
      <w:bookmarkStart w:id="146" w:name="_Toc10608"/>
    </w:p>
    <w:p w14:paraId="0D07336C">
      <w:pPr>
        <w:pStyle w:val="4"/>
        <w:ind w:firstLine="640"/>
        <w:rPr>
          <w:rFonts w:hint="eastAsia"/>
          <w:color w:val="auto"/>
        </w:rPr>
      </w:pPr>
      <w:bookmarkStart w:id="147" w:name="_Toc1530391456"/>
      <w:r>
        <w:rPr>
          <w:rFonts w:hint="eastAsia"/>
          <w:color w:val="auto"/>
        </w:rPr>
        <w:t>5.</w:t>
      </w:r>
      <w:r>
        <w:rPr>
          <w:rFonts w:hint="eastAsia"/>
          <w:color w:val="auto"/>
          <w:lang w:val="en-US" w:eastAsia="zh-CN"/>
        </w:rPr>
        <w:t>4</w:t>
      </w:r>
      <w:r>
        <w:rPr>
          <w:rFonts w:hint="eastAsia"/>
          <w:color w:val="auto"/>
        </w:rPr>
        <w:t xml:space="preserve"> 预案评估和修订</w:t>
      </w:r>
      <w:bookmarkEnd w:id="147"/>
    </w:p>
    <w:p w14:paraId="34E6FBA0">
      <w:pPr>
        <w:pStyle w:val="11"/>
        <w:widowControl/>
        <w:spacing w:before="0" w:beforeAutospacing="0" w:after="0" w:afterAutospacing="0"/>
        <w:ind w:firstLine="640"/>
        <w:rPr>
          <w:rFonts w:hint="eastAsia" w:eastAsia="仿宋_GB2312" w:cs="仿宋_GB2312"/>
          <w:color w:val="auto"/>
          <w:sz w:val="32"/>
          <w:szCs w:val="32"/>
          <w:lang w:eastAsia="zh-CN"/>
        </w:rPr>
      </w:pPr>
      <w:r>
        <w:rPr>
          <w:rFonts w:hint="eastAsia" w:cs="仿宋_GB2312"/>
          <w:color w:val="auto"/>
          <w:sz w:val="32"/>
          <w:szCs w:val="32"/>
        </w:rPr>
        <w:t>区应急管理局每三年对本预案进行评估，根据评估结果修订、更新本预案</w:t>
      </w:r>
      <w:r>
        <w:rPr>
          <w:rFonts w:hint="eastAsia" w:cs="仿宋_GB2312"/>
          <w:color w:val="auto"/>
          <w:sz w:val="32"/>
          <w:szCs w:val="32"/>
          <w:lang w:eastAsia="zh-CN"/>
        </w:rPr>
        <w:t>，并</w:t>
      </w:r>
      <w:r>
        <w:rPr>
          <w:rFonts w:hint="eastAsia" w:cs="仿宋_GB2312"/>
          <w:color w:val="auto"/>
          <w:sz w:val="32"/>
          <w:szCs w:val="32"/>
        </w:rPr>
        <w:t>负责对本预案的评审与发布</w:t>
      </w:r>
      <w:r>
        <w:rPr>
          <w:rFonts w:hint="eastAsia" w:cs="仿宋_GB2312"/>
          <w:color w:val="auto"/>
          <w:sz w:val="32"/>
          <w:szCs w:val="32"/>
          <w:lang w:eastAsia="zh-CN"/>
        </w:rPr>
        <w:t>。</w:t>
      </w:r>
    </w:p>
    <w:p w14:paraId="32B0FE00">
      <w:pPr>
        <w:pStyle w:val="3"/>
        <w:spacing w:before="0" w:beforeLines="0" w:after="0" w:afterLines="0"/>
        <w:ind w:firstLine="640" w:firstLineChars="200"/>
        <w:jc w:val="both"/>
        <w:rPr>
          <w:rFonts w:hint="eastAsia" w:ascii="黑体" w:hAnsi="黑体" w:eastAsia="黑体" w:cs="黑体"/>
          <w:sz w:val="32"/>
          <w:szCs w:val="32"/>
        </w:rPr>
      </w:pPr>
      <w:bookmarkStart w:id="148" w:name="_Toc1949688149"/>
      <w:r>
        <w:rPr>
          <w:rFonts w:hint="eastAsia" w:ascii="黑体" w:hAnsi="黑体" w:eastAsia="黑体" w:cs="黑体"/>
          <w:sz w:val="32"/>
          <w:szCs w:val="32"/>
        </w:rPr>
        <w:t>6 附则</w:t>
      </w:r>
      <w:bookmarkEnd w:id="144"/>
      <w:bookmarkEnd w:id="145"/>
      <w:bookmarkEnd w:id="146"/>
      <w:bookmarkEnd w:id="148"/>
      <w:bookmarkStart w:id="149" w:name="_Toc26101"/>
      <w:bookmarkStart w:id="150" w:name="_Toc29314"/>
      <w:bookmarkStart w:id="151" w:name="_Toc18208"/>
    </w:p>
    <w:p w14:paraId="3E6B7763">
      <w:pPr>
        <w:pStyle w:val="4"/>
        <w:ind w:firstLine="640"/>
        <w:rPr>
          <w:rFonts w:hint="eastAsia"/>
        </w:rPr>
      </w:pPr>
      <w:bookmarkStart w:id="152" w:name="_Toc284784049"/>
      <w:r>
        <w:rPr>
          <w:rFonts w:hint="eastAsia"/>
        </w:rPr>
        <w:t>6.1 名词术语</w:t>
      </w:r>
      <w:bookmarkEnd w:id="149"/>
      <w:bookmarkEnd w:id="150"/>
      <w:bookmarkEnd w:id="151"/>
      <w:bookmarkEnd w:id="152"/>
    </w:p>
    <w:p w14:paraId="46544799">
      <w:pPr>
        <w:tabs>
          <w:tab w:val="left" w:pos="757"/>
        </w:tabs>
        <w:ind w:firstLine="640" w:firstLineChars="200"/>
        <w:jc w:val="left"/>
        <w:rPr>
          <w:rFonts w:cs="仿宋_GB2312"/>
          <w:szCs w:val="32"/>
        </w:rPr>
      </w:pPr>
      <w:r>
        <w:rPr>
          <w:rFonts w:hint="eastAsia" w:ascii="仿宋_GB2312" w:hAnsi="仿宋_GB2312" w:cs="仿宋_GB2312"/>
          <w:kern w:val="0"/>
          <w:szCs w:val="32"/>
        </w:rPr>
        <w:t>（1）地</w:t>
      </w:r>
      <w:r>
        <w:rPr>
          <w:rFonts w:hint="eastAsia" w:cs="仿宋_GB2312"/>
          <w:szCs w:val="32"/>
        </w:rPr>
        <w:t>质灾害易发区是指具备地质灾害发生的地质构造、地形地貌和气候条件，容易发生地质灾害的区域。</w:t>
      </w:r>
    </w:p>
    <w:p w14:paraId="55A33051">
      <w:pPr>
        <w:pStyle w:val="11"/>
        <w:widowControl/>
        <w:spacing w:before="0" w:beforeAutospacing="0" w:after="0" w:afterAutospacing="0"/>
        <w:ind w:firstLine="640"/>
        <w:rPr>
          <w:rFonts w:hint="eastAsia" w:cs="仿宋_GB2312"/>
          <w:sz w:val="32"/>
          <w:szCs w:val="32"/>
        </w:rPr>
      </w:pPr>
      <w:r>
        <w:rPr>
          <w:rFonts w:hint="eastAsia" w:cs="仿宋_GB2312"/>
          <w:sz w:val="32"/>
          <w:szCs w:val="32"/>
        </w:rPr>
        <w:t>（2）地质灾害危险区是指已经出现地质灾害迹象，明显可能发生地质灾害且可能造成人员伤亡和经济损失的区域或地段。</w:t>
      </w:r>
      <w:r>
        <w:rPr>
          <w:rFonts w:hint="eastAsia" w:cs="仿宋_GB2312"/>
          <w:sz w:val="32"/>
          <w:szCs w:val="32"/>
        </w:rPr>
        <w:br w:type="textWrapping"/>
      </w:r>
      <w:r>
        <w:rPr>
          <w:rFonts w:hint="eastAsia" w:cs="仿宋_GB2312"/>
          <w:sz w:val="32"/>
          <w:szCs w:val="32"/>
        </w:rPr>
        <w:t xml:space="preserve">    （3）次生灾害是指由地质灾害造成的工程结构、设施和自然环境破坏而引发的灾害，如水灾、爆炸及剧毒和强腐蚀性物质泄漏等。</w:t>
      </w:r>
    </w:p>
    <w:p w14:paraId="4B7246DE">
      <w:pPr>
        <w:pStyle w:val="11"/>
        <w:widowControl/>
        <w:spacing w:before="0" w:beforeAutospacing="0" w:after="0" w:afterAutospacing="0"/>
        <w:ind w:firstLine="640"/>
        <w:rPr>
          <w:rFonts w:hint="eastAsia" w:cs="仿宋_GB2312"/>
          <w:sz w:val="32"/>
          <w:szCs w:val="32"/>
        </w:rPr>
      </w:pPr>
      <w:r>
        <w:rPr>
          <w:rFonts w:hint="eastAsia" w:cs="仿宋_GB2312"/>
          <w:sz w:val="32"/>
          <w:szCs w:val="32"/>
        </w:rPr>
        <w:t>（4）本预案有关数量的表述中，“以上”含本数，“以下”不含本数。</w:t>
      </w:r>
    </w:p>
    <w:p w14:paraId="7DEEC6DD">
      <w:pPr>
        <w:pStyle w:val="11"/>
        <w:widowControl/>
        <w:spacing w:before="0" w:beforeAutospacing="0" w:after="0" w:afterAutospacing="0"/>
        <w:ind w:firstLine="640"/>
        <w:rPr>
          <w:rFonts w:hint="eastAsia" w:cs="仿宋_GB2312"/>
          <w:sz w:val="32"/>
          <w:szCs w:val="32"/>
        </w:rPr>
      </w:pPr>
      <w:r>
        <w:rPr>
          <w:rFonts w:hint="eastAsia" w:cs="仿宋_GB2312"/>
          <w:sz w:val="32"/>
          <w:szCs w:val="32"/>
        </w:rPr>
        <w:t>（5）生命线设施是指供电、供水、排水、燃气、热力、供油系统以及通信、交通等公用设施。</w:t>
      </w:r>
    </w:p>
    <w:p w14:paraId="406B7BE4">
      <w:pPr>
        <w:pStyle w:val="11"/>
        <w:widowControl/>
        <w:spacing w:before="0" w:beforeAutospacing="0" w:after="0" w:afterAutospacing="0"/>
        <w:ind w:firstLine="640"/>
        <w:rPr>
          <w:rFonts w:hint="eastAsia" w:cs="仿宋_GB2312"/>
          <w:sz w:val="32"/>
          <w:szCs w:val="32"/>
        </w:rPr>
      </w:pPr>
      <w:r>
        <w:rPr>
          <w:rFonts w:hint="eastAsia" w:cs="仿宋_GB2312"/>
          <w:sz w:val="32"/>
          <w:szCs w:val="32"/>
        </w:rPr>
        <w:t>（6）直接经济损失是指地质灾害及次生灾害造成的物质破坏，包括房屋和其他工程结构设施、物品等破坏引起的经济损失，建筑物和其他工程结构、设施、设备、财物等破坏而引起的经济损失，以重置所需费用计算。不包括文物古迹和非实物财产，如货币、有价证券等损失。场地和文物古迹破坏不折算为经济损失，只描述破坏状态。</w:t>
      </w:r>
    </w:p>
    <w:p w14:paraId="45586D34">
      <w:pPr>
        <w:pStyle w:val="4"/>
        <w:ind w:firstLine="640"/>
        <w:rPr>
          <w:rFonts w:hint="eastAsia"/>
        </w:rPr>
      </w:pPr>
      <w:bookmarkStart w:id="153" w:name="_Toc27670"/>
      <w:bookmarkStart w:id="154" w:name="_Toc404929070"/>
      <w:bookmarkStart w:id="155" w:name="_Toc8787"/>
      <w:bookmarkStart w:id="156" w:name="_Toc18877"/>
      <w:r>
        <w:rPr>
          <w:rFonts w:hint="eastAsia"/>
        </w:rPr>
        <w:t>6.2 预案管理</w:t>
      </w:r>
      <w:bookmarkEnd w:id="153"/>
      <w:bookmarkEnd w:id="154"/>
      <w:bookmarkEnd w:id="155"/>
      <w:bookmarkEnd w:id="156"/>
    </w:p>
    <w:p w14:paraId="5B60DB3F">
      <w:pPr>
        <w:pStyle w:val="11"/>
        <w:widowControl/>
        <w:spacing w:before="0" w:beforeAutospacing="0" w:after="0" w:afterAutospacing="0"/>
        <w:ind w:firstLine="640"/>
        <w:rPr>
          <w:rFonts w:hint="eastAsia" w:cs="仿宋_GB2312"/>
          <w:sz w:val="32"/>
          <w:szCs w:val="32"/>
        </w:rPr>
      </w:pPr>
      <w:r>
        <w:rPr>
          <w:rFonts w:hint="eastAsia" w:cs="仿宋_GB2312"/>
          <w:sz w:val="32"/>
          <w:szCs w:val="32"/>
        </w:rPr>
        <w:t>本预案由区应急管理局会同有关部门、单位组织制定，经区应急委批准后，以区地质灾害应急指挥部名义印发实施，由区应急管理局负责解释。</w:t>
      </w:r>
    </w:p>
    <w:p w14:paraId="4B56DB53">
      <w:pPr>
        <w:pStyle w:val="4"/>
        <w:ind w:firstLine="640"/>
        <w:rPr>
          <w:rFonts w:hint="eastAsia"/>
        </w:rPr>
      </w:pPr>
      <w:bookmarkStart w:id="157" w:name="_Toc2619"/>
      <w:bookmarkStart w:id="158" w:name="_Toc534352192"/>
      <w:bookmarkStart w:id="159" w:name="_Toc23289"/>
      <w:bookmarkStart w:id="160" w:name="_Toc21029"/>
      <w:r>
        <w:rPr>
          <w:rFonts w:hint="eastAsia"/>
        </w:rPr>
        <w:t>6.3 预案衔接</w:t>
      </w:r>
      <w:bookmarkEnd w:id="157"/>
      <w:bookmarkEnd w:id="158"/>
      <w:bookmarkEnd w:id="159"/>
      <w:bookmarkEnd w:id="160"/>
    </w:p>
    <w:p w14:paraId="32DC30D1">
      <w:pPr>
        <w:pStyle w:val="11"/>
        <w:widowControl/>
        <w:spacing w:before="0" w:beforeAutospacing="0" w:after="0" w:afterAutospacing="0"/>
        <w:ind w:firstLine="640"/>
        <w:rPr>
          <w:rFonts w:hint="eastAsia" w:cs="仿宋_GB2312"/>
          <w:sz w:val="32"/>
          <w:szCs w:val="32"/>
        </w:rPr>
      </w:pPr>
      <w:bookmarkStart w:id="161" w:name="_Toc9182"/>
      <w:bookmarkStart w:id="162" w:name="_Toc19563"/>
      <w:bookmarkStart w:id="163" w:name="_Toc28578"/>
      <w:r>
        <w:rPr>
          <w:rFonts w:hint="eastAsia" w:cs="仿宋_GB2312"/>
          <w:sz w:val="32"/>
          <w:szCs w:val="32"/>
        </w:rPr>
        <w:t>各街道制定本行政区域突发地质灾害应急预案。</w:t>
      </w:r>
    </w:p>
    <w:p w14:paraId="5A6EE9F4">
      <w:pPr>
        <w:pStyle w:val="11"/>
        <w:widowControl/>
        <w:spacing w:before="0" w:beforeAutospacing="0" w:after="0" w:afterAutospacing="0"/>
        <w:ind w:firstLine="640"/>
        <w:rPr>
          <w:rFonts w:hint="eastAsia" w:cs="仿宋_GB2312"/>
          <w:sz w:val="32"/>
          <w:szCs w:val="32"/>
        </w:rPr>
      </w:pPr>
      <w:r>
        <w:rPr>
          <w:rFonts w:hint="eastAsia" w:cs="仿宋_GB2312"/>
          <w:sz w:val="32"/>
          <w:szCs w:val="32"/>
        </w:rPr>
        <w:t>区水务、交通、住建、燃气、电力、通信等主管部门（单位）要按照本预案规定认真履行职责，并结合实际制定本部门（单位）涉及突发地质灾害的处置应急预案。</w:t>
      </w:r>
    </w:p>
    <w:p w14:paraId="651E162F">
      <w:pPr>
        <w:pStyle w:val="4"/>
        <w:ind w:firstLine="640"/>
        <w:rPr>
          <w:rFonts w:hint="eastAsia"/>
        </w:rPr>
      </w:pPr>
      <w:bookmarkStart w:id="164" w:name="_Toc1704417788"/>
      <w:r>
        <w:rPr>
          <w:rFonts w:hint="eastAsia"/>
        </w:rPr>
        <w:t>6.4 预案实施时间</w:t>
      </w:r>
      <w:bookmarkEnd w:id="161"/>
      <w:bookmarkEnd w:id="162"/>
      <w:bookmarkEnd w:id="163"/>
      <w:bookmarkEnd w:id="164"/>
    </w:p>
    <w:p w14:paraId="72BE079A">
      <w:pPr>
        <w:pStyle w:val="11"/>
        <w:widowControl/>
        <w:spacing w:before="0" w:beforeAutospacing="0" w:after="0" w:afterAutospacing="0"/>
        <w:ind w:firstLine="640"/>
        <w:rPr>
          <w:rFonts w:hint="eastAsia" w:cs="仿宋_GB2312"/>
          <w:sz w:val="32"/>
          <w:szCs w:val="32"/>
        </w:rPr>
      </w:pPr>
      <w:r>
        <w:rPr>
          <w:rFonts w:hint="eastAsia" w:cs="仿宋_GB2312"/>
          <w:sz w:val="32"/>
          <w:szCs w:val="32"/>
        </w:rPr>
        <w:t>本预案自发布之日起实施。2020年印发的《盐田区突发地质灾害应急预案》同时废止。</w:t>
      </w:r>
    </w:p>
    <w:p w14:paraId="74D620C0">
      <w:pPr>
        <w:rPr>
          <w:rFonts w:hint="eastAsia"/>
        </w:rPr>
      </w:pPr>
      <w:bookmarkStart w:id="165" w:name="_Toc2120114106"/>
      <w:bookmarkStart w:id="166" w:name="_Toc1856392837"/>
      <w:bookmarkStart w:id="167" w:name="_Toc677808476"/>
      <w:r>
        <w:rPr>
          <w:rFonts w:hint="eastAsia" w:cs="仿宋_GB2312"/>
          <w:sz w:val="32"/>
          <w:szCs w:val="32"/>
        </w:rPr>
        <w:br w:type="page"/>
      </w:r>
    </w:p>
    <w:p w14:paraId="4D16F2D5">
      <w:pPr>
        <w:pStyle w:val="11"/>
        <w:widowControl/>
        <w:spacing w:before="0" w:beforeAutospacing="0" w:after="0" w:afterAutospacing="0"/>
        <w:ind w:left="0" w:leftChars="0" w:firstLine="0" w:firstLineChars="0"/>
        <w:rPr>
          <w:rFonts w:hint="eastAsia" w:cs="仿宋_GB2312"/>
          <w:sz w:val="32"/>
          <w:szCs w:val="32"/>
        </w:rPr>
      </w:pPr>
      <w:r>
        <w:rPr>
          <w:rFonts w:hint="eastAsia" w:cs="仿宋_GB2312"/>
          <w:sz w:val="32"/>
          <w:szCs w:val="32"/>
        </w:rPr>
        <w:t>附件：</w:t>
      </w:r>
      <w:r>
        <w:rPr>
          <w:rFonts w:hint="eastAsia" w:cs="仿宋_GB2312"/>
          <w:sz w:val="32"/>
          <w:szCs w:val="32"/>
          <w:lang w:val="en-US" w:eastAsia="zh-CN"/>
        </w:rPr>
        <w:t>1</w:t>
      </w:r>
      <w:bookmarkStart w:id="168" w:name="OLE_LINK6"/>
      <w:r>
        <w:rPr>
          <w:rFonts w:hint="eastAsia" w:cs="仿宋_GB2312"/>
          <w:sz w:val="32"/>
          <w:szCs w:val="32"/>
          <w:lang w:val="en-US" w:eastAsia="zh-CN"/>
        </w:rPr>
        <w:t>.</w:t>
      </w:r>
      <w:r>
        <w:rPr>
          <w:rFonts w:hint="eastAsia" w:cs="仿宋_GB2312"/>
          <w:sz w:val="32"/>
          <w:szCs w:val="32"/>
        </w:rPr>
        <w:t>盐田区地质灾害应急指挥架构图</w:t>
      </w:r>
      <w:bookmarkEnd w:id="165"/>
      <w:bookmarkEnd w:id="166"/>
      <w:bookmarkEnd w:id="167"/>
      <w:bookmarkEnd w:id="168"/>
    </w:p>
    <w:p w14:paraId="4D06D7BE">
      <w:pPr>
        <w:pStyle w:val="11"/>
        <w:widowControl/>
        <w:spacing w:before="0" w:beforeAutospacing="0" w:after="0" w:afterAutospacing="0"/>
        <w:ind w:firstLine="960" w:firstLineChars="300"/>
        <w:rPr>
          <w:rFonts w:hint="eastAsia" w:cs="仿宋_GB2312"/>
          <w:sz w:val="32"/>
          <w:szCs w:val="32"/>
        </w:rPr>
      </w:pPr>
      <w:bookmarkStart w:id="169" w:name="_Toc1599700849"/>
      <w:bookmarkStart w:id="170" w:name="_Toc4794888"/>
      <w:bookmarkStart w:id="171" w:name="_Toc210707789"/>
      <w:r>
        <w:rPr>
          <w:rFonts w:hint="eastAsia" w:cs="仿宋_GB2312"/>
          <w:sz w:val="32"/>
          <w:szCs w:val="32"/>
          <w:lang w:val="en-US" w:eastAsia="zh-CN"/>
        </w:rPr>
        <w:t>2.</w:t>
      </w:r>
      <w:r>
        <w:rPr>
          <w:rFonts w:hint="eastAsia" w:cs="仿宋_GB2312"/>
          <w:sz w:val="32"/>
          <w:szCs w:val="32"/>
        </w:rPr>
        <w:t>盐田区地质灾害应急指挥部工作组及职责</w:t>
      </w:r>
      <w:bookmarkEnd w:id="169"/>
      <w:bookmarkEnd w:id="170"/>
      <w:bookmarkEnd w:id="171"/>
    </w:p>
    <w:p w14:paraId="64E43372">
      <w:pPr>
        <w:pStyle w:val="11"/>
        <w:widowControl/>
        <w:spacing w:before="0" w:beforeAutospacing="0" w:after="0" w:afterAutospacing="0"/>
        <w:ind w:firstLine="960" w:firstLineChars="300"/>
        <w:rPr>
          <w:rFonts w:hint="eastAsia" w:cs="仿宋_GB2312"/>
          <w:sz w:val="32"/>
          <w:szCs w:val="32"/>
        </w:rPr>
      </w:pPr>
      <w:bookmarkStart w:id="172" w:name="_Toc502069552"/>
      <w:bookmarkStart w:id="173" w:name="_Toc513734551"/>
      <w:bookmarkStart w:id="174" w:name="_Toc346829578"/>
      <w:r>
        <w:rPr>
          <w:rFonts w:hint="eastAsia" w:cs="仿宋_GB2312"/>
          <w:sz w:val="32"/>
          <w:szCs w:val="32"/>
          <w:lang w:val="en-US" w:eastAsia="zh-CN"/>
        </w:rPr>
        <w:t>3.</w:t>
      </w:r>
      <w:r>
        <w:rPr>
          <w:rFonts w:hint="eastAsia" w:cs="仿宋_GB2312"/>
          <w:sz w:val="32"/>
          <w:szCs w:val="32"/>
        </w:rPr>
        <w:t>突发地质灾害分级</w:t>
      </w:r>
      <w:bookmarkEnd w:id="172"/>
      <w:bookmarkEnd w:id="173"/>
      <w:bookmarkEnd w:id="174"/>
    </w:p>
    <w:p w14:paraId="2E52B188">
      <w:pPr>
        <w:pStyle w:val="11"/>
        <w:widowControl/>
        <w:spacing w:before="0" w:beforeAutospacing="0" w:after="0" w:afterAutospacing="0"/>
        <w:ind w:firstLine="960" w:firstLineChars="300"/>
        <w:rPr>
          <w:rFonts w:hint="eastAsia" w:cs="仿宋_GB2312"/>
          <w:sz w:val="32"/>
          <w:szCs w:val="32"/>
        </w:rPr>
      </w:pPr>
      <w:bookmarkStart w:id="175" w:name="_Toc1732377277"/>
      <w:bookmarkStart w:id="176" w:name="_Toc650043669"/>
      <w:bookmarkStart w:id="177" w:name="_Toc1142117423"/>
      <w:r>
        <w:rPr>
          <w:rFonts w:hint="eastAsia" w:cs="仿宋_GB2312"/>
          <w:sz w:val="32"/>
          <w:szCs w:val="32"/>
          <w:lang w:val="en-US" w:eastAsia="zh-CN"/>
        </w:rPr>
        <w:t>4.</w:t>
      </w:r>
      <w:r>
        <w:rPr>
          <w:rFonts w:hint="eastAsia" w:cs="仿宋_GB2312"/>
          <w:sz w:val="32"/>
          <w:szCs w:val="32"/>
        </w:rPr>
        <w:t>盐田区地质灾害应急指挥体系流程图</w:t>
      </w:r>
      <w:bookmarkEnd w:id="175"/>
      <w:bookmarkEnd w:id="176"/>
      <w:bookmarkEnd w:id="177"/>
    </w:p>
    <w:p w14:paraId="32A746A5">
      <w:pPr>
        <w:pStyle w:val="11"/>
        <w:widowControl/>
        <w:spacing w:before="0" w:beforeAutospacing="0" w:after="0" w:afterAutospacing="0"/>
        <w:ind w:firstLine="960" w:firstLineChars="300"/>
        <w:rPr>
          <w:rFonts w:hint="eastAsia" w:cs="仿宋_GB2312"/>
          <w:sz w:val="32"/>
          <w:szCs w:val="32"/>
        </w:rPr>
      </w:pPr>
      <w:bookmarkStart w:id="178" w:name="_Toc999200201"/>
      <w:bookmarkStart w:id="179" w:name="_Toc2043721370"/>
      <w:bookmarkStart w:id="180" w:name="_Toc1878196533"/>
      <w:r>
        <w:rPr>
          <w:rFonts w:hint="eastAsia" w:cs="仿宋_GB2312"/>
          <w:sz w:val="32"/>
          <w:szCs w:val="32"/>
          <w:lang w:val="en-US" w:eastAsia="zh-CN"/>
        </w:rPr>
        <w:t>5.</w:t>
      </w:r>
      <w:r>
        <w:rPr>
          <w:rFonts w:hint="eastAsia" w:cs="仿宋_GB2312"/>
          <w:sz w:val="32"/>
          <w:szCs w:val="32"/>
        </w:rPr>
        <w:t>盐田区突发地质灾害信息报告表</w:t>
      </w:r>
      <w:bookmarkEnd w:id="178"/>
      <w:bookmarkEnd w:id="179"/>
      <w:bookmarkEnd w:id="180"/>
    </w:p>
    <w:p w14:paraId="3DE05505">
      <w:pPr>
        <w:pStyle w:val="11"/>
        <w:widowControl/>
        <w:spacing w:before="0" w:beforeAutospacing="0" w:after="0" w:afterAutospacing="0"/>
        <w:ind w:firstLine="960" w:firstLineChars="300"/>
        <w:rPr>
          <w:rFonts w:hint="eastAsia" w:cs="仿宋_GB2312"/>
          <w:sz w:val="32"/>
          <w:szCs w:val="32"/>
        </w:rPr>
      </w:pPr>
      <w:bookmarkStart w:id="181" w:name="_Toc1514129936"/>
      <w:bookmarkStart w:id="182" w:name="_Toc1876862160"/>
      <w:bookmarkStart w:id="183" w:name="_Toc6489427"/>
      <w:r>
        <w:rPr>
          <w:rFonts w:hint="eastAsia" w:cs="仿宋_GB2312"/>
          <w:sz w:val="32"/>
          <w:szCs w:val="32"/>
          <w:lang w:val="en-US" w:eastAsia="zh-CN"/>
        </w:rPr>
        <w:t>6.</w:t>
      </w:r>
      <w:r>
        <w:rPr>
          <w:rFonts w:hint="eastAsia" w:cs="仿宋_GB2312"/>
          <w:sz w:val="32"/>
          <w:szCs w:val="32"/>
        </w:rPr>
        <w:t>盐田区突发地质灾害应急响应工作情况报表</w:t>
      </w:r>
      <w:bookmarkEnd w:id="181"/>
      <w:bookmarkEnd w:id="182"/>
      <w:bookmarkEnd w:id="183"/>
    </w:p>
    <w:p w14:paraId="4A65C57E">
      <w:pPr>
        <w:pStyle w:val="11"/>
        <w:widowControl/>
        <w:spacing w:before="0" w:beforeAutospacing="0" w:after="0" w:afterAutospacing="0"/>
        <w:ind w:firstLine="960" w:firstLineChars="300"/>
        <w:rPr>
          <w:rFonts w:hint="eastAsia" w:cs="仿宋_GB2312"/>
          <w:sz w:val="32"/>
          <w:szCs w:val="32"/>
          <w:lang w:eastAsia="zh-CN"/>
        </w:rPr>
      </w:pPr>
      <w:bookmarkStart w:id="184" w:name="_Toc242033681"/>
      <w:bookmarkStart w:id="185" w:name="_Toc1075226005"/>
      <w:bookmarkStart w:id="186" w:name="_Toc953046681"/>
      <w:r>
        <w:rPr>
          <w:rFonts w:hint="eastAsia" w:cs="仿宋_GB2312"/>
          <w:sz w:val="32"/>
          <w:szCs w:val="32"/>
          <w:lang w:val="en-US" w:eastAsia="zh-CN"/>
        </w:rPr>
        <w:t>7.</w:t>
      </w:r>
      <w:r>
        <w:rPr>
          <w:rFonts w:hint="eastAsia" w:cs="仿宋_GB2312"/>
          <w:sz w:val="32"/>
          <w:szCs w:val="32"/>
        </w:rPr>
        <w:t>关于启动盐田区突发地质灾害应急响应的</w:t>
      </w:r>
      <w:bookmarkEnd w:id="184"/>
      <w:bookmarkEnd w:id="185"/>
      <w:bookmarkEnd w:id="186"/>
      <w:r>
        <w:rPr>
          <w:rFonts w:hint="eastAsia" w:cs="仿宋_GB2312"/>
          <w:sz w:val="32"/>
          <w:szCs w:val="32"/>
          <w:lang w:eastAsia="zh-CN"/>
        </w:rPr>
        <w:t>通知</w:t>
      </w:r>
    </w:p>
    <w:p w14:paraId="6BC22943">
      <w:pPr>
        <w:pStyle w:val="11"/>
        <w:widowControl/>
        <w:spacing w:before="0" w:beforeAutospacing="0" w:after="0" w:afterAutospacing="0"/>
        <w:ind w:firstLine="960" w:firstLineChars="300"/>
        <w:rPr>
          <w:rFonts w:hint="eastAsia" w:cs="仿宋_GB2312"/>
          <w:sz w:val="32"/>
          <w:szCs w:val="32"/>
        </w:rPr>
      </w:pPr>
      <w:bookmarkStart w:id="187" w:name="_Toc64973439"/>
      <w:bookmarkStart w:id="188" w:name="_Toc2066909045"/>
      <w:bookmarkStart w:id="189" w:name="_Toc992131171"/>
      <w:r>
        <w:rPr>
          <w:rFonts w:hint="eastAsia" w:cs="仿宋_GB2312"/>
          <w:sz w:val="32"/>
          <w:szCs w:val="32"/>
          <w:lang w:val="en-US" w:eastAsia="zh-CN"/>
        </w:rPr>
        <w:t>8.</w:t>
      </w:r>
      <w:r>
        <w:rPr>
          <w:rFonts w:hint="eastAsia" w:cs="仿宋_GB2312"/>
          <w:sz w:val="32"/>
          <w:szCs w:val="32"/>
        </w:rPr>
        <w:t>盐田区突发地质灾害专家库</w:t>
      </w:r>
      <w:bookmarkEnd w:id="187"/>
      <w:bookmarkEnd w:id="188"/>
      <w:bookmarkEnd w:id="189"/>
    </w:p>
    <w:p w14:paraId="1625AE52">
      <w:pPr>
        <w:pStyle w:val="11"/>
        <w:widowControl/>
        <w:spacing w:before="0" w:beforeAutospacing="0" w:after="0" w:afterAutospacing="0"/>
        <w:ind w:firstLine="960" w:firstLineChars="300"/>
        <w:rPr>
          <w:rFonts w:hint="eastAsia" w:cs="仿宋_GB2312"/>
          <w:sz w:val="32"/>
          <w:szCs w:val="32"/>
        </w:rPr>
      </w:pPr>
      <w:bookmarkStart w:id="190" w:name="_Toc1137296195"/>
      <w:bookmarkStart w:id="191" w:name="_Toc482151510"/>
      <w:bookmarkStart w:id="192" w:name="_Toc570939105"/>
      <w:r>
        <w:rPr>
          <w:rFonts w:hint="eastAsia" w:cs="仿宋_GB2312"/>
          <w:sz w:val="32"/>
          <w:szCs w:val="32"/>
          <w:lang w:val="en-US" w:eastAsia="zh-CN"/>
        </w:rPr>
        <w:t>9.</w:t>
      </w:r>
      <w:r>
        <w:rPr>
          <w:rFonts w:hint="eastAsia" w:cs="仿宋_GB2312"/>
          <w:sz w:val="32"/>
          <w:szCs w:val="32"/>
        </w:rPr>
        <w:t>盐田区地质灾害隐患点一览表</w:t>
      </w:r>
      <w:bookmarkEnd w:id="190"/>
      <w:bookmarkEnd w:id="191"/>
      <w:bookmarkEnd w:id="192"/>
    </w:p>
    <w:p w14:paraId="1E8D36D0">
      <w:pPr>
        <w:pStyle w:val="11"/>
        <w:widowControl/>
        <w:spacing w:before="0" w:beforeAutospacing="0" w:after="0" w:afterAutospacing="0"/>
        <w:ind w:firstLine="960" w:firstLineChars="300"/>
        <w:rPr>
          <w:rFonts w:hint="eastAsia" w:cs="仿宋_GB2312"/>
          <w:sz w:val="32"/>
          <w:szCs w:val="32"/>
          <w:lang w:val="en-US" w:eastAsia="zh-CN"/>
        </w:rPr>
      </w:pPr>
      <w:bookmarkStart w:id="193" w:name="_Toc206796238"/>
      <w:r>
        <w:rPr>
          <w:rFonts w:hint="eastAsia" w:cs="仿宋_GB2312"/>
          <w:sz w:val="32"/>
          <w:szCs w:val="32"/>
          <w:lang w:val="en-US" w:eastAsia="zh-CN"/>
        </w:rPr>
        <w:t>10.盐田区地质灾害应急指挥部通讯录</w:t>
      </w:r>
      <w:bookmarkEnd w:id="193"/>
    </w:p>
    <w:p w14:paraId="5D1CE924">
      <w:pPr>
        <w:pStyle w:val="11"/>
        <w:widowControl/>
        <w:spacing w:before="0" w:beforeAutospacing="0" w:after="0" w:afterAutospacing="0"/>
        <w:ind w:firstLine="960" w:firstLineChars="300"/>
        <w:rPr>
          <w:rFonts w:hint="eastAsia" w:cs="仿宋_GB2312"/>
          <w:sz w:val="32"/>
          <w:szCs w:val="32"/>
          <w:lang w:val="en-US" w:eastAsia="zh-CN"/>
        </w:rPr>
      </w:pPr>
      <w:bookmarkStart w:id="194" w:name="_Toc365548578"/>
      <w:r>
        <w:rPr>
          <w:rFonts w:hint="eastAsia" w:cs="仿宋_GB2312"/>
          <w:sz w:val="32"/>
          <w:szCs w:val="32"/>
          <w:lang w:val="en-US" w:eastAsia="zh-CN"/>
        </w:rPr>
        <w:t>11.突发地质灾害应急指挥与处置工作图</w:t>
      </w:r>
      <w:bookmarkEnd w:id="194"/>
    </w:p>
    <w:p w14:paraId="1C677CBA">
      <w:pPr>
        <w:pStyle w:val="4"/>
        <w:bidi w:val="0"/>
        <w:ind w:firstLine="1600" w:firstLineChars="500"/>
        <w:rPr>
          <w:rFonts w:hint="eastAsia" w:ascii="黑体" w:hAnsi="黑体" w:eastAsia="黑体" w:cs="黑体"/>
          <w:sz w:val="32"/>
          <w:szCs w:val="32"/>
        </w:rPr>
      </w:pPr>
      <w:bookmarkStart w:id="195" w:name="_Toc602009914"/>
      <w:bookmarkStart w:id="196" w:name="_Toc1676993707"/>
      <w:bookmarkStart w:id="197" w:name="_Toc1221612961"/>
      <w:bookmarkStart w:id="198" w:name="_Toc187312669"/>
      <w:bookmarkStart w:id="199" w:name="_Toc161339154"/>
      <w:r>
        <w:rPr>
          <w:rFonts w:hint="eastAsia" w:ascii="黑体" w:hAnsi="黑体" w:eastAsia="黑体" w:cs="黑体"/>
          <w:sz w:val="32"/>
          <w:szCs w:val="32"/>
        </w:rPr>
        <w:br w:type="textWrapping"/>
      </w:r>
      <w:r>
        <w:rPr>
          <w:rFonts w:hint="eastAsia" w:ascii="黑体" w:hAnsi="黑体" w:eastAsia="黑体" w:cs="黑体"/>
          <w:sz w:val="32"/>
          <w:szCs w:val="32"/>
        </w:rPr>
        <w:br w:type="textWrapping"/>
      </w:r>
    </w:p>
    <w:p w14:paraId="1DA110E8">
      <w:pPr>
        <w:rPr>
          <w:rFonts w:hint="eastAsia"/>
        </w:rPr>
      </w:pPr>
    </w:p>
    <w:p w14:paraId="71D8C581">
      <w:pPr>
        <w:pStyle w:val="2"/>
        <w:rPr>
          <w:rFonts w:hint="eastAsia"/>
        </w:rPr>
      </w:pPr>
    </w:p>
    <w:p w14:paraId="1B4676E9">
      <w:pPr>
        <w:rPr>
          <w:rFonts w:hint="eastAsia"/>
        </w:rPr>
      </w:pPr>
    </w:p>
    <w:p w14:paraId="5280524E">
      <w:pPr>
        <w:pStyle w:val="2"/>
        <w:rPr>
          <w:rFonts w:hint="eastAsia"/>
        </w:rPr>
      </w:pPr>
    </w:p>
    <w:p w14:paraId="5409CDC9">
      <w:pPr>
        <w:rPr>
          <w:rFonts w:hint="eastAsia"/>
        </w:rPr>
      </w:pPr>
    </w:p>
    <w:p w14:paraId="28F40760">
      <w:pPr>
        <w:pStyle w:val="2"/>
        <w:rPr>
          <w:rFonts w:hint="eastAsia"/>
        </w:rPr>
      </w:pPr>
    </w:p>
    <w:p w14:paraId="0600A786">
      <w:pPr>
        <w:rPr>
          <w:rFonts w:hint="eastAsia"/>
        </w:rPr>
      </w:pPr>
    </w:p>
    <w:p w14:paraId="16D17787">
      <w:pPr>
        <w:pStyle w:val="2"/>
        <w:rPr>
          <w:rFonts w:hint="eastAsia"/>
        </w:rPr>
      </w:pPr>
    </w:p>
    <w:p w14:paraId="4B0C6609">
      <w:pPr>
        <w:pStyle w:val="3"/>
        <w:spacing w:before="0" w:beforeLines="0" w:after="0" w:afterLines="0"/>
        <w:jc w:val="both"/>
        <w:rPr>
          <w:rFonts w:hint="eastAsia" w:ascii="黑体" w:hAnsi="黑体" w:eastAsia="黑体" w:cs="黑体"/>
          <w:sz w:val="32"/>
          <w:szCs w:val="32"/>
          <w:lang w:val="en-US" w:eastAsia="zh-CN"/>
        </w:rPr>
      </w:pPr>
      <w:r>
        <w:rPr>
          <w:rFonts w:hint="eastAsia" w:ascii="黑体" w:hAnsi="黑体" w:eastAsia="黑体" w:cs="黑体"/>
          <w:sz w:val="32"/>
          <w:szCs w:val="32"/>
        </w:rPr>
        <w:t>附件</w:t>
      </w:r>
      <w:bookmarkEnd w:id="195"/>
      <w:bookmarkEnd w:id="196"/>
      <w:bookmarkEnd w:id="197"/>
      <w:bookmarkEnd w:id="198"/>
      <w:r>
        <w:rPr>
          <w:rFonts w:hint="eastAsia" w:ascii="黑体" w:hAnsi="黑体" w:eastAsia="黑体" w:cs="黑体"/>
          <w:sz w:val="32"/>
          <w:szCs w:val="32"/>
          <w:lang w:val="en-US" w:eastAsia="zh-CN"/>
        </w:rPr>
        <w:t>1</w:t>
      </w:r>
      <w:bookmarkEnd w:id="199"/>
      <w:r>
        <w:rPr>
          <w:rFonts w:hint="eastAsia" w:ascii="黑体" w:hAnsi="黑体" w:eastAsia="黑体" w:cs="黑体"/>
          <w:sz w:val="32"/>
          <w:szCs w:val="32"/>
          <w:lang w:val="en-US" w:eastAsia="zh-CN"/>
        </w:rPr>
        <w:br w:type="textWrapping"/>
      </w:r>
    </w:p>
    <w:p w14:paraId="1760A926">
      <w:pPr>
        <w:pStyle w:val="3"/>
        <w:spacing w:before="0" w:beforeLines="0" w:after="0" w:afterLines="0"/>
        <w:ind w:firstLine="220" w:firstLineChars="50"/>
        <w:jc w:val="center"/>
        <w:rPr>
          <w:rFonts w:hint="eastAsia" w:ascii="方正小标宋简体" w:hAnsi="方正小标宋简体" w:eastAsia="方正小标宋简体" w:cs="方正小标宋简体"/>
          <w:sz w:val="44"/>
          <w:szCs w:val="44"/>
        </w:rPr>
      </w:pPr>
      <w:bookmarkStart w:id="200" w:name="_Toc247700928"/>
      <w:bookmarkStart w:id="201" w:name="_Toc1842182585"/>
      <w:bookmarkStart w:id="202" w:name="_Toc1395833278"/>
      <w:bookmarkStart w:id="203" w:name="_Toc2114296028"/>
      <w:bookmarkStart w:id="204" w:name="_Toc332922599"/>
      <w:r>
        <w:rPr>
          <w:rFonts w:ascii="黑体" w:hAnsi="黑体" w:eastAsia="黑体" w:cs="黑体"/>
        </w:rPr>
        <w:drawing>
          <wp:anchor distT="0" distB="0" distL="114300" distR="114300" simplePos="0" relativeHeight="251660288" behindDoc="0" locked="0" layoutInCell="1" allowOverlap="1">
            <wp:simplePos x="0" y="0"/>
            <wp:positionH relativeFrom="column">
              <wp:posOffset>-55245</wp:posOffset>
            </wp:positionH>
            <wp:positionV relativeFrom="paragraph">
              <wp:posOffset>962660</wp:posOffset>
            </wp:positionV>
            <wp:extent cx="5266690" cy="3737610"/>
            <wp:effectExtent l="0" t="0" r="10160" b="15240"/>
            <wp:wrapSquare wrapText="bothSides"/>
            <wp:docPr id="377127603"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127603" name="图片 3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5266690" cy="3737610"/>
                    </a:xfrm>
                    <a:prstGeom prst="rect">
                      <a:avLst/>
                    </a:prstGeom>
                    <a:noFill/>
                    <a:ln>
                      <a:noFill/>
                    </a:ln>
                  </pic:spPr>
                </pic:pic>
              </a:graphicData>
            </a:graphic>
          </wp:anchor>
        </w:drawing>
      </w:r>
      <w:r>
        <w:rPr>
          <w:rFonts w:hint="eastAsia" w:ascii="方正小标宋简体" w:hAnsi="方正小标宋简体" w:eastAsia="方正小标宋简体" w:cs="方正小标宋简体"/>
          <w:sz w:val="44"/>
          <w:szCs w:val="44"/>
        </w:rPr>
        <w:t>盐田区地质灾害应急指挥架构图</w:t>
      </w:r>
      <w:bookmarkEnd w:id="200"/>
      <w:bookmarkEnd w:id="201"/>
      <w:bookmarkEnd w:id="202"/>
      <w:bookmarkEnd w:id="203"/>
      <w:bookmarkEnd w:id="204"/>
    </w:p>
    <w:p w14:paraId="32827A6E">
      <w:pPr>
        <w:pStyle w:val="4"/>
        <w:pageBreakBefore/>
        <w:spacing w:line="240" w:lineRule="auto"/>
        <w:ind w:firstLine="0" w:firstLineChars="0"/>
        <w:jc w:val="left"/>
        <w:rPr>
          <w:rFonts w:hint="eastAsia" w:ascii="黑体" w:hAnsi="黑体" w:eastAsia="黑体" w:cs="黑体"/>
          <w:szCs w:val="32"/>
        </w:rPr>
        <w:sectPr>
          <w:footerReference r:id="rId4" w:type="default"/>
          <w:pgSz w:w="11906" w:h="16838"/>
          <w:pgMar w:top="1440" w:right="1803" w:bottom="1440" w:left="1803" w:header="851" w:footer="992" w:gutter="0"/>
          <w:pgNumType w:fmt="decimal"/>
          <w:cols w:space="0" w:num="1"/>
          <w:docGrid w:type="linesAndChars" w:linePitch="436" w:charSpace="0"/>
        </w:sectPr>
      </w:pPr>
    </w:p>
    <w:p w14:paraId="143A7295">
      <w:pPr>
        <w:pStyle w:val="3"/>
        <w:spacing w:before="0" w:beforeLines="0" w:after="0" w:afterLines="0"/>
        <w:jc w:val="both"/>
        <w:rPr>
          <w:rFonts w:hint="eastAsia" w:ascii="黑体" w:hAnsi="黑体" w:eastAsia="黑体" w:cs="黑体"/>
          <w:sz w:val="32"/>
          <w:szCs w:val="32"/>
        </w:rPr>
      </w:pPr>
      <w:bookmarkStart w:id="205" w:name="_Toc2020265552"/>
      <w:bookmarkStart w:id="206" w:name="_Toc989483319"/>
      <w:bookmarkStart w:id="207" w:name="_Toc187312670"/>
      <w:bookmarkStart w:id="208" w:name="_Toc243830464"/>
      <w:bookmarkStart w:id="209" w:name="_Toc1006358265"/>
      <w:r>
        <w:rPr>
          <w:rFonts w:hint="eastAsia" w:ascii="黑体" w:hAnsi="黑体" w:eastAsia="黑体" w:cs="黑体"/>
          <w:sz w:val="32"/>
          <w:szCs w:val="32"/>
        </w:rPr>
        <w:t>附件</w:t>
      </w:r>
      <w:bookmarkEnd w:id="205"/>
      <w:bookmarkEnd w:id="206"/>
      <w:bookmarkEnd w:id="207"/>
      <w:bookmarkEnd w:id="208"/>
      <w:bookmarkStart w:id="210" w:name="_Toc46152003"/>
      <w:bookmarkStart w:id="211" w:name="_Toc11274"/>
      <w:bookmarkStart w:id="212" w:name="_Toc10928"/>
      <w:r>
        <w:rPr>
          <w:rFonts w:hint="eastAsia" w:ascii="黑体" w:hAnsi="黑体" w:eastAsia="黑体" w:cs="黑体"/>
          <w:sz w:val="32"/>
          <w:szCs w:val="32"/>
          <w:lang w:val="en-US" w:eastAsia="zh-CN"/>
        </w:rPr>
        <w:t>2</w:t>
      </w:r>
      <w:bookmarkEnd w:id="209"/>
      <w:r>
        <w:rPr>
          <w:rFonts w:hint="eastAsia" w:ascii="黑体" w:hAnsi="黑体" w:eastAsia="黑体" w:cs="黑体"/>
          <w:sz w:val="32"/>
          <w:szCs w:val="32"/>
        </w:rPr>
        <w:t xml:space="preserve">   </w:t>
      </w:r>
      <w:bookmarkEnd w:id="210"/>
      <w:bookmarkEnd w:id="211"/>
      <w:bookmarkEnd w:id="212"/>
      <w:r>
        <w:rPr>
          <w:rFonts w:hint="eastAsia" w:ascii="黑体" w:hAnsi="黑体" w:eastAsia="黑体" w:cs="黑体"/>
          <w:sz w:val="32"/>
          <w:szCs w:val="32"/>
        </w:rPr>
        <w:br w:type="textWrapping"/>
      </w:r>
    </w:p>
    <w:p w14:paraId="63F518C5">
      <w:pPr>
        <w:pStyle w:val="3"/>
        <w:spacing w:before="0" w:beforeLines="0" w:after="0" w:afterLines="0"/>
        <w:ind w:firstLine="220" w:firstLineChars="50"/>
        <w:jc w:val="both"/>
        <w:rPr>
          <w:rFonts w:hint="eastAsia" w:ascii="方正小标宋简体" w:hAnsi="方正小标宋简体" w:eastAsia="方正小标宋简体" w:cs="方正小标宋简体"/>
          <w:sz w:val="44"/>
          <w:szCs w:val="44"/>
        </w:rPr>
      </w:pPr>
      <w:bookmarkStart w:id="213" w:name="_Toc1022522852"/>
      <w:bookmarkStart w:id="214" w:name="_Toc329880386"/>
      <w:bookmarkStart w:id="215" w:name="_Toc329730153"/>
      <w:r>
        <w:rPr>
          <w:rFonts w:hint="eastAsia" w:ascii="方正小标宋简体" w:hAnsi="方正小标宋简体" w:eastAsia="方正小标宋简体" w:cs="方正小标宋简体"/>
          <w:sz w:val="44"/>
          <w:szCs w:val="44"/>
        </w:rPr>
        <w:t>盐田区地质灾害应急指挥部工作组及职责</w:t>
      </w:r>
      <w:bookmarkEnd w:id="213"/>
      <w:bookmarkEnd w:id="214"/>
      <w:bookmarkEnd w:id="215"/>
    </w:p>
    <w:p w14:paraId="7AABF953">
      <w:pPr>
        <w:pStyle w:val="2"/>
        <w:keepNext w:val="0"/>
        <w:keepLines w:val="0"/>
        <w:pageBreakBefore w:val="0"/>
        <w:kinsoku/>
        <w:wordWrap/>
        <w:overflowPunct/>
        <w:topLinePunct w:val="0"/>
        <w:autoSpaceDE/>
        <w:autoSpaceDN/>
        <w:bidi w:val="0"/>
        <w:spacing w:line="540" w:lineRule="exact"/>
        <w:ind w:firstLine="640"/>
        <w:textAlignment w:val="auto"/>
      </w:pPr>
    </w:p>
    <w:p w14:paraId="2EB88D24">
      <w:pPr>
        <w:pStyle w:val="11"/>
        <w:keepNext w:val="0"/>
        <w:keepLines w:val="0"/>
        <w:pageBreakBefore w:val="0"/>
        <w:widowControl/>
        <w:kinsoku/>
        <w:wordWrap/>
        <w:overflowPunct/>
        <w:topLinePunct w:val="0"/>
        <w:autoSpaceDE/>
        <w:autoSpaceDN/>
        <w:bidi w:val="0"/>
        <w:spacing w:before="0" w:beforeAutospacing="0" w:after="0" w:afterAutospacing="0" w:line="540" w:lineRule="exact"/>
        <w:ind w:firstLine="640"/>
        <w:textAlignment w:val="auto"/>
        <w:rPr>
          <w:rFonts w:hint="eastAsia" w:cs="仿宋_GB2312"/>
          <w:sz w:val="32"/>
          <w:szCs w:val="32"/>
        </w:rPr>
      </w:pPr>
      <w:r>
        <w:rPr>
          <w:rFonts w:hint="eastAsia" w:cs="仿宋_GB2312"/>
          <w:sz w:val="32"/>
          <w:szCs w:val="32"/>
        </w:rPr>
        <w:t>区指挥部根据需要设立综合信息组、抢险救援组、群众安置与物资保障组、监测和防控组、卫生防疫组、社会治安组、基础设施保障组、交通运输组、灾情损失评估组、舆情应对与宣传组、恢复重建组，设立区专家组，各工作组在区指挥部统一指挥下开展工作。必要时，区指挥部可在险情灾情现场设立现场指挥部，现场指挥部的组织架构可参照上述分组进行组建。</w:t>
      </w:r>
    </w:p>
    <w:p w14:paraId="0AED782A">
      <w:pPr>
        <w:pStyle w:val="11"/>
        <w:keepNext w:val="0"/>
        <w:keepLines w:val="0"/>
        <w:pageBreakBefore w:val="0"/>
        <w:widowControl/>
        <w:kinsoku/>
        <w:wordWrap/>
        <w:overflowPunct/>
        <w:topLinePunct w:val="0"/>
        <w:autoSpaceDE/>
        <w:autoSpaceDN/>
        <w:bidi w:val="0"/>
        <w:spacing w:before="0" w:beforeAutospacing="0" w:after="0" w:afterAutospacing="0" w:line="540" w:lineRule="exact"/>
        <w:ind w:firstLine="64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1.综合信息组</w:t>
      </w:r>
    </w:p>
    <w:p w14:paraId="4BC7BE7B">
      <w:pPr>
        <w:pStyle w:val="11"/>
        <w:keepNext w:val="0"/>
        <w:keepLines w:val="0"/>
        <w:pageBreakBefore w:val="0"/>
        <w:widowControl/>
        <w:kinsoku/>
        <w:wordWrap/>
        <w:overflowPunct/>
        <w:topLinePunct w:val="0"/>
        <w:autoSpaceDE/>
        <w:autoSpaceDN/>
        <w:bidi w:val="0"/>
        <w:spacing w:before="0" w:beforeAutospacing="0" w:after="0" w:afterAutospacing="0" w:line="540" w:lineRule="exact"/>
        <w:ind w:firstLine="640"/>
        <w:textAlignment w:val="auto"/>
        <w:rPr>
          <w:rFonts w:hint="eastAsia" w:cs="仿宋_GB2312"/>
          <w:sz w:val="32"/>
          <w:szCs w:val="32"/>
        </w:rPr>
      </w:pPr>
      <w:r>
        <w:rPr>
          <w:rFonts w:hint="eastAsia" w:cs="仿宋_GB2312"/>
          <w:sz w:val="32"/>
          <w:szCs w:val="32"/>
        </w:rPr>
        <w:t>由区应急管理局牵头，</w:t>
      </w:r>
      <w:bookmarkStart w:id="216" w:name="OLE_LINK7"/>
      <w:r>
        <w:rPr>
          <w:rFonts w:hint="eastAsia" w:cs="仿宋_GB2312"/>
          <w:sz w:val="32"/>
          <w:szCs w:val="32"/>
        </w:rPr>
        <w:t>市规划和自然资源局盐田管理局</w:t>
      </w:r>
      <w:bookmarkEnd w:id="216"/>
      <w:r>
        <w:rPr>
          <w:rFonts w:hint="eastAsia" w:cs="仿宋_GB2312"/>
          <w:sz w:val="32"/>
          <w:szCs w:val="32"/>
        </w:rPr>
        <w:t>、区住房和建设局</w:t>
      </w:r>
      <w:bookmarkStart w:id="217" w:name="OLE_LINK4"/>
      <w:r>
        <w:rPr>
          <w:rFonts w:hint="eastAsia" w:cs="仿宋_GB2312"/>
          <w:sz w:val="32"/>
          <w:szCs w:val="32"/>
        </w:rPr>
        <w:t>、</w:t>
      </w:r>
      <w:bookmarkEnd w:id="217"/>
      <w:bookmarkStart w:id="218" w:name="OLE_LINK5"/>
      <w:r>
        <w:rPr>
          <w:rFonts w:hint="eastAsia" w:cs="仿宋_GB2312"/>
          <w:sz w:val="32"/>
          <w:szCs w:val="32"/>
        </w:rPr>
        <w:t>区消防救援大队</w:t>
      </w:r>
      <w:bookmarkEnd w:id="218"/>
      <w:r>
        <w:rPr>
          <w:rFonts w:hint="eastAsia" w:cs="仿宋_GB2312"/>
          <w:sz w:val="32"/>
          <w:szCs w:val="32"/>
        </w:rPr>
        <w:t>、事发街道办等单位参加。在区指挥部的统一部署指挥下，充分运用大数据等信息化手段分析灾害的影响程度并提供区指挥部作为决策参考；汇总、上报险情、灾情和应急处置情况。承担区指挥部交办的其他工作。</w:t>
      </w:r>
    </w:p>
    <w:p w14:paraId="5D66B4AB">
      <w:pPr>
        <w:pStyle w:val="11"/>
        <w:keepNext w:val="0"/>
        <w:keepLines w:val="0"/>
        <w:pageBreakBefore w:val="0"/>
        <w:widowControl/>
        <w:kinsoku/>
        <w:wordWrap/>
        <w:overflowPunct/>
        <w:topLinePunct w:val="0"/>
        <w:autoSpaceDE/>
        <w:autoSpaceDN/>
        <w:bidi w:val="0"/>
        <w:spacing w:before="0" w:beforeAutospacing="0" w:after="0" w:afterAutospacing="0" w:line="540" w:lineRule="exact"/>
        <w:ind w:firstLine="64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2.抢险救援组</w:t>
      </w:r>
    </w:p>
    <w:p w14:paraId="28F7608B">
      <w:pPr>
        <w:pStyle w:val="11"/>
        <w:keepNext w:val="0"/>
        <w:keepLines w:val="0"/>
        <w:pageBreakBefore w:val="0"/>
        <w:widowControl/>
        <w:kinsoku/>
        <w:wordWrap/>
        <w:overflowPunct/>
        <w:topLinePunct w:val="0"/>
        <w:autoSpaceDE/>
        <w:autoSpaceDN/>
        <w:bidi w:val="0"/>
        <w:spacing w:before="0" w:beforeAutospacing="0" w:after="0" w:afterAutospacing="0" w:line="540" w:lineRule="exact"/>
        <w:ind w:firstLine="640"/>
        <w:textAlignment w:val="auto"/>
        <w:rPr>
          <w:rFonts w:hint="eastAsia" w:cs="仿宋_GB2312"/>
          <w:sz w:val="32"/>
          <w:szCs w:val="32"/>
        </w:rPr>
      </w:pPr>
      <w:r>
        <w:rPr>
          <w:rFonts w:hint="eastAsia" w:cs="仿宋_GB2312"/>
          <w:sz w:val="32"/>
          <w:szCs w:val="32"/>
        </w:rPr>
        <w:t>由</w:t>
      </w:r>
      <w:bookmarkStart w:id="219" w:name="OLE_LINK14"/>
      <w:r>
        <w:rPr>
          <w:rFonts w:hint="eastAsia" w:cs="仿宋_GB2312"/>
          <w:sz w:val="32"/>
          <w:szCs w:val="32"/>
        </w:rPr>
        <w:t>区应急管理局牵头</w:t>
      </w:r>
      <w:bookmarkEnd w:id="219"/>
      <w:r>
        <w:rPr>
          <w:rFonts w:hint="eastAsia" w:cs="仿宋_GB2312"/>
          <w:sz w:val="32"/>
          <w:szCs w:val="32"/>
        </w:rPr>
        <w:t>，区人武部、</w:t>
      </w:r>
      <w:bookmarkStart w:id="220" w:name="OLE_LINK15"/>
      <w:r>
        <w:rPr>
          <w:rFonts w:hint="eastAsia" w:cs="仿宋_GB2312"/>
          <w:sz w:val="32"/>
          <w:szCs w:val="32"/>
        </w:rPr>
        <w:t>区消防救援大队、区工业和信息化局</w:t>
      </w:r>
      <w:bookmarkEnd w:id="220"/>
      <w:r>
        <w:rPr>
          <w:rFonts w:hint="eastAsia" w:cs="仿宋_GB2312"/>
          <w:sz w:val="32"/>
          <w:szCs w:val="32"/>
        </w:rPr>
        <w:t>等单位参加。在区指挥部的统一部署指挥下，组织指导开展搜索营救被困群众和受伤人员，发动基层干部群众开展自救互救，清理灾区现场，组织救援人员和物资运送工作，全力保障应急救援现场与区指挥部的通信畅通。</w:t>
      </w:r>
    </w:p>
    <w:p w14:paraId="6FED5722">
      <w:pPr>
        <w:pStyle w:val="11"/>
        <w:keepNext w:val="0"/>
        <w:keepLines w:val="0"/>
        <w:pageBreakBefore w:val="0"/>
        <w:widowControl/>
        <w:kinsoku/>
        <w:wordWrap/>
        <w:overflowPunct/>
        <w:topLinePunct w:val="0"/>
        <w:autoSpaceDE/>
        <w:autoSpaceDN/>
        <w:bidi w:val="0"/>
        <w:spacing w:before="0" w:beforeAutospacing="0" w:after="0" w:afterAutospacing="0" w:line="540" w:lineRule="exact"/>
        <w:ind w:firstLine="64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3.</w:t>
      </w:r>
      <w:bookmarkStart w:id="221" w:name="OLE_LINK16"/>
      <w:r>
        <w:rPr>
          <w:rFonts w:hint="eastAsia" w:ascii="楷体_GB2312" w:hAnsi="楷体_GB2312" w:eastAsia="楷体_GB2312" w:cs="楷体_GB2312"/>
          <w:sz w:val="32"/>
          <w:szCs w:val="32"/>
        </w:rPr>
        <w:t>群众安置与物资保障组</w:t>
      </w:r>
      <w:bookmarkEnd w:id="221"/>
    </w:p>
    <w:p w14:paraId="4F391FAD">
      <w:pPr>
        <w:pStyle w:val="11"/>
        <w:keepNext w:val="0"/>
        <w:keepLines w:val="0"/>
        <w:pageBreakBefore w:val="0"/>
        <w:widowControl/>
        <w:kinsoku/>
        <w:wordWrap/>
        <w:overflowPunct/>
        <w:topLinePunct w:val="0"/>
        <w:autoSpaceDE/>
        <w:autoSpaceDN/>
        <w:bidi w:val="0"/>
        <w:spacing w:before="0" w:beforeAutospacing="0" w:after="0" w:afterAutospacing="0" w:line="540" w:lineRule="exact"/>
        <w:ind w:firstLine="640"/>
        <w:textAlignment w:val="auto"/>
        <w:rPr>
          <w:rFonts w:hint="eastAsia" w:cs="仿宋_GB2312"/>
          <w:sz w:val="32"/>
          <w:szCs w:val="32"/>
        </w:rPr>
      </w:pPr>
      <w:bookmarkStart w:id="222" w:name="OLE_LINK17"/>
      <w:r>
        <w:rPr>
          <w:rFonts w:hint="eastAsia" w:cs="仿宋_GB2312"/>
          <w:sz w:val="32"/>
          <w:szCs w:val="32"/>
        </w:rPr>
        <w:t>由区应急管理局牵头，区教育局、区财政局、区商务局、区人力资源局、区民政局、盐田公安分局、区文化广电旅游体育局</w:t>
      </w:r>
      <w:bookmarkStart w:id="223" w:name="OLE_LINK28"/>
      <w:r>
        <w:rPr>
          <w:rFonts w:hint="eastAsia" w:cs="仿宋_GB2312"/>
          <w:sz w:val="32"/>
          <w:szCs w:val="32"/>
        </w:rPr>
        <w:t>、事发街道办</w:t>
      </w:r>
      <w:bookmarkEnd w:id="223"/>
      <w:r>
        <w:rPr>
          <w:rFonts w:hint="eastAsia" w:cs="仿宋_GB2312"/>
          <w:sz w:val="32"/>
          <w:szCs w:val="32"/>
        </w:rPr>
        <w:t>等单位参加。</w:t>
      </w:r>
      <w:bookmarkEnd w:id="222"/>
      <w:r>
        <w:rPr>
          <w:rFonts w:hint="eastAsia" w:cs="仿宋_GB2312"/>
          <w:sz w:val="32"/>
          <w:szCs w:val="32"/>
        </w:rPr>
        <w:t>在区指挥部的统一部署指挥下，</w:t>
      </w:r>
      <w:bookmarkStart w:id="224" w:name="OLE_LINK18"/>
      <w:r>
        <w:rPr>
          <w:rFonts w:hint="eastAsia" w:cs="仿宋_GB2312"/>
          <w:sz w:val="32"/>
          <w:szCs w:val="32"/>
        </w:rPr>
        <w:t>组织指导制订受灾群众救助工作方案以及相应的应急物资和资金保障方案，指导受灾街道做好因灾倒塌房屋群众的紧急安置，保障灾区群众基本生活，保障灾区市场供应。</w:t>
      </w:r>
      <w:bookmarkEnd w:id="224"/>
    </w:p>
    <w:p w14:paraId="75B2E0D0">
      <w:pPr>
        <w:pStyle w:val="11"/>
        <w:keepNext w:val="0"/>
        <w:keepLines w:val="0"/>
        <w:pageBreakBefore w:val="0"/>
        <w:widowControl/>
        <w:kinsoku/>
        <w:wordWrap/>
        <w:overflowPunct/>
        <w:topLinePunct w:val="0"/>
        <w:autoSpaceDE/>
        <w:autoSpaceDN/>
        <w:bidi w:val="0"/>
        <w:spacing w:before="0" w:beforeAutospacing="0" w:after="0" w:afterAutospacing="0" w:line="540" w:lineRule="exact"/>
        <w:ind w:firstLine="64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4.</w:t>
      </w:r>
      <w:bookmarkStart w:id="225" w:name="OLE_LINK19"/>
      <w:r>
        <w:rPr>
          <w:rFonts w:hint="eastAsia" w:ascii="楷体_GB2312" w:hAnsi="楷体_GB2312" w:eastAsia="楷体_GB2312" w:cs="楷体_GB2312"/>
          <w:sz w:val="32"/>
          <w:szCs w:val="32"/>
        </w:rPr>
        <w:t>监测和防控组</w:t>
      </w:r>
      <w:bookmarkEnd w:id="225"/>
    </w:p>
    <w:p w14:paraId="346A9D70">
      <w:pPr>
        <w:pStyle w:val="11"/>
        <w:keepNext w:val="0"/>
        <w:keepLines w:val="0"/>
        <w:pageBreakBefore w:val="0"/>
        <w:widowControl/>
        <w:kinsoku/>
        <w:wordWrap/>
        <w:overflowPunct/>
        <w:topLinePunct w:val="0"/>
        <w:autoSpaceDE/>
        <w:autoSpaceDN/>
        <w:bidi w:val="0"/>
        <w:spacing w:before="0" w:beforeAutospacing="0" w:after="0" w:afterAutospacing="0" w:line="540" w:lineRule="exact"/>
        <w:ind w:firstLine="640"/>
        <w:textAlignment w:val="auto"/>
        <w:rPr>
          <w:rFonts w:hint="eastAsia" w:cs="仿宋_GB2312"/>
          <w:sz w:val="32"/>
          <w:szCs w:val="32"/>
        </w:rPr>
      </w:pPr>
      <w:bookmarkStart w:id="226" w:name="OLE_LINK20"/>
      <w:r>
        <w:rPr>
          <w:rFonts w:hint="eastAsia" w:cs="仿宋_GB2312"/>
          <w:sz w:val="32"/>
          <w:szCs w:val="32"/>
        </w:rPr>
        <w:t>由</w:t>
      </w:r>
      <w:bookmarkStart w:id="227" w:name="OLE_LINK8"/>
      <w:r>
        <w:rPr>
          <w:rFonts w:hint="eastAsia" w:cs="仿宋_GB2312"/>
          <w:sz w:val="32"/>
          <w:szCs w:val="32"/>
        </w:rPr>
        <w:t>市规划和自然资源局盐田管理局</w:t>
      </w:r>
      <w:bookmarkEnd w:id="227"/>
      <w:r>
        <w:rPr>
          <w:rFonts w:hint="eastAsia" w:cs="仿宋_GB2312"/>
          <w:sz w:val="32"/>
          <w:szCs w:val="32"/>
        </w:rPr>
        <w:t>牵头，</w:t>
      </w:r>
      <w:bookmarkStart w:id="228" w:name="OLE_LINK9"/>
      <w:r>
        <w:rPr>
          <w:rFonts w:hint="eastAsia" w:cs="仿宋_GB2312"/>
          <w:sz w:val="32"/>
          <w:szCs w:val="32"/>
        </w:rPr>
        <w:t>市生态环境局盐田管理局</w:t>
      </w:r>
      <w:bookmarkEnd w:id="228"/>
      <w:r>
        <w:rPr>
          <w:rFonts w:hint="eastAsia" w:cs="仿宋_GB2312"/>
          <w:sz w:val="32"/>
          <w:szCs w:val="32"/>
        </w:rPr>
        <w:t>、区水务局等单位参加。</w:t>
      </w:r>
      <w:bookmarkEnd w:id="226"/>
      <w:r>
        <w:rPr>
          <w:rFonts w:hint="eastAsia" w:cs="仿宋_GB2312"/>
          <w:sz w:val="32"/>
          <w:szCs w:val="32"/>
        </w:rPr>
        <w:t>在区指挥部的统一部署指挥下，</w:t>
      </w:r>
      <w:bookmarkStart w:id="229" w:name="OLE_LINK21"/>
      <w:r>
        <w:rPr>
          <w:rFonts w:hint="eastAsia" w:cs="仿宋_GB2312"/>
          <w:sz w:val="32"/>
          <w:szCs w:val="32"/>
        </w:rPr>
        <w:t>指导开展地质灾害监测和次生灾害防范，调集必要的技术力量和设备，密切监测险情灾情发展，做好地质灾害预警预报工作，及时指导受灾街道组织疏散受灾害威胁群众；及时向区指挥部办公室报送灾害监测信息；加强江河水质监测和污染防控，保障重大、重点监测设施运行安全。</w:t>
      </w:r>
      <w:bookmarkEnd w:id="229"/>
    </w:p>
    <w:p w14:paraId="109B7FEE">
      <w:pPr>
        <w:pStyle w:val="11"/>
        <w:keepNext w:val="0"/>
        <w:keepLines w:val="0"/>
        <w:pageBreakBefore w:val="0"/>
        <w:widowControl/>
        <w:kinsoku/>
        <w:wordWrap/>
        <w:overflowPunct/>
        <w:topLinePunct w:val="0"/>
        <w:autoSpaceDE/>
        <w:autoSpaceDN/>
        <w:bidi w:val="0"/>
        <w:spacing w:before="0" w:beforeAutospacing="0" w:after="0" w:afterAutospacing="0" w:line="540" w:lineRule="exact"/>
        <w:ind w:firstLine="64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5.卫生防疫组</w:t>
      </w:r>
    </w:p>
    <w:p w14:paraId="7FA8BBAC">
      <w:pPr>
        <w:pStyle w:val="11"/>
        <w:keepNext w:val="0"/>
        <w:keepLines w:val="0"/>
        <w:pageBreakBefore w:val="0"/>
        <w:widowControl/>
        <w:kinsoku/>
        <w:wordWrap/>
        <w:overflowPunct/>
        <w:topLinePunct w:val="0"/>
        <w:autoSpaceDE/>
        <w:autoSpaceDN/>
        <w:bidi w:val="0"/>
        <w:spacing w:before="0" w:beforeAutospacing="0" w:after="0" w:afterAutospacing="0" w:line="540" w:lineRule="exact"/>
        <w:ind w:firstLine="640"/>
        <w:textAlignment w:val="auto"/>
        <w:rPr>
          <w:rFonts w:hint="eastAsia" w:cs="仿宋_GB2312"/>
          <w:sz w:val="32"/>
          <w:szCs w:val="32"/>
        </w:rPr>
      </w:pPr>
      <w:r>
        <w:rPr>
          <w:rFonts w:hint="eastAsia" w:cs="仿宋_GB2312"/>
          <w:sz w:val="32"/>
          <w:szCs w:val="32"/>
        </w:rPr>
        <w:t>由区卫生健康局负责，各街道办参与。在区指挥部的统一部署指挥下，</w:t>
      </w:r>
      <w:bookmarkStart w:id="230" w:name="OLE_LINK22"/>
      <w:r>
        <w:rPr>
          <w:rFonts w:hint="eastAsia" w:cs="仿宋_GB2312"/>
          <w:sz w:val="32"/>
          <w:szCs w:val="32"/>
        </w:rPr>
        <w:t>组织做好医疗救助和卫生防疫，组织医疗救护队伍，调集医疗器械、药品，对受伤人员进行救治；防范和控制各种传染病等疫病的暴发流行。</w:t>
      </w:r>
      <w:bookmarkEnd w:id="230"/>
    </w:p>
    <w:p w14:paraId="38179196">
      <w:pPr>
        <w:pStyle w:val="11"/>
        <w:keepNext w:val="0"/>
        <w:keepLines w:val="0"/>
        <w:pageBreakBefore w:val="0"/>
        <w:widowControl/>
        <w:kinsoku/>
        <w:wordWrap/>
        <w:overflowPunct/>
        <w:topLinePunct w:val="0"/>
        <w:autoSpaceDE/>
        <w:autoSpaceDN/>
        <w:bidi w:val="0"/>
        <w:spacing w:before="0" w:beforeAutospacing="0" w:after="0" w:afterAutospacing="0" w:line="540" w:lineRule="exact"/>
        <w:ind w:firstLine="64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6.社会治安组</w:t>
      </w:r>
    </w:p>
    <w:p w14:paraId="6B38DA83">
      <w:pPr>
        <w:pStyle w:val="11"/>
        <w:keepNext w:val="0"/>
        <w:keepLines w:val="0"/>
        <w:pageBreakBefore w:val="0"/>
        <w:widowControl/>
        <w:kinsoku/>
        <w:wordWrap/>
        <w:overflowPunct/>
        <w:topLinePunct w:val="0"/>
        <w:autoSpaceDE/>
        <w:autoSpaceDN/>
        <w:bidi w:val="0"/>
        <w:spacing w:before="0" w:beforeAutospacing="0" w:after="0" w:afterAutospacing="0" w:line="540" w:lineRule="exact"/>
        <w:ind w:firstLine="640"/>
        <w:textAlignment w:val="auto"/>
        <w:rPr>
          <w:rFonts w:hint="eastAsia" w:cs="仿宋_GB2312"/>
          <w:sz w:val="32"/>
          <w:szCs w:val="32"/>
        </w:rPr>
      </w:pPr>
      <w:r>
        <w:rPr>
          <w:rFonts w:hint="eastAsia" w:cs="仿宋_GB2312"/>
          <w:sz w:val="32"/>
          <w:szCs w:val="32"/>
        </w:rPr>
        <w:t>由盐田公安分局牵头，</w:t>
      </w:r>
      <w:r>
        <w:rPr>
          <w:rFonts w:hint="eastAsia" w:cs="仿宋_GB2312"/>
          <w:sz w:val="32"/>
          <w:szCs w:val="32"/>
          <w:lang w:eastAsia="zh-CN"/>
        </w:rPr>
        <w:t>盐田交警大队、</w:t>
      </w:r>
      <w:r>
        <w:rPr>
          <w:rFonts w:hint="eastAsia" w:cs="仿宋_GB2312"/>
          <w:sz w:val="32"/>
          <w:szCs w:val="32"/>
        </w:rPr>
        <w:t>区城市管理和综合执法局</w:t>
      </w:r>
      <w:bookmarkStart w:id="231" w:name="OLE_LINK23"/>
      <w:r>
        <w:rPr>
          <w:rFonts w:hint="eastAsia" w:cs="仿宋_GB2312"/>
          <w:sz w:val="32"/>
          <w:szCs w:val="32"/>
        </w:rPr>
        <w:t>、区人武部</w:t>
      </w:r>
      <w:bookmarkEnd w:id="231"/>
      <w:r>
        <w:rPr>
          <w:rFonts w:hint="eastAsia" w:cs="仿宋_GB2312"/>
          <w:sz w:val="32"/>
          <w:szCs w:val="32"/>
        </w:rPr>
        <w:t>等单位参加。在区指挥部的统一部署指挥下，</w:t>
      </w:r>
      <w:bookmarkStart w:id="232" w:name="OLE_LINK24"/>
      <w:r>
        <w:rPr>
          <w:rFonts w:hint="eastAsia" w:cs="仿宋_GB2312"/>
          <w:sz w:val="32"/>
          <w:szCs w:val="32"/>
        </w:rPr>
        <w:t>负责组织指导灾区加强治安管理和安全保卫工作，预防和打击各种违法犯罪活动，维护社会治安，维护道路交通秩序，加强对党政机关、要害部门、金融单位、物资储备仓库等重要场所的警戒，切实维护社会稳定。</w:t>
      </w:r>
      <w:bookmarkEnd w:id="232"/>
    </w:p>
    <w:p w14:paraId="74D8DF6F">
      <w:pPr>
        <w:pStyle w:val="11"/>
        <w:keepNext w:val="0"/>
        <w:keepLines w:val="0"/>
        <w:pageBreakBefore w:val="0"/>
        <w:widowControl/>
        <w:kinsoku/>
        <w:wordWrap/>
        <w:overflowPunct/>
        <w:topLinePunct w:val="0"/>
        <w:autoSpaceDE/>
        <w:autoSpaceDN/>
        <w:bidi w:val="0"/>
        <w:spacing w:before="0" w:beforeAutospacing="0" w:after="0" w:afterAutospacing="0" w:line="540" w:lineRule="exact"/>
        <w:ind w:firstLine="64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7.</w:t>
      </w:r>
      <w:bookmarkStart w:id="233" w:name="OLE_LINK25"/>
      <w:r>
        <w:rPr>
          <w:rFonts w:hint="eastAsia" w:ascii="楷体_GB2312" w:hAnsi="楷体_GB2312" w:eastAsia="楷体_GB2312" w:cs="楷体_GB2312"/>
          <w:sz w:val="32"/>
          <w:szCs w:val="32"/>
        </w:rPr>
        <w:t>基础设施保障组</w:t>
      </w:r>
      <w:bookmarkEnd w:id="233"/>
    </w:p>
    <w:p w14:paraId="700C65AC">
      <w:pPr>
        <w:keepNext w:val="0"/>
        <w:keepLines w:val="0"/>
        <w:pageBreakBefore w:val="0"/>
        <w:kinsoku/>
        <w:wordWrap/>
        <w:overflowPunct/>
        <w:topLinePunct w:val="0"/>
        <w:autoSpaceDE/>
        <w:autoSpaceDN/>
        <w:bidi w:val="0"/>
        <w:spacing w:line="540" w:lineRule="exact"/>
        <w:ind w:firstLine="640" w:firstLineChars="200"/>
        <w:textAlignment w:val="auto"/>
        <w:rPr>
          <w:rFonts w:hint="eastAsia" w:ascii="仿宋_GB2312" w:hAnsi="仿宋_GB2312" w:cs="仿宋_GB2312"/>
          <w:szCs w:val="32"/>
          <w:highlight w:val="yellow"/>
        </w:rPr>
      </w:pPr>
      <w:bookmarkStart w:id="234" w:name="OLE_LINK26"/>
      <w:r>
        <w:rPr>
          <w:rFonts w:hint="eastAsia" w:ascii="仿宋_GB2312" w:hAnsi="仿宋_GB2312" w:cs="仿宋_GB2312"/>
          <w:szCs w:val="32"/>
        </w:rPr>
        <w:t>由区发展改革局牵头，区住房和建设局、区工业和信息化局、区应急管理局、市交通运输局盐田管理局、区水务局、盐田供电局、中国移动盐田分公司、中国联通盐田分公司、中国电信盐田分公司、市水务集团盐田分公司、市燃气集团盐田分公司、深圳蓄能发电有限公司等单位参加。</w:t>
      </w:r>
      <w:bookmarkEnd w:id="234"/>
      <w:r>
        <w:rPr>
          <w:rFonts w:hint="eastAsia" w:ascii="仿宋_GB2312" w:hAnsi="仿宋_GB2312" w:cs="仿宋_GB2312"/>
          <w:szCs w:val="32"/>
        </w:rPr>
        <w:t>在区指挥部的统一部署指挥下，</w:t>
      </w:r>
      <w:bookmarkStart w:id="235" w:name="OLE_LINK27"/>
      <w:r>
        <w:rPr>
          <w:rFonts w:hint="eastAsia" w:ascii="仿宋_GB2312" w:hAnsi="仿宋_GB2312" w:cs="仿宋_GB2312"/>
          <w:szCs w:val="32"/>
        </w:rPr>
        <w:t>负责组织公路、桥梁、隧道等交通设施以及供电、供水、供气、通信等基础设施的抢修和维护；组织调集抢险救援装备，保障灾区抢险救灾应急物资供应。</w:t>
      </w:r>
      <w:bookmarkEnd w:id="235"/>
    </w:p>
    <w:p w14:paraId="124DB586">
      <w:pPr>
        <w:pStyle w:val="11"/>
        <w:keepNext w:val="0"/>
        <w:keepLines w:val="0"/>
        <w:pageBreakBefore w:val="0"/>
        <w:widowControl/>
        <w:kinsoku/>
        <w:wordWrap/>
        <w:overflowPunct/>
        <w:topLinePunct w:val="0"/>
        <w:autoSpaceDE/>
        <w:autoSpaceDN/>
        <w:bidi w:val="0"/>
        <w:spacing w:before="0" w:beforeAutospacing="0" w:after="0" w:afterAutospacing="0" w:line="540" w:lineRule="exact"/>
        <w:ind w:firstLine="64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8.交通运输组</w:t>
      </w:r>
    </w:p>
    <w:p w14:paraId="055AB568">
      <w:pPr>
        <w:keepNext w:val="0"/>
        <w:keepLines w:val="0"/>
        <w:pageBreakBefore w:val="0"/>
        <w:kinsoku/>
        <w:wordWrap/>
        <w:overflowPunct/>
        <w:topLinePunct w:val="0"/>
        <w:autoSpaceDE/>
        <w:autoSpaceDN/>
        <w:bidi w:val="0"/>
        <w:spacing w:line="540" w:lineRule="exact"/>
        <w:ind w:firstLine="640" w:firstLineChars="200"/>
        <w:textAlignment w:val="auto"/>
        <w:rPr>
          <w:rFonts w:hint="eastAsia" w:ascii="仿宋_GB2312" w:hAnsi="仿宋_GB2312" w:cs="仿宋_GB2312"/>
          <w:szCs w:val="32"/>
        </w:rPr>
      </w:pPr>
      <w:bookmarkStart w:id="236" w:name="OLE_LINK29"/>
      <w:r>
        <w:rPr>
          <w:rFonts w:hint="eastAsia" w:ascii="仿宋_GB2312" w:hAnsi="仿宋_GB2312" w:cs="仿宋_GB2312"/>
          <w:szCs w:val="32"/>
        </w:rPr>
        <w:t>由市交通运输局盐田管理局牵头，</w:t>
      </w:r>
      <w:r>
        <w:rPr>
          <w:rFonts w:hint="eastAsia" w:cs="仿宋_GB2312"/>
          <w:szCs w:val="32"/>
        </w:rPr>
        <w:t>盐田交警大队</w:t>
      </w:r>
      <w:r>
        <w:rPr>
          <w:rFonts w:hint="eastAsia" w:ascii="仿宋_GB2312" w:hAnsi="仿宋_GB2312" w:cs="仿宋_GB2312"/>
          <w:szCs w:val="32"/>
        </w:rPr>
        <w:t>参加。</w:t>
      </w:r>
      <w:bookmarkEnd w:id="236"/>
      <w:r>
        <w:rPr>
          <w:rFonts w:hint="eastAsia" w:ascii="仿宋_GB2312" w:hAnsi="仿宋_GB2312" w:cs="仿宋_GB2312"/>
          <w:szCs w:val="32"/>
        </w:rPr>
        <w:t>在区指挥部的统一部署指挥下，</w:t>
      </w:r>
      <w:bookmarkStart w:id="237" w:name="OLE_LINK30"/>
      <w:r>
        <w:rPr>
          <w:rFonts w:hint="eastAsia" w:ascii="仿宋_GB2312" w:hAnsi="仿宋_GB2312" w:cs="仿宋_GB2312"/>
          <w:szCs w:val="32"/>
        </w:rPr>
        <w:t>协调运力，组织疏导交通，优先保障应急抢险救援人员和救灾物资的运输需要。</w:t>
      </w:r>
      <w:bookmarkEnd w:id="237"/>
    </w:p>
    <w:p w14:paraId="2F0637A0">
      <w:pPr>
        <w:pStyle w:val="11"/>
        <w:keepNext w:val="0"/>
        <w:keepLines w:val="0"/>
        <w:pageBreakBefore w:val="0"/>
        <w:widowControl/>
        <w:kinsoku/>
        <w:wordWrap/>
        <w:overflowPunct/>
        <w:topLinePunct w:val="0"/>
        <w:autoSpaceDE/>
        <w:autoSpaceDN/>
        <w:bidi w:val="0"/>
        <w:spacing w:before="0" w:beforeAutospacing="0" w:after="0" w:afterAutospacing="0" w:line="540" w:lineRule="exact"/>
        <w:ind w:firstLine="64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9.灾情损失评估组</w:t>
      </w:r>
    </w:p>
    <w:p w14:paraId="41F468DF">
      <w:pPr>
        <w:keepNext w:val="0"/>
        <w:keepLines w:val="0"/>
        <w:pageBreakBefore w:val="0"/>
        <w:kinsoku/>
        <w:wordWrap/>
        <w:overflowPunct/>
        <w:topLinePunct w:val="0"/>
        <w:autoSpaceDE/>
        <w:autoSpaceDN/>
        <w:bidi w:val="0"/>
        <w:spacing w:line="540" w:lineRule="exact"/>
        <w:ind w:firstLine="640" w:firstLineChars="200"/>
        <w:textAlignment w:val="auto"/>
        <w:rPr>
          <w:rFonts w:hint="eastAsia" w:ascii="仿宋_GB2312" w:hAnsi="仿宋_GB2312" w:cs="仿宋_GB2312"/>
          <w:szCs w:val="32"/>
        </w:rPr>
      </w:pPr>
      <w:bookmarkStart w:id="238" w:name="OLE_LINK31"/>
      <w:r>
        <w:rPr>
          <w:rFonts w:hint="eastAsia" w:ascii="仿宋_GB2312" w:hAnsi="仿宋_GB2312" w:cs="仿宋_GB2312"/>
          <w:szCs w:val="32"/>
        </w:rPr>
        <w:t>由区应急管理局牵头，市规划和自然资源局盐田管理局、区住房和建设局、</w:t>
      </w:r>
      <w:r>
        <w:rPr>
          <w:rFonts w:hint="eastAsia" w:cs="仿宋_GB2312"/>
          <w:szCs w:val="32"/>
        </w:rPr>
        <w:t>市生态环境局盐田管理局、区水务局、</w:t>
      </w:r>
      <w:r>
        <w:rPr>
          <w:rFonts w:hint="eastAsia" w:ascii="仿宋_GB2312" w:hAnsi="仿宋_GB2312" w:cs="仿宋_GB2312"/>
          <w:szCs w:val="32"/>
        </w:rPr>
        <w:t>区工业和信息化局、事发街道办等单位参加。</w:t>
      </w:r>
      <w:bookmarkEnd w:id="238"/>
      <w:r>
        <w:rPr>
          <w:rFonts w:hint="eastAsia" w:ascii="仿宋_GB2312" w:hAnsi="仿宋_GB2312" w:cs="仿宋_GB2312"/>
          <w:szCs w:val="32"/>
        </w:rPr>
        <w:t>在区指挥部的统一部署指挥下，</w:t>
      </w:r>
      <w:bookmarkStart w:id="239" w:name="OLE_LINK32"/>
      <w:r>
        <w:rPr>
          <w:rFonts w:hint="eastAsia" w:ascii="仿宋_GB2312" w:hAnsi="仿宋_GB2312" w:cs="仿宋_GB2312"/>
          <w:szCs w:val="32"/>
        </w:rPr>
        <w:t>负责组织开展地质灾害损失评估，调查灾区范围、受灾人口、人员伤亡情况、基础设施破坏程度、地质灾害的社会影响程度等。</w:t>
      </w:r>
      <w:bookmarkEnd w:id="239"/>
    </w:p>
    <w:p w14:paraId="7278A883">
      <w:pPr>
        <w:pStyle w:val="11"/>
        <w:keepNext w:val="0"/>
        <w:keepLines w:val="0"/>
        <w:pageBreakBefore w:val="0"/>
        <w:widowControl/>
        <w:kinsoku/>
        <w:wordWrap/>
        <w:overflowPunct/>
        <w:topLinePunct w:val="0"/>
        <w:autoSpaceDE/>
        <w:autoSpaceDN/>
        <w:bidi w:val="0"/>
        <w:spacing w:before="0" w:beforeAutospacing="0" w:after="0" w:afterAutospacing="0" w:line="540" w:lineRule="exact"/>
        <w:ind w:firstLine="64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10.</w:t>
      </w:r>
      <w:bookmarkStart w:id="240" w:name="OLE_LINK33"/>
      <w:r>
        <w:rPr>
          <w:rFonts w:hint="eastAsia" w:ascii="楷体_GB2312" w:hAnsi="楷体_GB2312" w:eastAsia="楷体_GB2312" w:cs="楷体_GB2312"/>
          <w:sz w:val="32"/>
          <w:szCs w:val="32"/>
        </w:rPr>
        <w:t>舆情应对与宣传组</w:t>
      </w:r>
      <w:bookmarkEnd w:id="240"/>
    </w:p>
    <w:p w14:paraId="356EE55F">
      <w:pPr>
        <w:keepNext w:val="0"/>
        <w:keepLines w:val="0"/>
        <w:pageBreakBefore w:val="0"/>
        <w:kinsoku/>
        <w:wordWrap/>
        <w:overflowPunct/>
        <w:topLinePunct w:val="0"/>
        <w:autoSpaceDE/>
        <w:autoSpaceDN/>
        <w:bidi w:val="0"/>
        <w:spacing w:line="540" w:lineRule="exact"/>
        <w:ind w:firstLine="640" w:firstLineChars="200"/>
        <w:textAlignment w:val="auto"/>
        <w:rPr>
          <w:rFonts w:hint="eastAsia" w:ascii="仿宋_GB2312" w:hAnsi="仿宋_GB2312" w:cs="仿宋_GB2312"/>
          <w:szCs w:val="32"/>
        </w:rPr>
      </w:pPr>
      <w:bookmarkStart w:id="241" w:name="OLE_LINK34"/>
      <w:r>
        <w:rPr>
          <w:rFonts w:hint="eastAsia" w:ascii="仿宋_GB2312" w:hAnsi="仿宋_GB2312" w:cs="仿宋_GB2312"/>
          <w:szCs w:val="32"/>
        </w:rPr>
        <w:t>由</w:t>
      </w:r>
      <w:bookmarkStart w:id="242" w:name="OLE_LINK10"/>
      <w:r>
        <w:rPr>
          <w:rFonts w:hint="eastAsia" w:ascii="仿宋_GB2312" w:hAnsi="仿宋_GB2312" w:cs="仿宋_GB2312"/>
          <w:szCs w:val="32"/>
        </w:rPr>
        <w:t>区委宣传部（区网信中心）</w:t>
      </w:r>
      <w:bookmarkEnd w:id="242"/>
      <w:r>
        <w:rPr>
          <w:rFonts w:hint="eastAsia" w:ascii="仿宋_GB2312" w:hAnsi="仿宋_GB2312" w:cs="仿宋_GB2312"/>
          <w:szCs w:val="32"/>
        </w:rPr>
        <w:t>牵头，区应急管理局、</w:t>
      </w:r>
      <w:r>
        <w:rPr>
          <w:rFonts w:hint="eastAsia" w:cs="仿宋_GB2312"/>
          <w:szCs w:val="32"/>
        </w:rPr>
        <w:t>盐田公安分局</w:t>
      </w:r>
      <w:r>
        <w:rPr>
          <w:rFonts w:hint="eastAsia" w:ascii="仿宋_GB2312" w:hAnsi="仿宋_GB2312" w:cs="仿宋_GB2312"/>
          <w:szCs w:val="32"/>
        </w:rPr>
        <w:t>、</w:t>
      </w:r>
      <w:bookmarkStart w:id="243" w:name="OLE_LINK11"/>
      <w:r>
        <w:rPr>
          <w:rFonts w:hint="eastAsia" w:ascii="仿宋_GB2312" w:hAnsi="仿宋_GB2312" w:cs="仿宋_GB2312"/>
          <w:szCs w:val="32"/>
        </w:rPr>
        <w:t>市规划和自然资源局盐田管理局、区文化广电旅游体育局、区政务服务和数据管理局</w:t>
      </w:r>
      <w:bookmarkEnd w:id="243"/>
      <w:r>
        <w:rPr>
          <w:rFonts w:hint="eastAsia" w:ascii="仿宋_GB2312" w:hAnsi="仿宋_GB2312" w:cs="仿宋_GB2312"/>
          <w:szCs w:val="32"/>
        </w:rPr>
        <w:t>等单位参加。</w:t>
      </w:r>
      <w:bookmarkEnd w:id="241"/>
      <w:r>
        <w:rPr>
          <w:rFonts w:hint="eastAsia" w:ascii="仿宋_GB2312" w:hAnsi="仿宋_GB2312" w:cs="仿宋_GB2312"/>
          <w:szCs w:val="32"/>
        </w:rPr>
        <w:t>在区指挥部的统一部署指挥下，</w:t>
      </w:r>
      <w:bookmarkStart w:id="244" w:name="OLE_LINK35"/>
      <w:r>
        <w:rPr>
          <w:rFonts w:hint="eastAsia" w:ascii="仿宋_GB2312" w:hAnsi="仿宋_GB2312" w:cs="仿宋_GB2312"/>
          <w:szCs w:val="32"/>
        </w:rPr>
        <w:t>组织召开新闻发布会，发布地质灾害灾情和抢险救灾信息；组织新闻媒体做好抢险救灾宣传报道；及时平息地质灾害灾情险情的谣传、误传，做好舆情监控和引导。</w:t>
      </w:r>
      <w:bookmarkEnd w:id="244"/>
    </w:p>
    <w:p w14:paraId="17F4C702">
      <w:pPr>
        <w:pStyle w:val="11"/>
        <w:keepNext w:val="0"/>
        <w:keepLines w:val="0"/>
        <w:pageBreakBefore w:val="0"/>
        <w:widowControl/>
        <w:kinsoku/>
        <w:wordWrap/>
        <w:overflowPunct/>
        <w:topLinePunct w:val="0"/>
        <w:autoSpaceDE/>
        <w:autoSpaceDN/>
        <w:bidi w:val="0"/>
        <w:spacing w:before="0" w:beforeAutospacing="0" w:after="0" w:afterAutospacing="0" w:line="540" w:lineRule="exact"/>
        <w:ind w:firstLine="64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11.</w:t>
      </w:r>
      <w:bookmarkStart w:id="245" w:name="OLE_LINK36"/>
      <w:r>
        <w:rPr>
          <w:rFonts w:hint="eastAsia" w:ascii="楷体_GB2312" w:hAnsi="楷体_GB2312" w:eastAsia="楷体_GB2312" w:cs="楷体_GB2312"/>
          <w:sz w:val="32"/>
          <w:szCs w:val="32"/>
        </w:rPr>
        <w:t>恢复重建</w:t>
      </w:r>
      <w:bookmarkEnd w:id="245"/>
      <w:r>
        <w:rPr>
          <w:rFonts w:hint="eastAsia" w:ascii="楷体_GB2312" w:hAnsi="楷体_GB2312" w:eastAsia="楷体_GB2312" w:cs="楷体_GB2312"/>
          <w:sz w:val="32"/>
          <w:szCs w:val="32"/>
        </w:rPr>
        <w:t>组</w:t>
      </w:r>
    </w:p>
    <w:p w14:paraId="7C41BF03">
      <w:pPr>
        <w:keepNext w:val="0"/>
        <w:keepLines w:val="0"/>
        <w:pageBreakBefore w:val="0"/>
        <w:kinsoku/>
        <w:wordWrap/>
        <w:overflowPunct/>
        <w:topLinePunct w:val="0"/>
        <w:autoSpaceDE/>
        <w:autoSpaceDN/>
        <w:bidi w:val="0"/>
        <w:spacing w:line="540" w:lineRule="exact"/>
        <w:ind w:firstLine="640" w:firstLineChars="200"/>
        <w:textAlignment w:val="auto"/>
        <w:rPr>
          <w:rFonts w:hint="eastAsia" w:ascii="仿宋_GB2312" w:hAnsi="仿宋_GB2312" w:cs="仿宋_GB2312"/>
          <w:szCs w:val="32"/>
        </w:rPr>
      </w:pPr>
      <w:bookmarkStart w:id="246" w:name="OLE_LINK37"/>
      <w:r>
        <w:rPr>
          <w:rFonts w:hint="eastAsia" w:ascii="仿宋_GB2312" w:hAnsi="仿宋_GB2312" w:cs="仿宋_GB2312"/>
          <w:szCs w:val="32"/>
        </w:rPr>
        <w:t>由区发展改革局牵头，区财政局、</w:t>
      </w:r>
      <w:bookmarkStart w:id="247" w:name="OLE_LINK12"/>
      <w:r>
        <w:rPr>
          <w:rFonts w:hint="eastAsia" w:ascii="仿宋_GB2312" w:hAnsi="仿宋_GB2312" w:cs="仿宋_GB2312"/>
          <w:szCs w:val="32"/>
        </w:rPr>
        <w:t>市交通运输局盐田管理局、市规划和自然资源局盐田管理局、</w:t>
      </w:r>
      <w:r>
        <w:rPr>
          <w:rFonts w:hint="eastAsia" w:cs="仿宋_GB2312"/>
          <w:szCs w:val="32"/>
        </w:rPr>
        <w:t>市生态环境局盐田管理局</w:t>
      </w:r>
      <w:r>
        <w:rPr>
          <w:rFonts w:hint="eastAsia" w:ascii="仿宋_GB2312" w:hAnsi="仿宋_GB2312" w:cs="仿宋_GB2312"/>
          <w:szCs w:val="32"/>
        </w:rPr>
        <w:t>、区住房和建设局</w:t>
      </w:r>
      <w:bookmarkEnd w:id="247"/>
      <w:r>
        <w:rPr>
          <w:rFonts w:hint="eastAsia" w:ascii="仿宋_GB2312" w:hAnsi="仿宋_GB2312" w:cs="仿宋_GB2312"/>
          <w:szCs w:val="32"/>
        </w:rPr>
        <w:t>等单位参加。</w:t>
      </w:r>
      <w:bookmarkEnd w:id="246"/>
      <w:r>
        <w:rPr>
          <w:rFonts w:hint="eastAsia" w:ascii="仿宋_GB2312" w:hAnsi="仿宋_GB2312" w:cs="仿宋_GB2312"/>
          <w:szCs w:val="32"/>
        </w:rPr>
        <w:t>在区指挥部的统一部署指挥下，</w:t>
      </w:r>
      <w:bookmarkStart w:id="248" w:name="OLE_LINK38"/>
      <w:r>
        <w:rPr>
          <w:rFonts w:hint="eastAsia" w:ascii="仿宋_GB2312" w:hAnsi="仿宋_GB2312" w:cs="仿宋_GB2312"/>
          <w:szCs w:val="32"/>
        </w:rPr>
        <w:t>指导受灾区域编制灾后恢复重建规划，确保救灾资金、物资的保障落实。</w:t>
      </w:r>
      <w:bookmarkEnd w:id="248"/>
    </w:p>
    <w:p w14:paraId="6F35C3C3">
      <w:pPr>
        <w:pStyle w:val="11"/>
        <w:keepNext w:val="0"/>
        <w:keepLines w:val="0"/>
        <w:pageBreakBefore w:val="0"/>
        <w:widowControl/>
        <w:kinsoku/>
        <w:wordWrap/>
        <w:overflowPunct/>
        <w:topLinePunct w:val="0"/>
        <w:autoSpaceDE/>
        <w:autoSpaceDN/>
        <w:bidi w:val="0"/>
        <w:spacing w:before="0" w:beforeAutospacing="0" w:after="0" w:afterAutospacing="0" w:line="540" w:lineRule="exact"/>
        <w:ind w:firstLine="64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12.</w:t>
      </w:r>
      <w:bookmarkStart w:id="249" w:name="OLE_LINK39"/>
      <w:r>
        <w:rPr>
          <w:rFonts w:hint="eastAsia" w:ascii="楷体_GB2312" w:hAnsi="楷体_GB2312" w:eastAsia="楷体_GB2312" w:cs="楷体_GB2312"/>
          <w:sz w:val="32"/>
          <w:szCs w:val="32"/>
        </w:rPr>
        <w:t>区专家组</w:t>
      </w:r>
      <w:bookmarkEnd w:id="249"/>
    </w:p>
    <w:p w14:paraId="651D32FD">
      <w:pPr>
        <w:keepNext w:val="0"/>
        <w:keepLines w:val="0"/>
        <w:pageBreakBefore w:val="0"/>
        <w:kinsoku/>
        <w:wordWrap/>
        <w:overflowPunct/>
        <w:topLinePunct w:val="0"/>
        <w:autoSpaceDE/>
        <w:autoSpaceDN/>
        <w:bidi w:val="0"/>
        <w:spacing w:line="540" w:lineRule="exact"/>
        <w:ind w:firstLine="640" w:firstLineChars="200"/>
        <w:textAlignment w:val="auto"/>
        <w:rPr>
          <w:rFonts w:hint="eastAsia" w:ascii="仿宋_GB2312" w:hAnsi="仿宋_GB2312" w:cs="仿宋_GB2312"/>
          <w:szCs w:val="32"/>
        </w:rPr>
      </w:pPr>
      <w:bookmarkStart w:id="250" w:name="OLE_LINK40"/>
      <w:r>
        <w:rPr>
          <w:rFonts w:hint="eastAsia" w:ascii="仿宋_GB2312" w:hAnsi="仿宋_GB2312" w:cs="仿宋_GB2312"/>
          <w:szCs w:val="32"/>
        </w:rPr>
        <w:t>区应急管理局会同市规划和自然资源局盐田管理局组建</w:t>
      </w:r>
      <w:r>
        <w:rPr>
          <w:rFonts w:hint="eastAsia" w:ascii="仿宋_GB2312" w:hAnsi="仿宋_GB2312" w:cs="仿宋_GB2312"/>
          <w:szCs w:val="32"/>
          <w:lang w:eastAsia="zh-CN"/>
        </w:rPr>
        <w:t>区</w:t>
      </w:r>
      <w:r>
        <w:rPr>
          <w:rFonts w:hint="eastAsia" w:ascii="仿宋_GB2312" w:hAnsi="仿宋_GB2312" w:cs="仿宋_GB2312"/>
          <w:szCs w:val="32"/>
        </w:rPr>
        <w:t>地质灾害应急专家组</w:t>
      </w:r>
      <w:bookmarkEnd w:id="250"/>
      <w:r>
        <w:rPr>
          <w:rFonts w:hint="eastAsia" w:ascii="仿宋_GB2312" w:hAnsi="仿宋_GB2312" w:cs="仿宋_GB2312"/>
          <w:szCs w:val="32"/>
        </w:rPr>
        <w:t>，健全突发地质灾害应急管理决策咨询机制，</w:t>
      </w:r>
      <w:bookmarkStart w:id="251" w:name="OLE_LINK41"/>
      <w:r>
        <w:rPr>
          <w:rFonts w:hint="eastAsia" w:ascii="仿宋_GB2312" w:hAnsi="仿宋_GB2312" w:cs="仿宋_GB2312"/>
          <w:szCs w:val="32"/>
        </w:rPr>
        <w:t>为突发地质灾害应急指挥辅助决策、应急救援、灾害监测及趋势预测、灾害损失评估等提供技术支持和咨询服务。</w:t>
      </w:r>
      <w:bookmarkEnd w:id="251"/>
    </w:p>
    <w:p w14:paraId="45C7DDEA"/>
    <w:p w14:paraId="5B977E60">
      <w:pPr>
        <w:spacing w:line="560" w:lineRule="exact"/>
        <w:rPr>
          <w:rFonts w:hint="eastAsia" w:ascii="仿宋_GB2312" w:hAnsi="仿宋_GB2312"/>
        </w:rPr>
        <w:sectPr>
          <w:pgSz w:w="11906" w:h="16838"/>
          <w:pgMar w:top="1440" w:right="1803" w:bottom="1440" w:left="1803" w:header="851" w:footer="992" w:gutter="0"/>
          <w:pgNumType w:fmt="decimal"/>
          <w:cols w:space="0" w:num="1"/>
          <w:docGrid w:type="lines" w:linePitch="436" w:charSpace="0"/>
        </w:sectPr>
      </w:pPr>
      <w:r>
        <w:rPr>
          <w:rFonts w:hint="eastAsia" w:ascii="仿宋_GB2312" w:hAnsi="仿宋_GB2312"/>
        </w:rPr>
        <w:br w:type="page"/>
      </w:r>
    </w:p>
    <w:p w14:paraId="59FC670D">
      <w:pPr>
        <w:pStyle w:val="3"/>
        <w:spacing w:before="0" w:beforeLines="0" w:after="0" w:afterLines="0"/>
        <w:jc w:val="both"/>
        <w:rPr>
          <w:rFonts w:hint="eastAsia" w:ascii="黑体" w:hAnsi="黑体" w:eastAsia="黑体" w:cs="黑体"/>
          <w:sz w:val="32"/>
          <w:szCs w:val="32"/>
          <w:lang w:eastAsia="zh-CN"/>
        </w:rPr>
      </w:pPr>
      <w:bookmarkStart w:id="252" w:name="_Toc187312671"/>
      <w:bookmarkStart w:id="253" w:name="_Toc983914589"/>
      <w:bookmarkStart w:id="254" w:name="_Toc839253520"/>
      <w:bookmarkStart w:id="255" w:name="_Toc1873081400"/>
      <w:bookmarkStart w:id="256" w:name="_Toc987034521"/>
      <w:r>
        <w:rPr>
          <w:rFonts w:hint="eastAsia" w:ascii="黑体" w:hAnsi="黑体" w:eastAsia="黑体" w:cs="黑体"/>
          <w:sz w:val="32"/>
          <w:szCs w:val="32"/>
        </w:rPr>
        <w:t>附件</w:t>
      </w:r>
      <w:bookmarkEnd w:id="252"/>
      <w:bookmarkEnd w:id="253"/>
      <w:bookmarkEnd w:id="254"/>
      <w:bookmarkEnd w:id="255"/>
      <w:r>
        <w:rPr>
          <w:rFonts w:hint="eastAsia" w:ascii="黑体" w:hAnsi="黑体" w:eastAsia="黑体" w:cs="黑体"/>
          <w:sz w:val="32"/>
          <w:szCs w:val="32"/>
          <w:lang w:val="en-US" w:eastAsia="zh-CN"/>
        </w:rPr>
        <w:t>3</w:t>
      </w:r>
      <w:bookmarkEnd w:id="256"/>
      <w:r>
        <w:rPr>
          <w:rFonts w:hint="eastAsia" w:ascii="黑体" w:hAnsi="黑体" w:eastAsia="黑体" w:cs="黑体"/>
          <w:sz w:val="32"/>
          <w:szCs w:val="32"/>
          <w:lang w:val="en-US" w:eastAsia="zh-CN"/>
        </w:rPr>
        <w:br w:type="textWrapping"/>
      </w:r>
    </w:p>
    <w:p w14:paraId="1A69B1F8">
      <w:pPr>
        <w:spacing w:line="56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突发地质灾害分级</w:t>
      </w:r>
    </w:p>
    <w:p w14:paraId="0410821E">
      <w:pPr>
        <w:pStyle w:val="11"/>
        <w:widowControl/>
        <w:spacing w:before="0" w:beforeAutospacing="0" w:after="0" w:afterAutospacing="0"/>
        <w:ind w:firstLine="640"/>
        <w:rPr>
          <w:rFonts w:hint="eastAsia" w:cs="仿宋_GB2312"/>
          <w:sz w:val="32"/>
          <w:szCs w:val="32"/>
        </w:rPr>
      </w:pPr>
    </w:p>
    <w:p w14:paraId="6771C7C9">
      <w:pPr>
        <w:pStyle w:val="11"/>
        <w:widowControl/>
        <w:spacing w:before="0" w:beforeAutospacing="0" w:after="0" w:afterAutospacing="0"/>
        <w:ind w:firstLine="640"/>
        <w:rPr>
          <w:rFonts w:hint="eastAsia" w:ascii="黑体" w:hAnsi="黑体" w:eastAsia="黑体" w:cs="黑体"/>
          <w:sz w:val="32"/>
          <w:szCs w:val="32"/>
        </w:rPr>
      </w:pPr>
      <w:r>
        <w:rPr>
          <w:rFonts w:hint="eastAsia" w:ascii="黑体" w:hAnsi="黑体" w:eastAsia="黑体" w:cs="黑体"/>
          <w:sz w:val="32"/>
          <w:szCs w:val="32"/>
        </w:rPr>
        <w:t>1.特别重大地质灾害（Ⅰ级）</w:t>
      </w:r>
    </w:p>
    <w:p w14:paraId="75B37F8A">
      <w:pPr>
        <w:pStyle w:val="11"/>
        <w:widowControl/>
        <w:spacing w:before="0" w:beforeAutospacing="0" w:after="0" w:afterAutospacing="0"/>
        <w:ind w:firstLine="640"/>
        <w:rPr>
          <w:rFonts w:hint="eastAsia" w:cs="仿宋_GB2312"/>
          <w:sz w:val="32"/>
          <w:szCs w:val="32"/>
        </w:rPr>
      </w:pPr>
      <w:r>
        <w:rPr>
          <w:rFonts w:hint="eastAsia" w:cs="仿宋_GB2312"/>
          <w:sz w:val="32"/>
          <w:szCs w:val="32"/>
        </w:rPr>
        <w:t>（1）</w:t>
      </w:r>
      <w:bookmarkStart w:id="257" w:name="OLE_LINK3"/>
      <w:r>
        <w:rPr>
          <w:rFonts w:hint="eastAsia" w:cs="仿宋_GB2312"/>
          <w:sz w:val="32"/>
          <w:szCs w:val="32"/>
        </w:rPr>
        <w:t>因山体崩塌、滑坡、泥石流、地面塌陷等灾害造成30人以上死亡，或直接经济损失1000万元以上的突发地质灾害。</w:t>
      </w:r>
    </w:p>
    <w:p w14:paraId="123185C8">
      <w:pPr>
        <w:pStyle w:val="11"/>
        <w:widowControl/>
        <w:spacing w:before="0" w:beforeAutospacing="0" w:after="0" w:afterAutospacing="0"/>
        <w:ind w:firstLine="640"/>
        <w:rPr>
          <w:rFonts w:hint="eastAsia" w:cs="仿宋_GB2312"/>
          <w:sz w:val="32"/>
          <w:szCs w:val="32"/>
        </w:rPr>
      </w:pPr>
      <w:r>
        <w:rPr>
          <w:rFonts w:hint="eastAsia" w:cs="仿宋_GB2312"/>
          <w:sz w:val="32"/>
          <w:szCs w:val="32"/>
        </w:rPr>
        <w:t>（2）受突发地质灾害威胁，需转移人数在500人以上，或可能造成的经济损失在3000万元以上的灾害险情。</w:t>
      </w:r>
    </w:p>
    <w:p w14:paraId="66BB4DC4">
      <w:pPr>
        <w:pStyle w:val="11"/>
        <w:widowControl/>
        <w:spacing w:before="0" w:beforeAutospacing="0" w:after="0" w:afterAutospacing="0"/>
        <w:ind w:firstLine="640"/>
        <w:rPr>
          <w:rFonts w:hint="eastAsia" w:cs="仿宋_GB2312"/>
          <w:sz w:val="32"/>
          <w:szCs w:val="32"/>
        </w:rPr>
      </w:pPr>
      <w:r>
        <w:rPr>
          <w:rFonts w:hint="eastAsia" w:cs="仿宋_GB2312"/>
          <w:sz w:val="32"/>
          <w:szCs w:val="32"/>
        </w:rPr>
        <w:t>（3）造成铁路繁忙干线、国家高速公路网线路、民航、航道等长时间中断，或特别严重威胁群众生命财产安全、有特别严重社会影响的突发地质灾害。</w:t>
      </w:r>
    </w:p>
    <w:p w14:paraId="5CB74169">
      <w:pPr>
        <w:pStyle w:val="11"/>
        <w:widowControl/>
        <w:spacing w:before="0" w:beforeAutospacing="0" w:after="0" w:afterAutospacing="0"/>
        <w:ind w:firstLine="640"/>
        <w:rPr>
          <w:rFonts w:hint="eastAsia" w:cs="仿宋_GB2312"/>
          <w:sz w:val="32"/>
          <w:szCs w:val="32"/>
        </w:rPr>
      </w:pPr>
      <w:r>
        <w:rPr>
          <w:rFonts w:hint="eastAsia" w:cs="仿宋_GB2312"/>
          <w:sz w:val="32"/>
          <w:szCs w:val="32"/>
        </w:rPr>
        <w:t>（4）因突发地质灾害造成深圳市主要河流被阻断，对群众生命财产安全造成特别重大影响。</w:t>
      </w:r>
      <w:bookmarkEnd w:id="257"/>
    </w:p>
    <w:p w14:paraId="6313702A">
      <w:pPr>
        <w:pStyle w:val="11"/>
        <w:widowControl/>
        <w:spacing w:before="0" w:beforeAutospacing="0" w:after="0" w:afterAutospacing="0"/>
        <w:ind w:firstLine="640"/>
        <w:rPr>
          <w:rFonts w:hint="eastAsia" w:ascii="黑体" w:hAnsi="黑体" w:eastAsia="黑体" w:cs="黑体"/>
          <w:sz w:val="32"/>
          <w:szCs w:val="32"/>
        </w:rPr>
      </w:pPr>
      <w:r>
        <w:rPr>
          <w:rFonts w:hint="eastAsia" w:ascii="黑体" w:hAnsi="黑体" w:eastAsia="黑体" w:cs="黑体"/>
          <w:sz w:val="32"/>
          <w:szCs w:val="32"/>
        </w:rPr>
        <w:t>2.重大地质灾害（Ⅱ级）</w:t>
      </w:r>
    </w:p>
    <w:p w14:paraId="18916257">
      <w:pPr>
        <w:pStyle w:val="11"/>
        <w:widowControl/>
        <w:spacing w:before="0" w:beforeAutospacing="0" w:after="0" w:afterAutospacing="0"/>
        <w:ind w:firstLine="640"/>
        <w:rPr>
          <w:rFonts w:hint="eastAsia" w:cs="仿宋_GB2312"/>
          <w:sz w:val="32"/>
          <w:szCs w:val="32"/>
        </w:rPr>
      </w:pPr>
      <w:r>
        <w:rPr>
          <w:rFonts w:hint="eastAsia" w:cs="仿宋_GB2312"/>
          <w:sz w:val="32"/>
          <w:szCs w:val="32"/>
        </w:rPr>
        <w:t>（1）因山体崩塌、滑坡、泥石流、地面塌陷等灾害造成10人以上、30人以下死亡，或直接经济损失500万元以上、1000万元以下的突发地质灾害。</w:t>
      </w:r>
    </w:p>
    <w:p w14:paraId="4872C53B">
      <w:pPr>
        <w:pStyle w:val="11"/>
        <w:widowControl/>
        <w:spacing w:before="0" w:beforeAutospacing="0" w:after="0" w:afterAutospacing="0"/>
        <w:ind w:firstLine="640"/>
        <w:rPr>
          <w:rFonts w:hint="eastAsia" w:cs="仿宋_GB2312"/>
          <w:sz w:val="32"/>
          <w:szCs w:val="32"/>
        </w:rPr>
      </w:pPr>
      <w:r>
        <w:rPr>
          <w:rFonts w:hint="eastAsia" w:cs="仿宋_GB2312"/>
          <w:sz w:val="32"/>
          <w:szCs w:val="32"/>
        </w:rPr>
        <w:t>（2）受突发地质灾害威胁，需转移人数在200人以上、500人以下，或可能造成的经济损失在1000万元以上、3000万元以下的灾害险情。</w:t>
      </w:r>
    </w:p>
    <w:p w14:paraId="182EA6AF">
      <w:pPr>
        <w:pStyle w:val="11"/>
        <w:widowControl/>
        <w:spacing w:before="0" w:beforeAutospacing="0" w:after="0" w:afterAutospacing="0"/>
        <w:ind w:firstLine="640"/>
        <w:rPr>
          <w:rFonts w:hint="eastAsia" w:cs="仿宋_GB2312"/>
          <w:sz w:val="32"/>
          <w:szCs w:val="32"/>
        </w:rPr>
      </w:pPr>
      <w:r>
        <w:rPr>
          <w:rFonts w:hint="eastAsia" w:cs="仿宋_GB2312"/>
          <w:sz w:val="32"/>
          <w:szCs w:val="32"/>
        </w:rPr>
        <w:t>（3）造成铁路繁忙干线、国家高速公路网线路、民航、航道等较长时间中断，或严重威胁群众生命财产安全、有严重社会影响的突发地质灾害。</w:t>
      </w:r>
    </w:p>
    <w:p w14:paraId="16852895">
      <w:pPr>
        <w:pStyle w:val="11"/>
        <w:widowControl/>
        <w:spacing w:before="0" w:beforeAutospacing="0" w:after="0" w:afterAutospacing="0"/>
        <w:ind w:firstLine="640"/>
        <w:rPr>
          <w:rFonts w:hint="eastAsia" w:cs="仿宋_GB2312"/>
          <w:sz w:val="32"/>
          <w:szCs w:val="32"/>
        </w:rPr>
      </w:pPr>
      <w:r>
        <w:rPr>
          <w:rFonts w:hint="eastAsia" w:cs="仿宋_GB2312"/>
          <w:sz w:val="32"/>
          <w:szCs w:val="32"/>
        </w:rPr>
        <w:t>（4）因突发地质灾害造成深圳市主要河流被阻断，对群众生命财产安全造成重大影响。</w:t>
      </w:r>
    </w:p>
    <w:p w14:paraId="356578D2">
      <w:pPr>
        <w:pStyle w:val="11"/>
        <w:widowControl/>
        <w:spacing w:before="0" w:beforeAutospacing="0" w:after="0" w:afterAutospacing="0"/>
        <w:ind w:firstLine="640"/>
        <w:rPr>
          <w:rFonts w:hint="eastAsia" w:ascii="黑体" w:hAnsi="黑体" w:eastAsia="黑体" w:cs="黑体"/>
          <w:sz w:val="32"/>
          <w:szCs w:val="32"/>
        </w:rPr>
      </w:pPr>
      <w:r>
        <w:rPr>
          <w:rFonts w:hint="eastAsia" w:ascii="黑体" w:hAnsi="黑体" w:eastAsia="黑体" w:cs="黑体"/>
          <w:sz w:val="32"/>
          <w:szCs w:val="32"/>
        </w:rPr>
        <w:t>3.较大地质灾害（Ⅲ级）</w:t>
      </w:r>
    </w:p>
    <w:p w14:paraId="6257505D">
      <w:pPr>
        <w:pStyle w:val="11"/>
        <w:widowControl/>
        <w:spacing w:before="0" w:beforeAutospacing="0" w:after="0" w:afterAutospacing="0"/>
        <w:ind w:firstLine="640"/>
        <w:rPr>
          <w:rFonts w:hint="eastAsia" w:cs="仿宋_GB2312"/>
          <w:sz w:val="32"/>
          <w:szCs w:val="32"/>
        </w:rPr>
      </w:pPr>
      <w:r>
        <w:rPr>
          <w:rFonts w:hint="eastAsia" w:cs="仿宋_GB2312"/>
          <w:sz w:val="32"/>
          <w:szCs w:val="32"/>
        </w:rPr>
        <w:t>（1）因山体崩塌、滑坡、泥石流、地面塌陷等灾害造成3人以上、10人以下死亡，或直接经济损失100万元以上、500万元以下的突发地质灾害。</w:t>
      </w:r>
    </w:p>
    <w:p w14:paraId="59F89999">
      <w:pPr>
        <w:pStyle w:val="11"/>
        <w:widowControl/>
        <w:spacing w:before="0" w:beforeAutospacing="0" w:after="0" w:afterAutospacing="0"/>
        <w:ind w:firstLine="640"/>
        <w:rPr>
          <w:rFonts w:hint="eastAsia" w:cs="仿宋_GB2312"/>
          <w:sz w:val="32"/>
          <w:szCs w:val="32"/>
        </w:rPr>
      </w:pPr>
      <w:r>
        <w:rPr>
          <w:rFonts w:hint="eastAsia" w:cs="仿宋_GB2312"/>
          <w:sz w:val="32"/>
          <w:szCs w:val="32"/>
        </w:rPr>
        <w:t>（2）受突发地质灾害威胁，需转移人数在50人以上、200人以下，或可能造成的经济损失在300万元以上、1000万元以下的灾害险情。</w:t>
      </w:r>
    </w:p>
    <w:p w14:paraId="76450132">
      <w:pPr>
        <w:pStyle w:val="11"/>
        <w:widowControl/>
        <w:spacing w:before="0" w:beforeAutospacing="0" w:after="0" w:afterAutospacing="0"/>
        <w:ind w:firstLine="640"/>
        <w:rPr>
          <w:rFonts w:hint="eastAsia" w:cs="仿宋_GB2312"/>
          <w:sz w:val="32"/>
          <w:szCs w:val="32"/>
        </w:rPr>
      </w:pPr>
      <w:r>
        <w:rPr>
          <w:rFonts w:hint="eastAsia" w:cs="仿宋_GB2312"/>
          <w:sz w:val="32"/>
          <w:szCs w:val="32"/>
        </w:rPr>
        <w:t>（3）造成铁路繁忙干线、国家高速公路网线路、民航、航道等短时中断，或较严重威胁群众生命财产安全、有较大社会影响的突发地质灾害。</w:t>
      </w:r>
    </w:p>
    <w:p w14:paraId="4CA318CA">
      <w:pPr>
        <w:pStyle w:val="11"/>
        <w:widowControl/>
        <w:spacing w:before="0" w:beforeAutospacing="0" w:after="0" w:afterAutospacing="0"/>
        <w:ind w:firstLine="640"/>
        <w:rPr>
          <w:rFonts w:hint="eastAsia" w:cs="仿宋_GB2312"/>
          <w:sz w:val="32"/>
          <w:szCs w:val="32"/>
        </w:rPr>
      </w:pPr>
      <w:r>
        <w:rPr>
          <w:rFonts w:hint="eastAsia" w:cs="仿宋_GB2312"/>
          <w:sz w:val="32"/>
          <w:szCs w:val="32"/>
        </w:rPr>
        <w:t>（4）因突发地质灾害造成深圳市主要河流被阻断，对群众生命财产安全造成较大影响。</w:t>
      </w:r>
    </w:p>
    <w:p w14:paraId="4E8C385E">
      <w:pPr>
        <w:pStyle w:val="11"/>
        <w:widowControl/>
        <w:spacing w:before="0" w:beforeAutospacing="0" w:after="0" w:afterAutospacing="0"/>
        <w:ind w:firstLine="640"/>
        <w:rPr>
          <w:rFonts w:hint="eastAsia" w:ascii="黑体" w:hAnsi="黑体" w:eastAsia="黑体" w:cs="黑体"/>
          <w:sz w:val="32"/>
          <w:szCs w:val="32"/>
        </w:rPr>
      </w:pPr>
      <w:r>
        <w:rPr>
          <w:rFonts w:hint="eastAsia" w:ascii="黑体" w:hAnsi="黑体" w:eastAsia="黑体" w:cs="黑体"/>
          <w:sz w:val="32"/>
          <w:szCs w:val="32"/>
        </w:rPr>
        <w:t>4.一般地质灾害（Ⅳ级）</w:t>
      </w:r>
    </w:p>
    <w:p w14:paraId="1B1798ED">
      <w:pPr>
        <w:pStyle w:val="11"/>
        <w:widowControl/>
        <w:spacing w:before="0" w:beforeAutospacing="0" w:after="0" w:afterAutospacing="0"/>
        <w:ind w:firstLine="640"/>
        <w:rPr>
          <w:rFonts w:hint="eastAsia" w:cs="仿宋_GB2312"/>
          <w:sz w:val="32"/>
          <w:szCs w:val="32"/>
        </w:rPr>
      </w:pPr>
      <w:r>
        <w:rPr>
          <w:rFonts w:hint="eastAsia" w:cs="仿宋_GB2312"/>
          <w:sz w:val="32"/>
          <w:szCs w:val="32"/>
        </w:rPr>
        <w:t>（1）因山体崩塌、滑坡、泥石流、地面塌陷等灾害造成3人以下死亡，或直接经济损失100万元以下的突发地质灾害。</w:t>
      </w:r>
    </w:p>
    <w:p w14:paraId="5677C76E">
      <w:pPr>
        <w:pStyle w:val="11"/>
        <w:widowControl/>
        <w:spacing w:before="0" w:beforeAutospacing="0" w:after="0" w:afterAutospacing="0"/>
        <w:ind w:firstLine="640"/>
        <w:rPr>
          <w:rFonts w:hint="eastAsia" w:cs="仿宋_GB2312"/>
          <w:sz w:val="32"/>
          <w:szCs w:val="32"/>
        </w:rPr>
      </w:pPr>
      <w:r>
        <w:rPr>
          <w:rFonts w:hint="eastAsia" w:cs="仿宋_GB2312"/>
          <w:sz w:val="32"/>
          <w:szCs w:val="32"/>
        </w:rPr>
        <w:t>（2）受突发地质灾害威胁，需转移人数在50人以下，或可能造成的经济损失在300万元以下的灾害险情。</w:t>
      </w:r>
    </w:p>
    <w:p w14:paraId="0FC3B5C4">
      <w:pPr>
        <w:pStyle w:val="11"/>
        <w:widowControl/>
        <w:spacing w:before="0" w:beforeAutospacing="0" w:after="0" w:afterAutospacing="0"/>
        <w:ind w:firstLine="640"/>
        <w:rPr>
          <w:rFonts w:hint="eastAsia" w:cs="仿宋_GB2312"/>
          <w:sz w:val="32"/>
          <w:szCs w:val="32"/>
        </w:rPr>
      </w:pPr>
      <w:r>
        <w:rPr>
          <w:rFonts w:hint="eastAsia" w:cs="仿宋_GB2312"/>
          <w:sz w:val="32"/>
          <w:szCs w:val="32"/>
        </w:rPr>
        <w:t>（3）</w:t>
      </w:r>
      <w:bookmarkStart w:id="258" w:name="OLE_LINK1"/>
      <w:r>
        <w:rPr>
          <w:rFonts w:hint="eastAsia" w:cs="仿宋_GB2312"/>
          <w:sz w:val="32"/>
          <w:szCs w:val="32"/>
        </w:rPr>
        <w:t>造成交通运输中断，或威胁群众生命财产安全、有一定社会影响的突发地质灾害。</w:t>
      </w:r>
    </w:p>
    <w:p w14:paraId="2DA10D8D">
      <w:pPr>
        <w:pStyle w:val="11"/>
        <w:widowControl/>
        <w:spacing w:before="0" w:beforeAutospacing="0" w:after="0" w:afterAutospacing="0"/>
        <w:ind w:firstLine="640"/>
        <w:rPr>
          <w:rFonts w:hint="eastAsia" w:cs="仿宋_GB2312"/>
          <w:sz w:val="32"/>
          <w:szCs w:val="32"/>
        </w:rPr>
      </w:pPr>
      <w:r>
        <w:rPr>
          <w:rFonts w:hint="eastAsia" w:cs="仿宋_GB2312"/>
          <w:sz w:val="32"/>
          <w:szCs w:val="32"/>
        </w:rPr>
        <w:t>（4）因突发地质灾害造成深圳市主要河流被阻断，对群众生命财产安全造成一定影响。</w:t>
      </w:r>
      <w:bookmarkEnd w:id="258"/>
    </w:p>
    <w:p w14:paraId="2AFEEE00">
      <w:pPr>
        <w:rPr>
          <w:rFonts w:cs="仿宋_GB2312"/>
          <w:szCs w:val="32"/>
        </w:rPr>
      </w:pPr>
      <w:r>
        <w:rPr>
          <w:rFonts w:hint="eastAsia" w:cs="仿宋_GB2312"/>
          <w:szCs w:val="32"/>
        </w:rPr>
        <w:br w:type="page"/>
      </w:r>
    </w:p>
    <w:p w14:paraId="0E1E1D13">
      <w:pPr>
        <w:pStyle w:val="11"/>
        <w:widowControl/>
        <w:spacing w:before="0" w:beforeAutospacing="0" w:after="0" w:afterAutospacing="0"/>
        <w:ind w:firstLine="480"/>
        <w:rPr>
          <w:rFonts w:hint="eastAsia" w:cs="仿宋_GB2312"/>
          <w:szCs w:val="32"/>
        </w:rPr>
        <w:sectPr>
          <w:pgSz w:w="11906" w:h="16838"/>
          <w:pgMar w:top="1440" w:right="1803" w:bottom="1440" w:left="1803" w:header="851" w:footer="992" w:gutter="0"/>
          <w:pgNumType w:fmt="decimal"/>
          <w:cols w:space="0" w:num="1"/>
          <w:docGrid w:type="lines" w:linePitch="436" w:charSpace="0"/>
        </w:sectPr>
      </w:pPr>
      <w:bookmarkStart w:id="259" w:name="_Toc22253"/>
      <w:bookmarkStart w:id="260" w:name="_Toc6638"/>
      <w:bookmarkStart w:id="261" w:name="_Toc9099"/>
      <w:bookmarkStart w:id="262" w:name="_Toc456260754"/>
      <w:bookmarkStart w:id="263" w:name="_Toc359395791"/>
    </w:p>
    <w:bookmarkEnd w:id="259"/>
    <w:bookmarkEnd w:id="260"/>
    <w:bookmarkEnd w:id="261"/>
    <w:p w14:paraId="7CFBDC0D">
      <w:pPr>
        <w:pStyle w:val="3"/>
        <w:spacing w:before="0" w:beforeLines="0" w:after="0" w:afterLines="0"/>
        <w:jc w:val="both"/>
        <w:rPr>
          <w:rFonts w:hint="eastAsia" w:ascii="黑体" w:hAnsi="黑体" w:eastAsia="黑体" w:cs="黑体"/>
          <w:sz w:val="32"/>
          <w:szCs w:val="32"/>
          <w:lang w:eastAsia="zh-CN"/>
        </w:rPr>
      </w:pPr>
      <w:bookmarkStart w:id="264" w:name="_Toc1064719060"/>
      <w:bookmarkStart w:id="265" w:name="_Toc187312672"/>
      <w:bookmarkStart w:id="266" w:name="_Toc1259044243"/>
      <w:bookmarkStart w:id="267" w:name="_Toc1837017445"/>
      <w:bookmarkStart w:id="268" w:name="_Toc955639565"/>
      <w:r>
        <w:rPr>
          <w:rFonts w:hint="eastAsia" w:ascii="黑体" w:hAnsi="黑体" w:eastAsia="黑体" w:cs="黑体"/>
          <w:sz w:val="32"/>
          <w:szCs w:val="32"/>
        </w:rPr>
        <w:t>附件</w:t>
      </w:r>
      <w:bookmarkEnd w:id="264"/>
      <w:bookmarkEnd w:id="265"/>
      <w:bookmarkEnd w:id="266"/>
      <w:bookmarkEnd w:id="267"/>
      <w:r>
        <w:rPr>
          <w:rFonts w:hint="eastAsia" w:ascii="黑体" w:hAnsi="黑体" w:eastAsia="黑体" w:cs="黑体"/>
          <w:sz w:val="32"/>
          <w:szCs w:val="32"/>
          <w:lang w:val="en-US" w:eastAsia="zh-CN"/>
        </w:rPr>
        <w:t>4</w:t>
      </w:r>
      <w:bookmarkEnd w:id="268"/>
      <w:r>
        <w:rPr>
          <w:rFonts w:hint="eastAsia" w:ascii="黑体" w:hAnsi="黑体" w:eastAsia="黑体" w:cs="黑体"/>
          <w:sz w:val="32"/>
          <w:szCs w:val="32"/>
          <w:lang w:val="en-US" w:eastAsia="zh-CN"/>
        </w:rPr>
        <w:br w:type="textWrapping"/>
      </w:r>
    </w:p>
    <w:p w14:paraId="75D74F5D">
      <w:pPr>
        <w:pStyle w:val="3"/>
        <w:bidi w:val="0"/>
        <w:rPr>
          <w:rFonts w:hint="eastAsia"/>
        </w:rPr>
      </w:pPr>
      <w:bookmarkStart w:id="269" w:name="_Toc1966112585"/>
      <w:bookmarkStart w:id="270" w:name="_Toc1068157628"/>
      <w:bookmarkStart w:id="271" w:name="_Toc299266360"/>
      <w:bookmarkStart w:id="272" w:name="_Toc1474292456"/>
      <w:bookmarkStart w:id="273" w:name="_Toc1722686654"/>
      <w:r>
        <w:rPr>
          <w:rFonts w:hint="eastAsia"/>
        </w:rPr>
        <w:t>盐田区地质灾害应急指挥体系流程图</w:t>
      </w:r>
      <w:bookmarkEnd w:id="269"/>
      <w:bookmarkEnd w:id="270"/>
      <w:bookmarkEnd w:id="271"/>
      <w:bookmarkEnd w:id="272"/>
      <w:bookmarkEnd w:id="273"/>
    </w:p>
    <w:p w14:paraId="6F98EBBD">
      <w:pPr>
        <w:pStyle w:val="2"/>
        <w:ind w:firstLine="640"/>
        <w:rPr>
          <w:rFonts w:hint="eastAsia" w:ascii="宋体" w:hAnsi="宋体" w:eastAsia="宋体" w:cs="宋体"/>
          <w:b/>
          <w:bCs/>
        </w:rPr>
        <w:sectPr>
          <w:pgSz w:w="11906" w:h="16838"/>
          <w:pgMar w:top="1440" w:right="1803" w:bottom="1440" w:left="1803" w:header="851" w:footer="992" w:gutter="0"/>
          <w:pgNumType w:fmt="decimal"/>
          <w:cols w:space="0" w:num="1"/>
          <w:docGrid w:type="linesAndChars" w:linePitch="436" w:charSpace="0"/>
        </w:sectPr>
      </w:pPr>
      <w:r>
        <w:rPr>
          <w:rFonts w:hint="eastAsia"/>
        </w:rPr>
        <mc:AlternateContent>
          <mc:Choice Requires="wpg">
            <w:drawing>
              <wp:anchor distT="0" distB="0" distL="114300" distR="114300" simplePos="0" relativeHeight="251659264" behindDoc="0" locked="0" layoutInCell="1" allowOverlap="1">
                <wp:simplePos x="0" y="0"/>
                <wp:positionH relativeFrom="column">
                  <wp:posOffset>266065</wp:posOffset>
                </wp:positionH>
                <wp:positionV relativeFrom="paragraph">
                  <wp:posOffset>692785</wp:posOffset>
                </wp:positionV>
                <wp:extent cx="5438140" cy="5152390"/>
                <wp:effectExtent l="4445" t="4445" r="5715" b="5715"/>
                <wp:wrapNone/>
                <wp:docPr id="1967580291" name="组合 3"/>
                <wp:cNvGraphicFramePr/>
                <a:graphic xmlns:a="http://schemas.openxmlformats.org/drawingml/2006/main">
                  <a:graphicData uri="http://schemas.microsoft.com/office/word/2010/wordprocessingGroup">
                    <wpg:wgp>
                      <wpg:cNvGrpSpPr/>
                      <wpg:grpSpPr>
                        <a:xfrm>
                          <a:off x="0" y="0"/>
                          <a:ext cx="5438140" cy="5152390"/>
                          <a:chOff x="2470" y="2593"/>
                          <a:chExt cx="11614" cy="6631"/>
                        </a:xfrm>
                      </wpg:grpSpPr>
                      <wpg:grpSp>
                        <wpg:cNvPr id="1364690366" name="组合 1120"/>
                        <wpg:cNvGrpSpPr/>
                        <wpg:grpSpPr>
                          <a:xfrm>
                            <a:off x="2470" y="5212"/>
                            <a:ext cx="11614" cy="4012"/>
                            <a:chOff x="2470" y="4815"/>
                            <a:chExt cx="11614" cy="4012"/>
                          </a:xfrm>
                        </wpg:grpSpPr>
                        <wps:wsp>
                          <wps:cNvPr id="698421926" name="矩形 1093"/>
                          <wps:cNvSpPr>
                            <a:spLocks noChangeArrowheads="1"/>
                          </wps:cNvSpPr>
                          <wps:spPr bwMode="auto">
                            <a:xfrm>
                              <a:off x="2470" y="5821"/>
                              <a:ext cx="1805" cy="563"/>
                            </a:xfrm>
                            <a:prstGeom prst="rect">
                              <a:avLst/>
                            </a:prstGeom>
                            <a:solidFill>
                              <a:srgbClr val="FFFFFF"/>
                            </a:solidFill>
                            <a:ln w="9525">
                              <a:solidFill>
                                <a:srgbClr val="000000"/>
                              </a:solidFill>
                              <a:miter lim="800000"/>
                            </a:ln>
                          </wps:spPr>
                          <wps:txbx>
                            <w:txbxContent>
                              <w:p w14:paraId="61B59EFE">
                                <w:pPr>
                                  <w:jc w:val="center"/>
                                  <w:rPr>
                                    <w:rFonts w:ascii="仿宋_GB2312"/>
                                    <w:sz w:val="18"/>
                                    <w:szCs w:val="18"/>
                                  </w:rPr>
                                </w:pPr>
                                <w:r>
                                  <w:rPr>
                                    <w:rFonts w:hint="eastAsia" w:ascii="仿宋_GB2312"/>
                                    <w:sz w:val="18"/>
                                    <w:szCs w:val="18"/>
                                  </w:rPr>
                                  <w:t>临灾应急</w:t>
                                </w:r>
                              </w:p>
                            </w:txbxContent>
                          </wps:txbx>
                          <wps:bodyPr rot="0" vert="horz" wrap="square" lIns="91440" tIns="45720" rIns="91440" bIns="45720" anchor="t" anchorCtr="0" upright="1">
                            <a:noAutofit/>
                          </wps:bodyPr>
                        </wps:wsp>
                        <wps:wsp>
                          <wps:cNvPr id="2030338634" name="矩形 1094"/>
                          <wps:cNvSpPr>
                            <a:spLocks noChangeArrowheads="1"/>
                          </wps:cNvSpPr>
                          <wps:spPr bwMode="auto">
                            <a:xfrm>
                              <a:off x="4962" y="5821"/>
                              <a:ext cx="1805" cy="563"/>
                            </a:xfrm>
                            <a:prstGeom prst="rect">
                              <a:avLst/>
                            </a:prstGeom>
                            <a:solidFill>
                              <a:srgbClr val="FFFFFF"/>
                            </a:solidFill>
                            <a:ln w="9525">
                              <a:solidFill>
                                <a:srgbClr val="000000"/>
                              </a:solidFill>
                              <a:miter lim="800000"/>
                            </a:ln>
                          </wps:spPr>
                          <wps:txbx>
                            <w:txbxContent>
                              <w:p w14:paraId="6A109BBF">
                                <w:pPr>
                                  <w:jc w:val="center"/>
                                  <w:rPr>
                                    <w:rFonts w:ascii="仿宋_GB2312"/>
                                    <w:sz w:val="18"/>
                                    <w:szCs w:val="18"/>
                                  </w:rPr>
                                </w:pPr>
                                <w:r>
                                  <w:rPr>
                                    <w:rFonts w:hint="eastAsia" w:ascii="仿宋_GB2312"/>
                                    <w:sz w:val="18"/>
                                    <w:szCs w:val="18"/>
                                  </w:rPr>
                                  <w:t>一般地质灾害</w:t>
                                </w:r>
                              </w:p>
                            </w:txbxContent>
                          </wps:txbx>
                          <wps:bodyPr rot="0" vert="horz" wrap="square" lIns="91440" tIns="45720" rIns="91440" bIns="45720" anchor="t" anchorCtr="0" upright="1">
                            <a:noAutofit/>
                          </wps:bodyPr>
                        </wps:wsp>
                        <wps:wsp>
                          <wps:cNvPr id="1313110401" name="矩形 1095"/>
                          <wps:cNvSpPr>
                            <a:spLocks noChangeArrowheads="1"/>
                          </wps:cNvSpPr>
                          <wps:spPr bwMode="auto">
                            <a:xfrm>
                              <a:off x="7567" y="5821"/>
                              <a:ext cx="1805" cy="563"/>
                            </a:xfrm>
                            <a:prstGeom prst="rect">
                              <a:avLst/>
                            </a:prstGeom>
                            <a:solidFill>
                              <a:srgbClr val="FFFFFF"/>
                            </a:solidFill>
                            <a:ln w="9525">
                              <a:solidFill>
                                <a:srgbClr val="000000"/>
                              </a:solidFill>
                              <a:miter lim="800000"/>
                            </a:ln>
                          </wps:spPr>
                          <wps:txbx>
                            <w:txbxContent>
                              <w:p w14:paraId="57ABA72C">
                                <w:pPr>
                                  <w:jc w:val="center"/>
                                  <w:rPr>
                                    <w:rFonts w:ascii="仿宋_GB2312"/>
                                    <w:sz w:val="18"/>
                                    <w:szCs w:val="18"/>
                                  </w:rPr>
                                </w:pPr>
                                <w:r>
                                  <w:rPr>
                                    <w:rFonts w:hint="eastAsia" w:ascii="仿宋_GB2312"/>
                                    <w:sz w:val="18"/>
                                    <w:szCs w:val="18"/>
                                  </w:rPr>
                                  <w:t>较大地质灾害</w:t>
                                </w:r>
                              </w:p>
                            </w:txbxContent>
                          </wps:txbx>
                          <wps:bodyPr rot="0" vert="horz" wrap="square" lIns="91440" tIns="45720" rIns="91440" bIns="45720" anchor="t" anchorCtr="0" upright="1">
                            <a:noAutofit/>
                          </wps:bodyPr>
                        </wps:wsp>
                        <wps:wsp>
                          <wps:cNvPr id="1161582906" name="矩形 1096"/>
                          <wps:cNvSpPr>
                            <a:spLocks noChangeArrowheads="1"/>
                          </wps:cNvSpPr>
                          <wps:spPr bwMode="auto">
                            <a:xfrm>
                              <a:off x="9874" y="5821"/>
                              <a:ext cx="1805" cy="563"/>
                            </a:xfrm>
                            <a:prstGeom prst="rect">
                              <a:avLst/>
                            </a:prstGeom>
                            <a:solidFill>
                              <a:srgbClr val="FFFFFF"/>
                            </a:solidFill>
                            <a:ln w="9525">
                              <a:solidFill>
                                <a:srgbClr val="000000"/>
                              </a:solidFill>
                              <a:miter lim="800000"/>
                            </a:ln>
                          </wps:spPr>
                          <wps:txbx>
                            <w:txbxContent>
                              <w:p w14:paraId="6A609019">
                                <w:pPr>
                                  <w:jc w:val="center"/>
                                  <w:rPr>
                                    <w:rFonts w:ascii="仿宋_GB2312"/>
                                    <w:sz w:val="18"/>
                                    <w:szCs w:val="18"/>
                                  </w:rPr>
                                </w:pPr>
                                <w:r>
                                  <w:rPr>
                                    <w:rFonts w:hint="eastAsia" w:ascii="仿宋_GB2312"/>
                                    <w:sz w:val="18"/>
                                    <w:szCs w:val="18"/>
                                  </w:rPr>
                                  <w:t>重大地质灾害</w:t>
                                </w:r>
                              </w:p>
                            </w:txbxContent>
                          </wps:txbx>
                          <wps:bodyPr rot="0" vert="horz" wrap="square" lIns="91440" tIns="45720" rIns="91440" bIns="45720" anchor="t" anchorCtr="0" upright="1">
                            <a:noAutofit/>
                          </wps:bodyPr>
                        </wps:wsp>
                        <wps:wsp>
                          <wps:cNvPr id="389185823" name="矩形 1097"/>
                          <wps:cNvSpPr>
                            <a:spLocks noChangeArrowheads="1"/>
                          </wps:cNvSpPr>
                          <wps:spPr bwMode="auto">
                            <a:xfrm>
                              <a:off x="12178" y="5821"/>
                              <a:ext cx="1906" cy="563"/>
                            </a:xfrm>
                            <a:prstGeom prst="rect">
                              <a:avLst/>
                            </a:prstGeom>
                            <a:solidFill>
                              <a:srgbClr val="FFFFFF"/>
                            </a:solidFill>
                            <a:ln w="9525">
                              <a:solidFill>
                                <a:srgbClr val="000000"/>
                              </a:solidFill>
                              <a:miter lim="800000"/>
                            </a:ln>
                          </wps:spPr>
                          <wps:txbx>
                            <w:txbxContent>
                              <w:p w14:paraId="3AF34982">
                                <w:pPr>
                                  <w:jc w:val="center"/>
                                  <w:rPr>
                                    <w:rFonts w:ascii="仿宋_GB2312"/>
                                    <w:sz w:val="18"/>
                                    <w:szCs w:val="18"/>
                                  </w:rPr>
                                </w:pPr>
                                <w:r>
                                  <w:rPr>
                                    <w:rFonts w:hint="eastAsia" w:ascii="仿宋_GB2312"/>
                                    <w:sz w:val="18"/>
                                    <w:szCs w:val="18"/>
                                  </w:rPr>
                                  <w:t>特别重大地质灾害</w:t>
                                </w:r>
                              </w:p>
                            </w:txbxContent>
                          </wps:txbx>
                          <wps:bodyPr rot="0" vert="horz" wrap="square" lIns="91440" tIns="45720" rIns="91440" bIns="45720" anchor="t" anchorCtr="0" upright="1">
                            <a:noAutofit/>
                          </wps:bodyPr>
                        </wps:wsp>
                        <wps:wsp>
                          <wps:cNvPr id="1891397629" name="直线 1098"/>
                          <wps:cNvCnPr>
                            <a:cxnSpLocks noChangeShapeType="1"/>
                          </wps:cNvCnPr>
                          <wps:spPr bwMode="auto">
                            <a:xfrm>
                              <a:off x="8370" y="4815"/>
                              <a:ext cx="2" cy="1006"/>
                            </a:xfrm>
                            <a:prstGeom prst="line">
                              <a:avLst/>
                            </a:prstGeom>
                            <a:noFill/>
                            <a:ln w="9525">
                              <a:solidFill>
                                <a:srgbClr val="000000"/>
                              </a:solidFill>
                              <a:round/>
                            </a:ln>
                          </wps:spPr>
                          <wps:bodyPr/>
                        </wps:wsp>
                        <wps:wsp>
                          <wps:cNvPr id="1185843199" name="直线 1099"/>
                          <wps:cNvCnPr>
                            <a:cxnSpLocks noChangeShapeType="1"/>
                          </wps:cNvCnPr>
                          <wps:spPr bwMode="auto">
                            <a:xfrm>
                              <a:off x="3859" y="5257"/>
                              <a:ext cx="2" cy="564"/>
                            </a:xfrm>
                            <a:prstGeom prst="line">
                              <a:avLst/>
                            </a:prstGeom>
                            <a:noFill/>
                            <a:ln w="9525">
                              <a:solidFill>
                                <a:srgbClr val="000000"/>
                              </a:solidFill>
                              <a:round/>
                            </a:ln>
                          </wps:spPr>
                          <wps:bodyPr/>
                        </wps:wsp>
                        <wps:wsp>
                          <wps:cNvPr id="1489800255" name="直线 1100"/>
                          <wps:cNvCnPr>
                            <a:cxnSpLocks noChangeShapeType="1"/>
                          </wps:cNvCnPr>
                          <wps:spPr bwMode="auto">
                            <a:xfrm>
                              <a:off x="3859" y="5257"/>
                              <a:ext cx="9222" cy="1"/>
                            </a:xfrm>
                            <a:prstGeom prst="line">
                              <a:avLst/>
                            </a:prstGeom>
                            <a:noFill/>
                            <a:ln w="9525">
                              <a:solidFill>
                                <a:srgbClr val="000000"/>
                              </a:solidFill>
                              <a:round/>
                            </a:ln>
                          </wps:spPr>
                          <wps:bodyPr/>
                        </wps:wsp>
                        <wps:wsp>
                          <wps:cNvPr id="938309496" name="直线 1101"/>
                          <wps:cNvCnPr>
                            <a:cxnSpLocks noChangeShapeType="1"/>
                          </wps:cNvCnPr>
                          <wps:spPr bwMode="auto">
                            <a:xfrm>
                              <a:off x="5821" y="5257"/>
                              <a:ext cx="1" cy="564"/>
                            </a:xfrm>
                            <a:prstGeom prst="line">
                              <a:avLst/>
                            </a:prstGeom>
                            <a:noFill/>
                            <a:ln w="9525">
                              <a:solidFill>
                                <a:srgbClr val="000000"/>
                              </a:solidFill>
                              <a:round/>
                            </a:ln>
                          </wps:spPr>
                          <wps:bodyPr/>
                        </wps:wsp>
                        <wps:wsp>
                          <wps:cNvPr id="787303844" name="直线 1102"/>
                          <wps:cNvCnPr>
                            <a:cxnSpLocks noChangeShapeType="1"/>
                          </wps:cNvCnPr>
                          <wps:spPr bwMode="auto">
                            <a:xfrm>
                              <a:off x="10776" y="5257"/>
                              <a:ext cx="2" cy="564"/>
                            </a:xfrm>
                            <a:prstGeom prst="line">
                              <a:avLst/>
                            </a:prstGeom>
                            <a:noFill/>
                            <a:ln w="9525">
                              <a:solidFill>
                                <a:srgbClr val="000000"/>
                              </a:solidFill>
                              <a:round/>
                            </a:ln>
                          </wps:spPr>
                          <wps:bodyPr/>
                        </wps:wsp>
                        <wps:wsp>
                          <wps:cNvPr id="1404695132" name="直线 1103"/>
                          <wps:cNvCnPr>
                            <a:cxnSpLocks noChangeShapeType="1"/>
                          </wps:cNvCnPr>
                          <wps:spPr bwMode="auto">
                            <a:xfrm>
                              <a:off x="13081" y="5257"/>
                              <a:ext cx="2" cy="564"/>
                            </a:xfrm>
                            <a:prstGeom prst="line">
                              <a:avLst/>
                            </a:prstGeom>
                            <a:noFill/>
                            <a:ln w="9525">
                              <a:solidFill>
                                <a:srgbClr val="000000"/>
                              </a:solidFill>
                              <a:round/>
                            </a:ln>
                          </wps:spPr>
                          <wps:bodyPr/>
                        </wps:wsp>
                        <wps:wsp>
                          <wps:cNvPr id="1210131619" name="直线 1104"/>
                          <wps:cNvCnPr>
                            <a:cxnSpLocks noChangeShapeType="1"/>
                          </wps:cNvCnPr>
                          <wps:spPr bwMode="auto">
                            <a:xfrm>
                              <a:off x="5562" y="6384"/>
                              <a:ext cx="1" cy="987"/>
                            </a:xfrm>
                            <a:prstGeom prst="line">
                              <a:avLst/>
                            </a:prstGeom>
                            <a:noFill/>
                            <a:ln w="9525">
                              <a:solidFill>
                                <a:srgbClr val="000000"/>
                              </a:solidFill>
                              <a:round/>
                            </a:ln>
                          </wps:spPr>
                          <wps:bodyPr/>
                        </wps:wsp>
                        <wps:wsp>
                          <wps:cNvPr id="1255711082" name="直线 1105"/>
                          <wps:cNvCnPr>
                            <a:cxnSpLocks noChangeShapeType="1"/>
                          </wps:cNvCnPr>
                          <wps:spPr bwMode="auto">
                            <a:xfrm>
                              <a:off x="6270" y="6384"/>
                              <a:ext cx="1" cy="987"/>
                            </a:xfrm>
                            <a:prstGeom prst="line">
                              <a:avLst/>
                            </a:prstGeom>
                            <a:noFill/>
                            <a:ln w="9525">
                              <a:solidFill>
                                <a:srgbClr val="000000"/>
                              </a:solidFill>
                              <a:round/>
                            </a:ln>
                          </wps:spPr>
                          <wps:bodyPr/>
                        </wps:wsp>
                        <wps:wsp>
                          <wps:cNvPr id="1344270250" name="直线 1106"/>
                          <wps:cNvCnPr>
                            <a:cxnSpLocks noChangeShapeType="1"/>
                          </wps:cNvCnPr>
                          <wps:spPr bwMode="auto">
                            <a:xfrm>
                              <a:off x="8370" y="6384"/>
                              <a:ext cx="2" cy="564"/>
                            </a:xfrm>
                            <a:prstGeom prst="line">
                              <a:avLst/>
                            </a:prstGeom>
                            <a:noFill/>
                            <a:ln w="9525">
                              <a:solidFill>
                                <a:srgbClr val="000000"/>
                              </a:solidFill>
                              <a:round/>
                            </a:ln>
                          </wps:spPr>
                          <wps:bodyPr/>
                        </wps:wsp>
                        <wps:wsp>
                          <wps:cNvPr id="840344233" name="直线 1107"/>
                          <wps:cNvCnPr>
                            <a:cxnSpLocks noChangeShapeType="1"/>
                          </wps:cNvCnPr>
                          <wps:spPr bwMode="auto">
                            <a:xfrm>
                              <a:off x="10776" y="6384"/>
                              <a:ext cx="2" cy="564"/>
                            </a:xfrm>
                            <a:prstGeom prst="line">
                              <a:avLst/>
                            </a:prstGeom>
                            <a:noFill/>
                            <a:ln w="9525">
                              <a:solidFill>
                                <a:srgbClr val="000000"/>
                              </a:solidFill>
                              <a:round/>
                            </a:ln>
                          </wps:spPr>
                          <wps:bodyPr/>
                        </wps:wsp>
                        <wps:wsp>
                          <wps:cNvPr id="1354194147" name="直线 1108"/>
                          <wps:cNvCnPr>
                            <a:cxnSpLocks noChangeShapeType="1"/>
                          </wps:cNvCnPr>
                          <wps:spPr bwMode="auto">
                            <a:xfrm>
                              <a:off x="13081" y="6384"/>
                              <a:ext cx="2" cy="564"/>
                            </a:xfrm>
                            <a:prstGeom prst="line">
                              <a:avLst/>
                            </a:prstGeom>
                            <a:noFill/>
                            <a:ln w="9525">
                              <a:solidFill>
                                <a:srgbClr val="000000"/>
                              </a:solidFill>
                              <a:round/>
                            </a:ln>
                          </wps:spPr>
                          <wps:bodyPr/>
                        </wps:wsp>
                        <wps:wsp>
                          <wps:cNvPr id="1243449369" name="矩形 1109"/>
                          <wps:cNvSpPr>
                            <a:spLocks noChangeArrowheads="1"/>
                          </wps:cNvSpPr>
                          <wps:spPr bwMode="auto">
                            <a:xfrm>
                              <a:off x="4562" y="7373"/>
                              <a:ext cx="1260" cy="1454"/>
                            </a:xfrm>
                            <a:prstGeom prst="rect">
                              <a:avLst/>
                            </a:prstGeom>
                            <a:solidFill>
                              <a:srgbClr val="FFFFFF"/>
                            </a:solidFill>
                            <a:ln w="9525">
                              <a:solidFill>
                                <a:srgbClr val="000000"/>
                              </a:solidFill>
                              <a:miter lim="800000"/>
                            </a:ln>
                          </wps:spPr>
                          <wps:txbx>
                            <w:txbxContent>
                              <w:p w14:paraId="17EAB874">
                                <w:pPr>
                                  <w:spacing w:line="240" w:lineRule="exact"/>
                                  <w:jc w:val="center"/>
                                  <w:rPr>
                                    <w:rFonts w:ascii="仿宋_GB2312"/>
                                    <w:sz w:val="18"/>
                                    <w:szCs w:val="18"/>
                                  </w:rPr>
                                </w:pPr>
                                <w:r>
                                  <w:rPr>
                                    <w:rFonts w:hint="eastAsia" w:ascii="仿宋_GB2312"/>
                                    <w:sz w:val="18"/>
                                    <w:szCs w:val="18"/>
                                  </w:rPr>
                                  <w:t>各街道办、防治责任单位组织处置，</w:t>
                                </w:r>
                                <w:r>
                                  <w:rPr>
                                    <w:rFonts w:hint="eastAsia" w:ascii="仿宋_GB2312"/>
                                    <w:sz w:val="18"/>
                                    <w:szCs w:val="18"/>
                                    <w:lang w:eastAsia="zh-CN"/>
                                  </w:rPr>
                                  <w:t>区指挥部</w:t>
                                </w:r>
                                <w:r>
                                  <w:rPr>
                                    <w:rFonts w:hint="eastAsia" w:ascii="仿宋_GB2312"/>
                                    <w:sz w:val="18"/>
                                    <w:szCs w:val="18"/>
                                  </w:rPr>
                                  <w:t>支持</w:t>
                                </w:r>
                              </w:p>
                            </w:txbxContent>
                          </wps:txbx>
                          <wps:bodyPr rot="0" vert="horz" wrap="square" lIns="91440" tIns="45720" rIns="91440" bIns="45720" anchor="t" anchorCtr="0" upright="1">
                            <a:noAutofit/>
                          </wps:bodyPr>
                        </wps:wsp>
                        <wps:wsp>
                          <wps:cNvPr id="303450599" name="矩形 1110"/>
                          <wps:cNvSpPr>
                            <a:spLocks noChangeArrowheads="1"/>
                          </wps:cNvSpPr>
                          <wps:spPr bwMode="auto">
                            <a:xfrm>
                              <a:off x="2470" y="6948"/>
                              <a:ext cx="1805" cy="1404"/>
                            </a:xfrm>
                            <a:prstGeom prst="rect">
                              <a:avLst/>
                            </a:prstGeom>
                            <a:solidFill>
                              <a:srgbClr val="FFFFFF"/>
                            </a:solidFill>
                            <a:ln w="9525">
                              <a:solidFill>
                                <a:srgbClr val="000000"/>
                              </a:solidFill>
                              <a:miter lim="800000"/>
                            </a:ln>
                          </wps:spPr>
                          <wps:txbx>
                            <w:txbxContent>
                              <w:p w14:paraId="46DC16BA">
                                <w:pPr>
                                  <w:spacing w:line="240" w:lineRule="exact"/>
                                  <w:jc w:val="center"/>
                                  <w:rPr>
                                    <w:rFonts w:ascii="仿宋_GB2312"/>
                                    <w:sz w:val="18"/>
                                    <w:szCs w:val="18"/>
                                  </w:rPr>
                                </w:pPr>
                                <w:r>
                                  <w:rPr>
                                    <w:rFonts w:hint="eastAsia" w:ascii="仿宋_GB2312"/>
                                    <w:sz w:val="18"/>
                                    <w:szCs w:val="18"/>
                                  </w:rPr>
                                  <w:t>各街道办、防治责任单位、区启动相应地质灾害应急预案处理</w:t>
                                </w:r>
                              </w:p>
                            </w:txbxContent>
                          </wps:txbx>
                          <wps:bodyPr rot="0" vert="horz" wrap="square" lIns="91440" tIns="45720" rIns="91440" bIns="45720" anchor="t" anchorCtr="0" upright="1">
                            <a:noAutofit/>
                          </wps:bodyPr>
                        </wps:wsp>
                        <wps:wsp>
                          <wps:cNvPr id="1363231295" name="矩形 1111"/>
                          <wps:cNvSpPr>
                            <a:spLocks noChangeArrowheads="1"/>
                          </wps:cNvSpPr>
                          <wps:spPr bwMode="auto">
                            <a:xfrm>
                              <a:off x="5995" y="7371"/>
                              <a:ext cx="1220" cy="1322"/>
                            </a:xfrm>
                            <a:prstGeom prst="rect">
                              <a:avLst/>
                            </a:prstGeom>
                            <a:solidFill>
                              <a:srgbClr val="FFFFFF"/>
                            </a:solidFill>
                            <a:ln w="9525">
                              <a:solidFill>
                                <a:srgbClr val="000000"/>
                              </a:solidFill>
                              <a:miter lim="800000"/>
                            </a:ln>
                          </wps:spPr>
                          <wps:txbx>
                            <w:txbxContent>
                              <w:p w14:paraId="2715DB32">
                                <w:pPr>
                                  <w:spacing w:line="240" w:lineRule="exact"/>
                                  <w:ind w:left="-83" w:leftChars="-26" w:right="-109" w:rightChars="-34"/>
                                  <w:jc w:val="center"/>
                                  <w:rPr>
                                    <w:rFonts w:ascii="仿宋_GB2312"/>
                                    <w:sz w:val="18"/>
                                    <w:szCs w:val="18"/>
                                  </w:rPr>
                                </w:pPr>
                                <w:r>
                                  <w:rPr>
                                    <w:rFonts w:hint="eastAsia" w:ascii="仿宋_GB2312"/>
                                    <w:sz w:val="18"/>
                                    <w:szCs w:val="18"/>
                                    <w:lang w:eastAsia="zh-CN"/>
                                  </w:rPr>
                                  <w:t>区指挥部</w:t>
                                </w:r>
                                <w:r>
                                  <w:rPr>
                                    <w:rFonts w:hint="eastAsia" w:ascii="仿宋_GB2312"/>
                                    <w:sz w:val="18"/>
                                    <w:szCs w:val="18"/>
                                  </w:rPr>
                                  <w:t>组织处置，市规划和自然资源局支持</w:t>
                                </w:r>
                              </w:p>
                            </w:txbxContent>
                          </wps:txbx>
                          <wps:bodyPr rot="0" vert="horz" wrap="square" lIns="91440" tIns="45720" rIns="91440" bIns="45720" anchor="t" anchorCtr="0" upright="1">
                            <a:noAutofit/>
                          </wps:bodyPr>
                        </wps:wsp>
                        <wps:wsp>
                          <wps:cNvPr id="201398313" name="直线 1112"/>
                          <wps:cNvCnPr>
                            <a:cxnSpLocks noChangeShapeType="1"/>
                          </wps:cNvCnPr>
                          <wps:spPr bwMode="auto">
                            <a:xfrm>
                              <a:off x="3859" y="6384"/>
                              <a:ext cx="1" cy="564"/>
                            </a:xfrm>
                            <a:prstGeom prst="line">
                              <a:avLst/>
                            </a:prstGeom>
                            <a:noFill/>
                            <a:ln w="9525">
                              <a:solidFill>
                                <a:srgbClr val="000000"/>
                              </a:solidFill>
                              <a:round/>
                            </a:ln>
                          </wps:spPr>
                          <wps:bodyPr/>
                        </wps:wsp>
                        <wps:wsp>
                          <wps:cNvPr id="1196803466" name="矩形 1113"/>
                          <wps:cNvSpPr>
                            <a:spLocks noChangeArrowheads="1"/>
                          </wps:cNvSpPr>
                          <wps:spPr bwMode="auto">
                            <a:xfrm>
                              <a:off x="7568" y="6948"/>
                              <a:ext cx="1804" cy="1008"/>
                            </a:xfrm>
                            <a:prstGeom prst="rect">
                              <a:avLst/>
                            </a:prstGeom>
                            <a:solidFill>
                              <a:srgbClr val="FFFFFF"/>
                            </a:solidFill>
                            <a:ln w="9525">
                              <a:solidFill>
                                <a:srgbClr val="000000"/>
                              </a:solidFill>
                              <a:miter lim="800000"/>
                            </a:ln>
                          </wps:spPr>
                          <wps:txbx>
                            <w:txbxContent>
                              <w:p w14:paraId="6D0FEC59">
                                <w:pPr>
                                  <w:spacing w:line="240" w:lineRule="exact"/>
                                  <w:jc w:val="center"/>
                                  <w:rPr>
                                    <w:rFonts w:ascii="仿宋_GB2312"/>
                                    <w:sz w:val="18"/>
                                    <w:szCs w:val="18"/>
                                  </w:rPr>
                                </w:pPr>
                                <w:r>
                                  <w:rPr>
                                    <w:rFonts w:hint="eastAsia" w:ascii="仿宋_GB2312"/>
                                    <w:sz w:val="18"/>
                                    <w:szCs w:val="18"/>
                                  </w:rPr>
                                  <w:t>市地质灾害</w:t>
                                </w:r>
                                <w:r>
                                  <w:rPr>
                                    <w:rFonts w:hint="eastAsia" w:ascii="仿宋_GB2312"/>
                                    <w:sz w:val="18"/>
                                    <w:szCs w:val="18"/>
                                    <w:lang w:eastAsia="zh-CN"/>
                                  </w:rPr>
                                  <w:t>应急指挥部</w:t>
                                </w:r>
                                <w:r>
                                  <w:rPr>
                                    <w:rFonts w:hint="eastAsia" w:ascii="仿宋_GB2312"/>
                                    <w:sz w:val="18"/>
                                    <w:szCs w:val="18"/>
                                  </w:rPr>
                                  <w:t>组织处置，区、街道配合</w:t>
                                </w:r>
                              </w:p>
                            </w:txbxContent>
                          </wps:txbx>
                          <wps:bodyPr rot="0" vert="horz" wrap="square" lIns="91440" tIns="45720" rIns="91440" bIns="45720" anchor="t" anchorCtr="0" upright="1">
                            <a:noAutofit/>
                          </wps:bodyPr>
                        </wps:wsp>
                        <wps:wsp>
                          <wps:cNvPr id="751570914" name="矩形 1114"/>
                          <wps:cNvSpPr>
                            <a:spLocks noChangeArrowheads="1"/>
                          </wps:cNvSpPr>
                          <wps:spPr bwMode="auto">
                            <a:xfrm>
                              <a:off x="9804" y="6948"/>
                              <a:ext cx="1942" cy="1092"/>
                            </a:xfrm>
                            <a:prstGeom prst="rect">
                              <a:avLst/>
                            </a:prstGeom>
                            <a:solidFill>
                              <a:srgbClr val="FFFFFF"/>
                            </a:solidFill>
                            <a:ln w="9525">
                              <a:solidFill>
                                <a:srgbClr val="000000"/>
                              </a:solidFill>
                              <a:miter lim="800000"/>
                            </a:ln>
                          </wps:spPr>
                          <wps:txbx>
                            <w:txbxContent>
                              <w:p w14:paraId="63BB88E0">
                                <w:pPr>
                                  <w:spacing w:line="240" w:lineRule="exact"/>
                                  <w:jc w:val="center"/>
                                  <w:rPr>
                                    <w:rFonts w:ascii="仿宋_GB2312"/>
                                    <w:sz w:val="18"/>
                                    <w:szCs w:val="18"/>
                                  </w:rPr>
                                </w:pPr>
                                <w:r>
                                  <w:rPr>
                                    <w:rFonts w:hint="eastAsia" w:ascii="仿宋_GB2312"/>
                                    <w:sz w:val="18"/>
                                    <w:szCs w:val="18"/>
                                  </w:rPr>
                                  <w:t>市突发事件委员会组织处置，省支持，区、街道配合</w:t>
                                </w:r>
                              </w:p>
                              <w:p w14:paraId="087CAAB1">
                                <w:pPr>
                                  <w:spacing w:line="240" w:lineRule="exact"/>
                                </w:pPr>
                              </w:p>
                            </w:txbxContent>
                          </wps:txbx>
                          <wps:bodyPr rot="0" vert="horz" wrap="square" lIns="91440" tIns="45720" rIns="91440" bIns="45720" anchor="t" anchorCtr="0" upright="1">
                            <a:noAutofit/>
                          </wps:bodyPr>
                        </wps:wsp>
                        <wps:wsp>
                          <wps:cNvPr id="296032156" name="矩形 1115"/>
                          <wps:cNvSpPr>
                            <a:spLocks noChangeArrowheads="1"/>
                          </wps:cNvSpPr>
                          <wps:spPr bwMode="auto">
                            <a:xfrm>
                              <a:off x="12178" y="6948"/>
                              <a:ext cx="1906" cy="1008"/>
                            </a:xfrm>
                            <a:prstGeom prst="rect">
                              <a:avLst/>
                            </a:prstGeom>
                            <a:solidFill>
                              <a:srgbClr val="FFFFFF"/>
                            </a:solidFill>
                            <a:ln w="9525">
                              <a:solidFill>
                                <a:srgbClr val="000000"/>
                              </a:solidFill>
                              <a:miter lim="800000"/>
                            </a:ln>
                          </wps:spPr>
                          <wps:txbx>
                            <w:txbxContent>
                              <w:p w14:paraId="166DE929">
                                <w:pPr>
                                  <w:spacing w:line="240" w:lineRule="exact"/>
                                  <w:rPr>
                                    <w:sz w:val="18"/>
                                    <w:szCs w:val="18"/>
                                  </w:rPr>
                                </w:pPr>
                                <w:r>
                                  <w:rPr>
                                    <w:rFonts w:hint="eastAsia" w:ascii="仿宋_GB2312"/>
                                    <w:sz w:val="18"/>
                                    <w:szCs w:val="18"/>
                                  </w:rPr>
                                  <w:t>省、市组织处置，中央、省支持，区、街道配合</w:t>
                                </w:r>
                              </w:p>
                            </w:txbxContent>
                          </wps:txbx>
                          <wps:bodyPr rot="0" vert="horz" wrap="square" lIns="91440" tIns="45720" rIns="91440" bIns="45720" anchor="t" anchorCtr="0" upright="1">
                            <a:noAutofit/>
                          </wps:bodyPr>
                        </wps:wsp>
                        <wps:wsp>
                          <wps:cNvPr id="451685779" name="矩形 1088"/>
                          <wps:cNvSpPr>
                            <a:spLocks noChangeArrowheads="1"/>
                          </wps:cNvSpPr>
                          <wps:spPr bwMode="auto">
                            <a:xfrm>
                              <a:off x="4587" y="6633"/>
                              <a:ext cx="896" cy="663"/>
                            </a:xfrm>
                            <a:prstGeom prst="rect">
                              <a:avLst/>
                            </a:prstGeom>
                            <a:solidFill>
                              <a:srgbClr val="FFFFFF"/>
                            </a:solidFill>
                            <a:ln>
                              <a:noFill/>
                            </a:ln>
                          </wps:spPr>
                          <wps:txbx>
                            <w:txbxContent>
                              <w:p w14:paraId="6152D363">
                                <w:pPr>
                                  <w:spacing w:line="240" w:lineRule="exact"/>
                                  <w:jc w:val="center"/>
                                  <w:rPr>
                                    <w:rFonts w:ascii="仿宋_GB2312"/>
                                    <w:sz w:val="18"/>
                                    <w:szCs w:val="18"/>
                                  </w:rPr>
                                </w:pPr>
                                <w:r>
                                  <w:rPr>
                                    <w:rFonts w:hint="eastAsia" w:ascii="仿宋_GB2312"/>
                                    <w:sz w:val="18"/>
                                    <w:szCs w:val="18"/>
                                  </w:rPr>
                                  <w:t>无人员</w:t>
                                </w:r>
                              </w:p>
                              <w:p w14:paraId="78E79CAE">
                                <w:pPr>
                                  <w:spacing w:line="240" w:lineRule="exact"/>
                                  <w:jc w:val="center"/>
                                  <w:rPr>
                                    <w:rFonts w:ascii="仿宋_GB2312"/>
                                    <w:sz w:val="18"/>
                                    <w:szCs w:val="18"/>
                                  </w:rPr>
                                </w:pPr>
                                <w:r>
                                  <w:rPr>
                                    <w:rFonts w:hint="eastAsia" w:ascii="仿宋_GB2312"/>
                                    <w:sz w:val="18"/>
                                    <w:szCs w:val="18"/>
                                  </w:rPr>
                                  <w:t>伤亡</w:t>
                                </w:r>
                              </w:p>
                            </w:txbxContent>
                          </wps:txbx>
                          <wps:bodyPr rot="0" vert="horz" wrap="square" lIns="91440" tIns="45720" rIns="91440" bIns="45720" anchor="t" anchorCtr="0" upright="1">
                            <a:noAutofit/>
                          </wps:bodyPr>
                        </wps:wsp>
                        <wps:wsp>
                          <wps:cNvPr id="230511598" name="矩形 1088"/>
                          <wps:cNvSpPr>
                            <a:spLocks noChangeArrowheads="1"/>
                          </wps:cNvSpPr>
                          <wps:spPr bwMode="auto">
                            <a:xfrm>
                              <a:off x="6380" y="6600"/>
                              <a:ext cx="835" cy="696"/>
                            </a:xfrm>
                            <a:prstGeom prst="rect">
                              <a:avLst/>
                            </a:prstGeom>
                            <a:solidFill>
                              <a:srgbClr val="FFFFFF"/>
                            </a:solidFill>
                            <a:ln>
                              <a:noFill/>
                            </a:ln>
                          </wps:spPr>
                          <wps:txbx>
                            <w:txbxContent>
                              <w:p w14:paraId="575598CD">
                                <w:pPr>
                                  <w:spacing w:line="240" w:lineRule="exact"/>
                                  <w:jc w:val="center"/>
                                  <w:rPr>
                                    <w:rFonts w:ascii="仿宋_GB2312"/>
                                    <w:sz w:val="18"/>
                                    <w:szCs w:val="18"/>
                                  </w:rPr>
                                </w:pPr>
                                <w:r>
                                  <w:rPr>
                                    <w:rFonts w:hint="eastAsia" w:ascii="仿宋_GB2312"/>
                                    <w:sz w:val="18"/>
                                    <w:szCs w:val="18"/>
                                  </w:rPr>
                                  <w:t>有人员</w:t>
                                </w:r>
                              </w:p>
                              <w:p w14:paraId="225272EF">
                                <w:pPr>
                                  <w:spacing w:line="240" w:lineRule="exact"/>
                                  <w:jc w:val="center"/>
                                  <w:rPr>
                                    <w:rFonts w:ascii="仿宋_GB2312"/>
                                    <w:sz w:val="18"/>
                                    <w:szCs w:val="18"/>
                                  </w:rPr>
                                </w:pPr>
                                <w:r>
                                  <w:rPr>
                                    <w:rFonts w:hint="eastAsia" w:ascii="仿宋_GB2312"/>
                                    <w:sz w:val="18"/>
                                    <w:szCs w:val="18"/>
                                  </w:rPr>
                                  <w:t>伤亡</w:t>
                                </w:r>
                              </w:p>
                            </w:txbxContent>
                          </wps:txbx>
                          <wps:bodyPr rot="0" vert="horz" wrap="square" lIns="91440" tIns="45720" rIns="91440" bIns="45720" anchor="t" anchorCtr="0" upright="1">
                            <a:noAutofit/>
                          </wps:bodyPr>
                        </wps:wsp>
                      </wpg:grpSp>
                      <wpg:grpSp>
                        <wpg:cNvPr id="825585307" name="组合 1146"/>
                        <wpg:cNvGrpSpPr/>
                        <wpg:grpSpPr>
                          <a:xfrm>
                            <a:off x="2756" y="2593"/>
                            <a:ext cx="8347" cy="2619"/>
                            <a:chOff x="2756" y="2593"/>
                            <a:chExt cx="8347" cy="2619"/>
                          </a:xfrm>
                        </wpg:grpSpPr>
                        <wps:wsp>
                          <wps:cNvPr id="382036400" name="矩形 1088"/>
                          <wps:cNvSpPr>
                            <a:spLocks noChangeArrowheads="1"/>
                          </wps:cNvSpPr>
                          <wps:spPr bwMode="auto">
                            <a:xfrm>
                              <a:off x="7567" y="2593"/>
                              <a:ext cx="1606" cy="423"/>
                            </a:xfrm>
                            <a:prstGeom prst="rect">
                              <a:avLst/>
                            </a:prstGeom>
                            <a:solidFill>
                              <a:srgbClr val="FFFFFF"/>
                            </a:solidFill>
                            <a:ln w="9525">
                              <a:solidFill>
                                <a:srgbClr val="000000"/>
                              </a:solidFill>
                              <a:miter lim="800000"/>
                            </a:ln>
                          </wps:spPr>
                          <wps:txbx>
                            <w:txbxContent>
                              <w:p w14:paraId="4319D686">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仿宋_GB2312" w:eastAsia="仿宋_GB2312"/>
                                    <w:sz w:val="18"/>
                                    <w:szCs w:val="18"/>
                                    <w:lang w:eastAsia="zh-CN"/>
                                  </w:rPr>
                                </w:pPr>
                                <w:r>
                                  <w:rPr>
                                    <w:rFonts w:hint="eastAsia" w:ascii="仿宋_GB2312"/>
                                    <w:sz w:val="18"/>
                                    <w:szCs w:val="18"/>
                                  </w:rPr>
                                  <w:t>接</w:t>
                                </w:r>
                                <w:r>
                                  <w:rPr>
                                    <w:rFonts w:hint="eastAsia" w:ascii="仿宋_GB2312"/>
                                    <w:sz w:val="18"/>
                                    <w:szCs w:val="18"/>
                                    <w:lang w:eastAsia="zh-CN"/>
                                  </w:rPr>
                                  <w:t>报</w:t>
                                </w:r>
                              </w:p>
                            </w:txbxContent>
                          </wps:txbx>
                          <wps:bodyPr rot="0" vert="horz" wrap="square" lIns="91440" tIns="45720" rIns="91440" bIns="45720" anchor="t" anchorCtr="0" upright="1">
                            <a:noAutofit/>
                          </wps:bodyPr>
                        </wps:wsp>
                        <wps:wsp>
                          <wps:cNvPr id="1085695178" name="矩形 1089"/>
                          <wps:cNvSpPr>
                            <a:spLocks noChangeArrowheads="1"/>
                          </wps:cNvSpPr>
                          <wps:spPr bwMode="auto">
                            <a:xfrm>
                              <a:off x="2756" y="3691"/>
                              <a:ext cx="1806" cy="564"/>
                            </a:xfrm>
                            <a:prstGeom prst="rect">
                              <a:avLst/>
                            </a:prstGeom>
                            <a:solidFill>
                              <a:srgbClr val="FFFFFF"/>
                            </a:solidFill>
                            <a:ln w="9525">
                              <a:solidFill>
                                <a:srgbClr val="000000"/>
                              </a:solidFill>
                              <a:miter lim="800000"/>
                            </a:ln>
                          </wps:spPr>
                          <wps:txbx>
                            <w:txbxContent>
                              <w:p w14:paraId="4327D01F">
                                <w:pPr>
                                  <w:jc w:val="center"/>
                                  <w:rPr>
                                    <w:rFonts w:ascii="仿宋_GB2312"/>
                                    <w:sz w:val="18"/>
                                    <w:szCs w:val="18"/>
                                  </w:rPr>
                                </w:pPr>
                                <w:r>
                                  <w:rPr>
                                    <w:rFonts w:hint="eastAsia" w:ascii="仿宋_GB2312"/>
                                    <w:sz w:val="18"/>
                                    <w:szCs w:val="18"/>
                                  </w:rPr>
                                  <w:t>关闭应急程序</w:t>
                                </w:r>
                              </w:p>
                            </w:txbxContent>
                          </wps:txbx>
                          <wps:bodyPr rot="0" vert="horz" wrap="square" lIns="91440" tIns="45720" rIns="91440" bIns="45720" anchor="t" anchorCtr="0" upright="1">
                            <a:noAutofit/>
                          </wps:bodyPr>
                        </wps:wsp>
                        <wps:wsp>
                          <wps:cNvPr id="2104986554" name="矩形 1090"/>
                          <wps:cNvSpPr>
                            <a:spLocks noChangeArrowheads="1"/>
                          </wps:cNvSpPr>
                          <wps:spPr bwMode="auto">
                            <a:xfrm>
                              <a:off x="5483" y="4648"/>
                              <a:ext cx="5620" cy="564"/>
                            </a:xfrm>
                            <a:prstGeom prst="rect">
                              <a:avLst/>
                            </a:prstGeom>
                            <a:solidFill>
                              <a:srgbClr val="FFFFFF"/>
                            </a:solidFill>
                            <a:ln w="9525">
                              <a:solidFill>
                                <a:srgbClr val="000000"/>
                              </a:solidFill>
                              <a:miter lim="800000"/>
                            </a:ln>
                          </wps:spPr>
                          <wps:txbx>
                            <w:txbxContent>
                              <w:p w14:paraId="440E6896">
                                <w:pPr>
                                  <w:jc w:val="center"/>
                                  <w:rPr>
                                    <w:rFonts w:ascii="仿宋_GB2312"/>
                                    <w:sz w:val="18"/>
                                    <w:szCs w:val="18"/>
                                  </w:rPr>
                                </w:pPr>
                                <w:r>
                                  <w:rPr>
                                    <w:rFonts w:hint="eastAsia" w:ascii="仿宋_GB2312"/>
                                    <w:sz w:val="18"/>
                                    <w:szCs w:val="18"/>
                                  </w:rPr>
                                  <w:t>防治责任单位、街道办先期处置，初步判定地质灾害等级</w:t>
                                </w:r>
                              </w:p>
                            </w:txbxContent>
                          </wps:txbx>
                          <wps:bodyPr rot="0" vert="horz" wrap="square" lIns="91440" tIns="45720" rIns="91440" bIns="45720" anchor="t" anchorCtr="0" upright="1">
                            <a:noAutofit/>
                          </wps:bodyPr>
                        </wps:wsp>
                        <wps:wsp>
                          <wps:cNvPr id="1080028065" name="直线 1091"/>
                          <wps:cNvCnPr>
                            <a:cxnSpLocks noChangeShapeType="1"/>
                          </wps:cNvCnPr>
                          <wps:spPr bwMode="auto">
                            <a:xfrm>
                              <a:off x="4562" y="3973"/>
                              <a:ext cx="3808" cy="2"/>
                            </a:xfrm>
                            <a:prstGeom prst="line">
                              <a:avLst/>
                            </a:prstGeom>
                            <a:noFill/>
                            <a:ln w="9525">
                              <a:solidFill>
                                <a:srgbClr val="000000"/>
                              </a:solidFill>
                              <a:round/>
                            </a:ln>
                          </wps:spPr>
                          <wps:bodyPr/>
                        </wps:wsp>
                        <wps:wsp>
                          <wps:cNvPr id="557873934" name="直线 1092"/>
                          <wps:cNvCnPr>
                            <a:cxnSpLocks noChangeShapeType="1"/>
                          </wps:cNvCnPr>
                          <wps:spPr bwMode="auto">
                            <a:xfrm>
                              <a:off x="8370" y="3691"/>
                              <a:ext cx="0" cy="957"/>
                            </a:xfrm>
                            <a:prstGeom prst="line">
                              <a:avLst/>
                            </a:prstGeom>
                            <a:noFill/>
                            <a:ln w="9525">
                              <a:solidFill>
                                <a:srgbClr val="000000"/>
                              </a:solidFill>
                              <a:round/>
                            </a:ln>
                          </wps:spPr>
                          <wps:bodyPr/>
                        </wps:wsp>
                        <wps:wsp>
                          <wps:cNvPr id="1645309426" name="矩形 1116"/>
                          <wps:cNvSpPr>
                            <a:spLocks noChangeArrowheads="1"/>
                          </wps:cNvSpPr>
                          <wps:spPr bwMode="auto">
                            <a:xfrm>
                              <a:off x="7627" y="3390"/>
                              <a:ext cx="1546" cy="423"/>
                            </a:xfrm>
                            <a:prstGeom prst="rect">
                              <a:avLst/>
                            </a:prstGeom>
                            <a:solidFill>
                              <a:srgbClr val="FFFFFF"/>
                            </a:solidFill>
                            <a:ln w="9525">
                              <a:solidFill>
                                <a:srgbClr val="000000"/>
                              </a:solidFill>
                              <a:miter lim="800000"/>
                            </a:ln>
                          </wps:spPr>
                          <wps:txbx>
                            <w:txbxContent>
                              <w:p w14:paraId="283FC580">
                                <w:pPr>
                                  <w:spacing w:line="240" w:lineRule="exact"/>
                                  <w:jc w:val="center"/>
                                  <w:rPr>
                                    <w:rFonts w:ascii="仿宋_GB2312"/>
                                    <w:sz w:val="18"/>
                                    <w:szCs w:val="18"/>
                                  </w:rPr>
                                </w:pPr>
                                <w:r>
                                  <w:rPr>
                                    <w:rFonts w:hint="eastAsia" w:ascii="仿宋_GB2312"/>
                                    <w:sz w:val="18"/>
                                    <w:szCs w:val="18"/>
                                  </w:rPr>
                                  <w:t>信息分析</w:t>
                                </w:r>
                              </w:p>
                              <w:p w14:paraId="29D6F5FE"/>
                            </w:txbxContent>
                          </wps:txbx>
                          <wps:bodyPr rot="0" vert="horz" wrap="square" lIns="91440" tIns="45720" rIns="91440" bIns="45720" anchor="t" anchorCtr="0" upright="1">
                            <a:noAutofit/>
                          </wps:bodyPr>
                        </wps:wsp>
                        <wps:wsp>
                          <wps:cNvPr id="354413488" name="矩形 1088"/>
                          <wps:cNvSpPr>
                            <a:spLocks noChangeArrowheads="1"/>
                          </wps:cNvSpPr>
                          <wps:spPr bwMode="auto">
                            <a:xfrm>
                              <a:off x="8505" y="3907"/>
                              <a:ext cx="867" cy="710"/>
                            </a:xfrm>
                            <a:prstGeom prst="rect">
                              <a:avLst/>
                            </a:prstGeom>
                            <a:solidFill>
                              <a:srgbClr val="FFFFFF"/>
                            </a:solidFill>
                            <a:ln>
                              <a:noFill/>
                            </a:ln>
                          </wps:spPr>
                          <wps:txbx>
                            <w:txbxContent>
                              <w:p w14:paraId="72D97E7C">
                                <w:pPr>
                                  <w:keepNext w:val="0"/>
                                  <w:keepLines w:val="0"/>
                                  <w:pageBreakBefore w:val="0"/>
                                  <w:widowControl w:val="0"/>
                                  <w:kinsoku/>
                                  <w:wordWrap/>
                                  <w:overflowPunct/>
                                  <w:topLinePunct w:val="0"/>
                                  <w:autoSpaceDE/>
                                  <w:autoSpaceDN/>
                                  <w:bidi w:val="0"/>
                                  <w:adjustRightInd/>
                                  <w:snapToGrid w:val="0"/>
                                  <w:jc w:val="left"/>
                                  <w:textAlignment w:val="auto"/>
                                  <w:rPr>
                                    <w:rFonts w:ascii="仿宋_GB2312"/>
                                    <w:sz w:val="18"/>
                                    <w:szCs w:val="18"/>
                                  </w:rPr>
                                </w:pPr>
                                <w:r>
                                  <w:rPr>
                                    <w:rFonts w:hint="eastAsia" w:ascii="仿宋_GB2312"/>
                                    <w:sz w:val="18"/>
                                    <w:szCs w:val="18"/>
                                  </w:rPr>
                                  <w:t>有警情</w:t>
                                </w:r>
                              </w:p>
                            </w:txbxContent>
                          </wps:txbx>
                          <wps:bodyPr rot="0" vert="horz" wrap="square" lIns="91440" tIns="45720" rIns="91440" bIns="45720" anchor="t" anchorCtr="0" upright="1">
                            <a:noAutofit/>
                          </wps:bodyPr>
                        </wps:wsp>
                        <wps:wsp>
                          <wps:cNvPr id="1932848086" name="矩形 1088"/>
                          <wps:cNvSpPr>
                            <a:spLocks noChangeArrowheads="1"/>
                          </wps:cNvSpPr>
                          <wps:spPr bwMode="auto">
                            <a:xfrm>
                              <a:off x="5733" y="3465"/>
                              <a:ext cx="1499" cy="423"/>
                            </a:xfrm>
                            <a:prstGeom prst="rect">
                              <a:avLst/>
                            </a:prstGeom>
                            <a:solidFill>
                              <a:srgbClr val="FFFFFF"/>
                            </a:solidFill>
                            <a:ln>
                              <a:noFill/>
                            </a:ln>
                          </wps:spPr>
                          <wps:txbx>
                            <w:txbxContent>
                              <w:p w14:paraId="207D7803">
                                <w:pPr>
                                  <w:keepNext w:val="0"/>
                                  <w:keepLines w:val="0"/>
                                  <w:pageBreakBefore w:val="0"/>
                                  <w:widowControl w:val="0"/>
                                  <w:kinsoku/>
                                  <w:wordWrap/>
                                  <w:overflowPunct/>
                                  <w:topLinePunct w:val="0"/>
                                  <w:autoSpaceDE/>
                                  <w:autoSpaceDN/>
                                  <w:bidi w:val="0"/>
                                  <w:adjustRightInd/>
                                  <w:snapToGrid w:val="0"/>
                                  <w:jc w:val="left"/>
                                  <w:textAlignment w:val="auto"/>
                                  <w:rPr>
                                    <w:rFonts w:ascii="仿宋_GB2312"/>
                                    <w:sz w:val="18"/>
                                    <w:szCs w:val="18"/>
                                  </w:rPr>
                                </w:pPr>
                                <w:r>
                                  <w:rPr>
                                    <w:rFonts w:hint="eastAsia" w:ascii="仿宋_GB2312"/>
                                    <w:sz w:val="18"/>
                                    <w:szCs w:val="18"/>
                                  </w:rPr>
                                  <w:t>无警情</w:t>
                                </w:r>
                              </w:p>
                            </w:txbxContent>
                          </wps:txbx>
                          <wps:bodyPr rot="0" vert="horz" wrap="square" lIns="91440" tIns="45720" rIns="91440" bIns="45720" anchor="t" anchorCtr="0" upright="1">
                            <a:noAutofit/>
                          </wps:bodyPr>
                        </wps:wsp>
                        <wps:wsp>
                          <wps:cNvPr id="1021445373" name="直线 1092"/>
                          <wps:cNvCnPr>
                            <a:cxnSpLocks noChangeShapeType="1"/>
                          </wps:cNvCnPr>
                          <wps:spPr bwMode="auto">
                            <a:xfrm>
                              <a:off x="8368" y="3016"/>
                              <a:ext cx="4" cy="374"/>
                            </a:xfrm>
                            <a:prstGeom prst="line">
                              <a:avLst/>
                            </a:prstGeom>
                            <a:noFill/>
                            <a:ln w="9525">
                              <a:solidFill>
                                <a:srgbClr val="000000"/>
                              </a:solidFill>
                              <a:round/>
                            </a:ln>
                          </wps:spPr>
                          <wps:bodyPr/>
                        </wps:wsp>
                      </wpg:grpSp>
                    </wpg:wgp>
                  </a:graphicData>
                </a:graphic>
              </wp:anchor>
            </w:drawing>
          </mc:Choice>
          <mc:Fallback>
            <w:pict>
              <v:group id="组合 3" o:spid="_x0000_s1026" o:spt="203" style="position:absolute;left:0pt;margin-left:20.95pt;margin-top:54.55pt;height:405.7pt;width:428.2pt;z-index:251659264;mso-width-relative:page;mso-height-relative:page;" coordorigin="2470,2593" coordsize="11614,6631" o:gfxdata="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">
                <o:lock v:ext="edit" aspectratio="f"/>
                <v:group id="组合 1120" o:spid="_x0000_s1026" o:spt="203" style="position:absolute;left:2470;top:5212;height:4012;width:11614;" coordorigin="2470,4815" coordsize="11614,4012" o:gfxdata="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">
                  <o:lock v:ext="edit" aspectratio="f"/>
                  <v:rect id="矩形 1093" o:spid="_x0000_s1026" o:spt="1" style="position:absolute;left:2470;top:5821;height:563;width:1805;" fillcolor="#FFFFFF" filled="t" stroked="t" coordsize="21600,21600" o:gfxdata="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">
                    <v:fill on="t" focussize="0,0"/>
                    <v:stroke color="#000000" miterlimit="8" joinstyle="miter"/>
                    <v:imagedata o:title=""/>
                    <o:lock v:ext="edit" aspectratio="f"/>
                    <v:textbox>
                      <w:txbxContent>
                        <w:p w14:paraId="61B59EFE">
                          <w:pPr>
                            <w:jc w:val="center"/>
                            <w:rPr>
                              <w:rFonts w:ascii="仿宋_GB2312"/>
                              <w:sz w:val="18"/>
                              <w:szCs w:val="18"/>
                            </w:rPr>
                          </w:pPr>
                          <w:r>
                            <w:rPr>
                              <w:rFonts w:hint="eastAsia" w:ascii="仿宋_GB2312"/>
                              <w:sz w:val="18"/>
                              <w:szCs w:val="18"/>
                            </w:rPr>
                            <w:t>临灾应急</w:t>
                          </w:r>
                        </w:p>
                      </w:txbxContent>
                    </v:textbox>
                  </v:rect>
                  <v:rect id="矩形 1094" o:spid="_x0000_s1026" o:spt="1" style="position:absolute;left:4962;top:5821;height:563;width:1805;" fillcolor="#FFFFFF" filled="t" stroked="t" coordsize="21600,21600" o:gfxdata="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">
                    <v:fill on="t" focussize="0,0"/>
                    <v:stroke color="#000000" miterlimit="8" joinstyle="miter"/>
                    <v:imagedata o:title=""/>
                    <o:lock v:ext="edit" aspectratio="f"/>
                    <v:textbox>
                      <w:txbxContent>
                        <w:p w14:paraId="6A109BBF">
                          <w:pPr>
                            <w:jc w:val="center"/>
                            <w:rPr>
                              <w:rFonts w:ascii="仿宋_GB2312"/>
                              <w:sz w:val="18"/>
                              <w:szCs w:val="18"/>
                            </w:rPr>
                          </w:pPr>
                          <w:r>
                            <w:rPr>
                              <w:rFonts w:hint="eastAsia" w:ascii="仿宋_GB2312"/>
                              <w:sz w:val="18"/>
                              <w:szCs w:val="18"/>
                            </w:rPr>
                            <w:t>一般地质灾害</w:t>
                          </w:r>
                        </w:p>
                      </w:txbxContent>
                    </v:textbox>
                  </v:rect>
                  <v:rect id="矩形 1095" o:spid="_x0000_s1026" o:spt="1" style="position:absolute;left:7567;top:5821;height:563;width:1805;" fillcolor="#FFFFFF" filled="t" stroked="t" coordsize="21600,21600" o:gfxdata="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">
                    <v:fill on="t" focussize="0,0"/>
                    <v:stroke color="#000000" miterlimit="8" joinstyle="miter"/>
                    <v:imagedata o:title=""/>
                    <o:lock v:ext="edit" aspectratio="f"/>
                    <v:textbox>
                      <w:txbxContent>
                        <w:p w14:paraId="57ABA72C">
                          <w:pPr>
                            <w:jc w:val="center"/>
                            <w:rPr>
                              <w:rFonts w:ascii="仿宋_GB2312"/>
                              <w:sz w:val="18"/>
                              <w:szCs w:val="18"/>
                            </w:rPr>
                          </w:pPr>
                          <w:r>
                            <w:rPr>
                              <w:rFonts w:hint="eastAsia" w:ascii="仿宋_GB2312"/>
                              <w:sz w:val="18"/>
                              <w:szCs w:val="18"/>
                            </w:rPr>
                            <w:t>较大地质灾害</w:t>
                          </w:r>
                        </w:p>
                      </w:txbxContent>
                    </v:textbox>
                  </v:rect>
                  <v:rect id="矩形 1096" o:spid="_x0000_s1026" o:spt="1" style="position:absolute;left:9874;top:5821;height:563;width:1805;" fillcolor="#FFFFFF" filled="t" stroked="t" coordsize="21600,21600" o:gfxdata="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Yq23&#10;tcEAAADjAAAADwAAAAAAAAABACAAAAAiAAAAZHJzL2Rvd25yZXYueG1sUEsBAhQAFAAAAAgAh07i&#10;QDMvBZ47AAAAOQAAABAAAAAAAAAAAQAgAAAAEAEAAGRycy9zaGFwZXhtbC54bWxQSwUGAAAAAAYA&#10;BgBbAQAAugMAAAAA&#10;">
                    <v:fill on="t" focussize="0,0"/>
                    <v:stroke color="#000000" miterlimit="8" joinstyle="miter"/>
                    <v:imagedata o:title=""/>
                    <o:lock v:ext="edit" aspectratio="f"/>
                    <v:textbox>
                      <w:txbxContent>
                        <w:p w14:paraId="6A609019">
                          <w:pPr>
                            <w:jc w:val="center"/>
                            <w:rPr>
                              <w:rFonts w:ascii="仿宋_GB2312"/>
                              <w:sz w:val="18"/>
                              <w:szCs w:val="18"/>
                            </w:rPr>
                          </w:pPr>
                          <w:r>
                            <w:rPr>
                              <w:rFonts w:hint="eastAsia" w:ascii="仿宋_GB2312"/>
                              <w:sz w:val="18"/>
                              <w:szCs w:val="18"/>
                            </w:rPr>
                            <w:t>重大地质灾害</w:t>
                          </w:r>
                        </w:p>
                      </w:txbxContent>
                    </v:textbox>
                  </v:rect>
                  <v:rect id="矩形 1097" o:spid="_x0000_s1026" o:spt="1" style="position:absolute;left:12178;top:5821;height:563;width:1906;" fillcolor="#FFFFFF" filled="t" stroked="t" coordsize="21600,21600" o:gfxdata="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">
                    <v:fill on="t" focussize="0,0"/>
                    <v:stroke color="#000000" miterlimit="8" joinstyle="miter"/>
                    <v:imagedata o:title=""/>
                    <o:lock v:ext="edit" aspectratio="f"/>
                    <v:textbox>
                      <w:txbxContent>
                        <w:p w14:paraId="3AF34982">
                          <w:pPr>
                            <w:jc w:val="center"/>
                            <w:rPr>
                              <w:rFonts w:ascii="仿宋_GB2312"/>
                              <w:sz w:val="18"/>
                              <w:szCs w:val="18"/>
                            </w:rPr>
                          </w:pPr>
                          <w:r>
                            <w:rPr>
                              <w:rFonts w:hint="eastAsia" w:ascii="仿宋_GB2312"/>
                              <w:sz w:val="18"/>
                              <w:szCs w:val="18"/>
                            </w:rPr>
                            <w:t>特别重大地质灾害</w:t>
                          </w:r>
                        </w:p>
                      </w:txbxContent>
                    </v:textbox>
                  </v:rect>
                  <v:line id="直线 1098" o:spid="_x0000_s1026" o:spt="20" style="position:absolute;left:8370;top:4815;height:1006;width:2;" filled="f" stroked="t" coordsize="21600,21600" o:gfxdata="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">
                    <v:fill on="f" focussize="0,0"/>
                    <v:stroke color="#000000" joinstyle="round"/>
                    <v:imagedata o:title=""/>
                    <o:lock v:ext="edit" aspectratio="f"/>
                  </v:line>
                  <v:line id="直线 1099" o:spid="_x0000_s1026" o:spt="20" style="position:absolute;left:3859;top:5257;height:564;width:2;" filled="f" stroked="t" coordsize="21600,21600" o:gfxdata="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">
                    <v:fill on="f" focussize="0,0"/>
                    <v:stroke color="#000000" joinstyle="round"/>
                    <v:imagedata o:title=""/>
                    <o:lock v:ext="edit" aspectratio="f"/>
                  </v:line>
                  <v:line id="直线 1100" o:spid="_x0000_s1026" o:spt="20" style="position:absolute;left:3859;top:5257;height:1;width:9222;" filled="f" stroked="t" coordsize="21600,21600" o:gfxdata="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iYSj&#10;2cEAAADjAAAADwAAAAAAAAABACAAAAAiAAAAZHJzL2Rvd25yZXYueG1sUEsBAhQAFAAAAAgAh07i&#10;QDMvBZ47AAAAOQAAABAAAAAAAAAAAQAgAAAAEAEAAGRycy9zaGFwZXhtbC54bWxQSwUGAAAAAAYA&#10;BgBbAQAAugMAAAAA&#10;">
                    <v:fill on="f" focussize="0,0"/>
                    <v:stroke color="#000000" joinstyle="round"/>
                    <v:imagedata o:title=""/>
                    <o:lock v:ext="edit" aspectratio="f"/>
                  </v:line>
                  <v:line id="直线 1101" o:spid="_x0000_s1026" o:spt="20" style="position:absolute;left:5821;top:5257;height:564;width:1;" filled="f" stroked="t" coordsize="21600,21600" o:gfxdata="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">
                    <v:fill on="f" focussize="0,0"/>
                    <v:stroke color="#000000" joinstyle="round"/>
                    <v:imagedata o:title=""/>
                    <o:lock v:ext="edit" aspectratio="f"/>
                  </v:line>
                  <v:line id="直线 1102" o:spid="_x0000_s1026" o:spt="20" style="position:absolute;left:10776;top:5257;height:564;width:2;" filled="f" stroked="t" coordsize="21600,21600" o:gfxdata="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">
                    <v:fill on="f" focussize="0,0"/>
                    <v:stroke color="#000000" joinstyle="round"/>
                    <v:imagedata o:title=""/>
                    <o:lock v:ext="edit" aspectratio="f"/>
                  </v:line>
                  <v:line id="直线 1103" o:spid="_x0000_s1026" o:spt="20" style="position:absolute;left:13081;top:5257;height:564;width:2;" filled="f" stroked="t" coordsize="21600,21600" o:gfxdata="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">
                    <v:fill on="f" focussize="0,0"/>
                    <v:stroke color="#000000" joinstyle="round"/>
                    <v:imagedata o:title=""/>
                    <o:lock v:ext="edit" aspectratio="f"/>
                  </v:line>
                  <v:line id="直线 1104" o:spid="_x0000_s1026" o:spt="20" style="position:absolute;left:5562;top:6384;height:987;width:1;" filled="f" stroked="t" coordsize="21600,21600" o:gfxdata="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n31pW&#10;wAAAAOMAAAAPAAAAAAAAAAEAIAAAACIAAABkcnMvZG93bnJldi54bWxQSwECFAAUAAAACACHTuJA&#10;My8FnjsAAAA5AAAAEAAAAAAAAAABACAAAAAPAQAAZHJzL3NoYXBleG1sLnhtbFBLBQYAAAAABgAG&#10;AFsBAAC5AwAAAAA=&#10;">
                    <v:fill on="f" focussize="0,0"/>
                    <v:stroke color="#000000" joinstyle="round"/>
                    <v:imagedata o:title=""/>
                    <o:lock v:ext="edit" aspectratio="f"/>
                  </v:line>
                  <v:line id="直线 1105" o:spid="_x0000_s1026" o:spt="20" style="position:absolute;left:6270;top:6384;height:987;width:1;" filled="f" stroked="t" coordsize="21600,21600" o:gfxdata="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mcSZ&#10;dcEAAADjAAAADwAAAAAAAAABACAAAAAiAAAAZHJzL2Rvd25yZXYueG1sUEsBAhQAFAAAAAgAh07i&#10;QDMvBZ47AAAAOQAAABAAAAAAAAAAAQAgAAAAEAEAAGRycy9zaGFwZXhtbC54bWxQSwUGAAAAAAYA&#10;BgBbAQAAugMAAAAA&#10;">
                    <v:fill on="f" focussize="0,0"/>
                    <v:stroke color="#000000" joinstyle="round"/>
                    <v:imagedata o:title=""/>
                    <o:lock v:ext="edit" aspectratio="f"/>
                  </v:line>
                  <v:line id="直线 1106" o:spid="_x0000_s1026" o:spt="20" style="position:absolute;left:8370;top:6384;height:564;width:2;" filled="f" stroked="t" coordsize="21600,21600" o:gfxdata="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">
                    <v:fill on="f" focussize="0,0"/>
                    <v:stroke color="#000000" joinstyle="round"/>
                    <v:imagedata o:title=""/>
                    <o:lock v:ext="edit" aspectratio="f"/>
                  </v:line>
                  <v:line id="直线 1107" o:spid="_x0000_s1026" o:spt="20" style="position:absolute;left:10776;top:6384;height:564;width:2;" filled="f" stroked="t" coordsize="21600,21600" o:gfxdata="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">
                    <v:fill on="f" focussize="0,0"/>
                    <v:stroke color="#000000" joinstyle="round"/>
                    <v:imagedata o:title=""/>
                    <o:lock v:ext="edit" aspectratio="f"/>
                  </v:line>
                  <v:line id="直线 1108" o:spid="_x0000_s1026" o:spt="20" style="position:absolute;left:13081;top:6384;height:564;width:2;" filled="f" stroked="t" coordsize="21600,21600" o:gfxdata="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">
                    <v:fill on="f" focussize="0,0"/>
                    <v:stroke color="#000000" joinstyle="round"/>
                    <v:imagedata o:title=""/>
                    <o:lock v:ext="edit" aspectratio="f"/>
                  </v:line>
                  <v:rect id="矩形 1109" o:spid="_x0000_s1026" o:spt="1" style="position:absolute;left:4562;top:7373;height:1454;width:1260;" fillcolor="#FFFFFF" filled="t" stroked="t" coordsize="21600,21600" o:gfxdata="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mKlI&#10;lcEAAADjAAAADwAAAAAAAAABACAAAAAiAAAAZHJzL2Rvd25yZXYueG1sUEsBAhQAFAAAAAgAh07i&#10;QDMvBZ47AAAAOQAAABAAAAAAAAAAAQAgAAAAEAEAAGRycy9zaGFwZXhtbC54bWxQSwUGAAAAAAYA&#10;BgBbAQAAugMAAAAA&#10;">
                    <v:fill on="t" focussize="0,0"/>
                    <v:stroke color="#000000" miterlimit="8" joinstyle="miter"/>
                    <v:imagedata o:title=""/>
                    <o:lock v:ext="edit" aspectratio="f"/>
                    <v:textbox>
                      <w:txbxContent>
                        <w:p w14:paraId="17EAB874">
                          <w:pPr>
                            <w:spacing w:line="240" w:lineRule="exact"/>
                            <w:jc w:val="center"/>
                            <w:rPr>
                              <w:rFonts w:ascii="仿宋_GB2312"/>
                              <w:sz w:val="18"/>
                              <w:szCs w:val="18"/>
                            </w:rPr>
                          </w:pPr>
                          <w:r>
                            <w:rPr>
                              <w:rFonts w:hint="eastAsia" w:ascii="仿宋_GB2312"/>
                              <w:sz w:val="18"/>
                              <w:szCs w:val="18"/>
                            </w:rPr>
                            <w:t>各街道办、防治责任单位组织处置，</w:t>
                          </w:r>
                          <w:r>
                            <w:rPr>
                              <w:rFonts w:hint="eastAsia" w:ascii="仿宋_GB2312"/>
                              <w:sz w:val="18"/>
                              <w:szCs w:val="18"/>
                              <w:lang w:eastAsia="zh-CN"/>
                            </w:rPr>
                            <w:t>区指挥部</w:t>
                          </w:r>
                          <w:r>
                            <w:rPr>
                              <w:rFonts w:hint="eastAsia" w:ascii="仿宋_GB2312"/>
                              <w:sz w:val="18"/>
                              <w:szCs w:val="18"/>
                            </w:rPr>
                            <w:t>支持</w:t>
                          </w:r>
                        </w:p>
                      </w:txbxContent>
                    </v:textbox>
                  </v:rect>
                  <v:rect id="矩形 1110" o:spid="_x0000_s1026" o:spt="1" style="position:absolute;left:2470;top:6948;height:1404;width:1805;" fillcolor="#FFFFFF" filled="t" stroked="t" coordsize="21600,21600" o:gfxdata="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">
                    <v:fill on="t" focussize="0,0"/>
                    <v:stroke color="#000000" miterlimit="8" joinstyle="miter"/>
                    <v:imagedata o:title=""/>
                    <o:lock v:ext="edit" aspectratio="f"/>
                    <v:textbox>
                      <w:txbxContent>
                        <w:p w14:paraId="46DC16BA">
                          <w:pPr>
                            <w:spacing w:line="240" w:lineRule="exact"/>
                            <w:jc w:val="center"/>
                            <w:rPr>
                              <w:rFonts w:ascii="仿宋_GB2312"/>
                              <w:sz w:val="18"/>
                              <w:szCs w:val="18"/>
                            </w:rPr>
                          </w:pPr>
                          <w:r>
                            <w:rPr>
                              <w:rFonts w:hint="eastAsia" w:ascii="仿宋_GB2312"/>
                              <w:sz w:val="18"/>
                              <w:szCs w:val="18"/>
                            </w:rPr>
                            <w:t>各街道办、防治责任单位、区启动相应地质灾害应急预案处理</w:t>
                          </w:r>
                        </w:p>
                      </w:txbxContent>
                    </v:textbox>
                  </v:rect>
                  <v:rect id="矩形 1111" o:spid="_x0000_s1026" o:spt="1" style="position:absolute;left:5995;top:7371;height:1322;width:1220;" fillcolor="#FFFFFF" filled="t" stroked="t" coordsize="21600,21600" o:gfxdata="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F26q&#10;rsEAAADjAAAADwAAAAAAAAABACAAAAAiAAAAZHJzL2Rvd25yZXYueG1sUEsBAhQAFAAAAAgAh07i&#10;QDMvBZ47AAAAOQAAABAAAAAAAAAAAQAgAAAAEAEAAGRycy9zaGFwZXhtbC54bWxQSwUGAAAAAAYA&#10;BgBbAQAAugMAAAAA&#10;">
                    <v:fill on="t" focussize="0,0"/>
                    <v:stroke color="#000000" miterlimit="8" joinstyle="miter"/>
                    <v:imagedata o:title=""/>
                    <o:lock v:ext="edit" aspectratio="f"/>
                    <v:textbox>
                      <w:txbxContent>
                        <w:p w14:paraId="2715DB32">
                          <w:pPr>
                            <w:spacing w:line="240" w:lineRule="exact"/>
                            <w:ind w:left="-83" w:leftChars="-26" w:right="-109" w:rightChars="-34"/>
                            <w:jc w:val="center"/>
                            <w:rPr>
                              <w:rFonts w:ascii="仿宋_GB2312"/>
                              <w:sz w:val="18"/>
                              <w:szCs w:val="18"/>
                            </w:rPr>
                          </w:pPr>
                          <w:r>
                            <w:rPr>
                              <w:rFonts w:hint="eastAsia" w:ascii="仿宋_GB2312"/>
                              <w:sz w:val="18"/>
                              <w:szCs w:val="18"/>
                              <w:lang w:eastAsia="zh-CN"/>
                            </w:rPr>
                            <w:t>区指挥部</w:t>
                          </w:r>
                          <w:r>
                            <w:rPr>
                              <w:rFonts w:hint="eastAsia" w:ascii="仿宋_GB2312"/>
                              <w:sz w:val="18"/>
                              <w:szCs w:val="18"/>
                            </w:rPr>
                            <w:t>组织处置，市规划和自然资源局支持</w:t>
                          </w:r>
                        </w:p>
                      </w:txbxContent>
                    </v:textbox>
                  </v:rect>
                  <v:line id="直线 1112" o:spid="_x0000_s1026" o:spt="20" style="position:absolute;left:3859;top:6384;height:564;width:1;" filled="f" stroked="t" coordsize="21600,21600" o:gfxdata="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">
                    <v:fill on="f" focussize="0,0"/>
                    <v:stroke color="#000000" joinstyle="round"/>
                    <v:imagedata o:title=""/>
                    <o:lock v:ext="edit" aspectratio="f"/>
                  </v:line>
                  <v:rect id="矩形 1113" o:spid="_x0000_s1026" o:spt="1" style="position:absolute;left:7568;top:6948;height:1008;width:1804;" fillcolor="#FFFFFF" filled="t" stroked="t" coordsize="21600,21600" o:gfxdata="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7eU/Y&#10;wAAAAOMAAAAPAAAAAAAAAAEAIAAAACIAAABkcnMvZG93bnJldi54bWxQSwECFAAUAAAACACHTuJA&#10;My8FnjsAAAA5AAAAEAAAAAAAAAABACAAAAAPAQAAZHJzL3NoYXBleG1sLnhtbFBLBQYAAAAABgAG&#10;AFsBAAC5AwAAAAA=&#10;">
                    <v:fill on="t" focussize="0,0"/>
                    <v:stroke color="#000000" miterlimit="8" joinstyle="miter"/>
                    <v:imagedata o:title=""/>
                    <o:lock v:ext="edit" aspectratio="f"/>
                    <v:textbox>
                      <w:txbxContent>
                        <w:p w14:paraId="6D0FEC59">
                          <w:pPr>
                            <w:spacing w:line="240" w:lineRule="exact"/>
                            <w:jc w:val="center"/>
                            <w:rPr>
                              <w:rFonts w:ascii="仿宋_GB2312"/>
                              <w:sz w:val="18"/>
                              <w:szCs w:val="18"/>
                            </w:rPr>
                          </w:pPr>
                          <w:r>
                            <w:rPr>
                              <w:rFonts w:hint="eastAsia" w:ascii="仿宋_GB2312"/>
                              <w:sz w:val="18"/>
                              <w:szCs w:val="18"/>
                            </w:rPr>
                            <w:t>市地质灾害</w:t>
                          </w:r>
                          <w:r>
                            <w:rPr>
                              <w:rFonts w:hint="eastAsia" w:ascii="仿宋_GB2312"/>
                              <w:sz w:val="18"/>
                              <w:szCs w:val="18"/>
                              <w:lang w:eastAsia="zh-CN"/>
                            </w:rPr>
                            <w:t>应急指挥部</w:t>
                          </w:r>
                          <w:r>
                            <w:rPr>
                              <w:rFonts w:hint="eastAsia" w:ascii="仿宋_GB2312"/>
                              <w:sz w:val="18"/>
                              <w:szCs w:val="18"/>
                            </w:rPr>
                            <w:t>组织处置，区、街道配合</w:t>
                          </w:r>
                        </w:p>
                      </w:txbxContent>
                    </v:textbox>
                  </v:rect>
                  <v:rect id="矩形 1114" o:spid="_x0000_s1026" o:spt="1" style="position:absolute;left:9804;top:6948;height:1092;width:1942;" fillcolor="#FFFFFF" filled="t" stroked="t" coordsize="21600,21600" o:gfxdata="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">
                    <v:fill on="t" focussize="0,0"/>
                    <v:stroke color="#000000" miterlimit="8" joinstyle="miter"/>
                    <v:imagedata o:title=""/>
                    <o:lock v:ext="edit" aspectratio="f"/>
                    <v:textbox>
                      <w:txbxContent>
                        <w:p w14:paraId="63BB88E0">
                          <w:pPr>
                            <w:spacing w:line="240" w:lineRule="exact"/>
                            <w:jc w:val="center"/>
                            <w:rPr>
                              <w:rFonts w:ascii="仿宋_GB2312"/>
                              <w:sz w:val="18"/>
                              <w:szCs w:val="18"/>
                            </w:rPr>
                          </w:pPr>
                          <w:r>
                            <w:rPr>
                              <w:rFonts w:hint="eastAsia" w:ascii="仿宋_GB2312"/>
                              <w:sz w:val="18"/>
                              <w:szCs w:val="18"/>
                            </w:rPr>
                            <w:t>市突发事件委员会组织处置，省支持，区、街道配合</w:t>
                          </w:r>
                        </w:p>
                        <w:p w14:paraId="087CAAB1">
                          <w:pPr>
                            <w:spacing w:line="240" w:lineRule="exact"/>
                          </w:pPr>
                        </w:p>
                      </w:txbxContent>
                    </v:textbox>
                  </v:rect>
                  <v:rect id="矩形 1115" o:spid="_x0000_s1026" o:spt="1" style="position:absolute;left:12178;top:6948;height:1008;width:1906;" fillcolor="#FFFFFF" filled="t" stroked="t" coordsize="21600,21600" o:gfxdata="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">
                    <v:fill on="t" focussize="0,0"/>
                    <v:stroke color="#000000" miterlimit="8" joinstyle="miter"/>
                    <v:imagedata o:title=""/>
                    <o:lock v:ext="edit" aspectratio="f"/>
                    <v:textbox>
                      <w:txbxContent>
                        <w:p w14:paraId="166DE929">
                          <w:pPr>
                            <w:spacing w:line="240" w:lineRule="exact"/>
                            <w:rPr>
                              <w:sz w:val="18"/>
                              <w:szCs w:val="18"/>
                            </w:rPr>
                          </w:pPr>
                          <w:r>
                            <w:rPr>
                              <w:rFonts w:hint="eastAsia" w:ascii="仿宋_GB2312"/>
                              <w:sz w:val="18"/>
                              <w:szCs w:val="18"/>
                            </w:rPr>
                            <w:t>省、市组织处置，中央、省支持，区、街道配合</w:t>
                          </w:r>
                        </w:p>
                      </w:txbxContent>
                    </v:textbox>
                  </v:rect>
                  <v:rect id="矩形 1088" o:spid="_x0000_s1026" o:spt="1" style="position:absolute;left:4587;top:6633;height:663;width:896;" fillcolor="#FFFFFF" filled="t" stroked="f" coordsize="21600,21600" o:gfxdata="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">
                    <v:fill on="t" focussize="0,0"/>
                    <v:stroke on="f"/>
                    <v:imagedata o:title=""/>
                    <o:lock v:ext="edit" aspectratio="f"/>
                    <v:textbox>
                      <w:txbxContent>
                        <w:p w14:paraId="6152D363">
                          <w:pPr>
                            <w:spacing w:line="240" w:lineRule="exact"/>
                            <w:jc w:val="center"/>
                            <w:rPr>
                              <w:rFonts w:ascii="仿宋_GB2312"/>
                              <w:sz w:val="18"/>
                              <w:szCs w:val="18"/>
                            </w:rPr>
                          </w:pPr>
                          <w:r>
                            <w:rPr>
                              <w:rFonts w:hint="eastAsia" w:ascii="仿宋_GB2312"/>
                              <w:sz w:val="18"/>
                              <w:szCs w:val="18"/>
                            </w:rPr>
                            <w:t>无人员</w:t>
                          </w:r>
                        </w:p>
                        <w:p w14:paraId="78E79CAE">
                          <w:pPr>
                            <w:spacing w:line="240" w:lineRule="exact"/>
                            <w:jc w:val="center"/>
                            <w:rPr>
                              <w:rFonts w:ascii="仿宋_GB2312"/>
                              <w:sz w:val="18"/>
                              <w:szCs w:val="18"/>
                            </w:rPr>
                          </w:pPr>
                          <w:r>
                            <w:rPr>
                              <w:rFonts w:hint="eastAsia" w:ascii="仿宋_GB2312"/>
                              <w:sz w:val="18"/>
                              <w:szCs w:val="18"/>
                            </w:rPr>
                            <w:t>伤亡</w:t>
                          </w:r>
                        </w:p>
                      </w:txbxContent>
                    </v:textbox>
                  </v:rect>
                  <v:rect id="矩形 1088" o:spid="_x0000_s1026" o:spt="1" style="position:absolute;left:6380;top:6600;height:696;width:835;" fillcolor="#FFFFFF" filled="t" stroked="f" coordsize="21600,21600" o:gfxdata="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ZJK+m/&#10;AAAA4gAAAA8AAAAAAAAAAQAgAAAAIgAAAGRycy9kb3ducmV2LnhtbFBLAQIUABQAAAAIAIdO4kAz&#10;LwWeOwAAADkAAAAQAAAAAAAAAAEAIAAAAA4BAABkcnMvc2hhcGV4bWwueG1sUEsFBgAAAAAGAAYA&#10;WwEAALgDAAAAAA==&#10;">
                    <v:fill on="t" focussize="0,0"/>
                    <v:stroke on="f"/>
                    <v:imagedata o:title=""/>
                    <o:lock v:ext="edit" aspectratio="f"/>
                    <v:textbox>
                      <w:txbxContent>
                        <w:p w14:paraId="575598CD">
                          <w:pPr>
                            <w:spacing w:line="240" w:lineRule="exact"/>
                            <w:jc w:val="center"/>
                            <w:rPr>
                              <w:rFonts w:ascii="仿宋_GB2312"/>
                              <w:sz w:val="18"/>
                              <w:szCs w:val="18"/>
                            </w:rPr>
                          </w:pPr>
                          <w:r>
                            <w:rPr>
                              <w:rFonts w:hint="eastAsia" w:ascii="仿宋_GB2312"/>
                              <w:sz w:val="18"/>
                              <w:szCs w:val="18"/>
                            </w:rPr>
                            <w:t>有人员</w:t>
                          </w:r>
                        </w:p>
                        <w:p w14:paraId="225272EF">
                          <w:pPr>
                            <w:spacing w:line="240" w:lineRule="exact"/>
                            <w:jc w:val="center"/>
                            <w:rPr>
                              <w:rFonts w:ascii="仿宋_GB2312"/>
                              <w:sz w:val="18"/>
                              <w:szCs w:val="18"/>
                            </w:rPr>
                          </w:pPr>
                          <w:r>
                            <w:rPr>
                              <w:rFonts w:hint="eastAsia" w:ascii="仿宋_GB2312"/>
                              <w:sz w:val="18"/>
                              <w:szCs w:val="18"/>
                            </w:rPr>
                            <w:t>伤亡</w:t>
                          </w:r>
                        </w:p>
                      </w:txbxContent>
                    </v:textbox>
                  </v:rect>
                </v:group>
                <v:group id="组合 1146" o:spid="_x0000_s1026" o:spt="203" style="position:absolute;left:2756;top:2593;height:2619;width:8347;" coordorigin="2756,2593" coordsize="8347,2619" o:gfxdata="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">
                  <o:lock v:ext="edit" aspectratio="f"/>
                  <v:rect id="矩形 1088" o:spid="_x0000_s1026" o:spt="1" style="position:absolute;left:7567;top:2593;height:423;width:1606;" fillcolor="#FFFFFF" filled="t" stroked="t" coordsize="21600,21600" o:gfxdata="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cyyN&#10;5cEAAADiAAAADwAAAAAAAAABACAAAAAiAAAAZHJzL2Rvd25yZXYueG1sUEsBAhQAFAAAAAgAh07i&#10;QDMvBZ47AAAAOQAAABAAAAAAAAAAAQAgAAAAEAEAAGRycy9zaGFwZXhtbC54bWxQSwUGAAAAAAYA&#10;BgBbAQAAugMAAAAA&#10;">
                    <v:fill on="t" focussize="0,0"/>
                    <v:stroke color="#000000" miterlimit="8" joinstyle="miter"/>
                    <v:imagedata o:title=""/>
                    <o:lock v:ext="edit" aspectratio="f"/>
                    <v:textbox>
                      <w:txbxContent>
                        <w:p w14:paraId="4319D686">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仿宋_GB2312" w:eastAsia="仿宋_GB2312"/>
                              <w:sz w:val="18"/>
                              <w:szCs w:val="18"/>
                              <w:lang w:eastAsia="zh-CN"/>
                            </w:rPr>
                          </w:pPr>
                          <w:r>
                            <w:rPr>
                              <w:rFonts w:hint="eastAsia" w:ascii="仿宋_GB2312"/>
                              <w:sz w:val="18"/>
                              <w:szCs w:val="18"/>
                            </w:rPr>
                            <w:t>接</w:t>
                          </w:r>
                          <w:r>
                            <w:rPr>
                              <w:rFonts w:hint="eastAsia" w:ascii="仿宋_GB2312"/>
                              <w:sz w:val="18"/>
                              <w:szCs w:val="18"/>
                              <w:lang w:eastAsia="zh-CN"/>
                            </w:rPr>
                            <w:t>报</w:t>
                          </w:r>
                        </w:p>
                      </w:txbxContent>
                    </v:textbox>
                  </v:rect>
                  <v:rect id="矩形 1089" o:spid="_x0000_s1026" o:spt="1" style="position:absolute;left:2756;top:3691;height:564;width:1806;" fillcolor="#FFFFFF" filled="t" stroked="t" coordsize="21600,21600" o:gfxdata="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">
                    <v:fill on="t" focussize="0,0"/>
                    <v:stroke color="#000000" miterlimit="8" joinstyle="miter"/>
                    <v:imagedata o:title=""/>
                    <o:lock v:ext="edit" aspectratio="f"/>
                    <v:textbox>
                      <w:txbxContent>
                        <w:p w14:paraId="4327D01F">
                          <w:pPr>
                            <w:jc w:val="center"/>
                            <w:rPr>
                              <w:rFonts w:ascii="仿宋_GB2312"/>
                              <w:sz w:val="18"/>
                              <w:szCs w:val="18"/>
                            </w:rPr>
                          </w:pPr>
                          <w:r>
                            <w:rPr>
                              <w:rFonts w:hint="eastAsia" w:ascii="仿宋_GB2312"/>
                              <w:sz w:val="18"/>
                              <w:szCs w:val="18"/>
                            </w:rPr>
                            <w:t>关闭应急程序</w:t>
                          </w:r>
                        </w:p>
                      </w:txbxContent>
                    </v:textbox>
                  </v:rect>
                  <v:rect id="矩形 1090" o:spid="_x0000_s1026" o:spt="1" style="position:absolute;left:5483;top:4648;height:564;width:5620;" fillcolor="#FFFFFF" filled="t" stroked="t" coordsize="21600,21600" o:gfxdata="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">
                    <v:fill on="t" focussize="0,0"/>
                    <v:stroke color="#000000" miterlimit="8" joinstyle="miter"/>
                    <v:imagedata o:title=""/>
                    <o:lock v:ext="edit" aspectratio="f"/>
                    <v:textbox>
                      <w:txbxContent>
                        <w:p w14:paraId="440E6896">
                          <w:pPr>
                            <w:jc w:val="center"/>
                            <w:rPr>
                              <w:rFonts w:ascii="仿宋_GB2312"/>
                              <w:sz w:val="18"/>
                              <w:szCs w:val="18"/>
                            </w:rPr>
                          </w:pPr>
                          <w:r>
                            <w:rPr>
                              <w:rFonts w:hint="eastAsia" w:ascii="仿宋_GB2312"/>
                              <w:sz w:val="18"/>
                              <w:szCs w:val="18"/>
                            </w:rPr>
                            <w:t>防治责任单位、街道办先期处置，初步判定地质灾害等级</w:t>
                          </w:r>
                        </w:p>
                      </w:txbxContent>
                    </v:textbox>
                  </v:rect>
                  <v:line id="直线 1091" o:spid="_x0000_s1026" o:spt="20" style="position:absolute;left:4562;top:3973;height:2;width:3808;" filled="f" stroked="t" coordsize="21600,21600" o:gfxdata="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kedCd&#10;wAAAAOMAAAAPAAAAAAAAAAEAIAAAACIAAABkcnMvZG93bnJldi54bWxQSwECFAAUAAAACACHTuJA&#10;My8FnjsAAAA5AAAAEAAAAAAAAAABACAAAAAPAQAAZHJzL3NoYXBleG1sLnhtbFBLBQYAAAAABgAG&#10;AFsBAAC5AwAAAAA=&#10;">
                    <v:fill on="f" focussize="0,0"/>
                    <v:stroke color="#000000" joinstyle="round"/>
                    <v:imagedata o:title=""/>
                    <o:lock v:ext="edit" aspectratio="f"/>
                  </v:line>
                  <v:line id="直线 1092" o:spid="_x0000_s1026" o:spt="20" style="position:absolute;left:8370;top:3691;height:957;width:0;" filled="f" stroked="t" coordsize="21600,21600" o:gfxdata="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">
                    <v:fill on="f" focussize="0,0"/>
                    <v:stroke color="#000000" joinstyle="round"/>
                    <v:imagedata o:title=""/>
                    <o:lock v:ext="edit" aspectratio="f"/>
                  </v:line>
                  <v:rect id="矩形 1116" o:spid="_x0000_s1026" o:spt="1" style="position:absolute;left:7627;top:3390;height:423;width:1546;" fillcolor="#FFFFFF" filled="t" stroked="t" coordsize="21600,21600" o:gfxdata="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vkZr2&#10;wAAAAOMAAAAPAAAAAAAAAAEAIAAAACIAAABkcnMvZG93bnJldi54bWxQSwECFAAUAAAACACHTuJA&#10;My8FnjsAAAA5AAAAEAAAAAAAAAABACAAAAAPAQAAZHJzL3NoYXBleG1sLnhtbFBLBQYAAAAABgAG&#10;AFsBAAC5AwAAAAA=&#10;">
                    <v:fill on="t" focussize="0,0"/>
                    <v:stroke color="#000000" miterlimit="8" joinstyle="miter"/>
                    <v:imagedata o:title=""/>
                    <o:lock v:ext="edit" aspectratio="f"/>
                    <v:textbox>
                      <w:txbxContent>
                        <w:p w14:paraId="283FC580">
                          <w:pPr>
                            <w:spacing w:line="240" w:lineRule="exact"/>
                            <w:jc w:val="center"/>
                            <w:rPr>
                              <w:rFonts w:ascii="仿宋_GB2312"/>
                              <w:sz w:val="18"/>
                              <w:szCs w:val="18"/>
                            </w:rPr>
                          </w:pPr>
                          <w:r>
                            <w:rPr>
                              <w:rFonts w:hint="eastAsia" w:ascii="仿宋_GB2312"/>
                              <w:sz w:val="18"/>
                              <w:szCs w:val="18"/>
                            </w:rPr>
                            <w:t>信息分析</w:t>
                          </w:r>
                        </w:p>
                        <w:p w14:paraId="29D6F5FE"/>
                      </w:txbxContent>
                    </v:textbox>
                  </v:rect>
                  <v:rect id="矩形 1088" o:spid="_x0000_s1026" o:spt="1" style="position:absolute;left:8505;top:3907;height:710;width:867;" fillcolor="#FFFFFF" filled="t" stroked="f" coordsize="21600,21600" o:gfxdata="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TsgXW/&#10;AAAA4gAAAA8AAAAAAAAAAQAgAAAAIgAAAGRycy9kb3ducmV2LnhtbFBLAQIUABQAAAAIAIdO4kAz&#10;LwWeOwAAADkAAAAQAAAAAAAAAAEAIAAAAA4BAABkcnMvc2hhcGV4bWwueG1sUEsFBgAAAAAGAAYA&#10;WwEAALgDAAAAAA==&#10;">
                    <v:fill on="t" focussize="0,0"/>
                    <v:stroke on="f"/>
                    <v:imagedata o:title=""/>
                    <o:lock v:ext="edit" aspectratio="f"/>
                    <v:textbox>
                      <w:txbxContent>
                        <w:p w14:paraId="72D97E7C">
                          <w:pPr>
                            <w:keepNext w:val="0"/>
                            <w:keepLines w:val="0"/>
                            <w:pageBreakBefore w:val="0"/>
                            <w:widowControl w:val="0"/>
                            <w:kinsoku/>
                            <w:wordWrap/>
                            <w:overflowPunct/>
                            <w:topLinePunct w:val="0"/>
                            <w:autoSpaceDE/>
                            <w:autoSpaceDN/>
                            <w:bidi w:val="0"/>
                            <w:adjustRightInd/>
                            <w:snapToGrid w:val="0"/>
                            <w:jc w:val="left"/>
                            <w:textAlignment w:val="auto"/>
                            <w:rPr>
                              <w:rFonts w:ascii="仿宋_GB2312"/>
                              <w:sz w:val="18"/>
                              <w:szCs w:val="18"/>
                            </w:rPr>
                          </w:pPr>
                          <w:r>
                            <w:rPr>
                              <w:rFonts w:hint="eastAsia" w:ascii="仿宋_GB2312"/>
                              <w:sz w:val="18"/>
                              <w:szCs w:val="18"/>
                            </w:rPr>
                            <w:t>有警情</w:t>
                          </w:r>
                        </w:p>
                      </w:txbxContent>
                    </v:textbox>
                  </v:rect>
                  <v:rect id="矩形 1088" o:spid="_x0000_s1026" o:spt="1" style="position:absolute;left:5733;top:3465;height:423;width:1499;" fillcolor="#FFFFFF" filled="t" stroked="f" coordsize="21600,21600" o:gfxdata="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yYI8i/&#10;AAAA4wAAAA8AAAAAAAAAAQAgAAAAIgAAAGRycy9kb3ducmV2LnhtbFBLAQIUABQAAAAIAIdO4kAz&#10;LwWeOwAAADkAAAAQAAAAAAAAAAEAIAAAAA4BAABkcnMvc2hhcGV4bWwueG1sUEsFBgAAAAAGAAYA&#10;WwEAALgDAAAAAA==&#10;">
                    <v:fill on="t" focussize="0,0"/>
                    <v:stroke on="f"/>
                    <v:imagedata o:title=""/>
                    <o:lock v:ext="edit" aspectratio="f"/>
                    <v:textbox>
                      <w:txbxContent>
                        <w:p w14:paraId="207D7803">
                          <w:pPr>
                            <w:keepNext w:val="0"/>
                            <w:keepLines w:val="0"/>
                            <w:pageBreakBefore w:val="0"/>
                            <w:widowControl w:val="0"/>
                            <w:kinsoku/>
                            <w:wordWrap/>
                            <w:overflowPunct/>
                            <w:topLinePunct w:val="0"/>
                            <w:autoSpaceDE/>
                            <w:autoSpaceDN/>
                            <w:bidi w:val="0"/>
                            <w:adjustRightInd/>
                            <w:snapToGrid w:val="0"/>
                            <w:jc w:val="left"/>
                            <w:textAlignment w:val="auto"/>
                            <w:rPr>
                              <w:rFonts w:ascii="仿宋_GB2312"/>
                              <w:sz w:val="18"/>
                              <w:szCs w:val="18"/>
                            </w:rPr>
                          </w:pPr>
                          <w:r>
                            <w:rPr>
                              <w:rFonts w:hint="eastAsia" w:ascii="仿宋_GB2312"/>
                              <w:sz w:val="18"/>
                              <w:szCs w:val="18"/>
                            </w:rPr>
                            <w:t>无警情</w:t>
                          </w:r>
                        </w:p>
                      </w:txbxContent>
                    </v:textbox>
                  </v:rect>
                  <v:line id="直线 1092" o:spid="_x0000_s1026" o:spt="20" style="position:absolute;left:8368;top:3016;height:374;width:4;" filled="f" stroked="t" coordsize="21600,21600" o:gfxdata="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">
                    <v:fill on="f" focussize="0,0"/>
                    <v:stroke color="#000000" joinstyle="round"/>
                    <v:imagedata o:title=""/>
                    <o:lock v:ext="edit" aspectratio="f"/>
                  </v:line>
                </v:group>
              </v:group>
            </w:pict>
          </mc:Fallback>
        </mc:AlternateContent>
      </w:r>
    </w:p>
    <w:p w14:paraId="65624784">
      <w:pPr>
        <w:pStyle w:val="3"/>
        <w:spacing w:before="0" w:beforeLines="0" w:after="0" w:afterLines="0"/>
        <w:jc w:val="both"/>
        <w:rPr>
          <w:rFonts w:hint="default" w:ascii="黑体" w:hAnsi="黑体" w:eastAsia="黑体" w:cs="黑体"/>
          <w:sz w:val="32"/>
          <w:szCs w:val="32"/>
          <w:lang w:val="en-US" w:eastAsia="zh-CN"/>
        </w:rPr>
      </w:pPr>
      <w:bookmarkStart w:id="274" w:name="_Toc817581604"/>
      <w:bookmarkStart w:id="275" w:name="_Toc187312674"/>
      <w:bookmarkStart w:id="276" w:name="_Toc770616553"/>
      <w:bookmarkStart w:id="277" w:name="OLE_LINK13"/>
      <w:bookmarkStart w:id="278" w:name="_Toc793767087"/>
      <w:bookmarkStart w:id="279" w:name="_Toc1231807850"/>
      <w:r>
        <w:rPr>
          <w:rFonts w:hint="eastAsia" w:ascii="黑体" w:hAnsi="黑体" w:eastAsia="黑体" w:cs="黑体"/>
          <w:sz w:val="32"/>
          <w:szCs w:val="32"/>
        </w:rPr>
        <w:t>附件</w:t>
      </w:r>
      <w:bookmarkEnd w:id="274"/>
      <w:bookmarkEnd w:id="275"/>
      <w:bookmarkEnd w:id="276"/>
      <w:bookmarkEnd w:id="277"/>
      <w:bookmarkEnd w:id="278"/>
      <w:r>
        <w:rPr>
          <w:rFonts w:hint="eastAsia" w:ascii="黑体" w:hAnsi="黑体" w:eastAsia="黑体" w:cs="黑体"/>
          <w:sz w:val="32"/>
          <w:szCs w:val="32"/>
          <w:lang w:val="en-US" w:eastAsia="zh-CN"/>
        </w:rPr>
        <w:t>5</w:t>
      </w:r>
      <w:bookmarkEnd w:id="279"/>
      <w:r>
        <w:rPr>
          <w:rFonts w:hint="eastAsia" w:ascii="黑体" w:hAnsi="黑体" w:eastAsia="黑体" w:cs="黑体"/>
          <w:sz w:val="32"/>
          <w:szCs w:val="32"/>
          <w:lang w:val="en-US" w:eastAsia="zh-CN"/>
        </w:rPr>
        <w:br w:type="textWrapping"/>
      </w:r>
    </w:p>
    <w:p w14:paraId="25D4A23D">
      <w:pPr>
        <w:pStyle w:val="3"/>
        <w:bidi w:val="0"/>
        <w:rPr>
          <w:rFonts w:hint="eastAsia"/>
        </w:rPr>
      </w:pPr>
      <w:bookmarkStart w:id="280" w:name="_Toc1783907935"/>
      <w:bookmarkStart w:id="281" w:name="_Toc633482061"/>
      <w:bookmarkStart w:id="282" w:name="_Toc1416677189"/>
      <w:bookmarkStart w:id="283" w:name="_Toc1638596465"/>
      <w:bookmarkStart w:id="284" w:name="_Toc52191543"/>
      <w:r>
        <w:rPr>
          <w:rFonts w:hint="eastAsia"/>
        </w:rPr>
        <w:t>盐田区</w:t>
      </w:r>
      <w:r>
        <w:rPr>
          <w:rFonts w:hint="eastAsia"/>
          <w:lang w:eastAsia="zh-CN"/>
        </w:rPr>
        <w:t>突发</w:t>
      </w:r>
      <w:r>
        <w:rPr>
          <w:rFonts w:hint="eastAsia"/>
        </w:rPr>
        <w:t>地质灾害信息报告表</w:t>
      </w:r>
      <w:bookmarkEnd w:id="262"/>
      <w:bookmarkEnd w:id="280"/>
      <w:bookmarkEnd w:id="281"/>
      <w:bookmarkEnd w:id="282"/>
      <w:bookmarkEnd w:id="283"/>
      <w:bookmarkEnd w:id="284"/>
      <w:r>
        <w:rPr>
          <w:rFonts w:hint="eastAsia"/>
        </w:rPr>
        <w:br w:type="textWrapping"/>
      </w:r>
    </w:p>
    <w:p w14:paraId="387A3EC9">
      <w:pPr>
        <w:spacing w:line="360" w:lineRule="auto"/>
        <w:rPr>
          <w:rFonts w:ascii="仿宋_GB2312"/>
          <w:sz w:val="28"/>
          <w:szCs w:val="28"/>
        </w:rPr>
      </w:pPr>
      <w:r>
        <w:rPr>
          <w:rFonts w:hint="eastAsia" w:ascii="仿宋_GB2312"/>
          <w:sz w:val="28"/>
          <w:szCs w:val="28"/>
        </w:rPr>
        <w:t>报送单位（盖章）：                  报送时间：</w:t>
      </w:r>
    </w:p>
    <w:tbl>
      <w:tblPr>
        <w:tblStyle w:val="13"/>
        <w:tblW w:w="902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31"/>
        <w:gridCol w:w="7593"/>
      </w:tblGrid>
      <w:tr w14:paraId="0D676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024" w:type="dxa"/>
            <w:gridSpan w:val="2"/>
            <w:vAlign w:val="center"/>
          </w:tcPr>
          <w:p w14:paraId="2E81B347">
            <w:pPr>
              <w:rPr>
                <w:rFonts w:hint="eastAsia" w:ascii="仿宋_GB2312" w:hAnsi="宋体"/>
                <w:sz w:val="28"/>
                <w:szCs w:val="28"/>
              </w:rPr>
            </w:pPr>
            <w:r>
              <w:rPr>
                <w:rFonts w:hint="eastAsia" w:ascii="仿宋_GB2312" w:hAnsi="宋体"/>
                <w:sz w:val="28"/>
                <w:szCs w:val="28"/>
              </w:rPr>
              <w:t>地质灾害发生时间：        年   月   日   时   分</w:t>
            </w:r>
          </w:p>
        </w:tc>
      </w:tr>
      <w:tr w14:paraId="12680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024" w:type="dxa"/>
            <w:gridSpan w:val="2"/>
            <w:vAlign w:val="center"/>
          </w:tcPr>
          <w:p w14:paraId="655A3389">
            <w:pPr>
              <w:rPr>
                <w:rFonts w:hint="eastAsia" w:ascii="仿宋_GB2312" w:hAnsi="宋体"/>
                <w:sz w:val="28"/>
                <w:szCs w:val="28"/>
              </w:rPr>
            </w:pPr>
            <w:r>
              <w:rPr>
                <w:rFonts w:hint="eastAsia" w:ascii="仿宋_GB2312" w:hAnsi="宋体"/>
                <w:sz w:val="28"/>
                <w:szCs w:val="28"/>
              </w:rPr>
              <w:t>地质灾害发生地点：       区      街道      社区        路</w:t>
            </w:r>
          </w:p>
        </w:tc>
      </w:tr>
      <w:tr w14:paraId="4BCAA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31" w:type="dxa"/>
            <w:vMerge w:val="restart"/>
            <w:vAlign w:val="center"/>
          </w:tcPr>
          <w:p w14:paraId="6B749DD7">
            <w:pPr>
              <w:jc w:val="center"/>
              <w:rPr>
                <w:rFonts w:hint="eastAsia" w:ascii="仿宋_GB2312" w:hAnsi="宋体"/>
                <w:sz w:val="28"/>
                <w:szCs w:val="28"/>
              </w:rPr>
            </w:pPr>
            <w:r>
              <w:rPr>
                <w:rFonts w:hint="eastAsia" w:ascii="仿宋_GB2312" w:hAnsi="宋体"/>
                <w:sz w:val="28"/>
                <w:szCs w:val="28"/>
              </w:rPr>
              <w:t>地质灾害</w:t>
            </w:r>
          </w:p>
          <w:p w14:paraId="3691171F">
            <w:pPr>
              <w:jc w:val="center"/>
              <w:rPr>
                <w:rFonts w:hint="eastAsia" w:ascii="仿宋_GB2312" w:hAnsi="宋体"/>
                <w:sz w:val="28"/>
                <w:szCs w:val="28"/>
              </w:rPr>
            </w:pPr>
            <w:r>
              <w:rPr>
                <w:rFonts w:hint="eastAsia" w:ascii="仿宋_GB2312" w:hAnsi="宋体"/>
                <w:sz w:val="28"/>
                <w:szCs w:val="28"/>
              </w:rPr>
              <w:t>类型</w:t>
            </w:r>
          </w:p>
        </w:tc>
        <w:tc>
          <w:tcPr>
            <w:tcW w:w="7593" w:type="dxa"/>
            <w:vAlign w:val="center"/>
          </w:tcPr>
          <w:p w14:paraId="34375363">
            <w:pPr>
              <w:rPr>
                <w:rFonts w:hint="eastAsia" w:ascii="仿宋_GB2312" w:hAnsi="宋体"/>
                <w:sz w:val="28"/>
                <w:szCs w:val="28"/>
              </w:rPr>
            </w:pPr>
            <w:r>
              <w:rPr>
                <w:rFonts w:hint="eastAsia" w:ascii="仿宋_GB2312" w:hAnsi="宋体"/>
                <w:sz w:val="28"/>
                <w:szCs w:val="28"/>
              </w:rPr>
              <w:t>灾情：□崩塌  □滑坡  □泥石流  □岩溶塌陷  □其他</w:t>
            </w:r>
          </w:p>
        </w:tc>
      </w:tr>
      <w:tr w14:paraId="42CC7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31" w:type="dxa"/>
            <w:vMerge w:val="continue"/>
            <w:vAlign w:val="center"/>
          </w:tcPr>
          <w:p w14:paraId="4EEE189F">
            <w:pPr>
              <w:ind w:firstLine="2520" w:firstLineChars="900"/>
              <w:jc w:val="center"/>
              <w:rPr>
                <w:rFonts w:hint="eastAsia" w:ascii="仿宋_GB2312" w:hAnsi="宋体"/>
                <w:sz w:val="28"/>
                <w:szCs w:val="28"/>
              </w:rPr>
            </w:pPr>
          </w:p>
        </w:tc>
        <w:tc>
          <w:tcPr>
            <w:tcW w:w="7593" w:type="dxa"/>
            <w:vAlign w:val="center"/>
          </w:tcPr>
          <w:p w14:paraId="02F4D165">
            <w:pPr>
              <w:rPr>
                <w:rFonts w:hint="eastAsia" w:ascii="仿宋_GB2312" w:hAnsi="宋体"/>
                <w:sz w:val="28"/>
                <w:szCs w:val="28"/>
              </w:rPr>
            </w:pPr>
            <w:r>
              <w:rPr>
                <w:rFonts w:hint="eastAsia" w:ascii="仿宋_GB2312" w:hAnsi="宋体"/>
                <w:sz w:val="28"/>
                <w:szCs w:val="28"/>
              </w:rPr>
              <w:t xml:space="preserve">险情：□崩塌  □滑坡  □泥石流  </w:t>
            </w:r>
            <w:r>
              <w:rPr>
                <w:rFonts w:hint="eastAsia" w:ascii="仿宋_GB2312" w:hAnsi="宋体"/>
                <w:color w:val="000000"/>
                <w:sz w:val="28"/>
                <w:szCs w:val="28"/>
              </w:rPr>
              <w:t>□岩溶塌陷</w:t>
            </w:r>
            <w:r>
              <w:rPr>
                <w:rFonts w:hint="eastAsia" w:ascii="仿宋_GB2312" w:hAnsi="宋体"/>
                <w:sz w:val="28"/>
                <w:szCs w:val="28"/>
              </w:rPr>
              <w:t xml:space="preserve">  □其他</w:t>
            </w:r>
          </w:p>
        </w:tc>
      </w:tr>
      <w:tr w14:paraId="639F2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8" w:hRule="atLeast"/>
          <w:jc w:val="center"/>
        </w:trPr>
        <w:tc>
          <w:tcPr>
            <w:tcW w:w="9024" w:type="dxa"/>
            <w:gridSpan w:val="2"/>
            <w:vAlign w:val="center"/>
          </w:tcPr>
          <w:p w14:paraId="2B6219DD">
            <w:pPr>
              <w:rPr>
                <w:rFonts w:hint="eastAsia" w:ascii="仿宋_GB2312" w:hAnsi="宋体"/>
                <w:sz w:val="28"/>
                <w:szCs w:val="28"/>
              </w:rPr>
            </w:pPr>
            <w:r>
              <w:rPr>
                <w:rFonts w:hint="eastAsia" w:ascii="仿宋_GB2312" w:hAnsi="宋体"/>
                <w:sz w:val="28"/>
                <w:szCs w:val="28"/>
              </w:rPr>
              <w:t>灾害影响程度：</w:t>
            </w:r>
          </w:p>
        </w:tc>
      </w:tr>
      <w:tr w14:paraId="26EF6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7" w:hRule="atLeast"/>
          <w:jc w:val="center"/>
        </w:trPr>
        <w:tc>
          <w:tcPr>
            <w:tcW w:w="1431" w:type="dxa"/>
            <w:vAlign w:val="center"/>
          </w:tcPr>
          <w:p w14:paraId="7A860599">
            <w:pPr>
              <w:jc w:val="center"/>
              <w:rPr>
                <w:rFonts w:hint="eastAsia" w:ascii="仿宋_GB2312" w:hAnsi="宋体"/>
                <w:sz w:val="28"/>
                <w:szCs w:val="28"/>
              </w:rPr>
            </w:pPr>
            <w:r>
              <w:rPr>
                <w:rFonts w:hint="eastAsia" w:ascii="仿宋_GB2312" w:hAnsi="宋体"/>
                <w:sz w:val="28"/>
                <w:szCs w:val="28"/>
              </w:rPr>
              <w:t>初步判定的灾害级别</w:t>
            </w:r>
          </w:p>
        </w:tc>
        <w:tc>
          <w:tcPr>
            <w:tcW w:w="7593" w:type="dxa"/>
            <w:vAlign w:val="center"/>
          </w:tcPr>
          <w:p w14:paraId="1AA15FE5">
            <w:pPr>
              <w:rPr>
                <w:rFonts w:ascii="仿宋_GB2312" w:hAnsi="Arial" w:cs="Arial"/>
                <w:kern w:val="0"/>
                <w:sz w:val="28"/>
                <w:szCs w:val="28"/>
              </w:rPr>
            </w:pPr>
            <w:r>
              <w:rPr>
                <w:rFonts w:hint="eastAsia" w:ascii="仿宋_GB2312" w:hAnsi="宋体"/>
                <w:sz w:val="28"/>
                <w:szCs w:val="28"/>
              </w:rPr>
              <w:t>□</w:t>
            </w:r>
            <w:r>
              <w:rPr>
                <w:rFonts w:hint="eastAsia" w:ascii="仿宋_GB2312" w:hAnsi="Arial" w:cs="Arial"/>
                <w:kern w:val="0"/>
                <w:sz w:val="28"/>
                <w:szCs w:val="28"/>
              </w:rPr>
              <w:t>一般地质灾害（</w:t>
            </w:r>
            <w:r>
              <w:rPr>
                <w:rFonts w:hint="eastAsia" w:ascii="仿宋" w:hAnsi="仿宋" w:eastAsia="仿宋" w:cs="Arial"/>
                <w:kern w:val="0"/>
                <w:sz w:val="28"/>
                <w:szCs w:val="28"/>
              </w:rPr>
              <w:t>Ⅳ</w:t>
            </w:r>
            <w:r>
              <w:rPr>
                <w:rFonts w:hint="eastAsia" w:ascii="仿宋_GB2312" w:hAnsi="Arial" w:cs="Arial"/>
                <w:kern w:val="0"/>
                <w:sz w:val="28"/>
                <w:szCs w:val="28"/>
              </w:rPr>
              <w:t xml:space="preserve">级）   </w:t>
            </w:r>
            <w:r>
              <w:rPr>
                <w:rFonts w:hint="eastAsia" w:ascii="仿宋_GB2312" w:hAnsi="宋体"/>
                <w:sz w:val="28"/>
                <w:szCs w:val="28"/>
              </w:rPr>
              <w:t>□</w:t>
            </w:r>
            <w:r>
              <w:rPr>
                <w:rFonts w:hint="eastAsia" w:ascii="仿宋_GB2312" w:hAnsi="Arial" w:cs="Arial"/>
                <w:kern w:val="0"/>
                <w:sz w:val="28"/>
                <w:szCs w:val="28"/>
              </w:rPr>
              <w:t>较大地质灾害（Ⅲ级）</w:t>
            </w:r>
          </w:p>
          <w:p w14:paraId="172F65EA">
            <w:pPr>
              <w:rPr>
                <w:rFonts w:hint="eastAsia" w:ascii="仿宋_GB2312" w:hAnsi="宋体"/>
                <w:sz w:val="28"/>
                <w:szCs w:val="28"/>
              </w:rPr>
            </w:pPr>
            <w:r>
              <w:rPr>
                <w:rFonts w:hint="eastAsia" w:ascii="仿宋_GB2312" w:hAnsi="宋体"/>
                <w:sz w:val="28"/>
                <w:szCs w:val="28"/>
              </w:rPr>
              <w:t>□</w:t>
            </w:r>
            <w:r>
              <w:rPr>
                <w:rFonts w:hint="eastAsia" w:ascii="仿宋_GB2312" w:hAnsi="Arial" w:cs="Arial"/>
                <w:kern w:val="0"/>
                <w:sz w:val="28"/>
                <w:szCs w:val="28"/>
              </w:rPr>
              <w:t xml:space="preserve">重大地质灾害（Ⅱ级）   </w:t>
            </w:r>
            <w:r>
              <w:rPr>
                <w:rFonts w:hint="eastAsia" w:ascii="仿宋_GB2312" w:hAnsi="宋体"/>
                <w:sz w:val="28"/>
                <w:szCs w:val="28"/>
              </w:rPr>
              <w:t>□</w:t>
            </w:r>
            <w:r>
              <w:rPr>
                <w:rFonts w:hint="eastAsia" w:ascii="仿宋_GB2312" w:hAnsi="Arial" w:cs="Arial"/>
                <w:kern w:val="0"/>
                <w:sz w:val="28"/>
                <w:szCs w:val="28"/>
              </w:rPr>
              <w:t>特别重大地质灾害（Ⅰ级）</w:t>
            </w:r>
          </w:p>
        </w:tc>
      </w:tr>
      <w:tr w14:paraId="20C32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6" w:hRule="atLeast"/>
          <w:jc w:val="center"/>
        </w:trPr>
        <w:tc>
          <w:tcPr>
            <w:tcW w:w="9024" w:type="dxa"/>
            <w:gridSpan w:val="2"/>
          </w:tcPr>
          <w:p w14:paraId="6C646F5C">
            <w:pPr>
              <w:rPr>
                <w:rFonts w:hint="eastAsia" w:ascii="仿宋_GB2312" w:hAnsi="宋体"/>
                <w:sz w:val="28"/>
                <w:szCs w:val="28"/>
              </w:rPr>
            </w:pPr>
            <w:r>
              <w:rPr>
                <w:rFonts w:hint="eastAsia" w:ascii="仿宋_GB2312" w:hAnsi="宋体"/>
                <w:sz w:val="28"/>
                <w:szCs w:val="28"/>
              </w:rPr>
              <w:t>成因、经过、损失和影响：</w:t>
            </w:r>
          </w:p>
        </w:tc>
      </w:tr>
      <w:tr w14:paraId="0CC9F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5" w:hRule="atLeast"/>
          <w:jc w:val="center"/>
        </w:trPr>
        <w:tc>
          <w:tcPr>
            <w:tcW w:w="9024" w:type="dxa"/>
            <w:gridSpan w:val="2"/>
            <w:vAlign w:val="center"/>
          </w:tcPr>
          <w:p w14:paraId="2005D70A">
            <w:pPr>
              <w:adjustRightInd w:val="0"/>
              <w:snapToGrid w:val="0"/>
              <w:rPr>
                <w:rFonts w:hint="eastAsia" w:ascii="仿宋_GB2312" w:hAnsi="宋体"/>
                <w:sz w:val="28"/>
                <w:szCs w:val="28"/>
              </w:rPr>
            </w:pPr>
            <w:r>
              <w:rPr>
                <w:rFonts w:hint="eastAsia" w:ascii="仿宋_GB2312" w:hAnsi="宋体"/>
                <w:sz w:val="28"/>
                <w:szCs w:val="28"/>
              </w:rPr>
              <w:t>已采取措施及效果：</w:t>
            </w:r>
          </w:p>
          <w:p w14:paraId="6DB1733F">
            <w:pPr>
              <w:rPr>
                <w:rFonts w:hint="eastAsia" w:ascii="仿宋_GB2312" w:hAnsi="宋体"/>
                <w:sz w:val="28"/>
                <w:szCs w:val="28"/>
              </w:rPr>
            </w:pPr>
          </w:p>
        </w:tc>
      </w:tr>
      <w:tr w14:paraId="752CF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1" w:hRule="atLeast"/>
          <w:jc w:val="center"/>
        </w:trPr>
        <w:tc>
          <w:tcPr>
            <w:tcW w:w="9024" w:type="dxa"/>
            <w:gridSpan w:val="2"/>
            <w:vAlign w:val="center"/>
          </w:tcPr>
          <w:p w14:paraId="4FC66D26">
            <w:pPr>
              <w:adjustRightInd w:val="0"/>
              <w:snapToGrid w:val="0"/>
              <w:rPr>
                <w:rFonts w:hint="eastAsia" w:ascii="仿宋_GB2312" w:hAnsi="宋体"/>
                <w:sz w:val="28"/>
                <w:szCs w:val="28"/>
              </w:rPr>
            </w:pPr>
            <w:r>
              <w:rPr>
                <w:rFonts w:hint="eastAsia" w:ascii="仿宋_GB2312" w:hAnsi="宋体"/>
                <w:sz w:val="28"/>
                <w:szCs w:val="28"/>
              </w:rPr>
              <w:t>发展趋势及对策建议：</w:t>
            </w:r>
          </w:p>
          <w:p w14:paraId="5AB95B1E">
            <w:pPr>
              <w:adjustRightInd w:val="0"/>
              <w:snapToGrid w:val="0"/>
              <w:rPr>
                <w:rFonts w:hint="eastAsia" w:ascii="仿宋_GB2312" w:hAnsi="宋体"/>
                <w:sz w:val="28"/>
                <w:szCs w:val="28"/>
              </w:rPr>
            </w:pPr>
          </w:p>
        </w:tc>
      </w:tr>
      <w:tr w14:paraId="08801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24" w:hRule="atLeast"/>
          <w:jc w:val="center"/>
        </w:trPr>
        <w:tc>
          <w:tcPr>
            <w:tcW w:w="9024" w:type="dxa"/>
            <w:gridSpan w:val="2"/>
            <w:vAlign w:val="center"/>
          </w:tcPr>
          <w:p w14:paraId="3C34E137">
            <w:pPr>
              <w:spacing w:line="500" w:lineRule="exact"/>
              <w:rPr>
                <w:rFonts w:hint="eastAsia" w:ascii="仿宋_GB2312" w:hAnsi="宋体"/>
                <w:sz w:val="28"/>
                <w:szCs w:val="28"/>
              </w:rPr>
            </w:pPr>
            <w:r>
              <w:rPr>
                <w:rFonts w:hint="eastAsia" w:ascii="仿宋_GB2312" w:hAnsi="宋体"/>
                <w:sz w:val="28"/>
                <w:szCs w:val="28"/>
              </w:rPr>
              <w:t>现场联络方式：（一）现场指挥官            联系电话</w:t>
            </w:r>
          </w:p>
          <w:p w14:paraId="48BFD56E">
            <w:pPr>
              <w:spacing w:line="500" w:lineRule="exact"/>
              <w:ind w:firstLine="1960" w:firstLineChars="700"/>
              <w:rPr>
                <w:rFonts w:hint="eastAsia" w:ascii="仿宋_GB2312" w:hAnsi="宋体"/>
                <w:sz w:val="28"/>
                <w:szCs w:val="28"/>
              </w:rPr>
            </w:pPr>
            <w:r>
              <w:rPr>
                <w:rFonts w:hint="eastAsia" w:ascii="仿宋_GB2312" w:hAnsi="宋体"/>
                <w:sz w:val="28"/>
                <w:szCs w:val="28"/>
              </w:rPr>
              <w:t>（二）第一联络员            联系电话</w:t>
            </w:r>
          </w:p>
          <w:p w14:paraId="22D03D12">
            <w:pPr>
              <w:spacing w:line="500" w:lineRule="exact"/>
              <w:ind w:firstLine="1960" w:firstLineChars="700"/>
              <w:rPr>
                <w:rFonts w:hint="eastAsia" w:ascii="仿宋_GB2312" w:hAnsi="宋体"/>
                <w:sz w:val="28"/>
                <w:szCs w:val="28"/>
              </w:rPr>
            </w:pPr>
            <w:r>
              <w:rPr>
                <w:rFonts w:hint="eastAsia" w:ascii="仿宋_GB2312" w:hAnsi="宋体"/>
                <w:sz w:val="28"/>
                <w:szCs w:val="28"/>
              </w:rPr>
              <w:t>（三）第二联络员            联系电话</w:t>
            </w:r>
          </w:p>
        </w:tc>
      </w:tr>
    </w:tbl>
    <w:p w14:paraId="38199358">
      <w:pPr>
        <w:pStyle w:val="3"/>
        <w:spacing w:before="0" w:beforeLines="0" w:after="0" w:afterLines="0"/>
        <w:ind w:firstLine="560" w:firstLineChars="200"/>
        <w:jc w:val="both"/>
        <w:rPr>
          <w:rFonts w:hint="eastAsia" w:ascii="黑体" w:hAnsi="黑体" w:eastAsia="黑体" w:cs="黑体"/>
          <w:kern w:val="2"/>
          <w:sz w:val="32"/>
          <w:szCs w:val="32"/>
          <w:lang w:val="en-US" w:eastAsia="zh-CN" w:bidi="ar-SA"/>
        </w:rPr>
      </w:pPr>
      <w:bookmarkStart w:id="285" w:name="_Toc441236403"/>
      <w:r>
        <w:rPr>
          <w:rFonts w:hint="eastAsia" w:ascii="仿宋_GB2312"/>
          <w:sz w:val="28"/>
          <w:szCs w:val="28"/>
        </w:rPr>
        <w:t>经办人：            联系电话：             审核人：</w:t>
      </w:r>
      <w:bookmarkEnd w:id="263"/>
      <w:bookmarkStart w:id="286" w:name="_Toc6016"/>
      <w:bookmarkStart w:id="287" w:name="_Toc12923"/>
      <w:bookmarkStart w:id="288" w:name="_Toc456260755"/>
      <w:r>
        <w:rPr>
          <w:rFonts w:hint="eastAsia" w:ascii="仿宋_GB2312"/>
          <w:sz w:val="28"/>
          <w:szCs w:val="28"/>
        </w:rPr>
        <w:br w:type="page"/>
      </w:r>
      <w:bookmarkEnd w:id="286"/>
      <w:bookmarkEnd w:id="287"/>
      <w:r>
        <w:rPr>
          <w:rFonts w:hint="eastAsia" w:ascii="黑体" w:hAnsi="黑体" w:eastAsia="黑体" w:cs="黑体"/>
          <w:sz w:val="32"/>
          <w:szCs w:val="32"/>
        </w:rPr>
        <w:t>附件</w:t>
      </w:r>
      <w:r>
        <w:rPr>
          <w:rFonts w:hint="eastAsia" w:ascii="黑体" w:hAnsi="黑体" w:eastAsia="黑体" w:cs="黑体"/>
          <w:sz w:val="32"/>
          <w:szCs w:val="32"/>
          <w:lang w:val="en-US" w:eastAsia="zh-CN"/>
        </w:rPr>
        <w:t>6</w:t>
      </w:r>
      <w:bookmarkEnd w:id="285"/>
      <w:r>
        <w:rPr>
          <w:rFonts w:hint="eastAsia" w:ascii="黑体" w:hAnsi="黑体" w:eastAsia="黑体" w:cs="黑体"/>
          <w:sz w:val="32"/>
          <w:szCs w:val="32"/>
          <w:lang w:val="en-US" w:eastAsia="zh-CN"/>
        </w:rPr>
        <w:br w:type="textWrapping"/>
      </w:r>
    </w:p>
    <w:p w14:paraId="4920BB4E">
      <w:pPr>
        <w:pStyle w:val="3"/>
        <w:bidi w:val="0"/>
        <w:rPr>
          <w:rFonts w:hint="eastAsia"/>
        </w:rPr>
      </w:pPr>
      <w:bookmarkStart w:id="289" w:name="_Toc832840803"/>
      <w:bookmarkStart w:id="290" w:name="_Toc1024865240"/>
      <w:bookmarkStart w:id="291" w:name="_Toc1962232663"/>
      <w:bookmarkStart w:id="292" w:name="_Toc1532110951"/>
      <w:bookmarkStart w:id="293" w:name="_Toc582483999"/>
      <w:r>
        <w:rPr>
          <w:rFonts w:hint="eastAsia"/>
        </w:rPr>
        <w:t>盐田区突发地质灾害应急响应工作情况</w:t>
      </w:r>
      <w:bookmarkEnd w:id="289"/>
      <w:bookmarkEnd w:id="290"/>
      <w:bookmarkEnd w:id="291"/>
      <w:bookmarkEnd w:id="292"/>
      <w:bookmarkEnd w:id="293"/>
    </w:p>
    <w:p w14:paraId="1713D9A5">
      <w:pPr>
        <w:pStyle w:val="3"/>
        <w:bidi w:val="0"/>
        <w:rPr>
          <w:rFonts w:hint="eastAsia"/>
        </w:rPr>
      </w:pPr>
      <w:bookmarkStart w:id="294" w:name="_Toc749397574"/>
      <w:bookmarkStart w:id="295" w:name="_Toc487308210"/>
      <w:bookmarkStart w:id="296" w:name="_Toc1163450017"/>
      <w:bookmarkStart w:id="297" w:name="_Toc656145596"/>
      <w:bookmarkStart w:id="298" w:name="_Toc949642188"/>
      <w:r>
        <w:rPr>
          <w:rFonts w:hint="eastAsia"/>
        </w:rPr>
        <w:t>报送表</w:t>
      </w:r>
      <w:bookmarkEnd w:id="294"/>
      <w:bookmarkEnd w:id="295"/>
      <w:bookmarkEnd w:id="296"/>
      <w:bookmarkEnd w:id="297"/>
      <w:bookmarkEnd w:id="298"/>
      <w:r>
        <w:rPr>
          <w:rFonts w:hint="eastAsia"/>
        </w:rPr>
        <w:br w:type="textWrapping"/>
      </w:r>
    </w:p>
    <w:p w14:paraId="4975BA16">
      <w:pPr>
        <w:autoSpaceDE w:val="0"/>
        <w:autoSpaceDN w:val="0"/>
        <w:adjustRightInd w:val="0"/>
        <w:jc w:val="left"/>
        <w:rPr>
          <w:rFonts w:hint="eastAsia" w:ascii="仿宋_GB2312" w:cs="宋体" w:hAnsiTheme="minorEastAsia"/>
          <w:color w:val="000000"/>
          <w:kern w:val="0"/>
          <w:sz w:val="28"/>
          <w:szCs w:val="28"/>
          <w:u w:val="single"/>
        </w:rPr>
      </w:pPr>
      <w:r>
        <w:rPr>
          <w:rFonts w:hint="eastAsia" w:ascii="仿宋_GB2312" w:cs="宋体" w:hAnsiTheme="minorEastAsia"/>
          <w:b/>
          <w:color w:val="000000"/>
          <w:kern w:val="0"/>
          <w:sz w:val="28"/>
          <w:szCs w:val="28"/>
        </w:rPr>
        <w:t>已启动应急响应类型及级别：</w:t>
      </w:r>
      <w:r>
        <w:rPr>
          <w:rFonts w:hint="eastAsia" w:ascii="仿宋_GB2312" w:cs="宋体" w:hAnsiTheme="minorEastAsia"/>
          <w:color w:val="000000"/>
          <w:kern w:val="0"/>
          <w:sz w:val="28"/>
          <w:szCs w:val="28"/>
        </w:rPr>
        <w:t xml:space="preserve"> </w:t>
      </w:r>
      <w:r>
        <w:rPr>
          <w:rFonts w:hint="eastAsia" w:ascii="仿宋_GB2312" w:cs="宋体" w:hAnsiTheme="minorEastAsia"/>
          <w:color w:val="000000"/>
          <w:kern w:val="0"/>
          <w:sz w:val="28"/>
          <w:szCs w:val="28"/>
          <w:u w:val="single"/>
        </w:rPr>
        <w:t xml:space="preserve">  Ⅳ级 一般地质灾害</w:t>
      </w:r>
      <w:r>
        <w:rPr>
          <w:rFonts w:hint="eastAsia" w:ascii="仿宋_GB2312" w:cs="宋体" w:hAnsiTheme="minorEastAsia"/>
          <w:color w:val="000000"/>
          <w:kern w:val="0"/>
          <w:sz w:val="28"/>
          <w:szCs w:val="28"/>
          <w:u w:val="single"/>
          <w:lang w:eastAsia="zh-CN"/>
        </w:rPr>
        <w:t>（例）</w:t>
      </w:r>
      <w:r>
        <w:rPr>
          <w:rFonts w:hint="eastAsia" w:ascii="仿宋_GB2312" w:cs="宋体" w:hAnsiTheme="minorEastAsia"/>
          <w:color w:val="000000"/>
          <w:kern w:val="0"/>
          <w:sz w:val="28"/>
          <w:szCs w:val="28"/>
          <w:u w:val="single"/>
        </w:rPr>
        <w:t xml:space="preserve">                                   </w:t>
      </w:r>
    </w:p>
    <w:p w14:paraId="066C480B">
      <w:pPr>
        <w:autoSpaceDE w:val="0"/>
        <w:autoSpaceDN w:val="0"/>
        <w:adjustRightInd w:val="0"/>
        <w:jc w:val="left"/>
        <w:rPr>
          <w:rFonts w:hint="eastAsia" w:ascii="仿宋_GB2312" w:cs="宋体" w:hAnsiTheme="minorEastAsia"/>
          <w:b/>
          <w:color w:val="000000"/>
          <w:kern w:val="0"/>
          <w:sz w:val="28"/>
          <w:szCs w:val="28"/>
        </w:rPr>
      </w:pPr>
      <w:r>
        <w:rPr>
          <w:rFonts w:hint="eastAsia" w:ascii="仿宋_GB2312" w:cs="宋体" w:hAnsiTheme="minorEastAsia"/>
          <w:b/>
          <w:color w:val="000000"/>
          <w:kern w:val="0"/>
          <w:sz w:val="28"/>
          <w:szCs w:val="28"/>
        </w:rPr>
        <w:t>启动时间：</w:t>
      </w:r>
      <w:r>
        <w:rPr>
          <w:rFonts w:hint="eastAsia" w:ascii="仿宋_GB2312" w:cs="宋体" w:hAnsiTheme="minorEastAsia"/>
          <w:b/>
          <w:color w:val="000000"/>
          <w:kern w:val="0"/>
          <w:sz w:val="28"/>
          <w:szCs w:val="28"/>
          <w:u w:val="single"/>
        </w:rPr>
        <w:t xml:space="preserve">   </w:t>
      </w:r>
      <w:r>
        <w:rPr>
          <w:rFonts w:hint="eastAsia" w:ascii="仿宋_GB2312" w:cs="宋体" w:hAnsiTheme="minorEastAsia"/>
          <w:b/>
          <w:color w:val="000000"/>
          <w:kern w:val="0"/>
          <w:sz w:val="28"/>
          <w:szCs w:val="28"/>
        </w:rPr>
        <w:t>月</w:t>
      </w:r>
      <w:r>
        <w:rPr>
          <w:rFonts w:hint="eastAsia" w:ascii="仿宋_GB2312" w:cs="宋体" w:hAnsiTheme="minorEastAsia"/>
          <w:b/>
          <w:color w:val="000000"/>
          <w:kern w:val="0"/>
          <w:sz w:val="28"/>
          <w:szCs w:val="28"/>
          <w:u w:val="single"/>
        </w:rPr>
        <w:t xml:space="preserve">  </w:t>
      </w:r>
      <w:r>
        <w:rPr>
          <w:rFonts w:hint="eastAsia" w:ascii="仿宋_GB2312" w:cs="宋体" w:hAnsiTheme="minorEastAsia"/>
          <w:b/>
          <w:color w:val="000000"/>
          <w:kern w:val="0"/>
          <w:sz w:val="28"/>
          <w:szCs w:val="28"/>
        </w:rPr>
        <w:t>日</w:t>
      </w:r>
      <w:r>
        <w:rPr>
          <w:rFonts w:hint="eastAsia" w:ascii="仿宋_GB2312" w:cs="宋体" w:hAnsiTheme="minorEastAsia"/>
          <w:b/>
          <w:color w:val="000000"/>
          <w:kern w:val="0"/>
          <w:sz w:val="28"/>
          <w:szCs w:val="28"/>
          <w:u w:val="single"/>
        </w:rPr>
        <w:t xml:space="preserve">  </w:t>
      </w:r>
      <w:r>
        <w:rPr>
          <w:rFonts w:hint="eastAsia" w:ascii="仿宋_GB2312" w:cs="宋体" w:hAnsiTheme="minorEastAsia"/>
          <w:b/>
          <w:color w:val="000000"/>
          <w:kern w:val="0"/>
          <w:sz w:val="28"/>
          <w:szCs w:val="28"/>
        </w:rPr>
        <w:t>时</w:t>
      </w:r>
      <w:r>
        <w:rPr>
          <w:rFonts w:hint="eastAsia" w:ascii="仿宋_GB2312" w:cs="宋体" w:hAnsiTheme="minorEastAsia"/>
          <w:b/>
          <w:color w:val="000000"/>
          <w:kern w:val="0"/>
          <w:sz w:val="28"/>
          <w:szCs w:val="28"/>
          <w:u w:val="single"/>
        </w:rPr>
        <w:t xml:space="preserve">  </w:t>
      </w:r>
      <w:r>
        <w:rPr>
          <w:rFonts w:hint="eastAsia" w:ascii="仿宋_GB2312" w:cs="宋体" w:hAnsiTheme="minorEastAsia"/>
          <w:b/>
          <w:color w:val="000000"/>
          <w:kern w:val="0"/>
          <w:sz w:val="28"/>
          <w:szCs w:val="28"/>
        </w:rPr>
        <w:t>分      报送单位</w:t>
      </w:r>
      <w:r>
        <w:rPr>
          <w:rFonts w:hint="eastAsia" w:ascii="仿宋_GB2312" w:cs="宋体" w:hAnsiTheme="minorEastAsia"/>
          <w:color w:val="000000"/>
          <w:kern w:val="0"/>
          <w:sz w:val="28"/>
          <w:szCs w:val="28"/>
        </w:rPr>
        <w:t xml:space="preserve">： </w:t>
      </w:r>
      <w:r>
        <w:rPr>
          <w:rFonts w:hint="eastAsia" w:ascii="仿宋_GB2312" w:cs="宋体" w:hAnsiTheme="minorEastAsia"/>
          <w:color w:val="000000"/>
          <w:kern w:val="0"/>
          <w:sz w:val="28"/>
          <w:szCs w:val="28"/>
          <w:u w:val="single"/>
        </w:rPr>
        <w:t xml:space="preserve"> 事发地街道办</w:t>
      </w:r>
      <w:r>
        <w:rPr>
          <w:rFonts w:hint="eastAsia" w:ascii="仿宋_GB2312" w:cs="宋体" w:hAnsiTheme="minorEastAsia"/>
          <w:color w:val="000000"/>
          <w:kern w:val="0"/>
          <w:sz w:val="28"/>
          <w:szCs w:val="28"/>
          <w:u w:val="single"/>
          <w:lang w:eastAsia="zh-CN"/>
        </w:rPr>
        <w:t>（例）</w:t>
      </w:r>
      <w:r>
        <w:rPr>
          <w:rFonts w:hint="eastAsia" w:ascii="仿宋_GB2312" w:cs="宋体" w:hAnsiTheme="minorEastAsia"/>
          <w:color w:val="000000"/>
          <w:kern w:val="0"/>
          <w:sz w:val="28"/>
          <w:szCs w:val="28"/>
          <w:u w:val="single"/>
        </w:rPr>
        <w:t xml:space="preserve">   </w:t>
      </w:r>
    </w:p>
    <w:tbl>
      <w:tblPr>
        <w:tblStyle w:val="13"/>
        <w:tblW w:w="90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39"/>
      </w:tblGrid>
      <w:tr w14:paraId="79562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495" w:hRule="atLeast"/>
        </w:trPr>
        <w:tc>
          <w:tcPr>
            <w:tcW w:w="9039" w:type="dxa"/>
            <w:tcBorders>
              <w:top w:val="single" w:color="auto" w:sz="4" w:space="0"/>
              <w:left w:val="single" w:color="auto" w:sz="4" w:space="0"/>
              <w:bottom w:val="single" w:color="auto" w:sz="4" w:space="0"/>
              <w:right w:val="single" w:color="auto" w:sz="4" w:space="0"/>
            </w:tcBorders>
          </w:tcPr>
          <w:p w14:paraId="52C4B7B1">
            <w:pPr>
              <w:autoSpaceDE w:val="0"/>
              <w:autoSpaceDN w:val="0"/>
              <w:adjustRightInd w:val="0"/>
              <w:spacing w:line="360" w:lineRule="auto"/>
              <w:jc w:val="left"/>
              <w:rPr>
                <w:rFonts w:hint="eastAsia" w:ascii="仿宋_GB2312" w:hAnsi="宋体" w:cs="宋体"/>
                <w:b/>
                <w:color w:val="000000"/>
                <w:kern w:val="0"/>
                <w:sz w:val="28"/>
                <w:szCs w:val="28"/>
              </w:rPr>
            </w:pPr>
            <w:r>
              <w:rPr>
                <w:rFonts w:hint="eastAsia" w:ascii="仿宋_GB2312" w:hAnsi="宋体" w:cs="宋体"/>
                <w:b/>
                <w:color w:val="000000"/>
                <w:kern w:val="0"/>
                <w:sz w:val="28"/>
                <w:szCs w:val="28"/>
              </w:rPr>
              <w:t>区总值班室、区地质灾害应急指挥部：</w:t>
            </w:r>
          </w:p>
          <w:p w14:paraId="392BD6A5">
            <w:pPr>
              <w:autoSpaceDE w:val="0"/>
              <w:autoSpaceDN w:val="0"/>
              <w:adjustRightInd w:val="0"/>
              <w:ind w:firstLine="560" w:firstLineChars="200"/>
              <w:jc w:val="left"/>
              <w:rPr>
                <w:rFonts w:hint="eastAsia" w:ascii="仿宋" w:hAnsi="仿宋" w:eastAsia="仿宋" w:cs="宋体"/>
                <w:color w:val="000000"/>
                <w:kern w:val="0"/>
                <w:sz w:val="28"/>
                <w:szCs w:val="28"/>
              </w:rPr>
            </w:pPr>
            <w:r>
              <w:rPr>
                <w:rFonts w:hint="eastAsia" w:ascii="仿宋" w:hAnsi="仿宋" w:eastAsia="仿宋" w:cs="宋体"/>
                <w:color w:val="000000"/>
                <w:kern w:val="0"/>
                <w:sz w:val="28"/>
                <w:szCs w:val="28"/>
              </w:rPr>
              <w:t>本单位已清楚</w:t>
            </w:r>
            <w:r>
              <w:rPr>
                <w:rFonts w:hint="eastAsia" w:ascii="仿宋" w:hAnsi="仿宋" w:eastAsia="仿宋" w:cs="___WRD_EMBED_SUB_44"/>
                <w:color w:val="000000"/>
                <w:kern w:val="0"/>
                <w:sz w:val="28"/>
                <w:szCs w:val="28"/>
              </w:rPr>
              <w:t>知</w:t>
            </w:r>
            <w:r>
              <w:rPr>
                <w:rFonts w:hint="eastAsia" w:ascii="仿宋" w:hAnsi="仿宋" w:eastAsia="仿宋" w:cs="宋体"/>
                <w:color w:val="000000"/>
                <w:kern w:val="0"/>
                <w:sz w:val="28"/>
                <w:szCs w:val="28"/>
              </w:rPr>
              <w:t>悉</w:t>
            </w:r>
            <w:r>
              <w:rPr>
                <w:rFonts w:hint="eastAsia" w:ascii="仿宋" w:hAnsi="仿宋" w:eastAsia="仿宋" w:cs="___WRD_EMBED_SUB_44"/>
                <w:color w:val="000000"/>
                <w:kern w:val="0"/>
                <w:sz w:val="28"/>
                <w:szCs w:val="28"/>
              </w:rPr>
              <w:t>应急响应职责，并根据相关</w:t>
            </w:r>
            <w:r>
              <w:rPr>
                <w:rFonts w:hint="eastAsia" w:ascii="仿宋" w:hAnsi="仿宋" w:eastAsia="仿宋" w:cs="宋体"/>
                <w:color w:val="000000"/>
                <w:kern w:val="0"/>
                <w:sz w:val="28"/>
                <w:szCs w:val="28"/>
              </w:rPr>
              <w:t>操</w:t>
            </w:r>
            <w:r>
              <w:rPr>
                <w:rFonts w:hint="eastAsia" w:ascii="仿宋" w:hAnsi="仿宋" w:eastAsia="仿宋" w:cs="___WRD_EMBED_SUB_44"/>
                <w:color w:val="000000"/>
                <w:kern w:val="0"/>
                <w:sz w:val="28"/>
                <w:szCs w:val="28"/>
              </w:rPr>
              <w:t>作指</w:t>
            </w:r>
            <w:r>
              <w:rPr>
                <w:rFonts w:hint="eastAsia" w:ascii="仿宋" w:hAnsi="仿宋" w:eastAsia="仿宋" w:cs="宋体"/>
                <w:color w:val="000000"/>
                <w:kern w:val="0"/>
                <w:sz w:val="28"/>
                <w:szCs w:val="28"/>
              </w:rPr>
              <w:t>令</w:t>
            </w:r>
            <w:r>
              <w:rPr>
                <w:rFonts w:hint="eastAsia" w:ascii="仿宋" w:hAnsi="仿宋" w:eastAsia="仿宋" w:cs="___WRD_EMBED_SUB_44"/>
                <w:color w:val="000000"/>
                <w:kern w:val="0"/>
                <w:sz w:val="28"/>
                <w:szCs w:val="28"/>
              </w:rPr>
              <w:t>，已落实完成以下工作（</w:t>
            </w:r>
            <w:r>
              <w:rPr>
                <w:rFonts w:hint="eastAsia" w:ascii="仿宋" w:hAnsi="仿宋" w:eastAsia="仿宋" w:cs="宋体"/>
                <w:color w:val="000000"/>
                <w:kern w:val="0"/>
                <w:sz w:val="28"/>
                <w:szCs w:val="28"/>
              </w:rPr>
              <w:t>对应操</w:t>
            </w:r>
            <w:r>
              <w:rPr>
                <w:rFonts w:hint="eastAsia" w:ascii="仿宋" w:hAnsi="仿宋" w:eastAsia="仿宋" w:cs="___WRD_EMBED_SUB_44"/>
                <w:color w:val="000000"/>
                <w:kern w:val="0"/>
                <w:sz w:val="28"/>
                <w:szCs w:val="28"/>
              </w:rPr>
              <w:t>作指</w:t>
            </w:r>
            <w:r>
              <w:rPr>
                <w:rFonts w:hint="eastAsia" w:ascii="仿宋" w:hAnsi="仿宋" w:eastAsia="仿宋" w:cs="宋体"/>
                <w:color w:val="000000"/>
                <w:kern w:val="0"/>
                <w:sz w:val="28"/>
                <w:szCs w:val="28"/>
              </w:rPr>
              <w:t>令顺</w:t>
            </w:r>
            <w:r>
              <w:rPr>
                <w:rFonts w:hint="eastAsia" w:ascii="仿宋" w:hAnsi="仿宋" w:eastAsia="仿宋" w:cs="___WRD_EMBED_SUB_44"/>
                <w:color w:val="000000"/>
                <w:kern w:val="0"/>
                <w:sz w:val="28"/>
                <w:szCs w:val="28"/>
              </w:rPr>
              <w:t>序，</w:t>
            </w:r>
            <w:r>
              <w:rPr>
                <w:rFonts w:hint="eastAsia" w:ascii="仿宋" w:hAnsi="仿宋" w:eastAsia="仿宋" w:cs="宋体"/>
                <w:color w:val="000000"/>
                <w:kern w:val="0"/>
                <w:sz w:val="28"/>
                <w:szCs w:val="28"/>
              </w:rPr>
              <w:t>尽</w:t>
            </w:r>
            <w:r>
              <w:rPr>
                <w:rFonts w:hint="eastAsia" w:ascii="仿宋" w:hAnsi="仿宋" w:eastAsia="仿宋" w:cs="___WRD_EMBED_SUB_44"/>
                <w:color w:val="000000"/>
                <w:kern w:val="0"/>
                <w:sz w:val="28"/>
                <w:szCs w:val="28"/>
              </w:rPr>
              <w:t>可能量化</w:t>
            </w:r>
            <w:r>
              <w:rPr>
                <w:rFonts w:hint="eastAsia" w:ascii="仿宋" w:hAnsi="仿宋" w:eastAsia="仿宋" w:cs="宋体"/>
                <w:color w:val="000000"/>
                <w:kern w:val="0"/>
                <w:sz w:val="28"/>
                <w:szCs w:val="28"/>
              </w:rPr>
              <w:t>报送信息）：</w:t>
            </w:r>
          </w:p>
          <w:p w14:paraId="5B8E7F19">
            <w:pPr>
              <w:autoSpaceDE w:val="0"/>
              <w:autoSpaceDN w:val="0"/>
              <w:adjustRightInd w:val="0"/>
              <w:ind w:firstLine="560" w:firstLineChars="200"/>
              <w:jc w:val="left"/>
              <w:rPr>
                <w:rFonts w:hint="eastAsia" w:ascii="仿宋" w:hAnsi="仿宋" w:eastAsia="仿宋" w:cs="宋体"/>
                <w:color w:val="000000"/>
                <w:kern w:val="0"/>
                <w:sz w:val="28"/>
                <w:szCs w:val="28"/>
              </w:rPr>
            </w:pPr>
            <w:r>
              <w:rPr>
                <w:rFonts w:hint="eastAsia" w:ascii="仿宋" w:hAnsi="仿宋" w:eastAsia="仿宋" w:cs="宋体"/>
                <w:color w:val="000000"/>
                <w:kern w:val="0"/>
                <w:sz w:val="28"/>
                <w:szCs w:val="28"/>
              </w:rPr>
              <w:t>例：灾情：15：00时，街道办巡查员在雨中巡查时发现**临建的山体发生了小型崩塌，脱</w:t>
            </w:r>
            <w:r>
              <w:rPr>
                <w:rFonts w:hint="eastAsia" w:ascii="仿宋" w:hAnsi="仿宋" w:eastAsia="仿宋" w:cs="___WRD_EMBED_SUB_44"/>
                <w:color w:val="000000"/>
                <w:kern w:val="0"/>
                <w:sz w:val="28"/>
                <w:szCs w:val="28"/>
              </w:rPr>
              <w:t>落的石</w:t>
            </w:r>
            <w:r>
              <w:rPr>
                <w:rFonts w:hint="eastAsia" w:ascii="仿宋" w:hAnsi="仿宋" w:eastAsia="仿宋" w:cs="宋体"/>
                <w:color w:val="000000"/>
                <w:kern w:val="0"/>
                <w:sz w:val="28"/>
                <w:szCs w:val="28"/>
              </w:rPr>
              <w:t>块砸</w:t>
            </w:r>
            <w:r>
              <w:rPr>
                <w:rFonts w:hint="eastAsia" w:ascii="仿宋" w:hAnsi="仿宋" w:eastAsia="仿宋" w:cs="___WRD_EMBED_SUB_44"/>
                <w:color w:val="000000"/>
                <w:kern w:val="0"/>
                <w:sz w:val="28"/>
                <w:szCs w:val="28"/>
              </w:rPr>
              <w:t>坏了工地</w:t>
            </w:r>
            <w:r>
              <w:rPr>
                <w:rFonts w:hint="eastAsia" w:ascii="仿宋" w:hAnsi="仿宋" w:eastAsia="仿宋" w:cs="宋体"/>
                <w:color w:val="000000"/>
                <w:kern w:val="0"/>
                <w:sz w:val="28"/>
                <w:szCs w:val="28"/>
              </w:rPr>
              <w:t>宿</w:t>
            </w:r>
            <w:r>
              <w:rPr>
                <w:rFonts w:hint="eastAsia" w:ascii="仿宋" w:hAnsi="仿宋" w:eastAsia="仿宋" w:cs="___WRD_EMBED_SUB_44"/>
                <w:color w:val="000000"/>
                <w:kern w:val="0"/>
                <w:sz w:val="28"/>
                <w:szCs w:val="28"/>
              </w:rPr>
              <w:t>舍的屋</w:t>
            </w:r>
            <w:r>
              <w:rPr>
                <w:rFonts w:hint="eastAsia" w:ascii="仿宋" w:hAnsi="仿宋" w:eastAsia="仿宋" w:cs="宋体"/>
                <w:color w:val="000000"/>
                <w:kern w:val="0"/>
                <w:sz w:val="28"/>
                <w:szCs w:val="28"/>
              </w:rPr>
              <w:t>顶</w:t>
            </w:r>
            <w:r>
              <w:rPr>
                <w:rFonts w:hint="eastAsia" w:ascii="仿宋" w:hAnsi="仿宋" w:eastAsia="仿宋" w:cs="___WRD_EMBED_SUB_44"/>
                <w:color w:val="000000"/>
                <w:kern w:val="0"/>
                <w:sz w:val="28"/>
                <w:szCs w:val="28"/>
              </w:rPr>
              <w:t>，屋内</w:t>
            </w:r>
            <w:r>
              <w:rPr>
                <w:rFonts w:hint="eastAsia" w:ascii="仿宋" w:hAnsi="仿宋" w:eastAsia="仿宋" w:cs="宋体"/>
                <w:color w:val="000000"/>
                <w:kern w:val="0"/>
                <w:sz w:val="28"/>
                <w:szCs w:val="28"/>
              </w:rPr>
              <w:t>情况不明。立即上报至</w:t>
            </w:r>
            <w:r>
              <w:rPr>
                <w:rFonts w:hint="eastAsia" w:ascii="仿宋" w:hAnsi="仿宋" w:eastAsia="仿宋" w:cs="___WRD_EMBED_SUB_44"/>
                <w:color w:val="000000"/>
                <w:kern w:val="0"/>
                <w:sz w:val="28"/>
                <w:szCs w:val="28"/>
              </w:rPr>
              <w:t>街道办并启动</w:t>
            </w:r>
            <w:r>
              <w:rPr>
                <w:rFonts w:hint="eastAsia" w:ascii="仿宋" w:hAnsi="仿宋" w:eastAsia="仿宋" w:cs="宋体"/>
                <w:color w:val="000000"/>
                <w:kern w:val="0"/>
                <w:sz w:val="28"/>
                <w:szCs w:val="28"/>
              </w:rPr>
              <w:t>Ⅳ级应急响应。</w:t>
            </w:r>
          </w:p>
          <w:p w14:paraId="18AB578D">
            <w:pPr>
              <w:pStyle w:val="24"/>
              <w:numPr>
                <w:ilvl w:val="0"/>
                <w:numId w:val="0"/>
              </w:numPr>
              <w:autoSpaceDE w:val="0"/>
              <w:autoSpaceDN w:val="0"/>
              <w:adjustRightInd w:val="0"/>
              <w:ind w:left="480" w:leftChars="0"/>
              <w:jc w:val="left"/>
              <w:rPr>
                <w:rFonts w:hint="eastAsia" w:ascii="仿宋" w:hAnsi="仿宋" w:eastAsia="仿宋" w:cs="宋体"/>
                <w:color w:val="000000"/>
                <w:kern w:val="0"/>
                <w:sz w:val="28"/>
                <w:szCs w:val="28"/>
              </w:rPr>
            </w:pPr>
            <w:r>
              <w:rPr>
                <w:rFonts w:hint="eastAsia" w:ascii="仿宋" w:hAnsi="仿宋" w:eastAsia="仿宋" w:cs="宋体"/>
                <w:color w:val="000000"/>
                <w:kern w:val="0"/>
                <w:sz w:val="28"/>
                <w:szCs w:val="28"/>
                <w:lang w:val="en-US" w:eastAsia="zh-CN"/>
              </w:rPr>
              <w:t>1.</w:t>
            </w:r>
            <w:r>
              <w:rPr>
                <w:rFonts w:hint="eastAsia" w:ascii="仿宋" w:hAnsi="仿宋" w:eastAsia="仿宋" w:cs="宋体"/>
                <w:color w:val="000000"/>
                <w:kern w:val="0"/>
                <w:sz w:val="28"/>
                <w:szCs w:val="28"/>
              </w:rPr>
              <w:t>截至15:30分，已组织人员搜查确认屋内无人员受伤；</w:t>
            </w:r>
          </w:p>
          <w:p w14:paraId="13FC315D">
            <w:pPr>
              <w:pStyle w:val="24"/>
              <w:numPr>
                <w:ilvl w:val="0"/>
                <w:numId w:val="0"/>
              </w:numPr>
              <w:autoSpaceDE w:val="0"/>
              <w:autoSpaceDN w:val="0"/>
              <w:adjustRightInd w:val="0"/>
              <w:ind w:left="480" w:leftChars="0"/>
              <w:jc w:val="left"/>
              <w:rPr>
                <w:rFonts w:hint="eastAsia" w:ascii="仿宋" w:hAnsi="仿宋" w:eastAsia="仿宋" w:cs="宋体"/>
                <w:color w:val="000000"/>
                <w:kern w:val="0"/>
                <w:sz w:val="28"/>
                <w:szCs w:val="28"/>
              </w:rPr>
            </w:pPr>
            <w:r>
              <w:rPr>
                <w:rFonts w:hint="eastAsia" w:ascii="仿宋" w:hAnsi="仿宋" w:eastAsia="仿宋" w:cs="宋体"/>
                <w:color w:val="000000"/>
                <w:kern w:val="0"/>
                <w:sz w:val="28"/>
                <w:szCs w:val="28"/>
                <w:lang w:val="en-US" w:eastAsia="zh-CN"/>
              </w:rPr>
              <w:t>2.</w:t>
            </w:r>
            <w:r>
              <w:rPr>
                <w:rFonts w:hint="eastAsia" w:ascii="仿宋" w:hAnsi="仿宋" w:eastAsia="仿宋" w:cs="宋体"/>
                <w:color w:val="000000"/>
                <w:kern w:val="0"/>
                <w:sz w:val="28"/>
                <w:szCs w:val="28"/>
              </w:rPr>
              <w:t>已于15:23分通过电视、短信向公众播发该</w:t>
            </w:r>
            <w:r>
              <w:rPr>
                <w:rFonts w:hint="eastAsia" w:ascii="仿宋" w:hAnsi="仿宋" w:eastAsia="仿宋" w:cs="___WRD_EMBED_SUB_44"/>
                <w:color w:val="000000"/>
                <w:kern w:val="0"/>
                <w:sz w:val="28"/>
                <w:szCs w:val="28"/>
              </w:rPr>
              <w:t>处山体发生小型崩塌情况，</w:t>
            </w:r>
            <w:r>
              <w:rPr>
                <w:rFonts w:hint="eastAsia" w:ascii="仿宋" w:hAnsi="仿宋" w:eastAsia="仿宋" w:cs="宋体"/>
                <w:color w:val="000000"/>
                <w:kern w:val="0"/>
                <w:sz w:val="28"/>
                <w:szCs w:val="28"/>
              </w:rPr>
              <w:t>封锁</w:t>
            </w:r>
            <w:r>
              <w:rPr>
                <w:rFonts w:hint="eastAsia" w:ascii="仿宋" w:hAnsi="仿宋" w:eastAsia="仿宋" w:cs="___WRD_EMBED_SUB_44"/>
                <w:color w:val="000000"/>
                <w:kern w:val="0"/>
                <w:sz w:val="28"/>
                <w:szCs w:val="28"/>
              </w:rPr>
              <w:t>附近交通，</w:t>
            </w:r>
            <w:r>
              <w:rPr>
                <w:rFonts w:hint="eastAsia" w:ascii="仿宋" w:hAnsi="仿宋" w:eastAsia="仿宋" w:cs="宋体"/>
                <w:color w:val="000000"/>
                <w:kern w:val="0"/>
                <w:sz w:val="28"/>
                <w:szCs w:val="28"/>
              </w:rPr>
              <w:t>谨</w:t>
            </w:r>
            <w:r>
              <w:rPr>
                <w:rFonts w:hint="eastAsia" w:ascii="仿宋" w:hAnsi="仿宋" w:eastAsia="仿宋" w:cs="___WRD_EMBED_SUB_44"/>
                <w:color w:val="000000"/>
                <w:kern w:val="0"/>
                <w:sz w:val="28"/>
                <w:szCs w:val="28"/>
              </w:rPr>
              <w:t>防人员靠近</w:t>
            </w:r>
            <w:r>
              <w:rPr>
                <w:rFonts w:hint="eastAsia" w:ascii="仿宋" w:hAnsi="仿宋" w:eastAsia="仿宋" w:cs="宋体"/>
                <w:color w:val="000000"/>
                <w:kern w:val="0"/>
                <w:sz w:val="28"/>
                <w:szCs w:val="28"/>
              </w:rPr>
              <w:t xml:space="preserve">； </w:t>
            </w:r>
          </w:p>
          <w:p w14:paraId="49475A03">
            <w:pPr>
              <w:pStyle w:val="24"/>
              <w:numPr>
                <w:ilvl w:val="0"/>
                <w:numId w:val="0"/>
              </w:numPr>
              <w:autoSpaceDE w:val="0"/>
              <w:autoSpaceDN w:val="0"/>
              <w:adjustRightInd w:val="0"/>
              <w:ind w:left="480" w:leftChars="0"/>
              <w:jc w:val="left"/>
              <w:rPr>
                <w:rFonts w:hint="eastAsia" w:ascii="仿宋" w:hAnsi="仿宋" w:eastAsia="仿宋" w:cs="宋体"/>
                <w:color w:val="000000"/>
                <w:kern w:val="0"/>
                <w:sz w:val="28"/>
                <w:szCs w:val="28"/>
              </w:rPr>
            </w:pPr>
            <w:r>
              <w:rPr>
                <w:rFonts w:hint="eastAsia" w:ascii="仿宋" w:hAnsi="仿宋" w:eastAsia="仿宋" w:cs="宋体"/>
                <w:color w:val="000000"/>
                <w:kern w:val="0"/>
                <w:sz w:val="28"/>
                <w:szCs w:val="28"/>
                <w:lang w:val="en-US" w:eastAsia="zh-CN"/>
              </w:rPr>
              <w:t>3.</w:t>
            </w:r>
            <w:r>
              <w:rPr>
                <w:rFonts w:hint="eastAsia" w:ascii="仿宋" w:hAnsi="仿宋" w:eastAsia="仿宋" w:cs="宋体"/>
                <w:color w:val="000000"/>
                <w:kern w:val="0"/>
                <w:sz w:val="28"/>
                <w:szCs w:val="28"/>
              </w:rPr>
              <w:t>……</w:t>
            </w:r>
          </w:p>
          <w:p w14:paraId="342F2589">
            <w:pPr>
              <w:autoSpaceDE w:val="0"/>
              <w:autoSpaceDN w:val="0"/>
              <w:adjustRightInd w:val="0"/>
              <w:jc w:val="left"/>
              <w:rPr>
                <w:rFonts w:hint="eastAsia" w:ascii="仿宋" w:hAnsi="仿宋" w:eastAsia="仿宋" w:cs="宋体"/>
                <w:color w:val="000000"/>
                <w:kern w:val="0"/>
                <w:sz w:val="28"/>
                <w:szCs w:val="28"/>
              </w:rPr>
            </w:pPr>
          </w:p>
          <w:p w14:paraId="5755CE31">
            <w:pPr>
              <w:pStyle w:val="2"/>
              <w:ind w:left="0" w:leftChars="0" w:firstLine="0" w:firstLineChars="0"/>
            </w:pPr>
          </w:p>
        </w:tc>
      </w:tr>
      <w:tr w14:paraId="6FA8F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02" w:hRule="atLeast"/>
        </w:trPr>
        <w:tc>
          <w:tcPr>
            <w:tcW w:w="9039" w:type="dxa"/>
            <w:tcBorders>
              <w:top w:val="single" w:color="auto" w:sz="4" w:space="0"/>
              <w:left w:val="single" w:color="auto" w:sz="4" w:space="0"/>
              <w:bottom w:val="single" w:color="auto" w:sz="4" w:space="0"/>
              <w:right w:val="single" w:color="auto" w:sz="4" w:space="0"/>
            </w:tcBorders>
          </w:tcPr>
          <w:p w14:paraId="3D2B37F8">
            <w:pPr>
              <w:autoSpaceDE w:val="0"/>
              <w:autoSpaceDN w:val="0"/>
              <w:adjustRightInd w:val="0"/>
              <w:jc w:val="left"/>
              <w:rPr>
                <w:rFonts w:hint="eastAsia" w:ascii="宋体" w:hAnsi="宋体" w:cs="宋体"/>
                <w:b/>
                <w:color w:val="000000"/>
                <w:kern w:val="0"/>
                <w:sz w:val="24"/>
              </w:rPr>
            </w:pPr>
          </w:p>
          <w:p w14:paraId="014F7550">
            <w:pPr>
              <w:autoSpaceDE w:val="0"/>
              <w:autoSpaceDN w:val="0"/>
              <w:adjustRightInd w:val="0"/>
              <w:jc w:val="left"/>
              <w:rPr>
                <w:rFonts w:hint="eastAsia" w:ascii="宋体" w:hAnsi="宋体" w:cs="宋体"/>
                <w:b/>
                <w:color w:val="000000"/>
                <w:kern w:val="0"/>
                <w:sz w:val="24"/>
              </w:rPr>
            </w:pPr>
            <w:r>
              <w:rPr>
                <w:rFonts w:hint="eastAsia" w:ascii="宋体" w:hAnsi="宋体" w:cs="宋体"/>
                <w:b/>
                <w:color w:val="000000"/>
                <w:kern w:val="0"/>
                <w:sz w:val="24"/>
              </w:rPr>
              <w:t>报送人：</w:t>
            </w:r>
            <w:r>
              <w:rPr>
                <w:rFonts w:hint="eastAsia" w:ascii="宋体" w:hAnsi="宋体" w:cs="宋体"/>
                <w:b/>
                <w:color w:val="000000"/>
                <w:kern w:val="0"/>
                <w:sz w:val="24"/>
                <w:u w:val="single"/>
              </w:rPr>
              <w:t xml:space="preserve">             </w:t>
            </w:r>
            <w:r>
              <w:rPr>
                <w:rFonts w:hint="eastAsia" w:ascii="宋体" w:hAnsi="宋体" w:cs="宋体"/>
                <w:b/>
                <w:color w:val="000000"/>
                <w:kern w:val="0"/>
                <w:sz w:val="24"/>
              </w:rPr>
              <w:t>报送时间：</w:t>
            </w:r>
            <w:r>
              <w:rPr>
                <w:rFonts w:hint="eastAsia" w:ascii="宋体" w:hAnsi="宋体" w:cs="宋体"/>
                <w:b/>
                <w:color w:val="000000"/>
                <w:kern w:val="0"/>
                <w:sz w:val="24"/>
                <w:u w:val="single"/>
              </w:rPr>
              <w:t xml:space="preserve">      </w:t>
            </w:r>
            <w:r>
              <w:rPr>
                <w:rFonts w:hint="eastAsia" w:ascii="宋体" w:hAnsi="宋体" w:cs="宋体"/>
                <w:b/>
                <w:color w:val="000000"/>
                <w:kern w:val="0"/>
                <w:sz w:val="24"/>
              </w:rPr>
              <w:t>时</w:t>
            </w:r>
            <w:r>
              <w:rPr>
                <w:rFonts w:hint="eastAsia" w:ascii="宋体" w:hAnsi="宋体" w:cs="宋体"/>
                <w:b/>
                <w:color w:val="000000"/>
                <w:kern w:val="0"/>
                <w:sz w:val="24"/>
                <w:u w:val="single"/>
              </w:rPr>
              <w:t xml:space="preserve">    </w:t>
            </w:r>
            <w:r>
              <w:rPr>
                <w:rFonts w:hint="eastAsia" w:ascii="宋体" w:hAnsi="宋体" w:cs="宋体"/>
                <w:b/>
                <w:color w:val="000000"/>
                <w:kern w:val="0"/>
                <w:sz w:val="24"/>
              </w:rPr>
              <w:t>分  联系电话：</w:t>
            </w:r>
            <w:r>
              <w:rPr>
                <w:rFonts w:hint="eastAsia" w:ascii="宋体" w:hAnsi="宋体" w:cs="宋体"/>
                <w:b/>
                <w:color w:val="000000"/>
                <w:kern w:val="0"/>
                <w:sz w:val="24"/>
                <w:u w:val="single"/>
              </w:rPr>
              <w:t xml:space="preserve">               </w:t>
            </w:r>
          </w:p>
          <w:p w14:paraId="1EBDFBFC">
            <w:pPr>
              <w:autoSpaceDE w:val="0"/>
              <w:autoSpaceDN w:val="0"/>
              <w:adjustRightInd w:val="0"/>
              <w:jc w:val="left"/>
              <w:rPr>
                <w:rFonts w:hint="eastAsia" w:ascii="宋体" w:hAnsi="宋体" w:cs="宋体"/>
                <w:b/>
                <w:color w:val="000000"/>
                <w:kern w:val="0"/>
                <w:sz w:val="24"/>
              </w:rPr>
            </w:pPr>
          </w:p>
          <w:p w14:paraId="77AB4A77">
            <w:pPr>
              <w:autoSpaceDE w:val="0"/>
              <w:autoSpaceDN w:val="0"/>
              <w:adjustRightInd w:val="0"/>
              <w:jc w:val="left"/>
              <w:rPr>
                <w:rFonts w:hint="eastAsia" w:ascii="宋体" w:hAnsi="宋体" w:cs="宋体"/>
                <w:b/>
                <w:color w:val="000000"/>
                <w:kern w:val="0"/>
                <w:sz w:val="24"/>
              </w:rPr>
            </w:pPr>
            <w:r>
              <w:rPr>
                <w:rFonts w:hint="eastAsia" w:ascii="宋体" w:hAnsi="宋体" w:cs="宋体"/>
                <w:b/>
                <w:color w:val="000000"/>
                <w:kern w:val="0"/>
                <w:sz w:val="24"/>
              </w:rPr>
              <w:t xml:space="preserve">                                                    手机：</w:t>
            </w:r>
            <w:r>
              <w:rPr>
                <w:rFonts w:hint="eastAsia" w:ascii="宋体" w:hAnsi="宋体" w:cs="宋体"/>
                <w:b/>
                <w:color w:val="000000"/>
                <w:kern w:val="0"/>
                <w:sz w:val="24"/>
                <w:u w:val="single"/>
              </w:rPr>
              <w:t xml:space="preserve">              </w:t>
            </w:r>
          </w:p>
          <w:p w14:paraId="58C5C86F">
            <w:pPr>
              <w:autoSpaceDE w:val="0"/>
              <w:autoSpaceDN w:val="0"/>
              <w:adjustRightInd w:val="0"/>
              <w:jc w:val="left"/>
              <w:rPr>
                <w:rFonts w:hint="eastAsia" w:ascii="宋体" w:hAnsi="宋体" w:cs="宋体"/>
                <w:b/>
                <w:color w:val="000000"/>
                <w:kern w:val="0"/>
                <w:sz w:val="24"/>
              </w:rPr>
            </w:pPr>
          </w:p>
          <w:p w14:paraId="0CC24C21">
            <w:pPr>
              <w:autoSpaceDE w:val="0"/>
              <w:autoSpaceDN w:val="0"/>
              <w:adjustRightInd w:val="0"/>
              <w:jc w:val="left"/>
              <w:rPr>
                <w:szCs w:val="32"/>
              </w:rPr>
            </w:pPr>
            <w:r>
              <w:rPr>
                <w:rFonts w:hint="eastAsia" w:ascii="宋体" w:hAnsi="宋体" w:cs="宋体"/>
                <w:b/>
                <w:color w:val="000000"/>
                <w:kern w:val="0"/>
                <w:sz w:val="24"/>
              </w:rPr>
              <w:t>审核人：</w:t>
            </w:r>
            <w:r>
              <w:rPr>
                <w:rFonts w:hint="eastAsia" w:ascii="宋体" w:hAnsi="宋体" w:cs="宋体"/>
                <w:color w:val="000000"/>
                <w:kern w:val="0"/>
                <w:sz w:val="24"/>
                <w:u w:val="single"/>
              </w:rPr>
              <w:t xml:space="preserve">  </w:t>
            </w:r>
            <w:r>
              <w:rPr>
                <w:rFonts w:hint="eastAsia" w:ascii="宋体" w:hAnsi="宋体" w:cs="宋体"/>
                <w:b/>
                <w:color w:val="000000"/>
                <w:kern w:val="0"/>
                <w:sz w:val="24"/>
                <w:u w:val="single"/>
              </w:rPr>
              <w:t xml:space="preserve"> </w:t>
            </w:r>
            <w:r>
              <w:rPr>
                <w:rFonts w:hint="eastAsia" w:ascii="宋体" w:hAnsi="宋体" w:cs="宋体"/>
                <w:color w:val="000000"/>
                <w:kern w:val="0"/>
                <w:sz w:val="24"/>
                <w:u w:val="single"/>
              </w:rPr>
              <w:t xml:space="preserve">        </w:t>
            </w:r>
            <w:r>
              <w:rPr>
                <w:rFonts w:hint="eastAsia" w:ascii="宋体" w:hAnsi="宋体" w:cs="宋体"/>
                <w:b/>
                <w:color w:val="000000"/>
                <w:kern w:val="0"/>
                <w:sz w:val="24"/>
                <w:u w:val="single"/>
              </w:rPr>
              <w:t xml:space="preserve">  </w:t>
            </w:r>
            <w:r>
              <w:rPr>
                <w:rFonts w:hint="eastAsia" w:ascii="宋体" w:hAnsi="宋体" w:cs="宋体"/>
                <w:b/>
                <w:color w:val="000000"/>
                <w:kern w:val="0"/>
                <w:sz w:val="24"/>
              </w:rPr>
              <w:t>审核时间：</w:t>
            </w:r>
            <w:r>
              <w:rPr>
                <w:rFonts w:hint="eastAsia" w:ascii="宋体" w:hAnsi="宋体" w:cs="宋体"/>
                <w:b/>
                <w:color w:val="000000"/>
                <w:kern w:val="0"/>
                <w:sz w:val="24"/>
                <w:u w:val="single"/>
              </w:rPr>
              <w:t xml:space="preserve">      </w:t>
            </w:r>
            <w:r>
              <w:rPr>
                <w:rFonts w:hint="eastAsia" w:ascii="宋体" w:hAnsi="宋体" w:cs="宋体"/>
                <w:b/>
                <w:color w:val="000000"/>
                <w:kern w:val="0"/>
                <w:sz w:val="24"/>
              </w:rPr>
              <w:t>时</w:t>
            </w:r>
            <w:r>
              <w:rPr>
                <w:rFonts w:hint="eastAsia" w:ascii="宋体" w:hAnsi="宋体" w:cs="宋体"/>
                <w:b/>
                <w:color w:val="000000"/>
                <w:kern w:val="0"/>
                <w:sz w:val="24"/>
                <w:u w:val="single"/>
              </w:rPr>
              <w:t xml:space="preserve">    </w:t>
            </w:r>
            <w:r>
              <w:rPr>
                <w:rFonts w:hint="eastAsia" w:ascii="宋体" w:hAnsi="宋体" w:cs="宋体"/>
                <w:b/>
                <w:color w:val="000000"/>
                <w:kern w:val="0"/>
                <w:sz w:val="24"/>
              </w:rPr>
              <w:t>分   联系电话：</w:t>
            </w:r>
            <w:r>
              <w:rPr>
                <w:rFonts w:hint="eastAsia" w:ascii="宋体" w:hAnsi="宋体" w:cs="宋体"/>
                <w:b/>
                <w:color w:val="000000"/>
                <w:kern w:val="0"/>
                <w:sz w:val="24"/>
                <w:u w:val="single"/>
              </w:rPr>
              <w:t xml:space="preserve">               </w:t>
            </w:r>
          </w:p>
          <w:p w14:paraId="39106AFE">
            <w:pPr>
              <w:autoSpaceDE w:val="0"/>
              <w:autoSpaceDN w:val="0"/>
              <w:adjustRightInd w:val="0"/>
              <w:ind w:firstLine="6264" w:firstLineChars="2600"/>
              <w:jc w:val="left"/>
              <w:rPr>
                <w:rFonts w:hint="eastAsia" w:ascii="宋体" w:hAnsi="宋体" w:cs="宋体"/>
                <w:b/>
                <w:color w:val="000000"/>
                <w:kern w:val="0"/>
                <w:sz w:val="24"/>
              </w:rPr>
            </w:pPr>
          </w:p>
          <w:p w14:paraId="352D2FFF">
            <w:pPr>
              <w:autoSpaceDE w:val="0"/>
              <w:autoSpaceDN w:val="0"/>
              <w:adjustRightInd w:val="0"/>
              <w:ind w:firstLine="6264" w:firstLineChars="2600"/>
              <w:jc w:val="left"/>
              <w:rPr>
                <w:rFonts w:hint="eastAsia" w:ascii="宋体" w:hAnsi="宋体" w:cs="宋体"/>
                <w:color w:val="000000"/>
                <w:kern w:val="0"/>
                <w:sz w:val="28"/>
                <w:szCs w:val="28"/>
              </w:rPr>
            </w:pPr>
            <w:r>
              <w:rPr>
                <w:rFonts w:hint="eastAsia" w:ascii="宋体" w:hAnsi="宋体" w:cs="宋体"/>
                <w:b/>
                <w:color w:val="000000"/>
                <w:kern w:val="0"/>
                <w:sz w:val="24"/>
              </w:rPr>
              <w:t>手机：</w:t>
            </w:r>
            <w:r>
              <w:rPr>
                <w:rFonts w:hint="eastAsia" w:ascii="宋体" w:hAnsi="宋体" w:cs="宋体"/>
                <w:b/>
                <w:color w:val="000000"/>
                <w:kern w:val="0"/>
                <w:sz w:val="24"/>
                <w:u w:val="single"/>
              </w:rPr>
              <w:t xml:space="preserve">              </w:t>
            </w:r>
          </w:p>
        </w:tc>
      </w:tr>
    </w:tbl>
    <w:p w14:paraId="3AFEB791">
      <w:pPr>
        <w:rPr>
          <w:rFonts w:hint="eastAsia" w:ascii="黑体" w:hAnsi="黑体" w:eastAsia="黑体" w:cs="黑体"/>
          <w:kern w:val="2"/>
          <w:sz w:val="32"/>
          <w:szCs w:val="32"/>
          <w:lang w:val="en-US" w:eastAsia="zh-CN" w:bidi="ar-SA"/>
        </w:rPr>
      </w:pPr>
      <w:bookmarkStart w:id="299" w:name="_Toc744212663"/>
      <w:bookmarkStart w:id="300" w:name="_Toc1130478215"/>
      <w:bookmarkStart w:id="301" w:name="_Toc982883409"/>
      <w:bookmarkStart w:id="302" w:name="_Toc854638325"/>
      <w:r>
        <w:rPr>
          <w:rFonts w:hint="eastAsia" w:ascii="黑体" w:hAnsi="黑体" w:eastAsia="黑体" w:cs="黑体"/>
          <w:kern w:val="2"/>
          <w:sz w:val="32"/>
          <w:szCs w:val="32"/>
          <w:lang w:val="en-US" w:eastAsia="zh-CN" w:bidi="ar-SA"/>
        </w:rPr>
        <w:br w:type="page"/>
      </w:r>
    </w:p>
    <w:p w14:paraId="1F2E4387">
      <w:pPr>
        <w:pStyle w:val="3"/>
        <w:bidi w:val="0"/>
        <w:jc w:val="both"/>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附件</w:t>
      </w:r>
      <w:bookmarkEnd w:id="299"/>
      <w:bookmarkEnd w:id="300"/>
      <w:bookmarkEnd w:id="301"/>
      <w:r>
        <w:rPr>
          <w:rFonts w:hint="eastAsia" w:ascii="黑体" w:hAnsi="黑体" w:eastAsia="黑体" w:cs="黑体"/>
          <w:kern w:val="2"/>
          <w:sz w:val="32"/>
          <w:szCs w:val="32"/>
          <w:lang w:val="en-US" w:eastAsia="zh-CN" w:bidi="ar-SA"/>
        </w:rPr>
        <w:t>7</w:t>
      </w:r>
      <w:bookmarkEnd w:id="302"/>
    </w:p>
    <w:p w14:paraId="32E40BF7">
      <w:pPr>
        <w:rPr>
          <w:rFonts w:hint="eastAsia"/>
          <w:lang w:val="en-US" w:eastAsia="zh-CN"/>
        </w:rPr>
      </w:pPr>
    </w:p>
    <w:p w14:paraId="1247FE79">
      <w:pPr>
        <w:pStyle w:val="3"/>
        <w:bidi w:val="0"/>
        <w:rPr>
          <w:rFonts w:hint="eastAsia"/>
        </w:rPr>
      </w:pPr>
      <w:bookmarkStart w:id="303" w:name="_Toc673032489"/>
      <w:bookmarkStart w:id="304" w:name="_Toc753728394"/>
      <w:bookmarkStart w:id="305" w:name="_Toc1822303177"/>
      <w:bookmarkStart w:id="306" w:name="_Toc168240376"/>
      <w:bookmarkStart w:id="307" w:name="_Toc1159293742"/>
      <w:r>
        <w:rPr>
          <w:rFonts w:hint="eastAsia"/>
        </w:rPr>
        <w:t>关于启动盐田区突发地质灾害应急响应的通知</w:t>
      </w:r>
      <w:bookmarkEnd w:id="288"/>
      <w:bookmarkEnd w:id="303"/>
      <w:bookmarkEnd w:id="304"/>
      <w:bookmarkEnd w:id="305"/>
      <w:bookmarkEnd w:id="306"/>
      <w:bookmarkEnd w:id="307"/>
    </w:p>
    <w:p w14:paraId="7618465B">
      <w:pPr>
        <w:spacing w:line="560" w:lineRule="exact"/>
        <w:rPr>
          <w:rFonts w:hint="eastAsia" w:ascii="宋体" w:hAnsi="宋体" w:eastAsia="宋体"/>
          <w:sz w:val="44"/>
          <w:szCs w:val="44"/>
        </w:rPr>
      </w:pPr>
    </w:p>
    <w:p w14:paraId="78EC931A">
      <w:pPr>
        <w:spacing w:line="560" w:lineRule="exact"/>
        <w:rPr>
          <w:rFonts w:hint="eastAsia" w:ascii="仿宋_GB2312" w:hAnsi="华文中宋"/>
        </w:rPr>
      </w:pPr>
      <w:r>
        <w:rPr>
          <w:rFonts w:hint="eastAsia" w:ascii="仿宋_GB2312" w:hAnsi="华文中宋"/>
          <w:u w:val="single"/>
        </w:rPr>
        <w:t xml:space="preserve">                          </w:t>
      </w:r>
      <w:r>
        <w:rPr>
          <w:rFonts w:hint="eastAsia" w:ascii="仿宋_GB2312" w:hAnsi="华文中宋"/>
        </w:rPr>
        <w:t>：</w:t>
      </w:r>
    </w:p>
    <w:p w14:paraId="2B12C6F2">
      <w:pPr>
        <w:spacing w:line="560" w:lineRule="exact"/>
        <w:ind w:firstLine="800" w:firstLineChars="250"/>
        <w:rPr>
          <w:rFonts w:hint="eastAsia" w:ascii="仿宋_GB2312" w:hAnsi="华文中宋"/>
        </w:rPr>
      </w:pPr>
      <w:r>
        <w:rPr>
          <w:rFonts w:hint="eastAsia" w:ascii="仿宋_GB2312" w:hAnsi="华文中宋"/>
          <w:u w:val="single"/>
        </w:rPr>
        <w:t xml:space="preserve">    </w:t>
      </w:r>
      <w:r>
        <w:rPr>
          <w:rFonts w:hint="eastAsia" w:ascii="仿宋_GB2312" w:hAnsi="华文中宋"/>
        </w:rPr>
        <w:t xml:space="preserve"> 年</w:t>
      </w:r>
      <w:r>
        <w:rPr>
          <w:rFonts w:hint="eastAsia" w:ascii="仿宋_GB2312" w:hAnsi="华文中宋"/>
          <w:u w:val="single"/>
        </w:rPr>
        <w:t xml:space="preserve">   </w:t>
      </w:r>
      <w:r>
        <w:rPr>
          <w:rFonts w:hint="eastAsia" w:ascii="仿宋_GB2312" w:hAnsi="华文中宋"/>
        </w:rPr>
        <w:t>月</w:t>
      </w:r>
      <w:r>
        <w:rPr>
          <w:rFonts w:hint="eastAsia" w:ascii="仿宋_GB2312" w:hAnsi="华文中宋"/>
          <w:u w:val="single"/>
        </w:rPr>
        <w:t xml:space="preserve">   </w:t>
      </w:r>
      <w:r>
        <w:rPr>
          <w:rFonts w:hint="eastAsia" w:ascii="仿宋_GB2312" w:hAnsi="华文中宋"/>
        </w:rPr>
        <w:t>日</w:t>
      </w:r>
      <w:r>
        <w:rPr>
          <w:rFonts w:hint="eastAsia" w:ascii="仿宋_GB2312" w:hAnsi="华文中宋"/>
          <w:u w:val="single"/>
        </w:rPr>
        <w:t xml:space="preserve">   </w:t>
      </w:r>
      <w:r>
        <w:rPr>
          <w:rFonts w:hint="eastAsia" w:ascii="仿宋_GB2312" w:hAnsi="华文中宋"/>
        </w:rPr>
        <w:t>时</w:t>
      </w:r>
      <w:r>
        <w:rPr>
          <w:rFonts w:hint="eastAsia" w:ascii="仿宋_GB2312" w:hAnsi="华文中宋"/>
          <w:u w:val="single"/>
        </w:rPr>
        <w:t xml:space="preserve">   </w:t>
      </w:r>
      <w:r>
        <w:rPr>
          <w:rFonts w:hint="eastAsia" w:ascii="仿宋_GB2312" w:hAnsi="华文中宋"/>
        </w:rPr>
        <w:t>分，</w:t>
      </w:r>
      <w:r>
        <w:rPr>
          <w:rFonts w:hint="eastAsia" w:ascii="仿宋_GB2312" w:hAnsi="华文中宋"/>
          <w:u w:val="single"/>
        </w:rPr>
        <w:t xml:space="preserve">       </w:t>
      </w:r>
      <w:r>
        <w:rPr>
          <w:rFonts w:hint="eastAsia" w:ascii="仿宋_GB2312" w:hAnsi="华文中宋"/>
        </w:rPr>
        <w:t>区</w:t>
      </w:r>
      <w:r>
        <w:rPr>
          <w:rFonts w:hint="eastAsia" w:ascii="仿宋_GB2312" w:hAnsi="华文中宋"/>
          <w:u w:val="single"/>
        </w:rPr>
        <w:t xml:space="preserve">       </w:t>
      </w:r>
      <w:r>
        <w:rPr>
          <w:rFonts w:hint="eastAsia" w:ascii="仿宋_GB2312" w:hAnsi="华文中宋"/>
        </w:rPr>
        <w:t>街道</w:t>
      </w:r>
      <w:r>
        <w:rPr>
          <w:rFonts w:hint="eastAsia" w:ascii="仿宋_GB2312" w:hAnsi="华文中宋"/>
          <w:u w:val="single"/>
        </w:rPr>
        <w:t xml:space="preserve">           </w:t>
      </w:r>
      <w:r>
        <w:rPr>
          <w:rFonts w:hint="eastAsia" w:ascii="仿宋_GB2312" w:hAnsi="华文中宋"/>
        </w:rPr>
        <w:t>社区</w:t>
      </w:r>
      <w:r>
        <w:rPr>
          <w:rFonts w:hint="eastAsia" w:ascii="仿宋_GB2312" w:hAnsi="华文中宋"/>
          <w:u w:val="single"/>
        </w:rPr>
        <w:t xml:space="preserve">                    </w:t>
      </w:r>
      <w:r>
        <w:rPr>
          <w:rFonts w:hint="eastAsia" w:ascii="仿宋_GB2312" w:hAnsi="华文中宋"/>
        </w:rPr>
        <w:t>发生一起</w:t>
      </w:r>
      <w:r>
        <w:rPr>
          <w:rFonts w:hint="eastAsia" w:ascii="仿宋_GB2312" w:hAnsi="华文中宋"/>
          <w:u w:val="single"/>
        </w:rPr>
        <w:t xml:space="preserve">    </w:t>
      </w:r>
      <w:r>
        <w:rPr>
          <w:rFonts w:hint="eastAsia" w:ascii="仿宋_GB2312" w:hAnsi="华文中宋"/>
        </w:rPr>
        <w:t>地质灾害（险情），初步判断为</w:t>
      </w:r>
      <w:r>
        <w:rPr>
          <w:rFonts w:hint="eastAsia" w:ascii="仿宋_GB2312" w:hAnsi="华文中宋"/>
          <w:u w:val="single"/>
        </w:rPr>
        <w:t xml:space="preserve">        </w:t>
      </w:r>
      <w:r>
        <w:rPr>
          <w:rFonts w:hint="eastAsia" w:ascii="仿宋_GB2312" w:hAnsi="华文中宋"/>
        </w:rPr>
        <w:t>级。</w:t>
      </w:r>
    </w:p>
    <w:p w14:paraId="70D74FCB">
      <w:pPr>
        <w:spacing w:line="560" w:lineRule="exact"/>
        <w:ind w:firstLine="640" w:firstLineChars="200"/>
        <w:rPr>
          <w:rFonts w:hint="eastAsia" w:ascii="仿宋_GB2312" w:hAnsi="华文仿宋"/>
          <w:szCs w:val="32"/>
        </w:rPr>
      </w:pPr>
      <w:r>
        <w:rPr>
          <w:rFonts w:hint="eastAsia" w:ascii="仿宋_GB2312" w:hAnsi="华文仿宋"/>
          <w:szCs w:val="32"/>
        </w:rPr>
        <w:t>根据《盐田区突发地质灾害应急预案》规定，现决定启动</w:t>
      </w:r>
      <w:r>
        <w:rPr>
          <w:rFonts w:hint="eastAsia" w:ascii="仿宋_GB2312" w:hAnsi="华文仿宋"/>
          <w:szCs w:val="32"/>
          <w:u w:val="single"/>
        </w:rPr>
        <w:t xml:space="preserve">    </w:t>
      </w:r>
      <w:r>
        <w:rPr>
          <w:rFonts w:hint="eastAsia" w:ascii="仿宋_GB2312" w:hAnsi="华文仿宋"/>
          <w:szCs w:val="32"/>
        </w:rPr>
        <w:t xml:space="preserve"> </w:t>
      </w:r>
      <w:r>
        <w:rPr>
          <w:rFonts w:hint="eastAsia" w:ascii="仿宋_GB2312" w:hAnsi="宋体" w:cs="宋体"/>
          <w:szCs w:val="32"/>
        </w:rPr>
        <w:t>级响应</w:t>
      </w:r>
      <w:r>
        <w:rPr>
          <w:rFonts w:hint="eastAsia" w:ascii="仿宋_GB2312" w:hAnsi="华文仿宋"/>
          <w:szCs w:val="32"/>
        </w:rPr>
        <w:t>，请你单位按照《盐田区突发地质灾害应急预案》的相关要求，立即组织力量参与突发地质灾害应急处置工作。</w:t>
      </w:r>
    </w:p>
    <w:p w14:paraId="7D5D71DA">
      <w:pPr>
        <w:spacing w:line="560" w:lineRule="exact"/>
        <w:ind w:firstLine="640" w:firstLineChars="200"/>
        <w:rPr>
          <w:rFonts w:hint="eastAsia" w:ascii="仿宋_GB2312" w:hAnsi="华文仿宋"/>
          <w:szCs w:val="32"/>
        </w:rPr>
      </w:pPr>
      <w:r>
        <w:rPr>
          <w:rFonts w:hint="eastAsia" w:ascii="仿宋_GB2312" w:hAnsi="华文仿宋"/>
          <w:szCs w:val="32"/>
        </w:rPr>
        <w:t>特此通知。</w:t>
      </w:r>
    </w:p>
    <w:p w14:paraId="31D9B725">
      <w:pPr>
        <w:spacing w:line="560" w:lineRule="exact"/>
        <w:ind w:firstLine="640" w:firstLineChars="200"/>
        <w:rPr>
          <w:rFonts w:hint="eastAsia" w:ascii="华文仿宋" w:hAnsi="华文仿宋" w:eastAsia="华文仿宋"/>
          <w:szCs w:val="32"/>
        </w:rPr>
      </w:pPr>
    </w:p>
    <w:p w14:paraId="45539F58">
      <w:pPr>
        <w:spacing w:line="560" w:lineRule="exact"/>
        <w:rPr>
          <w:rFonts w:hint="eastAsia" w:ascii="仿宋_GB2312" w:hAnsi="华文仿宋"/>
          <w:szCs w:val="32"/>
        </w:rPr>
      </w:pPr>
      <w:r>
        <w:rPr>
          <w:rFonts w:hint="eastAsia" w:ascii="仿宋_GB2312" w:hAnsi="华文仿宋"/>
          <w:szCs w:val="32"/>
        </w:rPr>
        <w:t>现场联系方式：1.现场指挥官：        联系电话：</w:t>
      </w:r>
    </w:p>
    <w:p w14:paraId="70FB2797">
      <w:pPr>
        <w:spacing w:line="560" w:lineRule="exact"/>
        <w:rPr>
          <w:rFonts w:hint="eastAsia" w:ascii="仿宋_GB2312" w:hAnsi="华文仿宋"/>
          <w:szCs w:val="32"/>
        </w:rPr>
      </w:pPr>
      <w:r>
        <w:rPr>
          <w:rFonts w:hint="eastAsia" w:ascii="仿宋_GB2312" w:hAnsi="华文仿宋"/>
          <w:szCs w:val="32"/>
        </w:rPr>
        <w:t xml:space="preserve">              2.第一联络员：        联系电话：</w:t>
      </w:r>
    </w:p>
    <w:p w14:paraId="037EADDB">
      <w:pPr>
        <w:spacing w:line="560" w:lineRule="exact"/>
        <w:rPr>
          <w:rFonts w:hint="eastAsia" w:ascii="仿宋_GB2312" w:hAnsi="华文仿宋"/>
          <w:szCs w:val="32"/>
        </w:rPr>
      </w:pPr>
      <w:r>
        <w:rPr>
          <w:rFonts w:hint="eastAsia" w:ascii="仿宋_GB2312" w:hAnsi="华文仿宋"/>
          <w:szCs w:val="32"/>
        </w:rPr>
        <w:t xml:space="preserve">              3.第二联络员：        联系电话：</w:t>
      </w:r>
    </w:p>
    <w:p w14:paraId="72BB1976">
      <w:pPr>
        <w:spacing w:line="560" w:lineRule="exact"/>
        <w:rPr>
          <w:rFonts w:hint="eastAsia" w:ascii="仿宋_GB2312" w:hAnsi="华文中宋"/>
        </w:rPr>
      </w:pPr>
    </w:p>
    <w:p w14:paraId="7343D6CD">
      <w:pPr>
        <w:spacing w:line="560" w:lineRule="exact"/>
        <w:ind w:firstLine="3840" w:firstLineChars="1200"/>
        <w:jc w:val="left"/>
        <w:rPr>
          <w:rFonts w:hint="eastAsia" w:ascii="仿宋_GB2312" w:hAnsi="华文仿宋"/>
          <w:szCs w:val="32"/>
        </w:rPr>
      </w:pPr>
      <w:r>
        <w:rPr>
          <w:rFonts w:hint="eastAsia" w:ascii="仿宋_GB2312" w:hAnsi="华文仿宋"/>
          <w:szCs w:val="32"/>
        </w:rPr>
        <w:t>盐田区地质灾害应急指挥部</w:t>
      </w:r>
    </w:p>
    <w:p w14:paraId="42BAE3D0">
      <w:pPr>
        <w:spacing w:line="560" w:lineRule="exact"/>
        <w:ind w:firstLine="4480" w:firstLineChars="1400"/>
        <w:jc w:val="left"/>
        <w:rPr>
          <w:rFonts w:hint="eastAsia" w:ascii="仿宋_GB2312" w:hAnsi="华文仿宋"/>
          <w:szCs w:val="32"/>
        </w:rPr>
      </w:pPr>
      <w:r>
        <w:rPr>
          <w:rFonts w:hint="eastAsia" w:ascii="仿宋_GB2312" w:hAnsi="华文仿宋"/>
          <w:szCs w:val="32"/>
        </w:rPr>
        <w:t xml:space="preserve">        年   月   日</w:t>
      </w:r>
    </w:p>
    <w:p w14:paraId="19EB557B">
      <w:pPr>
        <w:rPr>
          <w:rFonts w:hint="eastAsia" w:ascii="仿宋_GB2312" w:hAnsi="华文仿宋"/>
          <w:szCs w:val="32"/>
        </w:rPr>
      </w:pPr>
      <w:r>
        <w:rPr>
          <w:rFonts w:hint="eastAsia" w:ascii="仿宋_GB2312" w:hAnsi="华文仿宋"/>
          <w:szCs w:val="32"/>
        </w:rPr>
        <w:br w:type="page"/>
      </w:r>
    </w:p>
    <w:p w14:paraId="2C0FF2E9">
      <w:pPr>
        <w:pStyle w:val="3"/>
        <w:bidi w:val="0"/>
        <w:jc w:val="both"/>
        <w:rPr>
          <w:rFonts w:hint="eastAsia" w:ascii="黑体" w:hAnsi="黑体" w:eastAsia="黑体" w:cs="黑体"/>
          <w:kern w:val="2"/>
          <w:sz w:val="32"/>
          <w:szCs w:val="32"/>
          <w:lang w:val="en-US" w:eastAsia="zh-CN" w:bidi="ar-SA"/>
        </w:rPr>
      </w:pPr>
      <w:bookmarkStart w:id="308" w:name="_Toc779700414"/>
      <w:bookmarkStart w:id="309" w:name="_Toc45702000"/>
      <w:bookmarkStart w:id="310" w:name="_Toc1293421428"/>
      <w:bookmarkStart w:id="311" w:name="_Toc546357825"/>
      <w:r>
        <w:rPr>
          <w:rFonts w:hint="eastAsia" w:ascii="黑体" w:hAnsi="黑体" w:eastAsia="黑体" w:cs="黑体"/>
          <w:kern w:val="2"/>
          <w:sz w:val="32"/>
          <w:szCs w:val="32"/>
          <w:lang w:val="en-US" w:eastAsia="zh-CN" w:bidi="ar-SA"/>
        </w:rPr>
        <w:t>附件</w:t>
      </w:r>
      <w:bookmarkEnd w:id="308"/>
      <w:bookmarkEnd w:id="309"/>
      <w:bookmarkEnd w:id="310"/>
      <w:r>
        <w:rPr>
          <w:rFonts w:hint="eastAsia" w:ascii="黑体" w:hAnsi="黑体" w:eastAsia="黑体" w:cs="黑体"/>
          <w:kern w:val="2"/>
          <w:sz w:val="32"/>
          <w:szCs w:val="32"/>
          <w:lang w:val="en-US" w:eastAsia="zh-CN" w:bidi="ar-SA"/>
        </w:rPr>
        <w:t>8</w:t>
      </w:r>
      <w:bookmarkEnd w:id="311"/>
      <w:r>
        <w:rPr>
          <w:rFonts w:hint="eastAsia" w:ascii="黑体" w:hAnsi="黑体" w:eastAsia="黑体" w:cs="黑体"/>
          <w:kern w:val="2"/>
          <w:sz w:val="32"/>
          <w:szCs w:val="32"/>
          <w:lang w:val="en-US" w:eastAsia="zh-CN" w:bidi="ar-SA"/>
        </w:rPr>
        <w:br w:type="textWrapping"/>
      </w:r>
    </w:p>
    <w:p w14:paraId="5B63C3E4">
      <w:pPr>
        <w:pStyle w:val="3"/>
        <w:bidi w:val="0"/>
        <w:rPr>
          <w:rFonts w:hint="eastAsia"/>
        </w:rPr>
      </w:pPr>
      <w:bookmarkStart w:id="312" w:name="_Toc1624282120"/>
      <w:bookmarkStart w:id="313" w:name="_Toc177262797"/>
      <w:bookmarkStart w:id="314" w:name="_Toc656842827"/>
      <w:bookmarkStart w:id="315" w:name="_Toc664132028"/>
      <w:bookmarkStart w:id="316" w:name="_Toc544217052"/>
      <w:r>
        <w:rPr>
          <w:rFonts w:hint="eastAsia"/>
        </w:rPr>
        <w:t>盐田区突发地质灾害专家库</w:t>
      </w:r>
      <w:bookmarkEnd w:id="312"/>
      <w:bookmarkEnd w:id="313"/>
      <w:bookmarkEnd w:id="314"/>
      <w:bookmarkEnd w:id="315"/>
      <w:bookmarkEnd w:id="316"/>
      <w:r>
        <w:rPr>
          <w:rFonts w:hint="eastAsia"/>
        </w:rPr>
        <w:br w:type="textWrapping"/>
      </w:r>
    </w:p>
    <w:tbl>
      <w:tblPr>
        <w:tblStyle w:val="13"/>
        <w:tblpPr w:leftFromText="180" w:rightFromText="180" w:vertAnchor="text" w:tblpY="215"/>
        <w:tblW w:w="857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10"/>
        <w:gridCol w:w="1701"/>
        <w:gridCol w:w="1134"/>
        <w:gridCol w:w="992"/>
        <w:gridCol w:w="1276"/>
        <w:gridCol w:w="1108"/>
        <w:gridCol w:w="1658"/>
      </w:tblGrid>
      <w:tr w14:paraId="24F016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18" w:hRule="atLeast"/>
        </w:trPr>
        <w:tc>
          <w:tcPr>
            <w:tcW w:w="710" w:type="dxa"/>
            <w:vAlign w:val="center"/>
          </w:tcPr>
          <w:p w14:paraId="6358903A">
            <w:pPr>
              <w:spacing w:after="240" w:line="440" w:lineRule="exact"/>
              <w:jc w:val="center"/>
              <w:rPr>
                <w:rFonts w:hint="eastAsia" w:ascii="仿宋_GB2312" w:hAnsi="仿宋_GB2312" w:cs="仿宋_GB2312"/>
                <w:b/>
                <w:bCs/>
                <w:sz w:val="24"/>
              </w:rPr>
            </w:pPr>
            <w:r>
              <w:rPr>
                <w:rFonts w:hint="eastAsia" w:cs="仿宋_GB2312"/>
                <w:szCs w:val="32"/>
              </w:rPr>
              <w:br w:type="page"/>
            </w:r>
            <w:r>
              <w:rPr>
                <w:rFonts w:hint="eastAsia" w:ascii="仿宋_GB2312" w:hAnsi="仿宋_GB2312" w:cs="仿宋_GB2312"/>
                <w:b/>
                <w:bCs/>
                <w:sz w:val="24"/>
              </w:rPr>
              <w:t>序号</w:t>
            </w:r>
          </w:p>
        </w:tc>
        <w:tc>
          <w:tcPr>
            <w:tcW w:w="1701" w:type="dxa"/>
            <w:vAlign w:val="center"/>
          </w:tcPr>
          <w:p w14:paraId="3BB4BC29">
            <w:pPr>
              <w:spacing w:line="440" w:lineRule="exact"/>
              <w:jc w:val="center"/>
              <w:rPr>
                <w:rFonts w:hint="eastAsia" w:ascii="仿宋_GB2312" w:hAnsi="仿宋_GB2312" w:cs="仿宋_GB2312"/>
                <w:b/>
                <w:bCs/>
                <w:sz w:val="24"/>
              </w:rPr>
            </w:pPr>
            <w:r>
              <w:rPr>
                <w:rFonts w:hint="eastAsia" w:ascii="仿宋_GB2312" w:hAnsi="仿宋_GB2312" w:cs="仿宋_GB2312"/>
                <w:b/>
                <w:bCs/>
                <w:sz w:val="24"/>
              </w:rPr>
              <w:t>职务</w:t>
            </w:r>
          </w:p>
        </w:tc>
        <w:tc>
          <w:tcPr>
            <w:tcW w:w="1134" w:type="dxa"/>
            <w:vAlign w:val="center"/>
          </w:tcPr>
          <w:p w14:paraId="5324E3CB">
            <w:pPr>
              <w:spacing w:line="440" w:lineRule="exact"/>
              <w:jc w:val="center"/>
              <w:rPr>
                <w:rFonts w:hint="eastAsia" w:ascii="仿宋_GB2312" w:hAnsi="仿宋_GB2312" w:cs="仿宋_GB2312"/>
                <w:b/>
                <w:bCs/>
                <w:sz w:val="24"/>
              </w:rPr>
            </w:pPr>
            <w:r>
              <w:rPr>
                <w:rFonts w:hint="eastAsia" w:ascii="宋体" w:hAnsi="宋体" w:eastAsia="宋体" w:cs="宋体"/>
                <w:b/>
                <w:bCs/>
                <w:sz w:val="24"/>
              </w:rPr>
              <w:t>姓</w:t>
            </w:r>
            <w:r>
              <w:rPr>
                <w:rFonts w:hint="eastAsia" w:ascii="___WRD_EMBED_SUB_44" w:hAnsi="___WRD_EMBED_SUB_44" w:eastAsia="___WRD_EMBED_SUB_44" w:cs="___WRD_EMBED_SUB_44"/>
                <w:b/>
                <w:bCs/>
                <w:sz w:val="24"/>
              </w:rPr>
              <w:t>名</w:t>
            </w:r>
          </w:p>
        </w:tc>
        <w:tc>
          <w:tcPr>
            <w:tcW w:w="992" w:type="dxa"/>
            <w:vAlign w:val="center"/>
          </w:tcPr>
          <w:p w14:paraId="6E984E27">
            <w:pPr>
              <w:spacing w:line="440" w:lineRule="exact"/>
              <w:jc w:val="center"/>
              <w:rPr>
                <w:rFonts w:hint="eastAsia" w:ascii="仿宋_GB2312" w:hAnsi="仿宋_GB2312" w:cs="仿宋_GB2312"/>
                <w:b/>
                <w:bCs/>
                <w:sz w:val="24"/>
              </w:rPr>
            </w:pPr>
            <w:r>
              <w:rPr>
                <w:rFonts w:hint="eastAsia" w:ascii="仿宋_GB2312" w:hAnsi="仿宋_GB2312" w:cs="仿宋_GB2312"/>
                <w:b/>
                <w:bCs/>
                <w:sz w:val="24"/>
              </w:rPr>
              <w:t>学</w:t>
            </w:r>
            <w:r>
              <w:rPr>
                <w:rFonts w:hint="eastAsia" w:ascii="宋体" w:hAnsi="宋体" w:eastAsia="宋体" w:cs="宋体"/>
                <w:b/>
                <w:bCs/>
                <w:sz w:val="24"/>
              </w:rPr>
              <w:t>历</w:t>
            </w:r>
          </w:p>
        </w:tc>
        <w:tc>
          <w:tcPr>
            <w:tcW w:w="1276" w:type="dxa"/>
            <w:vAlign w:val="center"/>
          </w:tcPr>
          <w:p w14:paraId="36941222">
            <w:pPr>
              <w:spacing w:line="440" w:lineRule="exact"/>
              <w:jc w:val="center"/>
              <w:rPr>
                <w:rFonts w:hint="eastAsia" w:ascii="仿宋_GB2312" w:hAnsi="仿宋_GB2312" w:cs="仿宋_GB2312"/>
                <w:b/>
                <w:bCs/>
                <w:sz w:val="24"/>
              </w:rPr>
            </w:pPr>
            <w:r>
              <w:rPr>
                <w:rFonts w:hint="eastAsia" w:ascii="仿宋_GB2312" w:hAnsi="仿宋_GB2312" w:cs="仿宋_GB2312"/>
                <w:b/>
                <w:bCs/>
                <w:sz w:val="24"/>
              </w:rPr>
              <w:t>证书名称</w:t>
            </w:r>
          </w:p>
        </w:tc>
        <w:tc>
          <w:tcPr>
            <w:tcW w:w="1108" w:type="dxa"/>
            <w:vAlign w:val="center"/>
          </w:tcPr>
          <w:p w14:paraId="18F34484">
            <w:pPr>
              <w:spacing w:line="440" w:lineRule="exact"/>
              <w:jc w:val="center"/>
              <w:rPr>
                <w:rFonts w:hint="eastAsia" w:ascii="仿宋_GB2312" w:hAnsi="仿宋_GB2312" w:cs="仿宋_GB2312"/>
                <w:b/>
                <w:bCs/>
                <w:sz w:val="24"/>
              </w:rPr>
            </w:pPr>
            <w:r>
              <w:rPr>
                <w:rFonts w:hint="eastAsia" w:ascii="仿宋_GB2312" w:hAnsi="仿宋_GB2312" w:cs="仿宋_GB2312"/>
                <w:b/>
                <w:bCs/>
                <w:sz w:val="24"/>
              </w:rPr>
              <w:t>级别</w:t>
            </w:r>
          </w:p>
        </w:tc>
        <w:tc>
          <w:tcPr>
            <w:tcW w:w="1658" w:type="dxa"/>
            <w:vAlign w:val="center"/>
          </w:tcPr>
          <w:p w14:paraId="16352E2D">
            <w:pPr>
              <w:spacing w:line="440" w:lineRule="exact"/>
              <w:jc w:val="center"/>
              <w:rPr>
                <w:rFonts w:hint="eastAsia" w:ascii="仿宋_GB2312" w:hAnsi="仿宋_GB2312" w:cs="仿宋_GB2312"/>
                <w:b/>
                <w:bCs/>
                <w:sz w:val="24"/>
              </w:rPr>
            </w:pPr>
            <w:r>
              <w:rPr>
                <w:rFonts w:hint="eastAsia" w:ascii="仿宋_GB2312" w:hAnsi="仿宋_GB2312" w:cs="仿宋_GB2312"/>
                <w:b/>
                <w:bCs/>
                <w:sz w:val="24"/>
              </w:rPr>
              <w:t>专 业</w:t>
            </w:r>
          </w:p>
        </w:tc>
      </w:tr>
      <w:tr w14:paraId="51DCC0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094" w:hRule="atLeast"/>
        </w:trPr>
        <w:tc>
          <w:tcPr>
            <w:tcW w:w="710" w:type="dxa"/>
            <w:vAlign w:val="center"/>
          </w:tcPr>
          <w:p w14:paraId="56F3D7FD">
            <w:pPr>
              <w:spacing w:line="560" w:lineRule="exact"/>
              <w:jc w:val="center"/>
              <w:rPr>
                <w:rFonts w:hint="eastAsia" w:ascii="仿宋_GB2312" w:hAnsi="仿宋_GB2312" w:cs="仿宋_GB2312"/>
                <w:sz w:val="24"/>
              </w:rPr>
            </w:pPr>
            <w:r>
              <w:rPr>
                <w:rFonts w:hint="eastAsia" w:ascii="仿宋_GB2312" w:hAnsi="仿宋_GB2312" w:cs="仿宋_GB2312"/>
                <w:sz w:val="24"/>
              </w:rPr>
              <w:t>1</w:t>
            </w:r>
          </w:p>
        </w:tc>
        <w:tc>
          <w:tcPr>
            <w:tcW w:w="1701" w:type="dxa"/>
            <w:vAlign w:val="center"/>
          </w:tcPr>
          <w:p w14:paraId="138EA438">
            <w:pPr>
              <w:spacing w:line="560" w:lineRule="exact"/>
              <w:jc w:val="center"/>
              <w:rPr>
                <w:rFonts w:hint="eastAsia" w:ascii="CESI仿宋-GB2312" w:hAnsi="CESI仿宋-GB2312" w:eastAsia="CESI仿宋-GB2312" w:cs="CESI仿宋-GB2312"/>
                <w:sz w:val="24"/>
                <w:lang w:eastAsia="zh-CN"/>
              </w:rPr>
            </w:pPr>
            <w:r>
              <w:rPr>
                <w:rFonts w:hint="eastAsia" w:ascii="CESI仿宋-GB2312" w:hAnsi="CESI仿宋-GB2312" w:eastAsia="CESI仿宋-GB2312" w:cs="CESI仿宋-GB2312"/>
                <w:sz w:val="24"/>
                <w:lang w:eastAsia="zh-CN"/>
              </w:rPr>
              <w:t>组长</w:t>
            </w:r>
          </w:p>
        </w:tc>
        <w:tc>
          <w:tcPr>
            <w:tcW w:w="1134" w:type="dxa"/>
            <w:vAlign w:val="center"/>
          </w:tcPr>
          <w:p w14:paraId="370BE1B6">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rPr>
              <w:t>魏会龙</w:t>
            </w:r>
          </w:p>
        </w:tc>
        <w:tc>
          <w:tcPr>
            <w:tcW w:w="992" w:type="dxa"/>
            <w:vAlign w:val="center"/>
          </w:tcPr>
          <w:p w14:paraId="64FAC82C">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rPr>
              <w:t>研究生</w:t>
            </w:r>
          </w:p>
        </w:tc>
        <w:tc>
          <w:tcPr>
            <w:tcW w:w="1276" w:type="dxa"/>
            <w:vAlign w:val="center"/>
          </w:tcPr>
          <w:p w14:paraId="168E2B05">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rPr>
              <w:t>职称证</w:t>
            </w:r>
          </w:p>
        </w:tc>
        <w:tc>
          <w:tcPr>
            <w:tcW w:w="1108" w:type="dxa"/>
            <w:vAlign w:val="center"/>
          </w:tcPr>
          <w:p w14:paraId="2270CF92">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eastAsia="zh-CN"/>
              </w:rPr>
              <w:t>教授级</w:t>
            </w:r>
            <w:r>
              <w:rPr>
                <w:rFonts w:hint="eastAsia" w:ascii="CESI仿宋-GB2312" w:hAnsi="CESI仿宋-GB2312" w:eastAsia="CESI仿宋-GB2312" w:cs="CESI仿宋-GB2312"/>
                <w:sz w:val="24"/>
              </w:rPr>
              <w:t>高工</w:t>
            </w:r>
          </w:p>
        </w:tc>
        <w:tc>
          <w:tcPr>
            <w:tcW w:w="1658" w:type="dxa"/>
            <w:vAlign w:val="center"/>
          </w:tcPr>
          <w:p w14:paraId="09EFE86C">
            <w:pPr>
              <w:spacing w:line="48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rPr>
              <w:t>水文工程环境地质</w:t>
            </w:r>
          </w:p>
        </w:tc>
      </w:tr>
      <w:tr w14:paraId="44A1E3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67" w:hRule="atLeast"/>
        </w:trPr>
        <w:tc>
          <w:tcPr>
            <w:tcW w:w="710" w:type="dxa"/>
            <w:vAlign w:val="center"/>
          </w:tcPr>
          <w:p w14:paraId="25E4C271">
            <w:pPr>
              <w:spacing w:line="560" w:lineRule="exact"/>
              <w:jc w:val="center"/>
              <w:rPr>
                <w:rFonts w:hint="eastAsia" w:ascii="仿宋_GB2312" w:hAnsi="仿宋_GB2312" w:cs="仿宋_GB2312"/>
                <w:sz w:val="24"/>
              </w:rPr>
            </w:pPr>
            <w:r>
              <w:rPr>
                <w:rFonts w:hint="eastAsia" w:ascii="仿宋_GB2312" w:hAnsi="仿宋_GB2312" w:cs="仿宋_GB2312"/>
                <w:sz w:val="24"/>
              </w:rPr>
              <w:t>2</w:t>
            </w:r>
          </w:p>
        </w:tc>
        <w:tc>
          <w:tcPr>
            <w:tcW w:w="1701" w:type="dxa"/>
            <w:vAlign w:val="center"/>
          </w:tcPr>
          <w:p w14:paraId="3164E8F9">
            <w:pPr>
              <w:spacing w:line="560" w:lineRule="exact"/>
              <w:jc w:val="center"/>
              <w:rPr>
                <w:rFonts w:hint="eastAsia" w:ascii="CESI仿宋-GB2312" w:hAnsi="CESI仿宋-GB2312" w:eastAsia="CESI仿宋-GB2312" w:cs="CESI仿宋-GB2312"/>
                <w:kern w:val="2"/>
                <w:sz w:val="24"/>
                <w:szCs w:val="24"/>
                <w:lang w:val="en-US" w:eastAsia="zh-CN" w:bidi="ar-SA"/>
              </w:rPr>
            </w:pPr>
            <w:r>
              <w:rPr>
                <w:rFonts w:hint="eastAsia" w:ascii="CESI仿宋-GB2312" w:hAnsi="CESI仿宋-GB2312" w:eastAsia="CESI仿宋-GB2312" w:cs="CESI仿宋-GB2312"/>
                <w:sz w:val="24"/>
                <w:lang w:eastAsia="zh-CN"/>
              </w:rPr>
              <w:t>副</w:t>
            </w:r>
            <w:r>
              <w:rPr>
                <w:rFonts w:hint="eastAsia" w:ascii="CESI仿宋-GB2312" w:hAnsi="CESI仿宋-GB2312" w:eastAsia="CESI仿宋-GB2312" w:cs="CESI仿宋-GB2312"/>
                <w:sz w:val="24"/>
              </w:rPr>
              <w:t>组</w:t>
            </w:r>
            <w:r>
              <w:rPr>
                <w:rFonts w:hint="eastAsia" w:ascii="CESI仿宋-GB2312" w:hAnsi="CESI仿宋-GB2312" w:eastAsia="CESI仿宋-GB2312" w:cs="CESI仿宋-GB2312"/>
                <w:sz w:val="24"/>
                <w:lang w:eastAsia="zh-CN"/>
              </w:rPr>
              <w:t>长</w:t>
            </w:r>
          </w:p>
        </w:tc>
        <w:tc>
          <w:tcPr>
            <w:tcW w:w="1134" w:type="dxa"/>
            <w:vAlign w:val="center"/>
          </w:tcPr>
          <w:p w14:paraId="4E903650">
            <w:pPr>
              <w:spacing w:line="560" w:lineRule="exact"/>
              <w:jc w:val="center"/>
              <w:rPr>
                <w:rFonts w:hint="eastAsia" w:ascii="CESI仿宋-GB2312" w:hAnsi="CESI仿宋-GB2312" w:eastAsia="CESI仿宋-GB2312" w:cs="CESI仿宋-GB2312"/>
                <w:kern w:val="2"/>
                <w:sz w:val="24"/>
                <w:szCs w:val="24"/>
                <w:lang w:val="en-US" w:eastAsia="zh-CN" w:bidi="ar-SA"/>
              </w:rPr>
            </w:pPr>
            <w:r>
              <w:rPr>
                <w:rFonts w:hint="eastAsia" w:ascii="CESI仿宋-GB2312" w:hAnsi="CESI仿宋-GB2312" w:eastAsia="CESI仿宋-GB2312" w:cs="CESI仿宋-GB2312"/>
                <w:sz w:val="24"/>
              </w:rPr>
              <w:t>王伟垣</w:t>
            </w:r>
          </w:p>
        </w:tc>
        <w:tc>
          <w:tcPr>
            <w:tcW w:w="992" w:type="dxa"/>
            <w:vAlign w:val="center"/>
          </w:tcPr>
          <w:p w14:paraId="39E1BFCF">
            <w:pPr>
              <w:spacing w:line="560" w:lineRule="exact"/>
              <w:jc w:val="center"/>
              <w:rPr>
                <w:rFonts w:hint="eastAsia" w:ascii="CESI仿宋-GB2312" w:hAnsi="CESI仿宋-GB2312" w:eastAsia="CESI仿宋-GB2312" w:cs="CESI仿宋-GB2312"/>
                <w:kern w:val="2"/>
                <w:sz w:val="24"/>
                <w:szCs w:val="24"/>
                <w:lang w:val="en-US" w:eastAsia="zh-CN" w:bidi="ar-SA"/>
              </w:rPr>
            </w:pPr>
            <w:r>
              <w:rPr>
                <w:rFonts w:hint="eastAsia" w:ascii="CESI仿宋-GB2312" w:hAnsi="CESI仿宋-GB2312" w:eastAsia="CESI仿宋-GB2312" w:cs="CESI仿宋-GB2312"/>
                <w:sz w:val="24"/>
              </w:rPr>
              <w:t>研究生</w:t>
            </w:r>
          </w:p>
        </w:tc>
        <w:tc>
          <w:tcPr>
            <w:tcW w:w="1276" w:type="dxa"/>
            <w:vAlign w:val="center"/>
          </w:tcPr>
          <w:p w14:paraId="1DCDF76B">
            <w:pPr>
              <w:spacing w:line="560" w:lineRule="exact"/>
              <w:jc w:val="center"/>
              <w:rPr>
                <w:rFonts w:hint="eastAsia" w:ascii="CESI仿宋-GB2312" w:hAnsi="CESI仿宋-GB2312" w:eastAsia="CESI仿宋-GB2312" w:cs="CESI仿宋-GB2312"/>
                <w:kern w:val="2"/>
                <w:sz w:val="24"/>
                <w:szCs w:val="24"/>
                <w:lang w:val="en-US" w:eastAsia="zh-CN" w:bidi="ar-SA"/>
              </w:rPr>
            </w:pPr>
            <w:r>
              <w:rPr>
                <w:rFonts w:hint="eastAsia" w:ascii="CESI仿宋-GB2312" w:hAnsi="CESI仿宋-GB2312" w:eastAsia="CESI仿宋-GB2312" w:cs="CESI仿宋-GB2312"/>
                <w:sz w:val="24"/>
              </w:rPr>
              <w:t>职称证</w:t>
            </w:r>
          </w:p>
        </w:tc>
        <w:tc>
          <w:tcPr>
            <w:tcW w:w="1108" w:type="dxa"/>
            <w:vAlign w:val="center"/>
          </w:tcPr>
          <w:p w14:paraId="6BC205B3">
            <w:pPr>
              <w:spacing w:line="560" w:lineRule="exact"/>
              <w:jc w:val="center"/>
              <w:rPr>
                <w:rFonts w:hint="eastAsia" w:ascii="CESI仿宋-GB2312" w:hAnsi="CESI仿宋-GB2312" w:eastAsia="CESI仿宋-GB2312" w:cs="CESI仿宋-GB2312"/>
                <w:kern w:val="2"/>
                <w:sz w:val="24"/>
                <w:szCs w:val="24"/>
                <w:lang w:val="en-US" w:eastAsia="zh-CN" w:bidi="ar-SA"/>
              </w:rPr>
            </w:pPr>
            <w:r>
              <w:rPr>
                <w:rFonts w:hint="eastAsia" w:ascii="CESI仿宋-GB2312" w:hAnsi="CESI仿宋-GB2312" w:eastAsia="CESI仿宋-GB2312" w:cs="CESI仿宋-GB2312"/>
                <w:sz w:val="24"/>
              </w:rPr>
              <w:t>高工</w:t>
            </w:r>
          </w:p>
        </w:tc>
        <w:tc>
          <w:tcPr>
            <w:tcW w:w="1658" w:type="dxa"/>
            <w:vAlign w:val="center"/>
          </w:tcPr>
          <w:p w14:paraId="5DC1D23F">
            <w:pPr>
              <w:spacing w:line="480" w:lineRule="exact"/>
              <w:jc w:val="center"/>
              <w:rPr>
                <w:rFonts w:hint="eastAsia" w:ascii="CESI仿宋-GB2312" w:hAnsi="CESI仿宋-GB2312" w:eastAsia="CESI仿宋-GB2312" w:cs="CESI仿宋-GB2312"/>
                <w:kern w:val="2"/>
                <w:sz w:val="24"/>
                <w:szCs w:val="24"/>
                <w:lang w:val="en-US" w:eastAsia="zh-CN" w:bidi="ar-SA"/>
              </w:rPr>
            </w:pPr>
            <w:r>
              <w:rPr>
                <w:rFonts w:hint="eastAsia" w:ascii="CESI仿宋-GB2312" w:hAnsi="CESI仿宋-GB2312" w:eastAsia="CESI仿宋-GB2312" w:cs="CESI仿宋-GB2312"/>
                <w:sz w:val="24"/>
              </w:rPr>
              <w:t>水文工程环境地质</w:t>
            </w:r>
          </w:p>
        </w:tc>
      </w:tr>
      <w:tr w14:paraId="2FEACC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67" w:hRule="atLeast"/>
        </w:trPr>
        <w:tc>
          <w:tcPr>
            <w:tcW w:w="710" w:type="dxa"/>
            <w:vAlign w:val="center"/>
          </w:tcPr>
          <w:p w14:paraId="3B800A6A">
            <w:pPr>
              <w:spacing w:line="560" w:lineRule="exact"/>
              <w:jc w:val="center"/>
              <w:rPr>
                <w:rFonts w:hint="eastAsia" w:ascii="仿宋_GB2312" w:hAnsi="仿宋_GB2312" w:eastAsia="仿宋_GB2312" w:cs="仿宋_GB2312"/>
                <w:sz w:val="24"/>
                <w:lang w:eastAsia="zh-CN"/>
              </w:rPr>
            </w:pPr>
            <w:r>
              <w:rPr>
                <w:rFonts w:hint="eastAsia" w:ascii="仿宋_GB2312" w:hAnsi="仿宋_GB2312" w:cs="仿宋_GB2312"/>
                <w:sz w:val="24"/>
                <w:lang w:val="en-US" w:eastAsia="zh-CN"/>
              </w:rPr>
              <w:t>3</w:t>
            </w:r>
          </w:p>
        </w:tc>
        <w:tc>
          <w:tcPr>
            <w:tcW w:w="1701" w:type="dxa"/>
            <w:vAlign w:val="center"/>
          </w:tcPr>
          <w:p w14:paraId="090AB33F">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rPr>
              <w:t>组员</w:t>
            </w:r>
          </w:p>
        </w:tc>
        <w:tc>
          <w:tcPr>
            <w:tcW w:w="1134" w:type="dxa"/>
            <w:vAlign w:val="center"/>
          </w:tcPr>
          <w:p w14:paraId="11D7C3CA">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rPr>
              <w:t>阮建军</w:t>
            </w:r>
          </w:p>
        </w:tc>
        <w:tc>
          <w:tcPr>
            <w:tcW w:w="992" w:type="dxa"/>
            <w:vAlign w:val="center"/>
          </w:tcPr>
          <w:p w14:paraId="47D47374">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rPr>
              <w:t>本科</w:t>
            </w:r>
          </w:p>
        </w:tc>
        <w:tc>
          <w:tcPr>
            <w:tcW w:w="1276" w:type="dxa"/>
            <w:vAlign w:val="center"/>
          </w:tcPr>
          <w:p w14:paraId="6FE256BB">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rPr>
              <w:t>职称证</w:t>
            </w:r>
          </w:p>
        </w:tc>
        <w:tc>
          <w:tcPr>
            <w:tcW w:w="1108" w:type="dxa"/>
            <w:vAlign w:val="center"/>
          </w:tcPr>
          <w:p w14:paraId="4017595E">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rPr>
              <w:t>高工</w:t>
            </w:r>
          </w:p>
        </w:tc>
        <w:tc>
          <w:tcPr>
            <w:tcW w:w="1658" w:type="dxa"/>
            <w:vAlign w:val="center"/>
          </w:tcPr>
          <w:p w14:paraId="67C9AD21">
            <w:pPr>
              <w:spacing w:line="48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rPr>
              <w:t>水文工程环境地质</w:t>
            </w:r>
          </w:p>
        </w:tc>
      </w:tr>
      <w:tr w14:paraId="13CD41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67" w:hRule="atLeast"/>
        </w:trPr>
        <w:tc>
          <w:tcPr>
            <w:tcW w:w="710" w:type="dxa"/>
            <w:vAlign w:val="center"/>
          </w:tcPr>
          <w:p w14:paraId="3ECC14B4">
            <w:pPr>
              <w:spacing w:line="560" w:lineRule="exact"/>
              <w:jc w:val="center"/>
              <w:rPr>
                <w:rFonts w:hint="eastAsia" w:ascii="仿宋_GB2312" w:hAnsi="仿宋_GB2312" w:eastAsia="仿宋_GB2312" w:cs="仿宋_GB2312"/>
                <w:sz w:val="24"/>
                <w:lang w:eastAsia="zh-CN"/>
              </w:rPr>
            </w:pPr>
            <w:r>
              <w:rPr>
                <w:rFonts w:hint="eastAsia" w:ascii="仿宋_GB2312" w:hAnsi="仿宋_GB2312" w:cs="仿宋_GB2312"/>
                <w:sz w:val="24"/>
                <w:lang w:val="en-US" w:eastAsia="zh-CN"/>
              </w:rPr>
              <w:t>4</w:t>
            </w:r>
          </w:p>
        </w:tc>
        <w:tc>
          <w:tcPr>
            <w:tcW w:w="1701" w:type="dxa"/>
            <w:vAlign w:val="center"/>
          </w:tcPr>
          <w:p w14:paraId="1B580072">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rPr>
              <w:t>组员</w:t>
            </w:r>
          </w:p>
        </w:tc>
        <w:tc>
          <w:tcPr>
            <w:tcW w:w="1134" w:type="dxa"/>
            <w:vAlign w:val="center"/>
          </w:tcPr>
          <w:p w14:paraId="4CCD4C17">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rPr>
              <w:t>何润洲</w:t>
            </w:r>
          </w:p>
        </w:tc>
        <w:tc>
          <w:tcPr>
            <w:tcW w:w="992" w:type="dxa"/>
            <w:vAlign w:val="center"/>
          </w:tcPr>
          <w:p w14:paraId="17614A2C">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rPr>
              <w:t>本科</w:t>
            </w:r>
          </w:p>
        </w:tc>
        <w:tc>
          <w:tcPr>
            <w:tcW w:w="1276" w:type="dxa"/>
            <w:vAlign w:val="center"/>
          </w:tcPr>
          <w:p w14:paraId="4B163B59">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rPr>
              <w:t>职称证</w:t>
            </w:r>
          </w:p>
        </w:tc>
        <w:tc>
          <w:tcPr>
            <w:tcW w:w="1108" w:type="dxa"/>
            <w:vAlign w:val="center"/>
          </w:tcPr>
          <w:p w14:paraId="0B26D08A">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rPr>
              <w:t>高工</w:t>
            </w:r>
          </w:p>
        </w:tc>
        <w:tc>
          <w:tcPr>
            <w:tcW w:w="1658" w:type="dxa"/>
            <w:vAlign w:val="center"/>
          </w:tcPr>
          <w:p w14:paraId="4920DFEA">
            <w:pPr>
              <w:spacing w:line="48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rPr>
              <w:t>水文工程环境地质</w:t>
            </w:r>
          </w:p>
        </w:tc>
      </w:tr>
      <w:tr w14:paraId="6CFE60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53" w:hRule="atLeast"/>
        </w:trPr>
        <w:tc>
          <w:tcPr>
            <w:tcW w:w="710" w:type="dxa"/>
            <w:vAlign w:val="center"/>
          </w:tcPr>
          <w:p w14:paraId="53EAAB9D">
            <w:pPr>
              <w:spacing w:line="560" w:lineRule="exact"/>
              <w:jc w:val="center"/>
              <w:rPr>
                <w:rFonts w:hint="eastAsia" w:ascii="仿宋_GB2312" w:hAnsi="仿宋_GB2312" w:eastAsia="仿宋_GB2312" w:cs="仿宋_GB2312"/>
                <w:sz w:val="24"/>
                <w:lang w:eastAsia="zh-CN"/>
              </w:rPr>
            </w:pPr>
            <w:r>
              <w:rPr>
                <w:rFonts w:hint="eastAsia" w:ascii="仿宋_GB2312" w:hAnsi="仿宋_GB2312" w:cs="仿宋_GB2312"/>
                <w:sz w:val="24"/>
                <w:lang w:val="en-US" w:eastAsia="zh-CN"/>
              </w:rPr>
              <w:t>5</w:t>
            </w:r>
          </w:p>
        </w:tc>
        <w:tc>
          <w:tcPr>
            <w:tcW w:w="1701" w:type="dxa"/>
            <w:vAlign w:val="center"/>
          </w:tcPr>
          <w:p w14:paraId="6254A998">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rPr>
              <w:t>组员</w:t>
            </w:r>
          </w:p>
        </w:tc>
        <w:tc>
          <w:tcPr>
            <w:tcW w:w="1134" w:type="dxa"/>
            <w:vAlign w:val="center"/>
          </w:tcPr>
          <w:p w14:paraId="213DC6E9">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rPr>
              <w:t>代仲海</w:t>
            </w:r>
          </w:p>
        </w:tc>
        <w:tc>
          <w:tcPr>
            <w:tcW w:w="992" w:type="dxa"/>
            <w:vAlign w:val="center"/>
          </w:tcPr>
          <w:p w14:paraId="3007D864">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rPr>
              <w:t>研究生</w:t>
            </w:r>
          </w:p>
        </w:tc>
        <w:tc>
          <w:tcPr>
            <w:tcW w:w="1276" w:type="dxa"/>
            <w:vAlign w:val="center"/>
          </w:tcPr>
          <w:p w14:paraId="680E5F11">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rPr>
              <w:t>职称证</w:t>
            </w:r>
          </w:p>
        </w:tc>
        <w:tc>
          <w:tcPr>
            <w:tcW w:w="1108" w:type="dxa"/>
            <w:vAlign w:val="center"/>
          </w:tcPr>
          <w:p w14:paraId="26B72965">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rPr>
              <w:t>高工</w:t>
            </w:r>
          </w:p>
        </w:tc>
        <w:tc>
          <w:tcPr>
            <w:tcW w:w="1658" w:type="dxa"/>
            <w:vAlign w:val="center"/>
          </w:tcPr>
          <w:p w14:paraId="24AD129F">
            <w:pPr>
              <w:spacing w:line="48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rPr>
              <w:t>岩土工程</w:t>
            </w:r>
          </w:p>
        </w:tc>
      </w:tr>
      <w:tr w14:paraId="64613C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67" w:hRule="atLeast"/>
        </w:trPr>
        <w:tc>
          <w:tcPr>
            <w:tcW w:w="710" w:type="dxa"/>
            <w:vAlign w:val="center"/>
          </w:tcPr>
          <w:p w14:paraId="38E4AB7C">
            <w:pPr>
              <w:spacing w:line="560" w:lineRule="exact"/>
              <w:jc w:val="center"/>
              <w:rPr>
                <w:rFonts w:hint="eastAsia" w:ascii="仿宋_GB2312" w:hAnsi="仿宋_GB2312" w:eastAsia="仿宋_GB2312" w:cs="仿宋_GB2312"/>
                <w:sz w:val="24"/>
                <w:lang w:eastAsia="zh-CN"/>
              </w:rPr>
            </w:pPr>
            <w:r>
              <w:rPr>
                <w:rFonts w:hint="eastAsia" w:ascii="仿宋_GB2312" w:hAnsi="仿宋_GB2312" w:cs="仿宋_GB2312"/>
                <w:sz w:val="24"/>
                <w:lang w:val="en-US" w:eastAsia="zh-CN"/>
              </w:rPr>
              <w:t>6</w:t>
            </w:r>
          </w:p>
        </w:tc>
        <w:tc>
          <w:tcPr>
            <w:tcW w:w="1701" w:type="dxa"/>
            <w:vAlign w:val="center"/>
          </w:tcPr>
          <w:p w14:paraId="2B92A27B">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rPr>
              <w:t>组员</w:t>
            </w:r>
          </w:p>
        </w:tc>
        <w:tc>
          <w:tcPr>
            <w:tcW w:w="1134" w:type="dxa"/>
            <w:vAlign w:val="center"/>
          </w:tcPr>
          <w:p w14:paraId="21EBDD5D">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rPr>
              <w:t>罗建琛</w:t>
            </w:r>
          </w:p>
        </w:tc>
        <w:tc>
          <w:tcPr>
            <w:tcW w:w="992" w:type="dxa"/>
            <w:vAlign w:val="center"/>
          </w:tcPr>
          <w:p w14:paraId="06946596">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rPr>
              <w:t>本科</w:t>
            </w:r>
          </w:p>
        </w:tc>
        <w:tc>
          <w:tcPr>
            <w:tcW w:w="1276" w:type="dxa"/>
            <w:vAlign w:val="center"/>
          </w:tcPr>
          <w:p w14:paraId="2F37E401">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rPr>
              <w:t>职称证</w:t>
            </w:r>
          </w:p>
        </w:tc>
        <w:tc>
          <w:tcPr>
            <w:tcW w:w="1108" w:type="dxa"/>
            <w:vAlign w:val="center"/>
          </w:tcPr>
          <w:p w14:paraId="5F6905C7">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rPr>
              <w:t>高工</w:t>
            </w:r>
          </w:p>
        </w:tc>
        <w:tc>
          <w:tcPr>
            <w:tcW w:w="1658" w:type="dxa"/>
            <w:vAlign w:val="center"/>
          </w:tcPr>
          <w:p w14:paraId="0D00FE82">
            <w:pPr>
              <w:spacing w:line="48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rPr>
              <w:t>水文工程环境地质</w:t>
            </w:r>
          </w:p>
        </w:tc>
      </w:tr>
      <w:tr w14:paraId="3C7BE6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67" w:hRule="atLeast"/>
        </w:trPr>
        <w:tc>
          <w:tcPr>
            <w:tcW w:w="710" w:type="dxa"/>
            <w:vAlign w:val="center"/>
          </w:tcPr>
          <w:p w14:paraId="3CF8107A">
            <w:pPr>
              <w:spacing w:line="560" w:lineRule="exact"/>
              <w:jc w:val="center"/>
              <w:rPr>
                <w:rFonts w:hint="eastAsia" w:ascii="仿宋_GB2312" w:hAnsi="仿宋_GB2312" w:eastAsia="仿宋_GB2312" w:cs="仿宋_GB2312"/>
                <w:sz w:val="24"/>
                <w:lang w:eastAsia="zh-CN"/>
              </w:rPr>
            </w:pPr>
            <w:r>
              <w:rPr>
                <w:rFonts w:hint="eastAsia" w:ascii="仿宋_GB2312" w:hAnsi="仿宋_GB2312" w:cs="仿宋_GB2312"/>
                <w:sz w:val="24"/>
                <w:lang w:val="en-US" w:eastAsia="zh-CN"/>
              </w:rPr>
              <w:t>7</w:t>
            </w:r>
          </w:p>
        </w:tc>
        <w:tc>
          <w:tcPr>
            <w:tcW w:w="1701" w:type="dxa"/>
            <w:vAlign w:val="center"/>
          </w:tcPr>
          <w:p w14:paraId="5BF2F913">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rPr>
              <w:t>组员</w:t>
            </w:r>
          </w:p>
        </w:tc>
        <w:tc>
          <w:tcPr>
            <w:tcW w:w="1134" w:type="dxa"/>
            <w:vAlign w:val="center"/>
          </w:tcPr>
          <w:p w14:paraId="2DB57AD0">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rPr>
              <w:t>敖文龙</w:t>
            </w:r>
          </w:p>
        </w:tc>
        <w:tc>
          <w:tcPr>
            <w:tcW w:w="992" w:type="dxa"/>
            <w:vAlign w:val="center"/>
          </w:tcPr>
          <w:p w14:paraId="5FD70EF1">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rPr>
              <w:t>研究生</w:t>
            </w:r>
          </w:p>
        </w:tc>
        <w:tc>
          <w:tcPr>
            <w:tcW w:w="1276" w:type="dxa"/>
            <w:vAlign w:val="center"/>
          </w:tcPr>
          <w:p w14:paraId="0BAFC8A7">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rPr>
              <w:t>职称证</w:t>
            </w:r>
          </w:p>
        </w:tc>
        <w:tc>
          <w:tcPr>
            <w:tcW w:w="1108" w:type="dxa"/>
            <w:vAlign w:val="center"/>
          </w:tcPr>
          <w:p w14:paraId="6FD6D897">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rPr>
              <w:t>高工</w:t>
            </w:r>
          </w:p>
        </w:tc>
        <w:tc>
          <w:tcPr>
            <w:tcW w:w="1658" w:type="dxa"/>
            <w:vAlign w:val="center"/>
          </w:tcPr>
          <w:p w14:paraId="5D692D9E">
            <w:pPr>
              <w:spacing w:line="48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rPr>
              <w:t>水文工程环境地质</w:t>
            </w:r>
          </w:p>
        </w:tc>
      </w:tr>
      <w:tr w14:paraId="740F31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67" w:hRule="atLeast"/>
        </w:trPr>
        <w:tc>
          <w:tcPr>
            <w:tcW w:w="2411" w:type="dxa"/>
            <w:gridSpan w:val="2"/>
            <w:vAlign w:val="center"/>
          </w:tcPr>
          <w:p w14:paraId="5064ACB2">
            <w:pPr>
              <w:spacing w:line="440" w:lineRule="exact"/>
              <w:jc w:val="center"/>
              <w:rPr>
                <w:rFonts w:hint="eastAsia" w:ascii="仿宋_GB2312" w:hAnsi="仿宋_GB2312" w:cs="仿宋_GB2312"/>
                <w:b/>
                <w:bCs/>
                <w:sz w:val="24"/>
              </w:rPr>
            </w:pPr>
            <w:r>
              <w:rPr>
                <w:rFonts w:hint="eastAsia" w:ascii="仿宋_GB2312" w:hAnsi="仿宋_GB2312" w:cs="仿宋_GB2312"/>
                <w:b/>
                <w:bCs/>
                <w:sz w:val="24"/>
              </w:rPr>
              <w:t>专家库联系人</w:t>
            </w:r>
          </w:p>
        </w:tc>
        <w:tc>
          <w:tcPr>
            <w:tcW w:w="1134" w:type="dxa"/>
            <w:vAlign w:val="center"/>
          </w:tcPr>
          <w:p w14:paraId="0893BFDD">
            <w:pPr>
              <w:spacing w:line="440" w:lineRule="exact"/>
              <w:jc w:val="center"/>
              <w:rPr>
                <w:rFonts w:hint="eastAsia" w:ascii="仿宋_GB2312" w:hAnsi="仿宋_GB2312" w:cs="仿宋_GB2312"/>
                <w:b/>
                <w:bCs/>
                <w:sz w:val="24"/>
              </w:rPr>
            </w:pPr>
            <w:r>
              <w:rPr>
                <w:rFonts w:hint="eastAsia" w:ascii="宋体" w:hAnsi="宋体" w:eastAsia="宋体" w:cs="宋体"/>
                <w:b/>
                <w:bCs/>
                <w:sz w:val="24"/>
              </w:rPr>
              <w:t>王伟垣</w:t>
            </w:r>
          </w:p>
        </w:tc>
        <w:tc>
          <w:tcPr>
            <w:tcW w:w="2268" w:type="dxa"/>
            <w:gridSpan w:val="2"/>
            <w:vAlign w:val="center"/>
          </w:tcPr>
          <w:p w14:paraId="4BB3D111">
            <w:pPr>
              <w:spacing w:line="440" w:lineRule="exact"/>
              <w:jc w:val="center"/>
              <w:rPr>
                <w:rFonts w:hint="eastAsia" w:ascii="仿宋_GB2312" w:hAnsi="仿宋_GB2312" w:cs="仿宋_GB2312"/>
                <w:b/>
                <w:bCs/>
                <w:sz w:val="24"/>
              </w:rPr>
            </w:pPr>
            <w:r>
              <w:rPr>
                <w:rFonts w:hint="eastAsia" w:ascii="仿宋_GB2312" w:hAnsi="仿宋_GB2312" w:cs="仿宋_GB2312"/>
                <w:b/>
                <w:bCs/>
                <w:sz w:val="24"/>
              </w:rPr>
              <w:t>联系电话</w:t>
            </w:r>
          </w:p>
        </w:tc>
        <w:tc>
          <w:tcPr>
            <w:tcW w:w="2766" w:type="dxa"/>
            <w:gridSpan w:val="2"/>
            <w:vAlign w:val="center"/>
          </w:tcPr>
          <w:p w14:paraId="26A5F349">
            <w:pPr>
              <w:spacing w:line="440" w:lineRule="exact"/>
              <w:jc w:val="center"/>
              <w:rPr>
                <w:rFonts w:hint="eastAsia" w:ascii="仿宋_GB2312" w:hAnsi="仿宋_GB2312" w:cs="仿宋_GB2312"/>
                <w:b/>
                <w:bCs/>
                <w:sz w:val="24"/>
              </w:rPr>
            </w:pPr>
            <w:r>
              <w:rPr>
                <w:rFonts w:hint="eastAsia" w:ascii="仿宋_GB2312" w:hAnsi="仿宋_GB2312" w:cs="仿宋_GB2312"/>
                <w:b/>
                <w:bCs/>
                <w:sz w:val="24"/>
              </w:rPr>
              <w:t>13434753270</w:t>
            </w:r>
          </w:p>
        </w:tc>
      </w:tr>
    </w:tbl>
    <w:p w14:paraId="7E431078">
      <w:pPr>
        <w:pStyle w:val="2"/>
        <w:ind w:firstLine="640"/>
      </w:pPr>
    </w:p>
    <w:p w14:paraId="3BD11335">
      <w:pPr>
        <w:pStyle w:val="2"/>
        <w:ind w:left="0" w:leftChars="0" w:firstLine="0" w:firstLineChars="0"/>
      </w:pPr>
    </w:p>
    <w:p w14:paraId="241C5113"/>
    <w:p w14:paraId="311C5065">
      <w:pPr>
        <w:pStyle w:val="2"/>
        <w:ind w:firstLine="640"/>
      </w:pPr>
    </w:p>
    <w:p w14:paraId="22ACD443">
      <w:pPr>
        <w:spacing w:line="560" w:lineRule="exact"/>
        <w:jc w:val="left"/>
        <w:rPr>
          <w:rFonts w:hint="eastAsia" w:ascii="宋体" w:hAnsi="宋体" w:eastAsia="宋体" w:cs="宋体"/>
          <w:b/>
          <w:bCs/>
        </w:rPr>
        <w:sectPr>
          <w:pgSz w:w="11906" w:h="16838"/>
          <w:pgMar w:top="1440" w:right="1803" w:bottom="1440" w:left="1803" w:header="851" w:footer="992" w:gutter="0"/>
          <w:pgNumType w:fmt="decimal"/>
          <w:cols w:space="0" w:num="1"/>
          <w:docGrid w:type="lines" w:linePitch="436" w:charSpace="0"/>
        </w:sectPr>
      </w:pPr>
    </w:p>
    <w:p w14:paraId="3B3A1DAD">
      <w:pPr>
        <w:pStyle w:val="3"/>
        <w:bidi w:val="0"/>
        <w:jc w:val="both"/>
        <w:rPr>
          <w:rFonts w:hint="eastAsia" w:ascii="黑体" w:hAnsi="黑体" w:eastAsia="黑体" w:cs="黑体"/>
          <w:kern w:val="2"/>
          <w:sz w:val="32"/>
          <w:szCs w:val="32"/>
          <w:lang w:val="en-US" w:eastAsia="zh-CN" w:bidi="ar-SA"/>
        </w:rPr>
      </w:pPr>
      <w:bookmarkStart w:id="317" w:name="_Toc732165683"/>
      <w:bookmarkStart w:id="318" w:name="_Toc1653261420"/>
      <w:bookmarkStart w:id="319" w:name="_Toc1312692589"/>
      <w:bookmarkStart w:id="320" w:name="_Toc453024425"/>
      <w:r>
        <w:rPr>
          <w:rFonts w:hint="eastAsia" w:ascii="黑体" w:hAnsi="黑体" w:eastAsia="黑体" w:cs="黑体"/>
          <w:kern w:val="2"/>
          <w:sz w:val="32"/>
          <w:szCs w:val="32"/>
          <w:lang w:val="en-US" w:eastAsia="zh-CN" w:bidi="ar-SA"/>
        </w:rPr>
        <w:t>附件</w:t>
      </w:r>
      <w:bookmarkEnd w:id="317"/>
      <w:bookmarkEnd w:id="318"/>
      <w:bookmarkEnd w:id="319"/>
      <w:r>
        <w:rPr>
          <w:rFonts w:hint="eastAsia" w:ascii="黑体" w:hAnsi="黑体" w:eastAsia="黑体" w:cs="黑体"/>
          <w:kern w:val="2"/>
          <w:sz w:val="32"/>
          <w:szCs w:val="32"/>
          <w:lang w:val="en-US" w:eastAsia="zh-CN" w:bidi="ar-SA"/>
        </w:rPr>
        <w:t>9</w:t>
      </w:r>
      <w:bookmarkEnd w:id="320"/>
      <w:r>
        <w:rPr>
          <w:rFonts w:hint="eastAsia" w:ascii="黑体" w:hAnsi="黑体" w:eastAsia="黑体" w:cs="黑体"/>
          <w:kern w:val="2"/>
          <w:sz w:val="32"/>
          <w:szCs w:val="32"/>
          <w:lang w:val="en-US" w:eastAsia="zh-CN" w:bidi="ar-SA"/>
        </w:rPr>
        <w:br w:type="textWrapping"/>
      </w:r>
    </w:p>
    <w:tbl>
      <w:tblPr>
        <w:tblStyle w:val="13"/>
        <w:tblW w:w="12267"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98"/>
        <w:gridCol w:w="1083"/>
        <w:gridCol w:w="4754"/>
        <w:gridCol w:w="1084"/>
        <w:gridCol w:w="2233"/>
        <w:gridCol w:w="2415"/>
      </w:tblGrid>
      <w:tr w14:paraId="4575DA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980" w:hRule="atLeast"/>
        </w:trPr>
        <w:tc>
          <w:tcPr>
            <w:tcW w:w="12267" w:type="dxa"/>
            <w:gridSpan w:val="6"/>
            <w:tcBorders>
              <w:top w:val="nil"/>
              <w:left w:val="nil"/>
              <w:bottom w:val="single" w:color="000000" w:sz="4" w:space="0"/>
              <w:right w:val="nil"/>
            </w:tcBorders>
            <w:shd w:val="clear" w:color="auto" w:fill="auto"/>
            <w:vAlign w:val="center"/>
          </w:tcPr>
          <w:p w14:paraId="6476275E">
            <w:pPr>
              <w:pStyle w:val="3"/>
              <w:bidi w:val="0"/>
              <w:jc w:val="center"/>
              <w:rPr>
                <w:rFonts w:ascii="方正小标宋简体" w:hAnsi="方正小标宋简体" w:eastAsia="方正小标宋简体" w:cs="方正小标宋简体"/>
                <w:i w:val="0"/>
                <w:iCs w:val="0"/>
                <w:color w:val="000000"/>
                <w:sz w:val="44"/>
                <w:szCs w:val="44"/>
                <w:u w:val="none"/>
              </w:rPr>
            </w:pPr>
            <w:r>
              <w:rPr>
                <w:rFonts w:hint="eastAsia"/>
              </w:rPr>
              <w:t>盐田区地质灾害隐患点一览表</w:t>
            </w:r>
            <w:r>
              <w:rPr>
                <w:rFonts w:hint="eastAsia"/>
              </w:rPr>
              <w:br w:type="textWrapping"/>
            </w:r>
          </w:p>
        </w:tc>
      </w:tr>
      <w:tr w14:paraId="4336B7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B694AF">
            <w:pPr>
              <w:spacing w:line="440" w:lineRule="exact"/>
              <w:jc w:val="center"/>
              <w:rPr>
                <w:rFonts w:hint="eastAsia" w:ascii="仿宋_GB2312" w:hAnsi="仿宋_GB2312" w:cs="仿宋_GB2312"/>
                <w:b/>
                <w:bCs/>
                <w:sz w:val="24"/>
              </w:rPr>
            </w:pPr>
            <w:r>
              <w:rPr>
                <w:rFonts w:hint="eastAsia" w:ascii="仿宋_GB2312" w:hAnsi="仿宋_GB2312" w:cs="仿宋_GB2312"/>
                <w:b/>
                <w:bCs/>
                <w:sz w:val="24"/>
                <w:lang w:val="en-US" w:eastAsia="zh-CN"/>
              </w:rPr>
              <w:t>序号</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A43E12">
            <w:pPr>
              <w:spacing w:line="440" w:lineRule="exact"/>
              <w:jc w:val="center"/>
              <w:rPr>
                <w:rFonts w:hint="eastAsia" w:ascii="仿宋_GB2312" w:hAnsi="仿宋_GB2312" w:cs="仿宋_GB2312"/>
                <w:b/>
                <w:bCs/>
                <w:sz w:val="24"/>
              </w:rPr>
            </w:pPr>
            <w:r>
              <w:rPr>
                <w:rFonts w:hint="eastAsia" w:ascii="仿宋_GB2312" w:hAnsi="仿宋_GB2312" w:cs="仿宋_GB2312"/>
                <w:b/>
                <w:bCs/>
                <w:sz w:val="24"/>
                <w:lang w:val="en-US" w:eastAsia="zh-CN"/>
              </w:rPr>
              <w:t>街道</w:t>
            </w:r>
          </w:p>
        </w:tc>
        <w:tc>
          <w:tcPr>
            <w:tcW w:w="4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3F1A76">
            <w:pPr>
              <w:spacing w:line="440" w:lineRule="exact"/>
              <w:jc w:val="center"/>
              <w:rPr>
                <w:rFonts w:hint="eastAsia" w:ascii="仿宋_GB2312" w:hAnsi="仿宋_GB2312" w:cs="仿宋_GB2312"/>
                <w:b/>
                <w:bCs/>
                <w:sz w:val="24"/>
              </w:rPr>
            </w:pPr>
            <w:r>
              <w:rPr>
                <w:rFonts w:hint="eastAsia" w:ascii="仿宋_GB2312" w:hAnsi="仿宋_GB2312" w:cs="仿宋_GB2312"/>
                <w:b/>
                <w:bCs/>
                <w:sz w:val="24"/>
                <w:lang w:val="en-US" w:eastAsia="zh-CN"/>
              </w:rPr>
              <w:t>详细位置</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A04693">
            <w:pPr>
              <w:spacing w:line="440" w:lineRule="exact"/>
              <w:jc w:val="center"/>
              <w:rPr>
                <w:rFonts w:hint="eastAsia" w:ascii="仿宋_GB2312" w:hAnsi="仿宋_GB2312" w:cs="仿宋_GB2312"/>
                <w:b/>
                <w:bCs/>
                <w:sz w:val="24"/>
              </w:rPr>
            </w:pPr>
            <w:r>
              <w:rPr>
                <w:rFonts w:hint="eastAsia" w:ascii="仿宋_GB2312" w:hAnsi="仿宋_GB2312" w:cs="仿宋_GB2312"/>
                <w:b/>
                <w:bCs/>
                <w:sz w:val="24"/>
                <w:lang w:val="en-US" w:eastAsia="zh-CN"/>
              </w:rPr>
              <w:t>预测危险性</w:t>
            </w:r>
          </w:p>
        </w:tc>
        <w:tc>
          <w:tcPr>
            <w:tcW w:w="2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70906E">
            <w:pPr>
              <w:spacing w:line="440" w:lineRule="exact"/>
              <w:jc w:val="center"/>
              <w:rPr>
                <w:rFonts w:hint="eastAsia" w:ascii="仿宋_GB2312" w:hAnsi="仿宋_GB2312" w:cs="仿宋_GB2312"/>
                <w:b/>
                <w:bCs/>
                <w:sz w:val="24"/>
              </w:rPr>
            </w:pPr>
            <w:r>
              <w:rPr>
                <w:rFonts w:hint="eastAsia" w:ascii="仿宋_GB2312" w:hAnsi="仿宋_GB2312" w:cs="仿宋_GB2312"/>
                <w:b/>
                <w:bCs/>
                <w:sz w:val="24"/>
                <w:lang w:val="en-US" w:eastAsia="zh-CN"/>
              </w:rPr>
              <w:t>管理维护</w:t>
            </w:r>
            <w:r>
              <w:rPr>
                <w:rFonts w:hint="eastAsia" w:ascii="仿宋_GB2312" w:hAnsi="仿宋_GB2312" w:cs="仿宋_GB2312"/>
                <w:b/>
                <w:bCs/>
                <w:sz w:val="24"/>
                <w:lang w:val="en-US" w:eastAsia="zh-CN"/>
              </w:rPr>
              <w:br w:type="textWrapping"/>
            </w:r>
            <w:r>
              <w:rPr>
                <w:rFonts w:hint="eastAsia" w:ascii="仿宋_GB2312" w:hAnsi="仿宋_GB2312" w:cs="仿宋_GB2312"/>
                <w:b/>
                <w:bCs/>
                <w:sz w:val="24"/>
                <w:lang w:val="en-US" w:eastAsia="zh-CN"/>
              </w:rPr>
              <w:t>单位</w:t>
            </w:r>
          </w:p>
        </w:tc>
        <w:tc>
          <w:tcPr>
            <w:tcW w:w="2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F429D7">
            <w:pPr>
              <w:spacing w:line="440" w:lineRule="exact"/>
              <w:jc w:val="center"/>
              <w:rPr>
                <w:rFonts w:hint="eastAsia" w:ascii="仿宋_GB2312" w:hAnsi="仿宋_GB2312" w:cs="仿宋_GB2312"/>
                <w:b/>
                <w:bCs/>
                <w:sz w:val="24"/>
              </w:rPr>
            </w:pPr>
            <w:r>
              <w:rPr>
                <w:rFonts w:hint="eastAsia" w:ascii="仿宋_GB2312" w:hAnsi="仿宋_GB2312" w:cs="仿宋_GB2312"/>
                <w:b/>
                <w:bCs/>
                <w:sz w:val="24"/>
                <w:lang w:val="en-US" w:eastAsia="zh-CN"/>
              </w:rPr>
              <w:t>行业监管</w:t>
            </w:r>
            <w:r>
              <w:rPr>
                <w:rFonts w:hint="eastAsia" w:ascii="仿宋_GB2312" w:hAnsi="仿宋_GB2312" w:cs="仿宋_GB2312"/>
                <w:b/>
                <w:bCs/>
                <w:sz w:val="24"/>
                <w:lang w:val="en-US" w:eastAsia="zh-CN"/>
              </w:rPr>
              <w:br w:type="textWrapping"/>
            </w:r>
            <w:r>
              <w:rPr>
                <w:rFonts w:hint="eastAsia" w:ascii="仿宋_GB2312" w:hAnsi="仿宋_GB2312" w:cs="仿宋_GB2312"/>
                <w:b/>
                <w:bCs/>
                <w:sz w:val="24"/>
                <w:lang w:val="en-US" w:eastAsia="zh-CN"/>
              </w:rPr>
              <w:t>单位</w:t>
            </w:r>
          </w:p>
        </w:tc>
      </w:tr>
      <w:tr w14:paraId="6BC80A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B75955">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1</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56482">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海山</w:t>
            </w:r>
          </w:p>
        </w:tc>
        <w:tc>
          <w:tcPr>
            <w:tcW w:w="4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52A224">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梧桐山盘山公路东侧边坡</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CF06CF">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小</w:t>
            </w:r>
          </w:p>
        </w:tc>
        <w:tc>
          <w:tcPr>
            <w:tcW w:w="2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B2FC87">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深圳市交通运输局盐田管理局</w:t>
            </w:r>
          </w:p>
        </w:tc>
        <w:tc>
          <w:tcPr>
            <w:tcW w:w="2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6EC568">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深圳市交通运输局盐田管理局</w:t>
            </w:r>
          </w:p>
        </w:tc>
      </w:tr>
      <w:tr w14:paraId="2E0E95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011C71">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2</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DDCFA0">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海山</w:t>
            </w:r>
          </w:p>
        </w:tc>
        <w:tc>
          <w:tcPr>
            <w:tcW w:w="4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4D5A2">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深盐路北侧政府备用地边坡</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4461F5">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小</w:t>
            </w:r>
          </w:p>
        </w:tc>
        <w:tc>
          <w:tcPr>
            <w:tcW w:w="2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8711DE">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海山街道办</w:t>
            </w:r>
          </w:p>
        </w:tc>
        <w:tc>
          <w:tcPr>
            <w:tcW w:w="2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D9400F">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盐田区住房和建设局</w:t>
            </w:r>
          </w:p>
        </w:tc>
      </w:tr>
      <w:tr w14:paraId="4CEA78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0C4C16">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3</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710B00">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海山</w:t>
            </w:r>
          </w:p>
        </w:tc>
        <w:tc>
          <w:tcPr>
            <w:tcW w:w="4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2FB4D7">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田东中学边坡</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D612CF">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小</w:t>
            </w:r>
          </w:p>
        </w:tc>
        <w:tc>
          <w:tcPr>
            <w:tcW w:w="2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429E5A">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盐田区教育局</w:t>
            </w:r>
          </w:p>
        </w:tc>
        <w:tc>
          <w:tcPr>
            <w:tcW w:w="2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BA2E81">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盐田区住房和建设局</w:t>
            </w:r>
          </w:p>
        </w:tc>
      </w:tr>
      <w:tr w14:paraId="12B559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03FDDF">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4</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8DDB64">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海山</w:t>
            </w:r>
          </w:p>
        </w:tc>
        <w:tc>
          <w:tcPr>
            <w:tcW w:w="4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6487C7">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市局装备仓库边坡</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9CB02">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小</w:t>
            </w:r>
          </w:p>
        </w:tc>
        <w:tc>
          <w:tcPr>
            <w:tcW w:w="2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7208B3">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深圳市公安局</w:t>
            </w:r>
          </w:p>
        </w:tc>
        <w:tc>
          <w:tcPr>
            <w:tcW w:w="2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8831F7">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盐田区住房和建设局</w:t>
            </w:r>
          </w:p>
        </w:tc>
      </w:tr>
      <w:tr w14:paraId="7BC39C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D20509">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5</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B634D5">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梅沙</w:t>
            </w:r>
          </w:p>
        </w:tc>
        <w:tc>
          <w:tcPr>
            <w:tcW w:w="4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850CB1">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大拐弯小火车接驳站北东侧路堑边坡</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BC13C7">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小</w:t>
            </w:r>
          </w:p>
        </w:tc>
        <w:tc>
          <w:tcPr>
            <w:tcW w:w="2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55875D">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深圳华侨城投资有限公司</w:t>
            </w:r>
          </w:p>
        </w:tc>
        <w:tc>
          <w:tcPr>
            <w:tcW w:w="2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3B9DB">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盐田区文化广电旅游体育局</w:t>
            </w:r>
          </w:p>
        </w:tc>
      </w:tr>
      <w:tr w14:paraId="0D017A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4F3F0B">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6</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0BA74E">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梅沙</w:t>
            </w:r>
          </w:p>
        </w:tc>
        <w:tc>
          <w:tcPr>
            <w:tcW w:w="4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24DF6E">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黑森林酒店宴会厅旁边坡</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2803DB">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小</w:t>
            </w:r>
          </w:p>
        </w:tc>
        <w:tc>
          <w:tcPr>
            <w:tcW w:w="2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B5605E">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深圳华侨城投资有限公司</w:t>
            </w:r>
          </w:p>
        </w:tc>
        <w:tc>
          <w:tcPr>
            <w:tcW w:w="2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38F9A2">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盐田区文化广电旅游体育局</w:t>
            </w:r>
          </w:p>
        </w:tc>
      </w:tr>
      <w:tr w14:paraId="2BF7F3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68B69A">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7</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9772FA">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梅沙</w:t>
            </w:r>
          </w:p>
        </w:tc>
        <w:tc>
          <w:tcPr>
            <w:tcW w:w="4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58B2B2">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云海谷员工宿舍南侧边坡</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80FB37">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小</w:t>
            </w:r>
          </w:p>
        </w:tc>
        <w:tc>
          <w:tcPr>
            <w:tcW w:w="2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6046ED">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深圳华侨城投资有限公司</w:t>
            </w:r>
          </w:p>
        </w:tc>
        <w:tc>
          <w:tcPr>
            <w:tcW w:w="2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2851CC">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盐田区文化广电旅游体育局</w:t>
            </w:r>
          </w:p>
        </w:tc>
      </w:tr>
      <w:tr w14:paraId="6A5D94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787FFD">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8</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F98920">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梅沙</w:t>
            </w:r>
          </w:p>
        </w:tc>
        <w:tc>
          <w:tcPr>
            <w:tcW w:w="4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A29AF8">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云海谷员工宿舍1－3＃北侧边坡</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2CD0F8">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小</w:t>
            </w:r>
          </w:p>
        </w:tc>
        <w:tc>
          <w:tcPr>
            <w:tcW w:w="2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570713">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深圳华侨城投资有限公司</w:t>
            </w:r>
          </w:p>
        </w:tc>
        <w:tc>
          <w:tcPr>
            <w:tcW w:w="2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E07EF5">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盐田区文化广电旅游体育局</w:t>
            </w:r>
          </w:p>
        </w:tc>
      </w:tr>
      <w:tr w14:paraId="028AB8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234165">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9</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077FE4">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梅沙</w:t>
            </w:r>
          </w:p>
        </w:tc>
        <w:tc>
          <w:tcPr>
            <w:tcW w:w="4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BA73C0">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云海谷天麓七区12A别墅南侧路堑边坡</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D2518F">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小</w:t>
            </w:r>
          </w:p>
        </w:tc>
        <w:tc>
          <w:tcPr>
            <w:tcW w:w="2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463D44">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深圳华侨城投资有限公司</w:t>
            </w:r>
          </w:p>
        </w:tc>
        <w:tc>
          <w:tcPr>
            <w:tcW w:w="2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B47AAC">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盐田区文化广电旅游体育局</w:t>
            </w:r>
          </w:p>
        </w:tc>
      </w:tr>
      <w:tr w14:paraId="0D5FAD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5445F1">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10</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6DF769">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梅沙</w:t>
            </w:r>
          </w:p>
        </w:tc>
        <w:tc>
          <w:tcPr>
            <w:tcW w:w="4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623CE3">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云海谷天麓七区14B别墅南侧路堑边坡</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96F89B">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小</w:t>
            </w:r>
          </w:p>
        </w:tc>
        <w:tc>
          <w:tcPr>
            <w:tcW w:w="2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68C0EA">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深圳华侨城投资有限公司</w:t>
            </w:r>
          </w:p>
        </w:tc>
        <w:tc>
          <w:tcPr>
            <w:tcW w:w="2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75138B">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盐田区文化广电旅游体育局</w:t>
            </w:r>
          </w:p>
        </w:tc>
      </w:tr>
      <w:tr w14:paraId="646225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8EF64">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11</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B7E499">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梅沙</w:t>
            </w:r>
          </w:p>
        </w:tc>
        <w:tc>
          <w:tcPr>
            <w:tcW w:w="4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DA8F72">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茶溪谷员工宿舍3＃南东侧边坡</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7CA93A">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小</w:t>
            </w:r>
          </w:p>
        </w:tc>
        <w:tc>
          <w:tcPr>
            <w:tcW w:w="2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78EB10">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深圳华侨城投资有限公司</w:t>
            </w:r>
          </w:p>
        </w:tc>
        <w:tc>
          <w:tcPr>
            <w:tcW w:w="2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A3BFB6">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盐田区文化广电旅游体育局</w:t>
            </w:r>
          </w:p>
        </w:tc>
      </w:tr>
      <w:tr w14:paraId="439C84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7286A3">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12</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97E54C">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梅沙</w:t>
            </w:r>
          </w:p>
        </w:tc>
        <w:tc>
          <w:tcPr>
            <w:tcW w:w="4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316A11">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茶溪谷员工宿舍北东侧边坡</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EF6799">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小</w:t>
            </w:r>
          </w:p>
        </w:tc>
        <w:tc>
          <w:tcPr>
            <w:tcW w:w="2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1552B8">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深圳华侨城投资有限公司</w:t>
            </w:r>
          </w:p>
        </w:tc>
        <w:tc>
          <w:tcPr>
            <w:tcW w:w="2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1A91FF">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盐田区文化广电旅游体育局</w:t>
            </w:r>
          </w:p>
        </w:tc>
      </w:tr>
      <w:tr w14:paraId="615496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3BA3A7">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13</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37085D">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梅沙</w:t>
            </w:r>
          </w:p>
        </w:tc>
        <w:tc>
          <w:tcPr>
            <w:tcW w:w="4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FB79AE">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茶溪谷员工宿舍5D后侧边坡</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C8EA31">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小</w:t>
            </w:r>
          </w:p>
        </w:tc>
        <w:tc>
          <w:tcPr>
            <w:tcW w:w="2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A93A18">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深圳华侨城投资有限公司</w:t>
            </w:r>
          </w:p>
        </w:tc>
        <w:tc>
          <w:tcPr>
            <w:tcW w:w="2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449740">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盐田区文化广电旅游体育局</w:t>
            </w:r>
          </w:p>
        </w:tc>
      </w:tr>
      <w:tr w14:paraId="07B62F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58713F">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14</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5C559E">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梅沙</w:t>
            </w:r>
          </w:p>
        </w:tc>
        <w:tc>
          <w:tcPr>
            <w:tcW w:w="4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29A614">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小火车沿线边坡</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8ADC5A">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小</w:t>
            </w:r>
          </w:p>
        </w:tc>
        <w:tc>
          <w:tcPr>
            <w:tcW w:w="2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92EE5D">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深圳华侨城投资有限公司</w:t>
            </w:r>
          </w:p>
        </w:tc>
        <w:tc>
          <w:tcPr>
            <w:tcW w:w="2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550EB5">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盐田区文化广电旅游体育局</w:t>
            </w:r>
          </w:p>
        </w:tc>
      </w:tr>
      <w:tr w14:paraId="1C77E0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5E2C3A">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15</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6DF5BA">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梅沙</w:t>
            </w:r>
          </w:p>
        </w:tc>
        <w:tc>
          <w:tcPr>
            <w:tcW w:w="4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AE21E0">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云中部落缆车站南侧危岩边坡</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23B642">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小</w:t>
            </w:r>
          </w:p>
        </w:tc>
        <w:tc>
          <w:tcPr>
            <w:tcW w:w="2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AFD6BE">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深圳华侨城投资有限公司</w:t>
            </w:r>
          </w:p>
        </w:tc>
        <w:tc>
          <w:tcPr>
            <w:tcW w:w="2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BA07C2">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盐田区文化广电旅游体育局</w:t>
            </w:r>
          </w:p>
        </w:tc>
      </w:tr>
      <w:tr w14:paraId="42D258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3D0A0B">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16</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5256AB">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梅沙</w:t>
            </w:r>
          </w:p>
        </w:tc>
        <w:tc>
          <w:tcPr>
            <w:tcW w:w="4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92C308">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云中部落公路边坡</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229483">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小</w:t>
            </w:r>
          </w:p>
        </w:tc>
        <w:tc>
          <w:tcPr>
            <w:tcW w:w="2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46BF80">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深圳华侨城投资有限公司</w:t>
            </w:r>
          </w:p>
        </w:tc>
        <w:tc>
          <w:tcPr>
            <w:tcW w:w="2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BCFAA2">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盐田区文化广电旅游体育局</w:t>
            </w:r>
          </w:p>
        </w:tc>
      </w:tr>
      <w:tr w14:paraId="134E11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C90275">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17</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7B1797">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梅沙</w:t>
            </w:r>
          </w:p>
        </w:tc>
        <w:tc>
          <w:tcPr>
            <w:tcW w:w="4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7635A2">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大梅沙爱琴湾项目边坡</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A65F20">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小</w:t>
            </w:r>
          </w:p>
        </w:tc>
        <w:tc>
          <w:tcPr>
            <w:tcW w:w="2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DCD38F">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深圳市大梅沙实业股份有限公司</w:t>
            </w:r>
          </w:p>
        </w:tc>
        <w:tc>
          <w:tcPr>
            <w:tcW w:w="2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9FDDD0">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盐田区住房和建设局</w:t>
            </w:r>
          </w:p>
        </w:tc>
      </w:tr>
      <w:tr w14:paraId="605591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41E182">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18</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43368E">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梅沙</w:t>
            </w:r>
          </w:p>
        </w:tc>
        <w:tc>
          <w:tcPr>
            <w:tcW w:w="4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F15658">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京基天涛轩项目工地边坡</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31ED18">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小</w:t>
            </w:r>
          </w:p>
        </w:tc>
        <w:tc>
          <w:tcPr>
            <w:tcW w:w="2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542190">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深圳市京基集团</w:t>
            </w:r>
          </w:p>
        </w:tc>
        <w:tc>
          <w:tcPr>
            <w:tcW w:w="2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8E4FC9">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盐田区住房和建设局</w:t>
            </w:r>
          </w:p>
        </w:tc>
      </w:tr>
      <w:tr w14:paraId="33B8A9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646C2D">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19</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FA20C8">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梅沙</w:t>
            </w:r>
          </w:p>
        </w:tc>
        <w:tc>
          <w:tcPr>
            <w:tcW w:w="4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AFA10A">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盐田区高科技园（垃圾填埋场）场地边坡</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372C3B">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小</w:t>
            </w:r>
          </w:p>
        </w:tc>
        <w:tc>
          <w:tcPr>
            <w:tcW w:w="2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D01022">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深圳市交通运输局盐田管理局</w:t>
            </w:r>
          </w:p>
        </w:tc>
        <w:tc>
          <w:tcPr>
            <w:tcW w:w="2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FEF7B6">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深圳市交通运输局盐田管理局</w:t>
            </w:r>
          </w:p>
        </w:tc>
      </w:tr>
      <w:tr w14:paraId="65BDBB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C7453E">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20</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AD0CEA">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梅沙</w:t>
            </w:r>
          </w:p>
        </w:tc>
        <w:tc>
          <w:tcPr>
            <w:tcW w:w="4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06A817">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大梅沙—上坪水库公路旁83.4高地东北侧边坡</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AA605E">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小</w:t>
            </w:r>
          </w:p>
        </w:tc>
        <w:tc>
          <w:tcPr>
            <w:tcW w:w="2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4E5C37">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深圳华侨城投资有限公司</w:t>
            </w:r>
          </w:p>
        </w:tc>
        <w:tc>
          <w:tcPr>
            <w:tcW w:w="2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02A0C7">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盐田区文化广电旅游体育局</w:t>
            </w:r>
          </w:p>
        </w:tc>
      </w:tr>
      <w:tr w14:paraId="0F356F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E5647F">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21</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A85CDA">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梅沙</w:t>
            </w:r>
          </w:p>
        </w:tc>
        <w:tc>
          <w:tcPr>
            <w:tcW w:w="4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9286F7">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110V变电站南侧边坡</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BA69CF">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小</w:t>
            </w:r>
          </w:p>
        </w:tc>
        <w:tc>
          <w:tcPr>
            <w:tcW w:w="2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C105B7">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梅沙街道办</w:t>
            </w:r>
          </w:p>
        </w:tc>
        <w:tc>
          <w:tcPr>
            <w:tcW w:w="2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760645">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盐田区住房和建设局</w:t>
            </w:r>
          </w:p>
        </w:tc>
      </w:tr>
      <w:tr w14:paraId="586BF0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67385B">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22</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4C4177">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梅沙</w:t>
            </w:r>
          </w:p>
        </w:tc>
        <w:tc>
          <w:tcPr>
            <w:tcW w:w="4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6ECBF9">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大梅沙半山截洪沟边坡</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E87590">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小</w:t>
            </w:r>
          </w:p>
        </w:tc>
        <w:tc>
          <w:tcPr>
            <w:tcW w:w="2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C1F394">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梅沙街道办</w:t>
            </w:r>
          </w:p>
        </w:tc>
        <w:tc>
          <w:tcPr>
            <w:tcW w:w="2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4AFCB0">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盐田区住房和建设局</w:t>
            </w:r>
          </w:p>
        </w:tc>
      </w:tr>
      <w:tr w14:paraId="1311B0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F635F5">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23</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717228">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梅沙</w:t>
            </w:r>
          </w:p>
        </w:tc>
        <w:tc>
          <w:tcPr>
            <w:tcW w:w="4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CDFE70">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中兴通讯学院内边坡</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27ADD7">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小</w:t>
            </w:r>
          </w:p>
        </w:tc>
        <w:tc>
          <w:tcPr>
            <w:tcW w:w="2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5A3316">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梅沙街道办</w:t>
            </w:r>
          </w:p>
        </w:tc>
        <w:tc>
          <w:tcPr>
            <w:tcW w:w="2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FE848D">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盐田区住房和建设局</w:t>
            </w:r>
          </w:p>
        </w:tc>
      </w:tr>
      <w:tr w14:paraId="070F40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889475">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24</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AA68FB">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梅沙</w:t>
            </w:r>
          </w:p>
        </w:tc>
        <w:tc>
          <w:tcPr>
            <w:tcW w:w="4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94543C">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小梅沙叠翠湖大坝东端边坡</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63A287">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小</w:t>
            </w:r>
          </w:p>
        </w:tc>
        <w:tc>
          <w:tcPr>
            <w:tcW w:w="2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3CB4EB">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盐田区水务局</w:t>
            </w:r>
          </w:p>
        </w:tc>
        <w:tc>
          <w:tcPr>
            <w:tcW w:w="2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936FE0">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盐田区水务局</w:t>
            </w:r>
          </w:p>
        </w:tc>
      </w:tr>
      <w:tr w14:paraId="038043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8B6BBB">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25</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96910F">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梅沙</w:t>
            </w:r>
          </w:p>
        </w:tc>
        <w:tc>
          <w:tcPr>
            <w:tcW w:w="4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F43632">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中兴通讯学院篮球场东侧边坡</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018082">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小</w:t>
            </w:r>
          </w:p>
        </w:tc>
        <w:tc>
          <w:tcPr>
            <w:tcW w:w="2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E570F3">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梅沙街道办</w:t>
            </w:r>
          </w:p>
        </w:tc>
        <w:tc>
          <w:tcPr>
            <w:tcW w:w="2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D6EDF6">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盐田区住房和建设局</w:t>
            </w:r>
          </w:p>
        </w:tc>
      </w:tr>
      <w:tr w14:paraId="7E5351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CE578E">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26</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85A12">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梅沙</w:t>
            </w:r>
          </w:p>
        </w:tc>
        <w:tc>
          <w:tcPr>
            <w:tcW w:w="4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101B50">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齐头岭东侧边坡</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02E55D">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小</w:t>
            </w:r>
          </w:p>
        </w:tc>
        <w:tc>
          <w:tcPr>
            <w:tcW w:w="2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970716">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梅沙街道办</w:t>
            </w:r>
          </w:p>
        </w:tc>
        <w:tc>
          <w:tcPr>
            <w:tcW w:w="2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C4E2D4">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盐田区住房和建设局</w:t>
            </w:r>
          </w:p>
        </w:tc>
      </w:tr>
      <w:tr w14:paraId="4B9DA7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8664D5">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27</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FB770A">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梅沙</w:t>
            </w:r>
          </w:p>
        </w:tc>
        <w:tc>
          <w:tcPr>
            <w:tcW w:w="4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2C31C4">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万科东海岸丽湖居南水渠北侧边坡</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59D0BF">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小</w:t>
            </w:r>
          </w:p>
        </w:tc>
        <w:tc>
          <w:tcPr>
            <w:tcW w:w="2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7AB9D9">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梅沙街道办</w:t>
            </w:r>
          </w:p>
        </w:tc>
        <w:tc>
          <w:tcPr>
            <w:tcW w:w="2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EC8759">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盐田区住房和建设局</w:t>
            </w:r>
          </w:p>
        </w:tc>
      </w:tr>
      <w:tr w14:paraId="771E1D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98FE42">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28</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177ABF">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梅沙</w:t>
            </w:r>
          </w:p>
        </w:tc>
        <w:tc>
          <w:tcPr>
            <w:tcW w:w="4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1127DA">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万科东海岸丽湖居南水渠南侧边坡</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5B4264">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小</w:t>
            </w:r>
          </w:p>
        </w:tc>
        <w:tc>
          <w:tcPr>
            <w:tcW w:w="2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05988B">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梅沙街道办</w:t>
            </w:r>
          </w:p>
        </w:tc>
        <w:tc>
          <w:tcPr>
            <w:tcW w:w="2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0844D6">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盐田区住房和建设局</w:t>
            </w:r>
          </w:p>
        </w:tc>
      </w:tr>
      <w:tr w14:paraId="78DA04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58447A">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29</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E1CCA1">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梅沙</w:t>
            </w:r>
          </w:p>
        </w:tc>
        <w:tc>
          <w:tcPr>
            <w:tcW w:w="4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6AF4A7">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上坪水厂新址北侧边坡</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B4E924">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小</w:t>
            </w:r>
          </w:p>
        </w:tc>
        <w:tc>
          <w:tcPr>
            <w:tcW w:w="2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DF5BA2">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梅沙街道办</w:t>
            </w:r>
          </w:p>
        </w:tc>
        <w:tc>
          <w:tcPr>
            <w:tcW w:w="2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59F1F7">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盐田区住房和建设局</w:t>
            </w:r>
          </w:p>
        </w:tc>
      </w:tr>
      <w:tr w14:paraId="1A0AF2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298212">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30</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BBBD7A">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梅沙</w:t>
            </w:r>
          </w:p>
        </w:tc>
        <w:tc>
          <w:tcPr>
            <w:tcW w:w="4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0AA7B0">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齐头岭南侧100.5m高地西北侧边坡</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194D37">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小</w:t>
            </w:r>
          </w:p>
        </w:tc>
        <w:tc>
          <w:tcPr>
            <w:tcW w:w="2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ACE4DC">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梅沙街道办</w:t>
            </w:r>
          </w:p>
        </w:tc>
        <w:tc>
          <w:tcPr>
            <w:tcW w:w="2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796668">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盐田区住房和建设局</w:t>
            </w:r>
          </w:p>
        </w:tc>
      </w:tr>
      <w:tr w14:paraId="6059F7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939295">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31</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C05E0F">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梅沙</w:t>
            </w:r>
          </w:p>
        </w:tc>
        <w:tc>
          <w:tcPr>
            <w:tcW w:w="4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14DAAF">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齐头岭工地边坡</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2DC3A5">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小</w:t>
            </w:r>
          </w:p>
        </w:tc>
        <w:tc>
          <w:tcPr>
            <w:tcW w:w="2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F2AFBE">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梅沙街道办</w:t>
            </w:r>
          </w:p>
        </w:tc>
        <w:tc>
          <w:tcPr>
            <w:tcW w:w="2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582222">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盐田区住房和建设局</w:t>
            </w:r>
          </w:p>
        </w:tc>
      </w:tr>
      <w:tr w14:paraId="2EFA16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32BF99">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32</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DF505A">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梅沙</w:t>
            </w:r>
          </w:p>
        </w:tc>
        <w:tc>
          <w:tcPr>
            <w:tcW w:w="4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90A2A2">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大梅沙万科地块边坡</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DEDD06">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小</w:t>
            </w:r>
          </w:p>
        </w:tc>
        <w:tc>
          <w:tcPr>
            <w:tcW w:w="2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58F515">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万科房地产开发有限公司</w:t>
            </w:r>
          </w:p>
        </w:tc>
        <w:tc>
          <w:tcPr>
            <w:tcW w:w="2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B967FE">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盐田区住房和建设局</w:t>
            </w:r>
          </w:p>
        </w:tc>
      </w:tr>
      <w:tr w14:paraId="45F3BB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911C0C">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33</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9CFEC8">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梅沙</w:t>
            </w:r>
          </w:p>
        </w:tc>
        <w:tc>
          <w:tcPr>
            <w:tcW w:w="4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838B2C">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万科东海岸小区东侧边坡</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29F5BE">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小</w:t>
            </w:r>
          </w:p>
        </w:tc>
        <w:tc>
          <w:tcPr>
            <w:tcW w:w="2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64E6F9">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万科房地产开发有限公司</w:t>
            </w:r>
          </w:p>
        </w:tc>
        <w:tc>
          <w:tcPr>
            <w:tcW w:w="2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A71398">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盐田区住房和建设局</w:t>
            </w:r>
          </w:p>
        </w:tc>
      </w:tr>
      <w:tr w14:paraId="4F87FA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B307AD">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34</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9F8AFF">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梅沙</w:t>
            </w:r>
          </w:p>
        </w:tc>
        <w:tc>
          <w:tcPr>
            <w:tcW w:w="4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FD8457">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云海谷天麓七区35别墅东南侧路堑边坡</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36C214">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小</w:t>
            </w:r>
          </w:p>
        </w:tc>
        <w:tc>
          <w:tcPr>
            <w:tcW w:w="2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3C9C79">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深圳华侨城投资有限公司</w:t>
            </w:r>
          </w:p>
        </w:tc>
        <w:tc>
          <w:tcPr>
            <w:tcW w:w="2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BD0126">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盐田区文化广电旅游体育局</w:t>
            </w:r>
          </w:p>
        </w:tc>
      </w:tr>
      <w:tr w14:paraId="6750A5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6B73A4">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35</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A9E081">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梅沙</w:t>
            </w:r>
          </w:p>
        </w:tc>
        <w:tc>
          <w:tcPr>
            <w:tcW w:w="4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F023B0">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万科东海岸小区东侧斜坡（1）</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5CE877">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小</w:t>
            </w:r>
          </w:p>
        </w:tc>
        <w:tc>
          <w:tcPr>
            <w:tcW w:w="2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3039D2">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万科房地产开发有限公司</w:t>
            </w:r>
          </w:p>
        </w:tc>
        <w:tc>
          <w:tcPr>
            <w:tcW w:w="2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E96EE3">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盐田区住房和建设局</w:t>
            </w:r>
          </w:p>
        </w:tc>
      </w:tr>
      <w:tr w14:paraId="32FF7F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828732">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36</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C62920">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梅沙</w:t>
            </w:r>
          </w:p>
        </w:tc>
        <w:tc>
          <w:tcPr>
            <w:tcW w:w="4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0194F1">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万科东海岸小区东侧斜坡（2）</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7F1EAF">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小</w:t>
            </w:r>
          </w:p>
        </w:tc>
        <w:tc>
          <w:tcPr>
            <w:tcW w:w="2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12D12B">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万科房地产开发有限公司</w:t>
            </w:r>
          </w:p>
        </w:tc>
        <w:tc>
          <w:tcPr>
            <w:tcW w:w="2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081887">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盐田区住房和建设局</w:t>
            </w:r>
          </w:p>
        </w:tc>
      </w:tr>
      <w:tr w14:paraId="45C6DB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674C64">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37</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C26ADD">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梅沙</w:t>
            </w:r>
          </w:p>
        </w:tc>
        <w:tc>
          <w:tcPr>
            <w:tcW w:w="4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B2E432">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大梅沙半山截洪沟西南侧斜坡</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9CF3D6">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小</w:t>
            </w:r>
          </w:p>
        </w:tc>
        <w:tc>
          <w:tcPr>
            <w:tcW w:w="2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1D8404">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万科房地产开发有限公司</w:t>
            </w:r>
          </w:p>
        </w:tc>
        <w:tc>
          <w:tcPr>
            <w:tcW w:w="2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AD8F6E">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盐田区住房和建设局</w:t>
            </w:r>
          </w:p>
        </w:tc>
      </w:tr>
      <w:tr w14:paraId="7DD504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9D341E">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38</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C7157E">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梅沙</w:t>
            </w:r>
          </w:p>
        </w:tc>
        <w:tc>
          <w:tcPr>
            <w:tcW w:w="4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15E3E6">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东部华侨城冒险岛北侧边坡</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DFB8C1">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小</w:t>
            </w:r>
          </w:p>
        </w:tc>
        <w:tc>
          <w:tcPr>
            <w:tcW w:w="2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946F62">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深圳华侨城投资有限公司</w:t>
            </w:r>
          </w:p>
        </w:tc>
        <w:tc>
          <w:tcPr>
            <w:tcW w:w="2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3D9C9E">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盐田区文化广电旅游体育局</w:t>
            </w:r>
          </w:p>
        </w:tc>
      </w:tr>
      <w:tr w14:paraId="68595C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EC0297">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39</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A15C8D">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沙头角</w:t>
            </w:r>
          </w:p>
        </w:tc>
        <w:tc>
          <w:tcPr>
            <w:tcW w:w="4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C30D6">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盐田沙头角787县道路边边坡</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3DED6F">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小</w:t>
            </w:r>
          </w:p>
        </w:tc>
        <w:tc>
          <w:tcPr>
            <w:tcW w:w="2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E08BF8">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深圳市交通运输局盐田管理局</w:t>
            </w:r>
          </w:p>
        </w:tc>
        <w:tc>
          <w:tcPr>
            <w:tcW w:w="2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469B74">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深圳市交通运输局盐田管理局</w:t>
            </w:r>
          </w:p>
        </w:tc>
      </w:tr>
      <w:tr w14:paraId="039366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849A9E">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40</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168E9E">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沙头角</w:t>
            </w:r>
          </w:p>
        </w:tc>
        <w:tc>
          <w:tcPr>
            <w:tcW w:w="4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AA712D">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五亩地边防巡逻路盘山公路盐田-罗湖界碑320m处边坡</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B4B866">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小</w:t>
            </w:r>
          </w:p>
        </w:tc>
        <w:tc>
          <w:tcPr>
            <w:tcW w:w="2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19B4E3">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深圳市交通运输局盐田管理局</w:t>
            </w:r>
          </w:p>
        </w:tc>
        <w:tc>
          <w:tcPr>
            <w:tcW w:w="2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81732C">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深圳市交通运输局盐田管理局</w:t>
            </w:r>
          </w:p>
        </w:tc>
      </w:tr>
      <w:tr w14:paraId="670063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E8C774">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41</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CEE643">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沙头角</w:t>
            </w:r>
          </w:p>
        </w:tc>
        <w:tc>
          <w:tcPr>
            <w:tcW w:w="4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E190BA">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罗沙盘山公路边坡崩塌（5）边坡</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3811B5">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小</w:t>
            </w:r>
          </w:p>
        </w:tc>
        <w:tc>
          <w:tcPr>
            <w:tcW w:w="2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9906DD">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深圳市交通运输局盐田管理局</w:t>
            </w:r>
          </w:p>
        </w:tc>
        <w:tc>
          <w:tcPr>
            <w:tcW w:w="2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ADE2F3">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深圳市交通运输局盐田管理局</w:t>
            </w:r>
          </w:p>
        </w:tc>
      </w:tr>
      <w:tr w14:paraId="2D5674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1CB6BE">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42</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0DCEA9">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沙头角</w:t>
            </w:r>
          </w:p>
        </w:tc>
        <w:tc>
          <w:tcPr>
            <w:tcW w:w="4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DD17EC">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云深处F1-F2栋楼后侧边坡</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470446">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小</w:t>
            </w:r>
          </w:p>
        </w:tc>
        <w:tc>
          <w:tcPr>
            <w:tcW w:w="2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610694">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沙头角街道办</w:t>
            </w:r>
          </w:p>
        </w:tc>
        <w:tc>
          <w:tcPr>
            <w:tcW w:w="2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20995A">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盐田区住房和建设局</w:t>
            </w:r>
          </w:p>
        </w:tc>
      </w:tr>
      <w:tr w14:paraId="70D0FA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B0429C">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43</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742A59">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盐田</w:t>
            </w:r>
          </w:p>
        </w:tc>
        <w:tc>
          <w:tcPr>
            <w:tcW w:w="4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532B69">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骆马岭水库副坝北侧边坡</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0DC61F">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小</w:t>
            </w:r>
          </w:p>
        </w:tc>
        <w:tc>
          <w:tcPr>
            <w:tcW w:w="2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55AECE">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深圳市交通运输局盐田管理局</w:t>
            </w:r>
          </w:p>
        </w:tc>
        <w:tc>
          <w:tcPr>
            <w:tcW w:w="2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7DAB26">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深圳市交通运输局盐田管理局</w:t>
            </w:r>
          </w:p>
        </w:tc>
      </w:tr>
      <w:tr w14:paraId="4E4772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0284BC">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44</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70404B">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盐田</w:t>
            </w:r>
          </w:p>
        </w:tc>
        <w:tc>
          <w:tcPr>
            <w:tcW w:w="4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1DB765">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山边村北侧边坡</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9D83F9">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小</w:t>
            </w:r>
          </w:p>
        </w:tc>
        <w:tc>
          <w:tcPr>
            <w:tcW w:w="2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30EE4A">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盐田街道办</w:t>
            </w:r>
          </w:p>
        </w:tc>
        <w:tc>
          <w:tcPr>
            <w:tcW w:w="2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CE7BA2">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盐田区住房和建设局</w:t>
            </w:r>
          </w:p>
        </w:tc>
      </w:tr>
      <w:tr w14:paraId="35C72A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B0BE1A">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45</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C43236">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盐田</w:t>
            </w:r>
          </w:p>
        </w:tc>
        <w:tc>
          <w:tcPr>
            <w:tcW w:w="4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36E1F0">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深圳外国语学校盐田分校后门北西侧边坡</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253F94">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小</w:t>
            </w:r>
          </w:p>
        </w:tc>
        <w:tc>
          <w:tcPr>
            <w:tcW w:w="2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DFE164">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盐田区教育局</w:t>
            </w:r>
          </w:p>
        </w:tc>
        <w:tc>
          <w:tcPr>
            <w:tcW w:w="2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E5F60D">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盐田区住房和建设局</w:t>
            </w:r>
          </w:p>
        </w:tc>
      </w:tr>
      <w:tr w14:paraId="16A9DE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70C4F9">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46</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6C7369">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盐田</w:t>
            </w:r>
          </w:p>
        </w:tc>
        <w:tc>
          <w:tcPr>
            <w:tcW w:w="4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E1235C">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海港大厦西北边坡</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9F8FD3">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小</w:t>
            </w:r>
          </w:p>
        </w:tc>
        <w:tc>
          <w:tcPr>
            <w:tcW w:w="2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38EEE9">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盐田街道办</w:t>
            </w:r>
          </w:p>
        </w:tc>
        <w:tc>
          <w:tcPr>
            <w:tcW w:w="2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22519B">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盐田区住房和建设局</w:t>
            </w:r>
          </w:p>
        </w:tc>
      </w:tr>
      <w:tr w14:paraId="063328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E7B40E">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47</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0FFEFA">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盐田</w:t>
            </w:r>
          </w:p>
        </w:tc>
        <w:tc>
          <w:tcPr>
            <w:tcW w:w="4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9FED55">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红花沥水库南侧边坡</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25F841">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小</w:t>
            </w:r>
          </w:p>
        </w:tc>
        <w:tc>
          <w:tcPr>
            <w:tcW w:w="2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05D954">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盐田街道办</w:t>
            </w:r>
          </w:p>
        </w:tc>
        <w:tc>
          <w:tcPr>
            <w:tcW w:w="2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D0E318">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盐田区住房和建设局</w:t>
            </w:r>
          </w:p>
        </w:tc>
      </w:tr>
      <w:tr w14:paraId="4EA83A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A1E935">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48</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4AB545">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盐田</w:t>
            </w:r>
          </w:p>
        </w:tc>
        <w:tc>
          <w:tcPr>
            <w:tcW w:w="4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82283C">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盐田坳收费站南侧二线公路下部边坡</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745C94">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小</w:t>
            </w:r>
          </w:p>
        </w:tc>
        <w:tc>
          <w:tcPr>
            <w:tcW w:w="2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C2BB48">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鸿基物流有限公司</w:t>
            </w:r>
          </w:p>
        </w:tc>
        <w:tc>
          <w:tcPr>
            <w:tcW w:w="2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BFF286">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盐田区住房和建设局</w:t>
            </w:r>
          </w:p>
        </w:tc>
      </w:tr>
      <w:tr w14:paraId="620C9C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76D51E">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49</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B9DE54">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盐田</w:t>
            </w:r>
          </w:p>
        </w:tc>
        <w:tc>
          <w:tcPr>
            <w:tcW w:w="4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4C60B3">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大水坑整治区边坡</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A4A803">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小</w:t>
            </w:r>
          </w:p>
        </w:tc>
        <w:tc>
          <w:tcPr>
            <w:tcW w:w="2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039053">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盐田区城市管理和综合执法局</w:t>
            </w:r>
          </w:p>
        </w:tc>
        <w:tc>
          <w:tcPr>
            <w:tcW w:w="2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6E70AA">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盐田区城市管理和综合执法局</w:t>
            </w:r>
          </w:p>
        </w:tc>
      </w:tr>
      <w:tr w14:paraId="42340F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AF28EA">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50</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6D660A">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盐田</w:t>
            </w:r>
          </w:p>
        </w:tc>
        <w:tc>
          <w:tcPr>
            <w:tcW w:w="4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7F7BDC">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菠萝山边坡</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D22388">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小</w:t>
            </w:r>
          </w:p>
        </w:tc>
        <w:tc>
          <w:tcPr>
            <w:tcW w:w="2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EC6501">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盐田街道办</w:t>
            </w:r>
          </w:p>
        </w:tc>
        <w:tc>
          <w:tcPr>
            <w:tcW w:w="2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557EC0">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盐田区住房和建设局</w:t>
            </w:r>
          </w:p>
        </w:tc>
      </w:tr>
      <w:tr w14:paraId="79DF0A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6FB953">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51</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E350E7">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盐田</w:t>
            </w:r>
          </w:p>
        </w:tc>
        <w:tc>
          <w:tcPr>
            <w:tcW w:w="4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4C2841">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盐田盐沙2线公路2.3~2.4公里边坡</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ED5E2A">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小</w:t>
            </w:r>
          </w:p>
        </w:tc>
        <w:tc>
          <w:tcPr>
            <w:tcW w:w="2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071508">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边防七支队</w:t>
            </w:r>
          </w:p>
        </w:tc>
        <w:tc>
          <w:tcPr>
            <w:tcW w:w="2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2F9D0F">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边防七支队</w:t>
            </w:r>
          </w:p>
        </w:tc>
      </w:tr>
      <w:tr w14:paraId="1863EE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8EC01E">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52</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63195">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盐田</w:t>
            </w:r>
          </w:p>
        </w:tc>
        <w:tc>
          <w:tcPr>
            <w:tcW w:w="4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1860CC">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海港大厦北边坡</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DA24E">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小</w:t>
            </w:r>
          </w:p>
        </w:tc>
        <w:tc>
          <w:tcPr>
            <w:tcW w:w="2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627188">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深圳市交通运输局盐田管理局</w:t>
            </w:r>
          </w:p>
        </w:tc>
        <w:tc>
          <w:tcPr>
            <w:tcW w:w="2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82F5CD">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深圳市交通运输局盐田管理局</w:t>
            </w:r>
          </w:p>
        </w:tc>
      </w:tr>
      <w:tr w14:paraId="63A700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55563A">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53</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BC6821">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盐田</w:t>
            </w:r>
          </w:p>
        </w:tc>
        <w:tc>
          <w:tcPr>
            <w:tcW w:w="4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DB069F">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盐田港供水有限公司东侧边坡</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61C5DF">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小</w:t>
            </w:r>
          </w:p>
        </w:tc>
        <w:tc>
          <w:tcPr>
            <w:tcW w:w="2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7B763A">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盐田街道办</w:t>
            </w:r>
          </w:p>
        </w:tc>
        <w:tc>
          <w:tcPr>
            <w:tcW w:w="2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A31577">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盐田区住房和建设局</w:t>
            </w:r>
          </w:p>
        </w:tc>
      </w:tr>
      <w:tr w14:paraId="12B9F2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283E62">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54</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7FE460">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盐田</w:t>
            </w:r>
          </w:p>
        </w:tc>
        <w:tc>
          <w:tcPr>
            <w:tcW w:w="4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E76E3D">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原盐田街道办北东侧边坡</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1097E1">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小</w:t>
            </w:r>
          </w:p>
        </w:tc>
        <w:tc>
          <w:tcPr>
            <w:tcW w:w="2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EE11C7">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盐田街道办</w:t>
            </w:r>
          </w:p>
        </w:tc>
        <w:tc>
          <w:tcPr>
            <w:tcW w:w="2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788AB6">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盐田区住房和建设局</w:t>
            </w:r>
          </w:p>
        </w:tc>
      </w:tr>
      <w:tr w14:paraId="4C50DC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D8140F">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55</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0A436D">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盐田</w:t>
            </w:r>
          </w:p>
        </w:tc>
        <w:tc>
          <w:tcPr>
            <w:tcW w:w="4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6CA85B">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坜背村盐田看守所东、北侧边坡</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1514C0">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小</w:t>
            </w:r>
          </w:p>
        </w:tc>
        <w:tc>
          <w:tcPr>
            <w:tcW w:w="2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E601E6">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深圳市公安局盐田分局</w:t>
            </w:r>
          </w:p>
        </w:tc>
        <w:tc>
          <w:tcPr>
            <w:tcW w:w="2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D6CD41">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盐田区住房和建设局</w:t>
            </w:r>
          </w:p>
        </w:tc>
      </w:tr>
      <w:tr w14:paraId="47EC0E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72E8BE">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56</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031584">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盐田</w:t>
            </w:r>
          </w:p>
        </w:tc>
        <w:tc>
          <w:tcPr>
            <w:tcW w:w="4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98E8AF">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三盐公路荔景山庄——螺马蜂水库段边坡（7）</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AC95DE">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小</w:t>
            </w:r>
          </w:p>
        </w:tc>
        <w:tc>
          <w:tcPr>
            <w:tcW w:w="2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479833">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深圳市交通运输局盐田管理局</w:t>
            </w:r>
          </w:p>
        </w:tc>
        <w:tc>
          <w:tcPr>
            <w:tcW w:w="2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B69C54">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深圳市交通运输局盐田管理局</w:t>
            </w:r>
          </w:p>
        </w:tc>
      </w:tr>
      <w:tr w14:paraId="2EC5F5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37479D">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57</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80495C">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盐田</w:t>
            </w:r>
          </w:p>
        </w:tc>
        <w:tc>
          <w:tcPr>
            <w:tcW w:w="4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5FC36">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盐田区飞灰固化安全填埋场的西侧边坡（政府储备地TYT-054-3地块）</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0B1F8F">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小</w:t>
            </w:r>
          </w:p>
        </w:tc>
        <w:tc>
          <w:tcPr>
            <w:tcW w:w="2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316E29">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盐田区城市管理和综合执法局</w:t>
            </w:r>
          </w:p>
        </w:tc>
        <w:tc>
          <w:tcPr>
            <w:tcW w:w="2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8ED4A3">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盐田区城市管理和综合执法局</w:t>
            </w:r>
          </w:p>
        </w:tc>
      </w:tr>
      <w:tr w14:paraId="579624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74D7FA">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58</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D43E33">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盐田</w:t>
            </w:r>
          </w:p>
        </w:tc>
        <w:tc>
          <w:tcPr>
            <w:tcW w:w="4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36369D">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科威石场边坡</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5F444A">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小</w:t>
            </w:r>
          </w:p>
        </w:tc>
        <w:tc>
          <w:tcPr>
            <w:tcW w:w="2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3C090D">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深圳四村科威石场有限公司</w:t>
            </w:r>
          </w:p>
        </w:tc>
        <w:tc>
          <w:tcPr>
            <w:tcW w:w="2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A62D61">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盐田区城市管理和综合执法局</w:t>
            </w:r>
          </w:p>
        </w:tc>
      </w:tr>
      <w:tr w14:paraId="0C548D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BC62C9">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59</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A6F7FB">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盐田</w:t>
            </w:r>
          </w:p>
        </w:tc>
        <w:tc>
          <w:tcPr>
            <w:tcW w:w="4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3A5D81">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嘉长源施工区附近边坡</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D09EFD">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小</w:t>
            </w:r>
          </w:p>
        </w:tc>
        <w:tc>
          <w:tcPr>
            <w:tcW w:w="2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A39F94">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盐田街道办</w:t>
            </w:r>
          </w:p>
        </w:tc>
        <w:tc>
          <w:tcPr>
            <w:tcW w:w="2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C28FE7">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盐田区住房和建设局</w:t>
            </w:r>
          </w:p>
        </w:tc>
      </w:tr>
      <w:tr w14:paraId="4F5CD8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296C4C">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60</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EB37AC">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盐田</w:t>
            </w:r>
          </w:p>
        </w:tc>
        <w:tc>
          <w:tcPr>
            <w:tcW w:w="4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2A8535">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盐田盐沙2线公路2.3~2.4公里边坡</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99EB1C">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小</w:t>
            </w:r>
          </w:p>
        </w:tc>
        <w:tc>
          <w:tcPr>
            <w:tcW w:w="2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1CF94D">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武警七支队</w:t>
            </w:r>
          </w:p>
        </w:tc>
        <w:tc>
          <w:tcPr>
            <w:tcW w:w="2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42BB96">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武警七支队</w:t>
            </w:r>
          </w:p>
        </w:tc>
      </w:tr>
      <w:tr w14:paraId="24C1C6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B42AAE">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61</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97422E">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盐田</w:t>
            </w:r>
          </w:p>
        </w:tc>
        <w:tc>
          <w:tcPr>
            <w:tcW w:w="4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223CC1">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金山碧海花园东北侧约200米盐排高速辅道边坡</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FF42D3">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小</w:t>
            </w:r>
          </w:p>
        </w:tc>
        <w:tc>
          <w:tcPr>
            <w:tcW w:w="2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DE85C3">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深圳市交通运输局盐田管理局</w:t>
            </w:r>
          </w:p>
        </w:tc>
        <w:tc>
          <w:tcPr>
            <w:tcW w:w="2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F8671D">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深圳市交通运输局盐田管理局</w:t>
            </w:r>
          </w:p>
        </w:tc>
      </w:tr>
      <w:tr w14:paraId="22EFCA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34F18A">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62</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44A484">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盐田</w:t>
            </w:r>
          </w:p>
        </w:tc>
        <w:tc>
          <w:tcPr>
            <w:tcW w:w="4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34BFFC">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谭公庙东侧约400米横盐路北侧边坡</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7D6F8D">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小</w:t>
            </w:r>
          </w:p>
        </w:tc>
        <w:tc>
          <w:tcPr>
            <w:tcW w:w="2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EEE378">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深圳市交通运输局盐田管理局</w:t>
            </w:r>
          </w:p>
        </w:tc>
        <w:tc>
          <w:tcPr>
            <w:tcW w:w="2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2CECF3">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深圳市交通运输局盐田管理局</w:t>
            </w:r>
          </w:p>
        </w:tc>
      </w:tr>
      <w:tr w14:paraId="4C66C6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787A9E">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63</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69287C">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盐田</w:t>
            </w:r>
          </w:p>
        </w:tc>
        <w:tc>
          <w:tcPr>
            <w:tcW w:w="4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9C3CF9">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盐田港供水有限公司东南侧边坡</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36EE29">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小</w:t>
            </w:r>
          </w:p>
        </w:tc>
        <w:tc>
          <w:tcPr>
            <w:tcW w:w="2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46BE45">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深圳市交通运输局盐田管理局</w:t>
            </w:r>
          </w:p>
        </w:tc>
        <w:tc>
          <w:tcPr>
            <w:tcW w:w="2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D9E0DD">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深圳市交通运输局盐田管理局</w:t>
            </w:r>
          </w:p>
        </w:tc>
      </w:tr>
      <w:tr w14:paraId="278470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B1E510">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64</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0E60C8">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盐田</w:t>
            </w:r>
          </w:p>
        </w:tc>
        <w:tc>
          <w:tcPr>
            <w:tcW w:w="4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8D959">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三盐公路荔景山庄——螺马蜂水库段边坡（8）</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882300">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小</w:t>
            </w:r>
          </w:p>
        </w:tc>
        <w:tc>
          <w:tcPr>
            <w:tcW w:w="2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36AA39">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深圳市交通运输局盐田管理局</w:t>
            </w:r>
          </w:p>
        </w:tc>
        <w:tc>
          <w:tcPr>
            <w:tcW w:w="2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5A052C">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深圳市交通运输局盐田管理局</w:t>
            </w:r>
          </w:p>
        </w:tc>
      </w:tr>
      <w:tr w14:paraId="7CE5CA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276D59">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65</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B6DBF7">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盐田</w:t>
            </w:r>
          </w:p>
        </w:tc>
        <w:tc>
          <w:tcPr>
            <w:tcW w:w="4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41DFFC">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三盐公路荔景山庄——螺马蜂水库段边坡（9）</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2D82BB">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小</w:t>
            </w:r>
          </w:p>
        </w:tc>
        <w:tc>
          <w:tcPr>
            <w:tcW w:w="2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FD2ED6">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深圳市交通运输局盐田管理局</w:t>
            </w:r>
          </w:p>
        </w:tc>
        <w:tc>
          <w:tcPr>
            <w:tcW w:w="2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119E87">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深圳市交通运输局盐田管理局</w:t>
            </w:r>
          </w:p>
        </w:tc>
      </w:tr>
      <w:tr w14:paraId="4C3B27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2E0784">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66</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F70959">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盐田</w:t>
            </w:r>
          </w:p>
        </w:tc>
        <w:tc>
          <w:tcPr>
            <w:tcW w:w="4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22F38B">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三盐公路荔景山庄——螺马蜂水库段边坡（10）</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173E3">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小</w:t>
            </w:r>
          </w:p>
        </w:tc>
        <w:tc>
          <w:tcPr>
            <w:tcW w:w="2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02B1FD">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深圳市交通运输局盐田管理局</w:t>
            </w:r>
          </w:p>
        </w:tc>
        <w:tc>
          <w:tcPr>
            <w:tcW w:w="2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4CE1E5">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深圳市交通运输局盐田管理局</w:t>
            </w:r>
          </w:p>
        </w:tc>
      </w:tr>
      <w:tr w14:paraId="5BEEB0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7265B0">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67</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5BF4F4">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盐田</w:t>
            </w:r>
          </w:p>
        </w:tc>
        <w:tc>
          <w:tcPr>
            <w:tcW w:w="4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D289EA">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三盐公路荔景山庄——螺马蜂水库段边坡（11）</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28DF44">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小</w:t>
            </w:r>
          </w:p>
        </w:tc>
        <w:tc>
          <w:tcPr>
            <w:tcW w:w="2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2EC577">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深圳市交通运输局盐田管理局</w:t>
            </w:r>
          </w:p>
        </w:tc>
        <w:tc>
          <w:tcPr>
            <w:tcW w:w="2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298CC8">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深圳市交通运输局盐田管理局</w:t>
            </w:r>
          </w:p>
        </w:tc>
      </w:tr>
      <w:tr w14:paraId="6F1690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A90EE6">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68</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BFCD4D">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盐田</w:t>
            </w:r>
          </w:p>
        </w:tc>
        <w:tc>
          <w:tcPr>
            <w:tcW w:w="4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91B856">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三盐公路荔景山庄——螺马蜂水库段边坡（12）</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92C3D5">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小</w:t>
            </w:r>
          </w:p>
        </w:tc>
        <w:tc>
          <w:tcPr>
            <w:tcW w:w="2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3D373C">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深圳市交通运输局盐田管理局</w:t>
            </w:r>
          </w:p>
        </w:tc>
        <w:tc>
          <w:tcPr>
            <w:tcW w:w="2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E9D3E1">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深圳市交通运输局盐田管理局</w:t>
            </w:r>
          </w:p>
        </w:tc>
      </w:tr>
      <w:tr w14:paraId="51B768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3BFB93">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69</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C96AA0">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盐田</w:t>
            </w:r>
          </w:p>
        </w:tc>
        <w:tc>
          <w:tcPr>
            <w:tcW w:w="4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11CD46">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三盐公路荔景山庄——螺马蜂水库段边坡（13）</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2AE56C">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小</w:t>
            </w:r>
          </w:p>
        </w:tc>
        <w:tc>
          <w:tcPr>
            <w:tcW w:w="2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421F8F">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深圳市交通运输局盐田管理局</w:t>
            </w:r>
          </w:p>
        </w:tc>
        <w:tc>
          <w:tcPr>
            <w:tcW w:w="2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CDE67A">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深圳市交通运输局盐田管理局</w:t>
            </w:r>
          </w:p>
        </w:tc>
      </w:tr>
      <w:tr w14:paraId="4B94E8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2731B4">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70</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2A4485">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盐田</w:t>
            </w:r>
          </w:p>
        </w:tc>
        <w:tc>
          <w:tcPr>
            <w:tcW w:w="4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C6D87F">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三盐公路荔景山庄——螺马蜂水库段边坡（14）</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E9B7F9">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小</w:t>
            </w:r>
          </w:p>
        </w:tc>
        <w:tc>
          <w:tcPr>
            <w:tcW w:w="2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74E827">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深圳市交通运输局盐田管理局</w:t>
            </w:r>
          </w:p>
        </w:tc>
        <w:tc>
          <w:tcPr>
            <w:tcW w:w="2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F6075E">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深圳市交通运输局盐田管理局</w:t>
            </w:r>
          </w:p>
        </w:tc>
      </w:tr>
      <w:tr w14:paraId="7D14CF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11898A">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71</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5BC67F">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盐田</w:t>
            </w:r>
          </w:p>
        </w:tc>
        <w:tc>
          <w:tcPr>
            <w:tcW w:w="4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6DC195">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深圳出入境检验检疫局盐田植物隔离场西南侧边坡</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D6DE6E">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小</w:t>
            </w:r>
          </w:p>
        </w:tc>
        <w:tc>
          <w:tcPr>
            <w:tcW w:w="2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5CFD6C">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深圳市交通运输局盐田管理局</w:t>
            </w:r>
          </w:p>
        </w:tc>
        <w:tc>
          <w:tcPr>
            <w:tcW w:w="2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B15787">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深圳市交通运输局盐田管理局</w:t>
            </w:r>
          </w:p>
        </w:tc>
      </w:tr>
      <w:tr w14:paraId="6E97BA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29E1FA">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72</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4D3249">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盐田</w:t>
            </w:r>
          </w:p>
        </w:tc>
        <w:tc>
          <w:tcPr>
            <w:tcW w:w="4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3CCAC3">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骆马岭水库边绿道边坡</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76F630">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小</w:t>
            </w:r>
          </w:p>
        </w:tc>
        <w:tc>
          <w:tcPr>
            <w:tcW w:w="2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793CC4">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盐田区城市管理和综合执法局</w:t>
            </w:r>
          </w:p>
        </w:tc>
        <w:tc>
          <w:tcPr>
            <w:tcW w:w="2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C0B02E">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盐田区城市管理和综合执法局</w:t>
            </w:r>
          </w:p>
        </w:tc>
      </w:tr>
      <w:tr w14:paraId="08C6A9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5A2FDD">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73</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EFC3A5">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盐田</w:t>
            </w:r>
          </w:p>
        </w:tc>
        <w:tc>
          <w:tcPr>
            <w:tcW w:w="4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EDB242">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中青一路南侧边坡</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C8D25E">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小</w:t>
            </w:r>
          </w:p>
        </w:tc>
        <w:tc>
          <w:tcPr>
            <w:tcW w:w="2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9EE6C7">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深圳市交通运输局盐田管理局</w:t>
            </w:r>
          </w:p>
        </w:tc>
        <w:tc>
          <w:tcPr>
            <w:tcW w:w="2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37F901">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深圳市交通运输局盐田管理局</w:t>
            </w:r>
          </w:p>
        </w:tc>
      </w:tr>
      <w:tr w14:paraId="0454FF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4BCC45">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74</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CD26C9">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盐田</w:t>
            </w:r>
          </w:p>
        </w:tc>
        <w:tc>
          <w:tcPr>
            <w:tcW w:w="4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639898">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飞灰固化安全填埋场门口道路边坡</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A3EF62">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小</w:t>
            </w:r>
          </w:p>
        </w:tc>
        <w:tc>
          <w:tcPr>
            <w:tcW w:w="2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CB94D6">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盐田区城市管理和综合执法局</w:t>
            </w:r>
          </w:p>
        </w:tc>
        <w:tc>
          <w:tcPr>
            <w:tcW w:w="2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4F5F1C">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盐田区城市管理和综合执法局</w:t>
            </w:r>
          </w:p>
        </w:tc>
      </w:tr>
      <w:tr w14:paraId="4CC6B1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1A4F33">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75</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CE69C7">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盐田</w:t>
            </w:r>
          </w:p>
        </w:tc>
        <w:tc>
          <w:tcPr>
            <w:tcW w:w="4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64DD7">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盐横公路与盐三路交汇处边坡</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4825F3">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小</w:t>
            </w:r>
          </w:p>
        </w:tc>
        <w:tc>
          <w:tcPr>
            <w:tcW w:w="2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E7D878">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深圳市交通运输局盐田管理局</w:t>
            </w:r>
          </w:p>
        </w:tc>
        <w:tc>
          <w:tcPr>
            <w:tcW w:w="2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2535A9">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深圳市交通运输局盐田管理局</w:t>
            </w:r>
          </w:p>
        </w:tc>
      </w:tr>
      <w:tr w14:paraId="6AE72E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5789D9">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76</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468EC9">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盐田</w:t>
            </w:r>
          </w:p>
        </w:tc>
        <w:tc>
          <w:tcPr>
            <w:tcW w:w="4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EE3E5C">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东信石场边坡</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9B58DE">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小</w:t>
            </w:r>
          </w:p>
        </w:tc>
        <w:tc>
          <w:tcPr>
            <w:tcW w:w="2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62816B">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盐田港集团</w:t>
            </w:r>
          </w:p>
        </w:tc>
        <w:tc>
          <w:tcPr>
            <w:tcW w:w="2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DBB47C">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盐田区城市管理和综合执法局</w:t>
            </w:r>
          </w:p>
        </w:tc>
      </w:tr>
      <w:tr w14:paraId="62B693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775BF0">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77</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632A43">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梅沙</w:t>
            </w:r>
          </w:p>
        </w:tc>
        <w:tc>
          <w:tcPr>
            <w:tcW w:w="4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CD904E">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海关疗养基地门口</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0EB51D">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小</w:t>
            </w:r>
          </w:p>
        </w:tc>
        <w:tc>
          <w:tcPr>
            <w:tcW w:w="2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119719">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深圳市交通运输局盐田管理局</w:t>
            </w:r>
          </w:p>
        </w:tc>
        <w:tc>
          <w:tcPr>
            <w:tcW w:w="2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EFD7E1">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深圳市交通运输局盐田管理局</w:t>
            </w:r>
          </w:p>
        </w:tc>
      </w:tr>
      <w:tr w14:paraId="2C63F9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9CB063">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78</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94201D">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梅沙</w:t>
            </w:r>
          </w:p>
        </w:tc>
        <w:tc>
          <w:tcPr>
            <w:tcW w:w="4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747FE8">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中兴通讯学院边坡</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0DD1E2">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小</w:t>
            </w:r>
          </w:p>
        </w:tc>
        <w:tc>
          <w:tcPr>
            <w:tcW w:w="2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DB3473">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深圳市交通运输局盐田管理局</w:t>
            </w:r>
          </w:p>
        </w:tc>
        <w:tc>
          <w:tcPr>
            <w:tcW w:w="2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5573C2">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深圳市交通运输局盐田管理局</w:t>
            </w:r>
          </w:p>
        </w:tc>
      </w:tr>
      <w:tr w14:paraId="55C56F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634EA2">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79</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31AC27">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梅沙</w:t>
            </w:r>
          </w:p>
        </w:tc>
        <w:tc>
          <w:tcPr>
            <w:tcW w:w="4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DADDB8">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二线巡逻口-洞背入口3公里处</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A9B4CD">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小</w:t>
            </w:r>
          </w:p>
        </w:tc>
        <w:tc>
          <w:tcPr>
            <w:tcW w:w="2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A97E48">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盐田区城市管理和综合执法局</w:t>
            </w:r>
          </w:p>
        </w:tc>
        <w:tc>
          <w:tcPr>
            <w:tcW w:w="2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D153E7">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盐田区城市管理和综合执法局</w:t>
            </w:r>
          </w:p>
        </w:tc>
      </w:tr>
      <w:tr w14:paraId="71C154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EA6B24">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80</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FC4873">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盐田</w:t>
            </w:r>
          </w:p>
        </w:tc>
        <w:tc>
          <w:tcPr>
            <w:tcW w:w="4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A1B267">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谭仙庙旁边坡</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CFB6C3">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小</w:t>
            </w:r>
          </w:p>
        </w:tc>
        <w:tc>
          <w:tcPr>
            <w:tcW w:w="2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40CE6F">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深圳市交通运输局盐田管理局</w:t>
            </w:r>
          </w:p>
        </w:tc>
        <w:tc>
          <w:tcPr>
            <w:tcW w:w="2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CFBE2B">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深圳市交通运输局盐田管理局</w:t>
            </w:r>
          </w:p>
        </w:tc>
      </w:tr>
      <w:tr w14:paraId="144898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08C053">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81</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5E5C8D">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沙头角</w:t>
            </w:r>
          </w:p>
        </w:tc>
        <w:tc>
          <w:tcPr>
            <w:tcW w:w="4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8AABCB">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盘山公路六-12（31）摄像头东侧路边边坡</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E2A08D">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小</w:t>
            </w:r>
          </w:p>
        </w:tc>
        <w:tc>
          <w:tcPr>
            <w:tcW w:w="2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774F2D">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深圳市交通运输局盐田管理局</w:t>
            </w:r>
          </w:p>
        </w:tc>
        <w:tc>
          <w:tcPr>
            <w:tcW w:w="2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A017D9">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深圳市交通运输局盐田管理局</w:t>
            </w:r>
          </w:p>
        </w:tc>
      </w:tr>
      <w:tr w14:paraId="268904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A35475">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82</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2571F2">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沙头角</w:t>
            </w:r>
          </w:p>
        </w:tc>
        <w:tc>
          <w:tcPr>
            <w:tcW w:w="4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9A2522">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盘山公路六-12（46）摄像头东侧路边边坡</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4925F0">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小</w:t>
            </w:r>
          </w:p>
        </w:tc>
        <w:tc>
          <w:tcPr>
            <w:tcW w:w="2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98B410">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深圳市交通运输局盐田管理局</w:t>
            </w:r>
          </w:p>
        </w:tc>
        <w:tc>
          <w:tcPr>
            <w:tcW w:w="2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5F0FF0">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深圳市交通运输局盐田管理局</w:t>
            </w:r>
          </w:p>
        </w:tc>
      </w:tr>
      <w:tr w14:paraId="7663BE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F53025">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83</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657366">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盐田</w:t>
            </w:r>
          </w:p>
        </w:tc>
        <w:tc>
          <w:tcPr>
            <w:tcW w:w="4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B33511">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三洲田公路（X879）K17+550m处路边边坡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22BA23">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小</w:t>
            </w:r>
          </w:p>
        </w:tc>
        <w:tc>
          <w:tcPr>
            <w:tcW w:w="2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3DFD44">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深圳市交通运输局盐田管理局</w:t>
            </w:r>
          </w:p>
        </w:tc>
        <w:tc>
          <w:tcPr>
            <w:tcW w:w="2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883E78">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深圳市交通运输局盐田管理局</w:t>
            </w:r>
          </w:p>
        </w:tc>
      </w:tr>
      <w:tr w14:paraId="79920F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64FA61">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84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1EBCC6">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梅沙</w:t>
            </w:r>
          </w:p>
        </w:tc>
        <w:tc>
          <w:tcPr>
            <w:tcW w:w="4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E8D036">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东部华侨城观景大道观景台东侧边坡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A3C084">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小</w:t>
            </w:r>
          </w:p>
        </w:tc>
        <w:tc>
          <w:tcPr>
            <w:tcW w:w="2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6FB633">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深圳华侨城投资有限公司</w:t>
            </w:r>
          </w:p>
        </w:tc>
        <w:tc>
          <w:tcPr>
            <w:tcW w:w="2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2C3F01">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盐田区文化广电旅游体育局</w:t>
            </w:r>
          </w:p>
        </w:tc>
      </w:tr>
      <w:tr w14:paraId="686D6C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6F09C6">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85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21FF49">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沙头角</w:t>
            </w:r>
          </w:p>
        </w:tc>
        <w:tc>
          <w:tcPr>
            <w:tcW w:w="4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EF5AA2">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云深处别墅区F3-F6栋后边坡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825F5B">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小</w:t>
            </w:r>
          </w:p>
        </w:tc>
        <w:tc>
          <w:tcPr>
            <w:tcW w:w="2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2D9939">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沙头角街道办</w:t>
            </w:r>
          </w:p>
        </w:tc>
        <w:tc>
          <w:tcPr>
            <w:tcW w:w="2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A213B4">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盐田区住房和建设局</w:t>
            </w:r>
          </w:p>
        </w:tc>
      </w:tr>
      <w:tr w14:paraId="5AA03B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C75CAD">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86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548E91">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盐田</w:t>
            </w:r>
          </w:p>
        </w:tc>
        <w:tc>
          <w:tcPr>
            <w:tcW w:w="4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E2C2F6">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中兴发展宿舍楼4栋对面边坡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D777A5">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小</w:t>
            </w:r>
          </w:p>
        </w:tc>
        <w:tc>
          <w:tcPr>
            <w:tcW w:w="2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F28C2B">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盐田区城市管理和综合执法局</w:t>
            </w:r>
          </w:p>
        </w:tc>
        <w:tc>
          <w:tcPr>
            <w:tcW w:w="2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BF2B85">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盐田区城市管理和综合执法局</w:t>
            </w:r>
          </w:p>
        </w:tc>
      </w:tr>
      <w:tr w14:paraId="1357F1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FA73AB">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87</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D18288">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海山</w:t>
            </w:r>
          </w:p>
        </w:tc>
        <w:tc>
          <w:tcPr>
            <w:tcW w:w="4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94F7A3">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海山街道辖区恩上公路往S30惠深沿海高速匝道旁边坡</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D63D82">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小</w:t>
            </w:r>
          </w:p>
        </w:tc>
        <w:tc>
          <w:tcPr>
            <w:tcW w:w="2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285877">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深圳市交通运输局盐田管理局</w:t>
            </w:r>
          </w:p>
        </w:tc>
        <w:tc>
          <w:tcPr>
            <w:tcW w:w="2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8DFE32">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深圳市交通运输局盐田管理局</w:t>
            </w:r>
          </w:p>
        </w:tc>
      </w:tr>
      <w:tr w14:paraId="39CC01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F3A6DD">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88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A55842">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沙头角</w:t>
            </w:r>
          </w:p>
        </w:tc>
        <w:tc>
          <w:tcPr>
            <w:tcW w:w="4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5DFEC5">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沙头角管理站碧桐道海拔400M处边坡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CDDC17">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小</w:t>
            </w:r>
          </w:p>
        </w:tc>
        <w:tc>
          <w:tcPr>
            <w:tcW w:w="2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094FCD">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海山街道办</w:t>
            </w:r>
          </w:p>
        </w:tc>
        <w:tc>
          <w:tcPr>
            <w:tcW w:w="2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D1C4F6">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深圳市规划和自然资源局盐田管理局</w:t>
            </w:r>
          </w:p>
        </w:tc>
      </w:tr>
      <w:tr w14:paraId="7DB4BD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3C0BC2">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89</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76AF94">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盐田</w:t>
            </w:r>
          </w:p>
        </w:tc>
        <w:tc>
          <w:tcPr>
            <w:tcW w:w="4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166FEA">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盐田高级中学后门边坡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3C5954">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小</w:t>
            </w:r>
          </w:p>
        </w:tc>
        <w:tc>
          <w:tcPr>
            <w:tcW w:w="2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703662">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盐田区教育局</w:t>
            </w:r>
          </w:p>
        </w:tc>
        <w:tc>
          <w:tcPr>
            <w:tcW w:w="2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070374">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盐田区住房和建设局</w:t>
            </w:r>
          </w:p>
        </w:tc>
      </w:tr>
      <w:tr w14:paraId="534FBD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B50E06">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90</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DD00DE">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沙头角</w:t>
            </w:r>
          </w:p>
        </w:tc>
        <w:tc>
          <w:tcPr>
            <w:tcW w:w="4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A0EDD5">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沙头角水厂北侧山体边坡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41E26B">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小</w:t>
            </w:r>
          </w:p>
        </w:tc>
        <w:tc>
          <w:tcPr>
            <w:tcW w:w="2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30F534">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沙头角水厂</w:t>
            </w:r>
          </w:p>
        </w:tc>
        <w:tc>
          <w:tcPr>
            <w:tcW w:w="2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83BA50">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沙头角水厂</w:t>
            </w:r>
          </w:p>
        </w:tc>
      </w:tr>
      <w:tr w14:paraId="3F061E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DDBEE8">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91</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6CA8C6">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盐田</w:t>
            </w:r>
          </w:p>
        </w:tc>
        <w:tc>
          <w:tcPr>
            <w:tcW w:w="4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95F06D">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东海道445号超美工业园以西230m盘山人行道旁边坡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977417">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小</w:t>
            </w:r>
          </w:p>
        </w:tc>
        <w:tc>
          <w:tcPr>
            <w:tcW w:w="2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355C83">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盐田区城市管理和综合执法局</w:t>
            </w:r>
          </w:p>
        </w:tc>
        <w:tc>
          <w:tcPr>
            <w:tcW w:w="2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49421C">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盐田区城市管理和综合执法局</w:t>
            </w:r>
          </w:p>
        </w:tc>
      </w:tr>
      <w:tr w14:paraId="65D555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9EC19C">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92</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D4B101">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梅沙</w:t>
            </w:r>
          </w:p>
        </w:tc>
        <w:tc>
          <w:tcPr>
            <w:tcW w:w="4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32424D">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小梅沙驿站下栈道平台处边坡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82A971">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小</w:t>
            </w:r>
          </w:p>
        </w:tc>
        <w:tc>
          <w:tcPr>
            <w:tcW w:w="2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20022B">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盐田区城市管理和综合执法局</w:t>
            </w:r>
          </w:p>
        </w:tc>
        <w:tc>
          <w:tcPr>
            <w:tcW w:w="2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14A8B8">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盐田区城市管理和综合执法局</w:t>
            </w:r>
          </w:p>
        </w:tc>
      </w:tr>
      <w:tr w14:paraId="1C6C7F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166AEB">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93</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91D2E">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沙头角</w:t>
            </w:r>
          </w:p>
        </w:tc>
        <w:tc>
          <w:tcPr>
            <w:tcW w:w="4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CA537C">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梧桐山蝴蝶谷2200米处边坡</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B5862B">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小</w:t>
            </w:r>
          </w:p>
        </w:tc>
        <w:tc>
          <w:tcPr>
            <w:tcW w:w="2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D9596E">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梧桐山风景区自然管理处</w:t>
            </w:r>
          </w:p>
        </w:tc>
        <w:tc>
          <w:tcPr>
            <w:tcW w:w="2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88AF92">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深圳市规划和自然资源局盐田管理局</w:t>
            </w:r>
          </w:p>
        </w:tc>
      </w:tr>
      <w:tr w14:paraId="6E3421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AE712E">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94</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937651">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梅沙</w:t>
            </w:r>
          </w:p>
        </w:tc>
        <w:tc>
          <w:tcPr>
            <w:tcW w:w="4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D7118B">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天麓二区28栋北侧危岩</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AFA73F">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小</w:t>
            </w:r>
          </w:p>
        </w:tc>
        <w:tc>
          <w:tcPr>
            <w:tcW w:w="2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F94BF0">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深圳东部华侨城有限公司</w:t>
            </w:r>
          </w:p>
        </w:tc>
        <w:tc>
          <w:tcPr>
            <w:tcW w:w="2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0BEEBF">
            <w:pPr>
              <w:spacing w:line="560" w:lineRule="exact"/>
              <w:jc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val="en-US" w:eastAsia="zh-CN"/>
              </w:rPr>
              <w:t>盐田区文化广电旅游体育局</w:t>
            </w:r>
          </w:p>
        </w:tc>
      </w:tr>
    </w:tbl>
    <w:p w14:paraId="5A09F15F">
      <w:pPr>
        <w:pStyle w:val="2"/>
        <w:ind w:left="0" w:leftChars="0" w:firstLine="0" w:firstLineChars="0"/>
      </w:pPr>
      <w:r>
        <w:br w:type="page"/>
      </w:r>
    </w:p>
    <w:p w14:paraId="6661812A">
      <w:pPr>
        <w:pStyle w:val="3"/>
        <w:bidi w:val="0"/>
        <w:jc w:val="both"/>
        <w:rPr>
          <w:rFonts w:hint="eastAsia" w:ascii="黑体" w:hAnsi="黑体" w:eastAsia="黑体" w:cs="黑体"/>
          <w:kern w:val="2"/>
          <w:sz w:val="32"/>
          <w:szCs w:val="32"/>
          <w:lang w:val="en-US" w:eastAsia="zh-CN" w:bidi="ar-SA"/>
        </w:rPr>
      </w:pPr>
      <w:bookmarkStart w:id="321" w:name="_Toc1191195019"/>
      <w:r>
        <w:rPr>
          <w:rFonts w:hint="eastAsia" w:ascii="黑体" w:hAnsi="黑体" w:eastAsia="黑体" w:cs="黑体"/>
          <w:kern w:val="2"/>
          <w:sz w:val="32"/>
          <w:szCs w:val="32"/>
          <w:lang w:val="en-US" w:eastAsia="zh-CN" w:bidi="ar-SA"/>
        </w:rPr>
        <w:t>附件10</w:t>
      </w:r>
      <w:bookmarkEnd w:id="321"/>
    </w:p>
    <w:p w14:paraId="7646E1E1">
      <w:pPr>
        <w:rPr>
          <w:rFonts w:hint="eastAsia"/>
          <w:lang w:val="en-US" w:eastAsia="zh-CN"/>
        </w:rPr>
      </w:pPr>
    </w:p>
    <w:p w14:paraId="05A97A0F">
      <w:pPr>
        <w:pStyle w:val="3"/>
        <w:bidi w:val="0"/>
        <w:rPr>
          <w:rFonts w:hint="eastAsia"/>
        </w:rPr>
      </w:pPr>
      <w:bookmarkStart w:id="322" w:name="_Toc9958565"/>
      <w:r>
        <w:rPr>
          <w:rFonts w:hint="eastAsia"/>
        </w:rPr>
        <w:t>盐田区地质灾害应急指挥部通讯录</w:t>
      </w:r>
      <w:bookmarkEnd w:id="322"/>
      <w:r>
        <w:rPr>
          <w:rFonts w:hint="eastAsia"/>
        </w:rPr>
        <w:br w:type="textWrapping"/>
      </w:r>
    </w:p>
    <w:tbl>
      <w:tblPr>
        <w:tblStyle w:val="13"/>
        <w:tblW w:w="11381"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994"/>
        <w:gridCol w:w="1842"/>
        <w:gridCol w:w="1335"/>
        <w:gridCol w:w="1843"/>
        <w:gridCol w:w="1483"/>
        <w:gridCol w:w="1884"/>
      </w:tblGrid>
      <w:tr w14:paraId="5182802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317" w:hRule="atLeast"/>
          <w:tblHeader/>
          <w:jc w:val="center"/>
        </w:trPr>
        <w:tc>
          <w:tcPr>
            <w:tcW w:w="2994" w:type="dxa"/>
            <w:tcBorders>
              <w:top w:val="single" w:color="auto" w:sz="4" w:space="0"/>
              <w:bottom w:val="single" w:color="auto" w:sz="4" w:space="0"/>
              <w:right w:val="single" w:color="auto" w:sz="4" w:space="0"/>
            </w:tcBorders>
            <w:noWrap w:val="0"/>
            <w:vAlign w:val="center"/>
          </w:tcPr>
          <w:p w14:paraId="4AF9072F">
            <w:pPr>
              <w:spacing w:line="360" w:lineRule="auto"/>
              <w:jc w:val="center"/>
              <w:rPr>
                <w:rFonts w:hint="eastAsia" w:ascii="方正小标宋简体" w:hAnsi="方正小标宋简体" w:eastAsia="方正小标宋简体" w:cs="方正小标宋简体"/>
                <w:b/>
                <w:bCs/>
                <w:sz w:val="24"/>
                <w:szCs w:val="24"/>
              </w:rPr>
            </w:pPr>
            <w:r>
              <w:rPr>
                <w:rFonts w:hint="eastAsia" w:ascii="方正小标宋简体" w:hAnsi="方正小标宋简体" w:eastAsia="方正小标宋简体" w:cs="方正小标宋简体"/>
                <w:b/>
                <w:bCs/>
                <w:sz w:val="24"/>
                <w:szCs w:val="24"/>
              </w:rPr>
              <w:t>应急职务</w:t>
            </w:r>
          </w:p>
        </w:tc>
        <w:tc>
          <w:tcPr>
            <w:tcW w:w="1842" w:type="dxa"/>
            <w:tcBorders>
              <w:top w:val="single" w:color="auto" w:sz="4" w:space="0"/>
              <w:left w:val="single" w:color="auto" w:sz="4" w:space="0"/>
              <w:bottom w:val="single" w:color="auto" w:sz="4" w:space="0"/>
              <w:right w:val="single" w:color="auto" w:sz="4" w:space="0"/>
            </w:tcBorders>
            <w:noWrap w:val="0"/>
            <w:vAlign w:val="center"/>
          </w:tcPr>
          <w:p w14:paraId="2C2747AF">
            <w:pPr>
              <w:spacing w:line="360" w:lineRule="auto"/>
              <w:jc w:val="center"/>
              <w:rPr>
                <w:rFonts w:hint="eastAsia" w:ascii="方正小标宋简体" w:hAnsi="方正小标宋简体" w:eastAsia="方正小标宋简体" w:cs="方正小标宋简体"/>
                <w:sz w:val="24"/>
                <w:szCs w:val="24"/>
              </w:rPr>
            </w:pPr>
            <w:r>
              <w:rPr>
                <w:rFonts w:hint="eastAsia" w:ascii="方正小标宋简体" w:hAnsi="方正小标宋简体" w:eastAsia="方正小标宋简体" w:cs="方正小标宋简体"/>
                <w:b/>
                <w:bCs/>
                <w:sz w:val="24"/>
                <w:szCs w:val="24"/>
              </w:rPr>
              <w:t>单位</w:t>
            </w:r>
          </w:p>
        </w:tc>
        <w:tc>
          <w:tcPr>
            <w:tcW w:w="1335" w:type="dxa"/>
            <w:tcBorders>
              <w:top w:val="single" w:color="auto" w:sz="4" w:space="0"/>
              <w:left w:val="single" w:color="auto" w:sz="4" w:space="0"/>
              <w:bottom w:val="single" w:color="auto" w:sz="4" w:space="0"/>
              <w:right w:val="single" w:color="auto" w:sz="4" w:space="0"/>
            </w:tcBorders>
            <w:noWrap w:val="0"/>
            <w:vAlign w:val="center"/>
          </w:tcPr>
          <w:p w14:paraId="081A8139">
            <w:pPr>
              <w:spacing w:line="300" w:lineRule="exact"/>
              <w:jc w:val="center"/>
              <w:rPr>
                <w:rFonts w:hint="eastAsia" w:ascii="方正小标宋简体" w:hAnsi="方正小标宋简体" w:eastAsia="方正小标宋简体" w:cs="方正小标宋简体"/>
                <w:kern w:val="2"/>
                <w:sz w:val="24"/>
                <w:szCs w:val="24"/>
                <w:lang w:val="en-US" w:eastAsia="zh-CN" w:bidi="ar-SA"/>
              </w:rPr>
            </w:pPr>
            <w:r>
              <w:rPr>
                <w:rFonts w:hint="eastAsia" w:ascii="方正小标宋简体" w:hAnsi="方正小标宋简体" w:eastAsia="方正小标宋简体" w:cs="方正小标宋简体"/>
                <w:b/>
                <w:bCs/>
                <w:sz w:val="24"/>
                <w:szCs w:val="24"/>
                <w:lang w:val="en-US" w:eastAsia="zh-CN"/>
              </w:rPr>
              <w:t>姓名</w:t>
            </w:r>
          </w:p>
        </w:tc>
        <w:tc>
          <w:tcPr>
            <w:tcW w:w="1843" w:type="dxa"/>
            <w:tcBorders>
              <w:top w:val="single" w:color="auto" w:sz="4" w:space="0"/>
              <w:left w:val="single" w:color="auto" w:sz="4" w:space="0"/>
              <w:bottom w:val="single" w:color="auto" w:sz="4" w:space="0"/>
            </w:tcBorders>
            <w:noWrap w:val="0"/>
            <w:vAlign w:val="center"/>
          </w:tcPr>
          <w:p w14:paraId="66FE52CC">
            <w:pPr>
              <w:spacing w:line="360" w:lineRule="auto"/>
              <w:jc w:val="center"/>
              <w:rPr>
                <w:rFonts w:hint="eastAsia" w:ascii="方正小标宋简体" w:hAnsi="方正小标宋简体" w:eastAsia="方正小标宋简体" w:cs="方正小标宋简体"/>
                <w:kern w:val="2"/>
                <w:sz w:val="24"/>
                <w:szCs w:val="24"/>
                <w:lang w:val="en-US" w:eastAsia="zh-CN" w:bidi="ar-SA"/>
              </w:rPr>
            </w:pPr>
            <w:r>
              <w:rPr>
                <w:rFonts w:hint="eastAsia" w:ascii="方正小标宋简体" w:hAnsi="方正小标宋简体" w:eastAsia="方正小标宋简体" w:cs="方正小标宋简体"/>
                <w:b/>
                <w:bCs/>
                <w:sz w:val="24"/>
                <w:szCs w:val="24"/>
                <w:lang w:val="en-US" w:eastAsia="zh-CN"/>
              </w:rPr>
              <w:t>工作单位</w:t>
            </w:r>
            <w:r>
              <w:rPr>
                <w:rFonts w:hint="eastAsia" w:ascii="方正小标宋简体" w:hAnsi="方正小标宋简体" w:eastAsia="方正小标宋简体" w:cs="方正小标宋简体"/>
                <w:b/>
                <w:bCs/>
                <w:sz w:val="24"/>
                <w:szCs w:val="24"/>
              </w:rPr>
              <w:t>职务</w:t>
            </w:r>
          </w:p>
        </w:tc>
        <w:tc>
          <w:tcPr>
            <w:tcW w:w="1483" w:type="dxa"/>
            <w:tcBorders>
              <w:top w:val="single" w:color="auto" w:sz="4" w:space="0"/>
              <w:left w:val="single" w:color="auto" w:sz="4" w:space="0"/>
              <w:bottom w:val="single" w:color="auto" w:sz="4" w:space="0"/>
            </w:tcBorders>
            <w:noWrap w:val="0"/>
            <w:vAlign w:val="center"/>
          </w:tcPr>
          <w:p w14:paraId="4F4B3BC8">
            <w:pPr>
              <w:spacing w:line="300" w:lineRule="exact"/>
              <w:jc w:val="center"/>
              <w:rPr>
                <w:rFonts w:hint="eastAsia" w:ascii="方正小标宋简体" w:hAnsi="方正小标宋简体" w:eastAsia="方正小标宋简体" w:cs="方正小标宋简体"/>
                <w:b/>
                <w:bCs/>
                <w:sz w:val="24"/>
                <w:szCs w:val="24"/>
                <w:lang w:val="en-US" w:eastAsia="zh-CN"/>
              </w:rPr>
            </w:pPr>
            <w:r>
              <w:rPr>
                <w:rFonts w:hint="eastAsia" w:ascii="方正小标宋简体" w:hAnsi="方正小标宋简体" w:eastAsia="方正小标宋简体" w:cs="方正小标宋简体"/>
                <w:b/>
                <w:bCs/>
                <w:sz w:val="24"/>
                <w:szCs w:val="24"/>
                <w:lang w:val="en-US" w:eastAsia="zh-CN"/>
              </w:rPr>
              <w:t>办公电话</w:t>
            </w:r>
          </w:p>
        </w:tc>
        <w:tc>
          <w:tcPr>
            <w:tcW w:w="1884" w:type="dxa"/>
            <w:tcBorders>
              <w:top w:val="single" w:color="auto" w:sz="4" w:space="0"/>
              <w:left w:val="single" w:color="auto" w:sz="4" w:space="0"/>
              <w:bottom w:val="single" w:color="auto" w:sz="4" w:space="0"/>
            </w:tcBorders>
            <w:noWrap w:val="0"/>
            <w:vAlign w:val="center"/>
          </w:tcPr>
          <w:p w14:paraId="55597F30">
            <w:pPr>
              <w:spacing w:line="360" w:lineRule="auto"/>
              <w:jc w:val="center"/>
              <w:rPr>
                <w:rFonts w:hint="eastAsia" w:ascii="方正小标宋简体" w:hAnsi="方正小标宋简体" w:eastAsia="方正小标宋简体" w:cs="方正小标宋简体"/>
                <w:sz w:val="24"/>
                <w:szCs w:val="24"/>
              </w:rPr>
            </w:pPr>
            <w:r>
              <w:rPr>
                <w:rFonts w:hint="eastAsia" w:ascii="方正小标宋简体" w:hAnsi="方正小标宋简体" w:eastAsia="方正小标宋简体" w:cs="方正小标宋简体"/>
                <w:b/>
                <w:bCs/>
                <w:sz w:val="24"/>
                <w:szCs w:val="24"/>
              </w:rPr>
              <w:t>手机</w:t>
            </w:r>
          </w:p>
        </w:tc>
      </w:tr>
      <w:tr w14:paraId="59129F7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317" w:hRule="atLeast"/>
          <w:jc w:val="center"/>
        </w:trPr>
        <w:tc>
          <w:tcPr>
            <w:tcW w:w="2994" w:type="dxa"/>
            <w:tcBorders>
              <w:top w:val="single" w:color="auto" w:sz="4" w:space="0"/>
              <w:bottom w:val="single" w:color="auto" w:sz="4" w:space="0"/>
              <w:right w:val="single" w:color="auto" w:sz="4" w:space="0"/>
            </w:tcBorders>
            <w:noWrap w:val="0"/>
            <w:vAlign w:val="center"/>
          </w:tcPr>
          <w:p w14:paraId="23992037">
            <w:pPr>
              <w:spacing w:line="560" w:lineRule="exact"/>
              <w:jc w:val="center"/>
              <w:rPr>
                <w:rFonts w:hint="eastAsia" w:ascii="CESI仿宋-GB2312" w:hAnsi="CESI仿宋-GB2312" w:eastAsia="CESI仿宋-GB2312" w:cs="CESI仿宋-GB2312"/>
                <w:sz w:val="24"/>
                <w:lang w:val="en-US" w:eastAsia="zh-CN"/>
              </w:rPr>
            </w:pPr>
            <w:r>
              <w:rPr>
                <w:rFonts w:hint="eastAsia" w:ascii="CESI仿宋-GB2312" w:hAnsi="CESI仿宋-GB2312" w:eastAsia="CESI仿宋-GB2312" w:cs="CESI仿宋-GB2312"/>
                <w:sz w:val="24"/>
                <w:lang w:val="en-US" w:eastAsia="zh-CN"/>
              </w:rPr>
              <w:t>区地质灾害应急指挥部(总指挥)</w:t>
            </w:r>
          </w:p>
        </w:tc>
        <w:tc>
          <w:tcPr>
            <w:tcW w:w="1842" w:type="dxa"/>
            <w:tcBorders>
              <w:top w:val="single" w:color="auto" w:sz="4" w:space="0"/>
              <w:left w:val="single" w:color="auto" w:sz="4" w:space="0"/>
              <w:bottom w:val="single" w:color="auto" w:sz="4" w:space="0"/>
              <w:right w:val="single" w:color="auto" w:sz="4" w:space="0"/>
            </w:tcBorders>
            <w:noWrap w:val="0"/>
            <w:vAlign w:val="center"/>
          </w:tcPr>
          <w:p w14:paraId="6D3A8935">
            <w:pPr>
              <w:spacing w:line="560" w:lineRule="exact"/>
              <w:jc w:val="center"/>
              <w:rPr>
                <w:rFonts w:hint="eastAsia" w:ascii="CESI仿宋-GB2312" w:hAnsi="CESI仿宋-GB2312" w:eastAsia="CESI仿宋-GB2312" w:cs="CESI仿宋-GB2312"/>
                <w:sz w:val="24"/>
                <w:lang w:val="en-US" w:eastAsia="zh-CN"/>
              </w:rPr>
            </w:pPr>
            <w:r>
              <w:rPr>
                <w:rFonts w:hint="eastAsia" w:ascii="CESI仿宋-GB2312" w:hAnsi="CESI仿宋-GB2312" w:eastAsia="CESI仿宋-GB2312" w:cs="CESI仿宋-GB2312"/>
                <w:sz w:val="24"/>
                <w:lang w:val="en-US" w:eastAsia="zh-CN"/>
              </w:rPr>
              <w:t>区政府</w:t>
            </w:r>
          </w:p>
        </w:tc>
        <w:tc>
          <w:tcPr>
            <w:tcW w:w="1335" w:type="dxa"/>
            <w:tcBorders>
              <w:top w:val="single" w:color="auto" w:sz="4" w:space="0"/>
              <w:left w:val="single" w:color="auto" w:sz="4" w:space="0"/>
              <w:bottom w:val="single" w:color="auto" w:sz="4" w:space="0"/>
              <w:right w:val="single" w:color="auto" w:sz="4" w:space="0"/>
            </w:tcBorders>
            <w:noWrap w:val="0"/>
            <w:vAlign w:val="center"/>
          </w:tcPr>
          <w:p w14:paraId="2ADCEC41">
            <w:pPr>
              <w:spacing w:line="560" w:lineRule="exact"/>
              <w:jc w:val="center"/>
              <w:rPr>
                <w:rFonts w:hint="eastAsia" w:ascii="CESI仿宋-GB2312" w:hAnsi="CESI仿宋-GB2312" w:eastAsia="CESI仿宋-GB2312" w:cs="CESI仿宋-GB2312"/>
                <w:sz w:val="24"/>
                <w:lang w:val="en-US" w:eastAsia="zh-CN"/>
              </w:rPr>
            </w:pPr>
            <w:r>
              <w:rPr>
                <w:rFonts w:hint="eastAsia" w:ascii="CESI仿宋-GB2312" w:hAnsi="CESI仿宋-GB2312" w:eastAsia="CESI仿宋-GB2312" w:cs="CESI仿宋-GB2312"/>
                <w:sz w:val="24"/>
                <w:lang w:val="en-US" w:eastAsia="zh-CN"/>
              </w:rPr>
              <w:t>罗龙鑫</w:t>
            </w:r>
          </w:p>
        </w:tc>
        <w:tc>
          <w:tcPr>
            <w:tcW w:w="1843" w:type="dxa"/>
            <w:tcBorders>
              <w:top w:val="single" w:color="auto" w:sz="4" w:space="0"/>
              <w:left w:val="single" w:color="auto" w:sz="4" w:space="0"/>
              <w:bottom w:val="single" w:color="auto" w:sz="4" w:space="0"/>
            </w:tcBorders>
            <w:noWrap w:val="0"/>
            <w:vAlign w:val="center"/>
          </w:tcPr>
          <w:p w14:paraId="74F781AB">
            <w:pPr>
              <w:spacing w:line="560" w:lineRule="exact"/>
              <w:jc w:val="center"/>
              <w:rPr>
                <w:rFonts w:hint="eastAsia" w:ascii="CESI仿宋-GB2312" w:hAnsi="CESI仿宋-GB2312" w:eastAsia="CESI仿宋-GB2312" w:cs="CESI仿宋-GB2312"/>
                <w:sz w:val="24"/>
                <w:lang w:val="en-US" w:eastAsia="zh-CN"/>
              </w:rPr>
            </w:pPr>
            <w:r>
              <w:rPr>
                <w:rFonts w:hint="eastAsia" w:ascii="CESI仿宋-GB2312" w:hAnsi="CESI仿宋-GB2312" w:eastAsia="CESI仿宋-GB2312" w:cs="CESI仿宋-GB2312"/>
                <w:sz w:val="24"/>
                <w:lang w:val="en-US" w:eastAsia="zh-CN"/>
              </w:rPr>
              <w:t>区委常委、常务副区长</w:t>
            </w:r>
          </w:p>
        </w:tc>
        <w:tc>
          <w:tcPr>
            <w:tcW w:w="1483" w:type="dxa"/>
            <w:tcBorders>
              <w:top w:val="single" w:color="auto" w:sz="4" w:space="0"/>
              <w:left w:val="single" w:color="auto" w:sz="4" w:space="0"/>
              <w:bottom w:val="single" w:color="auto" w:sz="4" w:space="0"/>
            </w:tcBorders>
            <w:noWrap w:val="0"/>
            <w:vAlign w:val="center"/>
          </w:tcPr>
          <w:p w14:paraId="308B6353">
            <w:pPr>
              <w:spacing w:line="560" w:lineRule="exact"/>
              <w:jc w:val="center"/>
              <w:rPr>
                <w:rFonts w:hint="eastAsia" w:ascii="CESI仿宋-GB2312" w:hAnsi="CESI仿宋-GB2312" w:eastAsia="CESI仿宋-GB2312" w:cs="CESI仿宋-GB2312"/>
                <w:sz w:val="24"/>
                <w:lang w:val="en-US" w:eastAsia="zh-CN"/>
              </w:rPr>
            </w:pPr>
          </w:p>
        </w:tc>
        <w:tc>
          <w:tcPr>
            <w:tcW w:w="1884" w:type="dxa"/>
            <w:tcBorders>
              <w:top w:val="single" w:color="auto" w:sz="4" w:space="0"/>
              <w:left w:val="single" w:color="auto" w:sz="4" w:space="0"/>
              <w:bottom w:val="single" w:color="auto" w:sz="4" w:space="0"/>
            </w:tcBorders>
            <w:noWrap w:val="0"/>
            <w:vAlign w:val="center"/>
          </w:tcPr>
          <w:p w14:paraId="162A8089">
            <w:pPr>
              <w:spacing w:line="560" w:lineRule="exact"/>
              <w:jc w:val="center"/>
              <w:rPr>
                <w:rFonts w:hint="eastAsia" w:ascii="CESI仿宋-GB2312" w:hAnsi="CESI仿宋-GB2312" w:eastAsia="CESI仿宋-GB2312" w:cs="CESI仿宋-GB2312"/>
                <w:sz w:val="24"/>
                <w:lang w:val="en-US" w:eastAsia="zh-CN"/>
              </w:rPr>
            </w:pPr>
          </w:p>
        </w:tc>
      </w:tr>
      <w:tr w14:paraId="74F8E75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317" w:hRule="atLeast"/>
          <w:jc w:val="center"/>
        </w:trPr>
        <w:tc>
          <w:tcPr>
            <w:tcW w:w="2994" w:type="dxa"/>
            <w:vMerge w:val="restart"/>
            <w:tcBorders>
              <w:top w:val="single" w:color="auto" w:sz="4" w:space="0"/>
              <w:right w:val="single" w:color="auto" w:sz="4" w:space="0"/>
            </w:tcBorders>
            <w:noWrap w:val="0"/>
            <w:vAlign w:val="center"/>
          </w:tcPr>
          <w:p w14:paraId="3BC9BB8E">
            <w:pPr>
              <w:spacing w:line="560" w:lineRule="exact"/>
              <w:jc w:val="center"/>
              <w:rPr>
                <w:rFonts w:hint="eastAsia" w:ascii="CESI仿宋-GB2312" w:hAnsi="CESI仿宋-GB2312" w:eastAsia="CESI仿宋-GB2312" w:cs="CESI仿宋-GB2312"/>
                <w:sz w:val="24"/>
                <w:lang w:val="en-US" w:eastAsia="zh-CN"/>
              </w:rPr>
            </w:pPr>
            <w:r>
              <w:rPr>
                <w:rFonts w:hint="eastAsia" w:ascii="CESI仿宋-GB2312" w:hAnsi="CESI仿宋-GB2312" w:eastAsia="CESI仿宋-GB2312" w:cs="CESI仿宋-GB2312"/>
                <w:sz w:val="24"/>
                <w:lang w:val="en-US" w:eastAsia="zh-CN"/>
              </w:rPr>
              <w:t>区地质灾害应急指挥部（副总指挥）</w:t>
            </w:r>
          </w:p>
        </w:tc>
        <w:tc>
          <w:tcPr>
            <w:tcW w:w="1842" w:type="dxa"/>
            <w:tcBorders>
              <w:top w:val="single" w:color="auto" w:sz="4" w:space="0"/>
              <w:left w:val="single" w:color="auto" w:sz="4" w:space="0"/>
              <w:bottom w:val="single" w:color="auto" w:sz="4" w:space="0"/>
              <w:right w:val="single" w:color="auto" w:sz="4" w:space="0"/>
            </w:tcBorders>
            <w:noWrap w:val="0"/>
            <w:vAlign w:val="center"/>
          </w:tcPr>
          <w:p w14:paraId="4D7123B8">
            <w:pPr>
              <w:spacing w:line="560" w:lineRule="exact"/>
              <w:jc w:val="center"/>
              <w:rPr>
                <w:rFonts w:hint="eastAsia" w:ascii="CESI仿宋-GB2312" w:hAnsi="CESI仿宋-GB2312" w:eastAsia="CESI仿宋-GB2312" w:cs="CESI仿宋-GB2312"/>
                <w:sz w:val="24"/>
                <w:lang w:val="en-US" w:eastAsia="zh-CN"/>
              </w:rPr>
            </w:pPr>
            <w:r>
              <w:rPr>
                <w:rFonts w:hint="eastAsia" w:ascii="CESI仿宋-GB2312" w:hAnsi="CESI仿宋-GB2312" w:eastAsia="CESI仿宋-GB2312" w:cs="CESI仿宋-GB2312"/>
                <w:sz w:val="24"/>
                <w:lang w:val="en-US" w:eastAsia="zh-CN"/>
              </w:rPr>
              <w:t>区应急管理局</w:t>
            </w:r>
          </w:p>
        </w:tc>
        <w:tc>
          <w:tcPr>
            <w:tcW w:w="1335" w:type="dxa"/>
            <w:tcBorders>
              <w:top w:val="single" w:color="auto" w:sz="4" w:space="0"/>
              <w:left w:val="single" w:color="auto" w:sz="4" w:space="0"/>
              <w:bottom w:val="single" w:color="auto" w:sz="4" w:space="0"/>
              <w:right w:val="single" w:color="auto" w:sz="4" w:space="0"/>
            </w:tcBorders>
            <w:noWrap w:val="0"/>
            <w:vAlign w:val="center"/>
          </w:tcPr>
          <w:p w14:paraId="2CDC7D5B">
            <w:pPr>
              <w:spacing w:line="560" w:lineRule="exact"/>
              <w:jc w:val="center"/>
              <w:rPr>
                <w:rFonts w:hint="eastAsia" w:ascii="CESI仿宋-GB2312" w:hAnsi="CESI仿宋-GB2312" w:eastAsia="CESI仿宋-GB2312" w:cs="CESI仿宋-GB2312"/>
                <w:sz w:val="24"/>
                <w:lang w:val="en-US" w:eastAsia="zh-CN"/>
              </w:rPr>
            </w:pPr>
            <w:r>
              <w:rPr>
                <w:rFonts w:hint="eastAsia" w:ascii="CESI仿宋-GB2312" w:hAnsi="CESI仿宋-GB2312" w:eastAsia="CESI仿宋-GB2312" w:cs="CESI仿宋-GB2312"/>
                <w:sz w:val="24"/>
                <w:lang w:val="en-US" w:eastAsia="zh-CN"/>
              </w:rPr>
              <w:t>黄  熉</w:t>
            </w:r>
          </w:p>
        </w:tc>
        <w:tc>
          <w:tcPr>
            <w:tcW w:w="1843" w:type="dxa"/>
            <w:tcBorders>
              <w:top w:val="single" w:color="auto" w:sz="4" w:space="0"/>
              <w:left w:val="single" w:color="auto" w:sz="4" w:space="0"/>
              <w:bottom w:val="single" w:color="auto" w:sz="4" w:space="0"/>
            </w:tcBorders>
            <w:noWrap w:val="0"/>
            <w:vAlign w:val="center"/>
          </w:tcPr>
          <w:p w14:paraId="28B2D0FB">
            <w:pPr>
              <w:spacing w:line="560" w:lineRule="exact"/>
              <w:jc w:val="center"/>
              <w:rPr>
                <w:rFonts w:hint="eastAsia" w:ascii="CESI仿宋-GB2312" w:hAnsi="CESI仿宋-GB2312" w:eastAsia="CESI仿宋-GB2312" w:cs="CESI仿宋-GB2312"/>
                <w:sz w:val="24"/>
                <w:lang w:val="en-US" w:eastAsia="zh-CN"/>
              </w:rPr>
            </w:pPr>
            <w:r>
              <w:rPr>
                <w:rFonts w:hint="eastAsia" w:ascii="CESI仿宋-GB2312" w:hAnsi="CESI仿宋-GB2312" w:eastAsia="CESI仿宋-GB2312" w:cs="CESI仿宋-GB2312"/>
                <w:sz w:val="24"/>
                <w:lang w:val="en-US" w:eastAsia="zh-CN"/>
              </w:rPr>
              <w:t>局长</w:t>
            </w:r>
          </w:p>
        </w:tc>
        <w:tc>
          <w:tcPr>
            <w:tcW w:w="1483" w:type="dxa"/>
            <w:tcBorders>
              <w:top w:val="single" w:color="auto" w:sz="4" w:space="0"/>
              <w:left w:val="single" w:color="auto" w:sz="4" w:space="0"/>
              <w:bottom w:val="single" w:color="auto" w:sz="4" w:space="0"/>
            </w:tcBorders>
            <w:noWrap w:val="0"/>
            <w:vAlign w:val="center"/>
          </w:tcPr>
          <w:p w14:paraId="7D18FE4B">
            <w:pPr>
              <w:spacing w:line="560" w:lineRule="exact"/>
              <w:jc w:val="center"/>
              <w:rPr>
                <w:rFonts w:hint="eastAsia" w:ascii="CESI仿宋-GB2312" w:hAnsi="CESI仿宋-GB2312" w:eastAsia="CESI仿宋-GB2312" w:cs="CESI仿宋-GB2312"/>
                <w:sz w:val="24"/>
                <w:lang w:val="en-US" w:eastAsia="zh-CN"/>
              </w:rPr>
            </w:pPr>
            <w:r>
              <w:rPr>
                <w:rFonts w:hint="eastAsia" w:ascii="CESI仿宋-GB2312" w:hAnsi="CESI仿宋-GB2312" w:eastAsia="CESI仿宋-GB2312" w:cs="CESI仿宋-GB2312"/>
                <w:sz w:val="24"/>
                <w:lang w:val="en-US" w:eastAsia="zh-CN"/>
              </w:rPr>
              <w:t>88171399</w:t>
            </w:r>
          </w:p>
        </w:tc>
        <w:tc>
          <w:tcPr>
            <w:tcW w:w="1884" w:type="dxa"/>
            <w:tcBorders>
              <w:top w:val="single" w:color="auto" w:sz="4" w:space="0"/>
              <w:left w:val="single" w:color="auto" w:sz="4" w:space="0"/>
              <w:bottom w:val="single" w:color="auto" w:sz="4" w:space="0"/>
            </w:tcBorders>
            <w:noWrap w:val="0"/>
            <w:vAlign w:val="center"/>
          </w:tcPr>
          <w:p w14:paraId="1C93BDFE">
            <w:pPr>
              <w:spacing w:line="560" w:lineRule="exact"/>
              <w:jc w:val="center"/>
              <w:rPr>
                <w:rFonts w:hint="eastAsia" w:ascii="CESI仿宋-GB2312" w:hAnsi="CESI仿宋-GB2312" w:eastAsia="CESI仿宋-GB2312" w:cs="CESI仿宋-GB2312"/>
                <w:sz w:val="24"/>
                <w:lang w:val="en-US" w:eastAsia="zh-CN"/>
              </w:rPr>
            </w:pPr>
            <w:r>
              <w:rPr>
                <w:rFonts w:hint="eastAsia" w:ascii="CESI仿宋-GB2312" w:hAnsi="CESI仿宋-GB2312" w:eastAsia="CESI仿宋-GB2312" w:cs="CESI仿宋-GB2312"/>
                <w:sz w:val="24"/>
                <w:lang w:val="en-US" w:eastAsia="zh-CN"/>
              </w:rPr>
              <w:t>13902971912</w:t>
            </w:r>
          </w:p>
        </w:tc>
      </w:tr>
      <w:tr w14:paraId="388ECC1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90" w:hRule="atLeast"/>
          <w:jc w:val="center"/>
        </w:trPr>
        <w:tc>
          <w:tcPr>
            <w:tcW w:w="2994" w:type="dxa"/>
            <w:vMerge w:val="continue"/>
            <w:tcBorders>
              <w:right w:val="single" w:color="auto" w:sz="4" w:space="0"/>
            </w:tcBorders>
            <w:noWrap w:val="0"/>
            <w:vAlign w:val="center"/>
          </w:tcPr>
          <w:p w14:paraId="5EC33097">
            <w:pPr>
              <w:spacing w:line="560" w:lineRule="exact"/>
              <w:jc w:val="center"/>
              <w:rPr>
                <w:rFonts w:hint="eastAsia" w:ascii="CESI仿宋-GB2312" w:hAnsi="CESI仿宋-GB2312" w:eastAsia="CESI仿宋-GB2312" w:cs="CESI仿宋-GB2312"/>
                <w:sz w:val="24"/>
                <w:lang w:val="en-US" w:eastAsia="zh-CN"/>
              </w:rPr>
            </w:pPr>
          </w:p>
        </w:tc>
        <w:tc>
          <w:tcPr>
            <w:tcW w:w="1842" w:type="dxa"/>
            <w:tcBorders>
              <w:top w:val="single" w:color="auto" w:sz="4" w:space="0"/>
              <w:left w:val="single" w:color="auto" w:sz="4" w:space="0"/>
              <w:bottom w:val="single" w:color="auto" w:sz="4" w:space="0"/>
              <w:right w:val="single" w:color="auto" w:sz="4" w:space="0"/>
            </w:tcBorders>
            <w:noWrap w:val="0"/>
            <w:vAlign w:val="center"/>
          </w:tcPr>
          <w:p w14:paraId="5147D0EB">
            <w:pPr>
              <w:spacing w:line="560" w:lineRule="exact"/>
              <w:jc w:val="center"/>
              <w:rPr>
                <w:rFonts w:hint="eastAsia" w:ascii="CESI仿宋-GB2312" w:hAnsi="CESI仿宋-GB2312" w:eastAsia="CESI仿宋-GB2312" w:cs="CESI仿宋-GB2312"/>
                <w:sz w:val="24"/>
                <w:lang w:val="en-US" w:eastAsia="zh-CN"/>
              </w:rPr>
            </w:pPr>
            <w:r>
              <w:rPr>
                <w:rFonts w:hint="eastAsia" w:ascii="CESI仿宋-GB2312" w:hAnsi="CESI仿宋-GB2312" w:eastAsia="CESI仿宋-GB2312" w:cs="CESI仿宋-GB2312"/>
                <w:sz w:val="24"/>
                <w:lang w:val="en-US" w:eastAsia="zh-CN"/>
              </w:rPr>
              <w:t>区住房建设局</w:t>
            </w:r>
          </w:p>
        </w:tc>
        <w:tc>
          <w:tcPr>
            <w:tcW w:w="1335" w:type="dxa"/>
            <w:tcBorders>
              <w:top w:val="single" w:color="auto" w:sz="4" w:space="0"/>
              <w:left w:val="single" w:color="auto" w:sz="4" w:space="0"/>
              <w:bottom w:val="single" w:color="auto" w:sz="4" w:space="0"/>
              <w:right w:val="single" w:color="auto" w:sz="4" w:space="0"/>
            </w:tcBorders>
            <w:noWrap w:val="0"/>
            <w:vAlign w:val="center"/>
          </w:tcPr>
          <w:p w14:paraId="7503D983">
            <w:pPr>
              <w:spacing w:line="560" w:lineRule="exact"/>
              <w:jc w:val="center"/>
              <w:rPr>
                <w:rFonts w:hint="eastAsia" w:ascii="CESI仿宋-GB2312" w:hAnsi="CESI仿宋-GB2312" w:eastAsia="CESI仿宋-GB2312" w:cs="CESI仿宋-GB2312"/>
                <w:sz w:val="24"/>
                <w:lang w:val="en-US" w:eastAsia="zh-CN"/>
              </w:rPr>
            </w:pPr>
            <w:r>
              <w:rPr>
                <w:rFonts w:hint="eastAsia" w:ascii="CESI仿宋-GB2312" w:hAnsi="CESI仿宋-GB2312" w:eastAsia="CESI仿宋-GB2312" w:cs="CESI仿宋-GB2312"/>
                <w:sz w:val="24"/>
                <w:lang w:val="en-US" w:eastAsia="zh-CN"/>
              </w:rPr>
              <w:t>陈恭</w:t>
            </w:r>
          </w:p>
        </w:tc>
        <w:tc>
          <w:tcPr>
            <w:tcW w:w="1843" w:type="dxa"/>
            <w:tcBorders>
              <w:top w:val="single" w:color="auto" w:sz="4" w:space="0"/>
              <w:left w:val="single" w:color="auto" w:sz="4" w:space="0"/>
              <w:bottom w:val="single" w:color="auto" w:sz="4" w:space="0"/>
            </w:tcBorders>
            <w:noWrap w:val="0"/>
            <w:vAlign w:val="center"/>
          </w:tcPr>
          <w:p w14:paraId="4968A125">
            <w:pPr>
              <w:spacing w:line="560" w:lineRule="exact"/>
              <w:jc w:val="center"/>
              <w:rPr>
                <w:rFonts w:hint="eastAsia" w:ascii="CESI仿宋-GB2312" w:hAnsi="CESI仿宋-GB2312" w:eastAsia="CESI仿宋-GB2312" w:cs="CESI仿宋-GB2312"/>
                <w:sz w:val="24"/>
                <w:lang w:val="en-US" w:eastAsia="zh-CN"/>
              </w:rPr>
            </w:pPr>
            <w:r>
              <w:rPr>
                <w:rFonts w:hint="eastAsia" w:ascii="CESI仿宋-GB2312" w:hAnsi="CESI仿宋-GB2312" w:eastAsia="CESI仿宋-GB2312" w:cs="CESI仿宋-GB2312"/>
                <w:sz w:val="24"/>
                <w:lang w:val="en-US" w:eastAsia="zh-CN"/>
              </w:rPr>
              <w:t>区住房建设局党组成员、区质安监中心主任</w:t>
            </w:r>
          </w:p>
        </w:tc>
        <w:tc>
          <w:tcPr>
            <w:tcW w:w="1483" w:type="dxa"/>
            <w:tcBorders>
              <w:top w:val="single" w:color="auto" w:sz="4" w:space="0"/>
              <w:left w:val="single" w:color="auto" w:sz="4" w:space="0"/>
              <w:bottom w:val="single" w:color="auto" w:sz="4" w:space="0"/>
            </w:tcBorders>
            <w:noWrap w:val="0"/>
            <w:vAlign w:val="center"/>
          </w:tcPr>
          <w:p w14:paraId="21FAB213">
            <w:pPr>
              <w:spacing w:line="560" w:lineRule="exact"/>
              <w:jc w:val="center"/>
              <w:rPr>
                <w:rFonts w:hint="eastAsia" w:ascii="CESI仿宋-GB2312" w:hAnsi="CESI仿宋-GB2312" w:eastAsia="CESI仿宋-GB2312" w:cs="CESI仿宋-GB2312"/>
                <w:sz w:val="24"/>
                <w:lang w:val="en-US" w:eastAsia="zh-CN"/>
              </w:rPr>
            </w:pPr>
            <w:r>
              <w:rPr>
                <w:rFonts w:hint="eastAsia" w:ascii="CESI仿宋-GB2312" w:hAnsi="CESI仿宋-GB2312" w:eastAsia="CESI仿宋-GB2312" w:cs="CESI仿宋-GB2312"/>
                <w:sz w:val="24"/>
                <w:lang w:val="en-US" w:eastAsia="zh-CN"/>
              </w:rPr>
              <w:t>25350354</w:t>
            </w:r>
          </w:p>
        </w:tc>
        <w:tc>
          <w:tcPr>
            <w:tcW w:w="1884" w:type="dxa"/>
            <w:tcBorders>
              <w:top w:val="single" w:color="auto" w:sz="4" w:space="0"/>
              <w:left w:val="single" w:color="auto" w:sz="4" w:space="0"/>
              <w:bottom w:val="single" w:color="auto" w:sz="4" w:space="0"/>
            </w:tcBorders>
            <w:noWrap w:val="0"/>
            <w:vAlign w:val="center"/>
          </w:tcPr>
          <w:p w14:paraId="406CD12E">
            <w:pPr>
              <w:spacing w:line="560" w:lineRule="exact"/>
              <w:jc w:val="center"/>
              <w:rPr>
                <w:rFonts w:hint="eastAsia" w:ascii="CESI仿宋-GB2312" w:hAnsi="CESI仿宋-GB2312" w:eastAsia="CESI仿宋-GB2312" w:cs="CESI仿宋-GB2312"/>
                <w:sz w:val="24"/>
                <w:lang w:val="en-US" w:eastAsia="zh-CN"/>
              </w:rPr>
            </w:pPr>
            <w:r>
              <w:rPr>
                <w:rFonts w:hint="eastAsia" w:ascii="CESI仿宋-GB2312" w:hAnsi="CESI仿宋-GB2312" w:eastAsia="CESI仿宋-GB2312" w:cs="CESI仿宋-GB2312"/>
                <w:sz w:val="24"/>
                <w:lang w:val="en-US" w:eastAsia="zh-CN"/>
              </w:rPr>
              <w:t>13510920200</w:t>
            </w:r>
          </w:p>
        </w:tc>
      </w:tr>
      <w:tr w14:paraId="0EBE605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317" w:hRule="atLeast"/>
          <w:jc w:val="center"/>
        </w:trPr>
        <w:tc>
          <w:tcPr>
            <w:tcW w:w="2994" w:type="dxa"/>
            <w:vMerge w:val="continue"/>
            <w:tcBorders>
              <w:right w:val="single" w:color="auto" w:sz="4" w:space="0"/>
            </w:tcBorders>
            <w:noWrap w:val="0"/>
            <w:vAlign w:val="center"/>
          </w:tcPr>
          <w:p w14:paraId="613E1481">
            <w:pPr>
              <w:spacing w:line="560" w:lineRule="exact"/>
              <w:jc w:val="center"/>
              <w:rPr>
                <w:rFonts w:hint="eastAsia" w:ascii="CESI仿宋-GB2312" w:hAnsi="CESI仿宋-GB2312" w:eastAsia="CESI仿宋-GB2312" w:cs="CESI仿宋-GB2312"/>
                <w:sz w:val="24"/>
                <w:lang w:val="en-US" w:eastAsia="zh-CN"/>
              </w:rPr>
            </w:pPr>
          </w:p>
        </w:tc>
        <w:tc>
          <w:tcPr>
            <w:tcW w:w="1842" w:type="dxa"/>
            <w:tcBorders>
              <w:top w:val="single" w:color="auto" w:sz="4" w:space="0"/>
              <w:left w:val="single" w:color="auto" w:sz="4" w:space="0"/>
              <w:bottom w:val="single" w:color="auto" w:sz="4" w:space="0"/>
              <w:right w:val="single" w:color="auto" w:sz="4" w:space="0"/>
            </w:tcBorders>
            <w:noWrap w:val="0"/>
            <w:vAlign w:val="center"/>
          </w:tcPr>
          <w:p w14:paraId="27F31E56">
            <w:pPr>
              <w:spacing w:line="560" w:lineRule="exact"/>
              <w:jc w:val="center"/>
              <w:rPr>
                <w:rFonts w:hint="eastAsia" w:ascii="CESI仿宋-GB2312" w:hAnsi="CESI仿宋-GB2312" w:eastAsia="CESI仿宋-GB2312" w:cs="CESI仿宋-GB2312"/>
                <w:sz w:val="24"/>
                <w:lang w:val="en-US" w:eastAsia="zh-CN"/>
              </w:rPr>
            </w:pPr>
            <w:r>
              <w:rPr>
                <w:rFonts w:hint="eastAsia" w:ascii="CESI仿宋-GB2312" w:hAnsi="CESI仿宋-GB2312" w:eastAsia="CESI仿宋-GB2312" w:cs="CESI仿宋-GB2312"/>
                <w:sz w:val="24"/>
                <w:lang w:val="en-US" w:eastAsia="zh-CN"/>
              </w:rPr>
              <w:t>区人武部</w:t>
            </w:r>
          </w:p>
        </w:tc>
        <w:tc>
          <w:tcPr>
            <w:tcW w:w="1335" w:type="dxa"/>
            <w:tcBorders>
              <w:top w:val="single" w:color="auto" w:sz="4" w:space="0"/>
              <w:left w:val="single" w:color="auto" w:sz="4" w:space="0"/>
              <w:bottom w:val="single" w:color="auto" w:sz="4" w:space="0"/>
              <w:right w:val="single" w:color="auto" w:sz="4" w:space="0"/>
            </w:tcBorders>
            <w:noWrap w:val="0"/>
            <w:vAlign w:val="center"/>
          </w:tcPr>
          <w:p w14:paraId="1C51A617">
            <w:pPr>
              <w:spacing w:line="560" w:lineRule="exact"/>
              <w:jc w:val="center"/>
              <w:rPr>
                <w:rFonts w:hint="eastAsia" w:ascii="CESI仿宋-GB2312" w:hAnsi="CESI仿宋-GB2312" w:eastAsia="CESI仿宋-GB2312" w:cs="CESI仿宋-GB2312"/>
                <w:sz w:val="24"/>
                <w:lang w:val="en-US" w:eastAsia="zh-CN"/>
              </w:rPr>
            </w:pPr>
            <w:r>
              <w:rPr>
                <w:rFonts w:hint="eastAsia" w:ascii="CESI仿宋-GB2312" w:hAnsi="CESI仿宋-GB2312" w:eastAsia="CESI仿宋-GB2312" w:cs="CESI仿宋-GB2312"/>
                <w:sz w:val="24"/>
                <w:lang w:val="en-US" w:eastAsia="zh-CN"/>
              </w:rPr>
              <w:t>常磊</w:t>
            </w:r>
          </w:p>
        </w:tc>
        <w:tc>
          <w:tcPr>
            <w:tcW w:w="1843" w:type="dxa"/>
            <w:tcBorders>
              <w:top w:val="single" w:color="auto" w:sz="4" w:space="0"/>
              <w:left w:val="single" w:color="auto" w:sz="4" w:space="0"/>
              <w:bottom w:val="single" w:color="auto" w:sz="4" w:space="0"/>
            </w:tcBorders>
            <w:noWrap w:val="0"/>
            <w:vAlign w:val="center"/>
          </w:tcPr>
          <w:p w14:paraId="303602C2">
            <w:pPr>
              <w:spacing w:line="560" w:lineRule="exact"/>
              <w:jc w:val="center"/>
              <w:rPr>
                <w:rFonts w:hint="eastAsia" w:ascii="CESI仿宋-GB2312" w:hAnsi="CESI仿宋-GB2312" w:eastAsia="CESI仿宋-GB2312" w:cs="CESI仿宋-GB2312"/>
                <w:sz w:val="24"/>
                <w:lang w:val="en-US" w:eastAsia="zh-CN"/>
              </w:rPr>
            </w:pPr>
            <w:r>
              <w:rPr>
                <w:rFonts w:hint="eastAsia" w:ascii="CESI仿宋-GB2312" w:hAnsi="CESI仿宋-GB2312" w:eastAsia="CESI仿宋-GB2312" w:cs="CESI仿宋-GB2312"/>
                <w:sz w:val="24"/>
                <w:lang w:val="en-US" w:eastAsia="zh-CN"/>
              </w:rPr>
              <w:t>部长</w:t>
            </w:r>
          </w:p>
        </w:tc>
        <w:tc>
          <w:tcPr>
            <w:tcW w:w="1483" w:type="dxa"/>
            <w:tcBorders>
              <w:top w:val="single" w:color="auto" w:sz="4" w:space="0"/>
              <w:left w:val="single" w:color="auto" w:sz="4" w:space="0"/>
              <w:bottom w:val="single" w:color="auto" w:sz="4" w:space="0"/>
            </w:tcBorders>
            <w:noWrap w:val="0"/>
            <w:vAlign w:val="center"/>
          </w:tcPr>
          <w:p w14:paraId="087B0161">
            <w:pPr>
              <w:spacing w:line="560" w:lineRule="exact"/>
              <w:jc w:val="center"/>
              <w:rPr>
                <w:rFonts w:hint="eastAsia" w:ascii="CESI仿宋-GB2312" w:hAnsi="CESI仿宋-GB2312" w:eastAsia="CESI仿宋-GB2312" w:cs="CESI仿宋-GB2312"/>
                <w:sz w:val="24"/>
                <w:lang w:val="en-US" w:eastAsia="zh-CN"/>
              </w:rPr>
            </w:pPr>
          </w:p>
        </w:tc>
        <w:tc>
          <w:tcPr>
            <w:tcW w:w="1884" w:type="dxa"/>
            <w:tcBorders>
              <w:top w:val="single" w:color="auto" w:sz="4" w:space="0"/>
              <w:left w:val="single" w:color="auto" w:sz="4" w:space="0"/>
              <w:bottom w:val="single" w:color="auto" w:sz="4" w:space="0"/>
            </w:tcBorders>
            <w:noWrap w:val="0"/>
            <w:vAlign w:val="center"/>
          </w:tcPr>
          <w:p w14:paraId="605E228B">
            <w:pPr>
              <w:spacing w:line="560" w:lineRule="exact"/>
              <w:jc w:val="center"/>
              <w:rPr>
                <w:rFonts w:hint="eastAsia" w:ascii="CESI仿宋-GB2312" w:hAnsi="CESI仿宋-GB2312" w:eastAsia="CESI仿宋-GB2312" w:cs="CESI仿宋-GB2312"/>
                <w:sz w:val="24"/>
                <w:lang w:val="en-US" w:eastAsia="zh-CN"/>
              </w:rPr>
            </w:pPr>
            <w:r>
              <w:rPr>
                <w:rFonts w:hint="eastAsia" w:ascii="CESI仿宋-GB2312" w:hAnsi="CESI仿宋-GB2312" w:eastAsia="CESI仿宋-GB2312" w:cs="CESI仿宋-GB2312"/>
                <w:sz w:val="24"/>
                <w:lang w:val="en-US" w:eastAsia="zh-CN"/>
              </w:rPr>
              <w:t>15105590828</w:t>
            </w:r>
          </w:p>
        </w:tc>
      </w:tr>
      <w:tr w14:paraId="23D8089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317" w:hRule="atLeast"/>
          <w:jc w:val="center"/>
        </w:trPr>
        <w:tc>
          <w:tcPr>
            <w:tcW w:w="2994" w:type="dxa"/>
            <w:vMerge w:val="continue"/>
            <w:tcBorders>
              <w:right w:val="single" w:color="auto" w:sz="4" w:space="0"/>
            </w:tcBorders>
            <w:noWrap w:val="0"/>
            <w:vAlign w:val="center"/>
          </w:tcPr>
          <w:p w14:paraId="26939DD2">
            <w:pPr>
              <w:spacing w:line="560" w:lineRule="exact"/>
              <w:jc w:val="center"/>
              <w:rPr>
                <w:rFonts w:hint="eastAsia" w:ascii="CESI仿宋-GB2312" w:hAnsi="CESI仿宋-GB2312" w:eastAsia="CESI仿宋-GB2312" w:cs="CESI仿宋-GB2312"/>
                <w:sz w:val="24"/>
                <w:lang w:val="en-US" w:eastAsia="zh-CN"/>
              </w:rPr>
            </w:pPr>
          </w:p>
        </w:tc>
        <w:tc>
          <w:tcPr>
            <w:tcW w:w="1842" w:type="dxa"/>
            <w:tcBorders>
              <w:top w:val="single" w:color="auto" w:sz="4" w:space="0"/>
              <w:left w:val="single" w:color="auto" w:sz="4" w:space="0"/>
              <w:bottom w:val="single" w:color="auto" w:sz="4" w:space="0"/>
              <w:right w:val="single" w:color="auto" w:sz="4" w:space="0"/>
            </w:tcBorders>
            <w:noWrap w:val="0"/>
            <w:vAlign w:val="center"/>
          </w:tcPr>
          <w:p w14:paraId="73535206">
            <w:pPr>
              <w:spacing w:line="560" w:lineRule="exact"/>
              <w:jc w:val="center"/>
              <w:rPr>
                <w:rFonts w:hint="eastAsia" w:ascii="CESI仿宋-GB2312" w:hAnsi="CESI仿宋-GB2312" w:eastAsia="CESI仿宋-GB2312" w:cs="CESI仿宋-GB2312"/>
                <w:sz w:val="24"/>
                <w:lang w:val="en-US" w:eastAsia="zh-CN"/>
              </w:rPr>
            </w:pPr>
            <w:r>
              <w:rPr>
                <w:rFonts w:hint="eastAsia" w:ascii="CESI仿宋-GB2312" w:hAnsi="CESI仿宋-GB2312" w:eastAsia="CESI仿宋-GB2312" w:cs="CESI仿宋-GB2312"/>
                <w:sz w:val="24"/>
                <w:lang w:val="en-US" w:eastAsia="zh-CN"/>
              </w:rPr>
              <w:t>市规划和自然资源局盐田管理局</w:t>
            </w:r>
          </w:p>
        </w:tc>
        <w:tc>
          <w:tcPr>
            <w:tcW w:w="1335" w:type="dxa"/>
            <w:tcBorders>
              <w:top w:val="single" w:color="auto" w:sz="4" w:space="0"/>
              <w:left w:val="single" w:color="auto" w:sz="4" w:space="0"/>
              <w:bottom w:val="single" w:color="auto" w:sz="4" w:space="0"/>
              <w:right w:val="single" w:color="auto" w:sz="4" w:space="0"/>
            </w:tcBorders>
            <w:noWrap w:val="0"/>
            <w:vAlign w:val="center"/>
          </w:tcPr>
          <w:p w14:paraId="243E0A4D">
            <w:pPr>
              <w:spacing w:line="560" w:lineRule="exact"/>
              <w:jc w:val="center"/>
              <w:rPr>
                <w:rFonts w:hint="eastAsia" w:ascii="CESI仿宋-GB2312" w:hAnsi="CESI仿宋-GB2312" w:eastAsia="CESI仿宋-GB2312" w:cs="CESI仿宋-GB2312"/>
                <w:sz w:val="24"/>
                <w:lang w:val="en-US" w:eastAsia="zh-CN"/>
              </w:rPr>
            </w:pPr>
            <w:r>
              <w:rPr>
                <w:rFonts w:hint="eastAsia" w:ascii="CESI仿宋-GB2312" w:hAnsi="CESI仿宋-GB2312" w:eastAsia="CESI仿宋-GB2312" w:cs="CESI仿宋-GB2312"/>
                <w:sz w:val="24"/>
                <w:lang w:val="en-US" w:eastAsia="zh-CN"/>
              </w:rPr>
              <w:t>谢华良</w:t>
            </w:r>
          </w:p>
        </w:tc>
        <w:tc>
          <w:tcPr>
            <w:tcW w:w="1843" w:type="dxa"/>
            <w:tcBorders>
              <w:top w:val="single" w:color="auto" w:sz="4" w:space="0"/>
              <w:left w:val="single" w:color="auto" w:sz="4" w:space="0"/>
              <w:bottom w:val="single" w:color="auto" w:sz="4" w:space="0"/>
            </w:tcBorders>
            <w:noWrap w:val="0"/>
            <w:vAlign w:val="center"/>
          </w:tcPr>
          <w:p w14:paraId="0E2381A8">
            <w:pPr>
              <w:spacing w:line="560" w:lineRule="exact"/>
              <w:jc w:val="center"/>
              <w:rPr>
                <w:rFonts w:hint="eastAsia" w:ascii="CESI仿宋-GB2312" w:hAnsi="CESI仿宋-GB2312" w:eastAsia="CESI仿宋-GB2312" w:cs="CESI仿宋-GB2312"/>
                <w:sz w:val="24"/>
                <w:lang w:val="en-US" w:eastAsia="zh-CN"/>
              </w:rPr>
            </w:pPr>
            <w:r>
              <w:rPr>
                <w:rFonts w:hint="eastAsia" w:ascii="CESI仿宋-GB2312" w:hAnsi="CESI仿宋-GB2312" w:eastAsia="CESI仿宋-GB2312" w:cs="CESI仿宋-GB2312"/>
                <w:sz w:val="24"/>
                <w:lang w:val="en-US" w:eastAsia="zh-CN"/>
              </w:rPr>
              <w:t>四级调研员</w:t>
            </w:r>
          </w:p>
        </w:tc>
        <w:tc>
          <w:tcPr>
            <w:tcW w:w="1483" w:type="dxa"/>
            <w:tcBorders>
              <w:top w:val="single" w:color="auto" w:sz="4" w:space="0"/>
              <w:left w:val="single" w:color="auto" w:sz="4" w:space="0"/>
              <w:bottom w:val="single" w:color="auto" w:sz="4" w:space="0"/>
            </w:tcBorders>
            <w:noWrap w:val="0"/>
            <w:vAlign w:val="center"/>
          </w:tcPr>
          <w:p w14:paraId="61080843">
            <w:pPr>
              <w:spacing w:line="560" w:lineRule="exact"/>
              <w:jc w:val="center"/>
              <w:rPr>
                <w:rFonts w:hint="eastAsia" w:ascii="CESI仿宋-GB2312" w:hAnsi="CESI仿宋-GB2312" w:eastAsia="CESI仿宋-GB2312" w:cs="CESI仿宋-GB2312"/>
                <w:sz w:val="24"/>
                <w:lang w:val="en-US" w:eastAsia="zh-CN"/>
              </w:rPr>
            </w:pPr>
            <w:r>
              <w:rPr>
                <w:rFonts w:hint="eastAsia" w:ascii="CESI仿宋-GB2312" w:hAnsi="CESI仿宋-GB2312" w:eastAsia="CESI仿宋-GB2312" w:cs="CESI仿宋-GB2312"/>
                <w:sz w:val="24"/>
                <w:lang w:val="en-US" w:eastAsia="zh-CN"/>
              </w:rPr>
              <w:t>25363309</w:t>
            </w:r>
          </w:p>
        </w:tc>
        <w:tc>
          <w:tcPr>
            <w:tcW w:w="1884" w:type="dxa"/>
            <w:tcBorders>
              <w:top w:val="single" w:color="auto" w:sz="4" w:space="0"/>
              <w:left w:val="single" w:color="auto" w:sz="4" w:space="0"/>
              <w:bottom w:val="single" w:color="auto" w:sz="4" w:space="0"/>
            </w:tcBorders>
            <w:noWrap w:val="0"/>
            <w:vAlign w:val="center"/>
          </w:tcPr>
          <w:p w14:paraId="206CE2DB">
            <w:pPr>
              <w:spacing w:line="560" w:lineRule="exact"/>
              <w:jc w:val="center"/>
              <w:rPr>
                <w:rFonts w:hint="eastAsia" w:ascii="CESI仿宋-GB2312" w:hAnsi="CESI仿宋-GB2312" w:eastAsia="CESI仿宋-GB2312" w:cs="CESI仿宋-GB2312"/>
                <w:sz w:val="24"/>
                <w:lang w:val="en-US" w:eastAsia="zh-CN"/>
              </w:rPr>
            </w:pPr>
            <w:r>
              <w:rPr>
                <w:rFonts w:hint="eastAsia" w:ascii="CESI仿宋-GB2312" w:hAnsi="CESI仿宋-GB2312" w:eastAsia="CESI仿宋-GB2312" w:cs="CESI仿宋-GB2312"/>
                <w:sz w:val="24"/>
                <w:lang w:val="en-US" w:eastAsia="zh-CN"/>
              </w:rPr>
              <w:t>13302956098</w:t>
            </w:r>
          </w:p>
        </w:tc>
      </w:tr>
      <w:tr w14:paraId="4453BA0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317" w:hRule="atLeast"/>
          <w:jc w:val="center"/>
        </w:trPr>
        <w:tc>
          <w:tcPr>
            <w:tcW w:w="2994" w:type="dxa"/>
            <w:vMerge w:val="continue"/>
            <w:tcBorders>
              <w:right w:val="single" w:color="auto" w:sz="4" w:space="0"/>
            </w:tcBorders>
            <w:noWrap w:val="0"/>
            <w:vAlign w:val="center"/>
          </w:tcPr>
          <w:p w14:paraId="1167D5C0">
            <w:pPr>
              <w:spacing w:line="560" w:lineRule="exact"/>
              <w:jc w:val="center"/>
              <w:rPr>
                <w:rFonts w:hint="eastAsia" w:ascii="CESI仿宋-GB2312" w:hAnsi="CESI仿宋-GB2312" w:eastAsia="CESI仿宋-GB2312" w:cs="CESI仿宋-GB2312"/>
                <w:sz w:val="24"/>
                <w:lang w:val="en-US" w:eastAsia="zh-CN"/>
              </w:rPr>
            </w:pPr>
          </w:p>
        </w:tc>
        <w:tc>
          <w:tcPr>
            <w:tcW w:w="1842" w:type="dxa"/>
            <w:tcBorders>
              <w:top w:val="single" w:color="auto" w:sz="4" w:space="0"/>
              <w:left w:val="single" w:color="auto" w:sz="4" w:space="0"/>
              <w:bottom w:val="single" w:color="auto" w:sz="4" w:space="0"/>
              <w:right w:val="single" w:color="auto" w:sz="4" w:space="0"/>
            </w:tcBorders>
            <w:noWrap w:val="0"/>
            <w:vAlign w:val="center"/>
          </w:tcPr>
          <w:p w14:paraId="55358241">
            <w:pPr>
              <w:spacing w:line="560" w:lineRule="exact"/>
              <w:jc w:val="center"/>
              <w:rPr>
                <w:rFonts w:hint="eastAsia" w:ascii="CESI仿宋-GB2312" w:hAnsi="CESI仿宋-GB2312" w:eastAsia="CESI仿宋-GB2312" w:cs="CESI仿宋-GB2312"/>
                <w:sz w:val="24"/>
                <w:lang w:val="en-US" w:eastAsia="zh-CN"/>
              </w:rPr>
            </w:pPr>
            <w:r>
              <w:rPr>
                <w:rFonts w:hint="eastAsia" w:ascii="CESI仿宋-GB2312" w:hAnsi="CESI仿宋-GB2312" w:eastAsia="CESI仿宋-GB2312" w:cs="CESI仿宋-GB2312"/>
                <w:sz w:val="24"/>
                <w:lang w:val="en-US" w:eastAsia="zh-CN"/>
              </w:rPr>
              <w:t>盐田交警大队</w:t>
            </w:r>
          </w:p>
        </w:tc>
        <w:tc>
          <w:tcPr>
            <w:tcW w:w="1335" w:type="dxa"/>
            <w:tcBorders>
              <w:top w:val="single" w:color="auto" w:sz="4" w:space="0"/>
              <w:left w:val="single" w:color="auto" w:sz="4" w:space="0"/>
              <w:bottom w:val="single" w:color="auto" w:sz="4" w:space="0"/>
              <w:right w:val="single" w:color="auto" w:sz="4" w:space="0"/>
            </w:tcBorders>
            <w:noWrap w:val="0"/>
            <w:vAlign w:val="center"/>
          </w:tcPr>
          <w:p w14:paraId="3CD22E39">
            <w:pPr>
              <w:spacing w:line="560" w:lineRule="exact"/>
              <w:jc w:val="center"/>
              <w:rPr>
                <w:rFonts w:hint="eastAsia" w:ascii="CESI仿宋-GB2312" w:hAnsi="CESI仿宋-GB2312" w:eastAsia="CESI仿宋-GB2312" w:cs="CESI仿宋-GB2312"/>
                <w:sz w:val="24"/>
                <w:lang w:val="en-US" w:eastAsia="zh-CN"/>
              </w:rPr>
            </w:pPr>
            <w:r>
              <w:rPr>
                <w:rFonts w:hint="eastAsia" w:ascii="CESI仿宋-GB2312" w:hAnsi="CESI仿宋-GB2312" w:eastAsia="CESI仿宋-GB2312" w:cs="CESI仿宋-GB2312"/>
                <w:sz w:val="24"/>
                <w:lang w:val="en-US" w:eastAsia="zh-CN"/>
              </w:rPr>
              <w:t>陆雄飞</w:t>
            </w:r>
          </w:p>
        </w:tc>
        <w:tc>
          <w:tcPr>
            <w:tcW w:w="1843" w:type="dxa"/>
            <w:tcBorders>
              <w:top w:val="single" w:color="auto" w:sz="4" w:space="0"/>
              <w:left w:val="single" w:color="auto" w:sz="4" w:space="0"/>
              <w:bottom w:val="single" w:color="auto" w:sz="4" w:space="0"/>
            </w:tcBorders>
            <w:noWrap w:val="0"/>
            <w:vAlign w:val="center"/>
          </w:tcPr>
          <w:p w14:paraId="4B3427CB">
            <w:pPr>
              <w:spacing w:line="560" w:lineRule="exact"/>
              <w:jc w:val="center"/>
              <w:rPr>
                <w:rFonts w:hint="eastAsia" w:ascii="CESI仿宋-GB2312" w:hAnsi="CESI仿宋-GB2312" w:eastAsia="CESI仿宋-GB2312" w:cs="CESI仿宋-GB2312"/>
                <w:sz w:val="24"/>
                <w:lang w:val="en-US" w:eastAsia="zh-CN"/>
              </w:rPr>
            </w:pPr>
            <w:r>
              <w:rPr>
                <w:rFonts w:hint="eastAsia" w:ascii="CESI仿宋-GB2312" w:hAnsi="CESI仿宋-GB2312" w:eastAsia="CESI仿宋-GB2312" w:cs="CESI仿宋-GB2312"/>
                <w:sz w:val="24"/>
                <w:lang w:val="en-US" w:eastAsia="zh-CN"/>
              </w:rPr>
              <w:t>副大队长</w:t>
            </w:r>
          </w:p>
        </w:tc>
        <w:tc>
          <w:tcPr>
            <w:tcW w:w="1483" w:type="dxa"/>
            <w:tcBorders>
              <w:top w:val="single" w:color="auto" w:sz="4" w:space="0"/>
              <w:left w:val="single" w:color="auto" w:sz="4" w:space="0"/>
              <w:bottom w:val="single" w:color="auto" w:sz="4" w:space="0"/>
            </w:tcBorders>
            <w:noWrap w:val="0"/>
            <w:vAlign w:val="center"/>
          </w:tcPr>
          <w:p w14:paraId="39B26B9E">
            <w:pPr>
              <w:spacing w:line="560" w:lineRule="exact"/>
              <w:jc w:val="center"/>
              <w:rPr>
                <w:rFonts w:hint="eastAsia" w:ascii="CESI仿宋-GB2312" w:hAnsi="CESI仿宋-GB2312" w:eastAsia="CESI仿宋-GB2312" w:cs="CESI仿宋-GB2312"/>
                <w:sz w:val="24"/>
                <w:lang w:val="en-US" w:eastAsia="zh-CN"/>
              </w:rPr>
            </w:pPr>
            <w:r>
              <w:rPr>
                <w:rFonts w:hint="eastAsia" w:ascii="CESI仿宋-GB2312" w:hAnsi="CESI仿宋-GB2312" w:eastAsia="CESI仿宋-GB2312" w:cs="CESI仿宋-GB2312"/>
                <w:sz w:val="24"/>
                <w:lang w:val="en-US" w:eastAsia="zh-CN"/>
              </w:rPr>
              <w:t>25164033</w:t>
            </w:r>
          </w:p>
        </w:tc>
        <w:tc>
          <w:tcPr>
            <w:tcW w:w="1884" w:type="dxa"/>
            <w:tcBorders>
              <w:top w:val="single" w:color="auto" w:sz="4" w:space="0"/>
              <w:left w:val="single" w:color="auto" w:sz="4" w:space="0"/>
              <w:bottom w:val="single" w:color="auto" w:sz="4" w:space="0"/>
            </w:tcBorders>
            <w:noWrap w:val="0"/>
            <w:vAlign w:val="center"/>
          </w:tcPr>
          <w:p w14:paraId="1A4AA0CE">
            <w:pPr>
              <w:spacing w:line="560" w:lineRule="exact"/>
              <w:jc w:val="center"/>
              <w:rPr>
                <w:rFonts w:hint="eastAsia" w:ascii="CESI仿宋-GB2312" w:hAnsi="CESI仿宋-GB2312" w:eastAsia="CESI仿宋-GB2312" w:cs="CESI仿宋-GB2312"/>
                <w:sz w:val="24"/>
                <w:lang w:val="en-US" w:eastAsia="zh-CN"/>
              </w:rPr>
            </w:pPr>
            <w:r>
              <w:rPr>
                <w:rFonts w:hint="eastAsia" w:ascii="CESI仿宋-GB2312" w:hAnsi="CESI仿宋-GB2312" w:eastAsia="CESI仿宋-GB2312" w:cs="CESI仿宋-GB2312"/>
                <w:sz w:val="24"/>
                <w:lang w:val="en-US" w:eastAsia="zh-CN"/>
              </w:rPr>
              <w:t>13923765750</w:t>
            </w:r>
          </w:p>
        </w:tc>
      </w:tr>
      <w:tr w14:paraId="7BC13FE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317" w:hRule="atLeast"/>
          <w:jc w:val="center"/>
        </w:trPr>
        <w:tc>
          <w:tcPr>
            <w:tcW w:w="2994" w:type="dxa"/>
            <w:vMerge w:val="continue"/>
            <w:tcBorders>
              <w:bottom w:val="single" w:color="auto" w:sz="4" w:space="0"/>
              <w:right w:val="single" w:color="auto" w:sz="4" w:space="0"/>
            </w:tcBorders>
            <w:noWrap w:val="0"/>
            <w:vAlign w:val="center"/>
          </w:tcPr>
          <w:p w14:paraId="0C3D0764">
            <w:pPr>
              <w:spacing w:line="560" w:lineRule="exact"/>
              <w:jc w:val="center"/>
              <w:rPr>
                <w:rFonts w:hint="eastAsia" w:ascii="CESI仿宋-GB2312" w:hAnsi="CESI仿宋-GB2312" w:eastAsia="CESI仿宋-GB2312" w:cs="CESI仿宋-GB2312"/>
                <w:sz w:val="24"/>
                <w:lang w:val="en-US" w:eastAsia="zh-CN"/>
              </w:rPr>
            </w:pPr>
          </w:p>
        </w:tc>
        <w:tc>
          <w:tcPr>
            <w:tcW w:w="1842" w:type="dxa"/>
            <w:tcBorders>
              <w:top w:val="single" w:color="auto" w:sz="4" w:space="0"/>
              <w:left w:val="single" w:color="auto" w:sz="4" w:space="0"/>
              <w:bottom w:val="single" w:color="auto" w:sz="4" w:space="0"/>
              <w:right w:val="single" w:color="auto" w:sz="4" w:space="0"/>
            </w:tcBorders>
            <w:noWrap w:val="0"/>
            <w:vAlign w:val="center"/>
          </w:tcPr>
          <w:p w14:paraId="488CB175">
            <w:pPr>
              <w:spacing w:line="560" w:lineRule="exact"/>
              <w:jc w:val="center"/>
              <w:rPr>
                <w:rFonts w:hint="eastAsia" w:ascii="CESI仿宋-GB2312" w:hAnsi="CESI仿宋-GB2312" w:eastAsia="CESI仿宋-GB2312" w:cs="CESI仿宋-GB2312"/>
                <w:sz w:val="24"/>
                <w:lang w:val="en-US" w:eastAsia="zh-CN"/>
              </w:rPr>
            </w:pPr>
            <w:r>
              <w:rPr>
                <w:rFonts w:hint="eastAsia" w:ascii="CESI仿宋-GB2312" w:hAnsi="CESI仿宋-GB2312" w:eastAsia="CESI仿宋-GB2312" w:cs="CESI仿宋-GB2312"/>
                <w:sz w:val="24"/>
                <w:lang w:val="en-US" w:eastAsia="zh-CN"/>
              </w:rPr>
              <w:t>盐田区消防救援大队</w:t>
            </w:r>
          </w:p>
        </w:tc>
        <w:tc>
          <w:tcPr>
            <w:tcW w:w="1335" w:type="dxa"/>
            <w:tcBorders>
              <w:top w:val="single" w:color="auto" w:sz="4" w:space="0"/>
              <w:left w:val="single" w:color="auto" w:sz="4" w:space="0"/>
              <w:bottom w:val="single" w:color="auto" w:sz="4" w:space="0"/>
              <w:right w:val="single" w:color="auto" w:sz="4" w:space="0"/>
            </w:tcBorders>
            <w:noWrap w:val="0"/>
            <w:vAlign w:val="center"/>
          </w:tcPr>
          <w:p w14:paraId="5B79FBFB">
            <w:pPr>
              <w:spacing w:line="560" w:lineRule="exact"/>
              <w:jc w:val="center"/>
              <w:rPr>
                <w:rFonts w:hint="eastAsia" w:ascii="CESI仿宋-GB2312" w:hAnsi="CESI仿宋-GB2312" w:eastAsia="CESI仿宋-GB2312" w:cs="CESI仿宋-GB2312"/>
                <w:sz w:val="24"/>
                <w:lang w:val="en-US" w:eastAsia="zh-CN"/>
              </w:rPr>
            </w:pPr>
            <w:r>
              <w:rPr>
                <w:rFonts w:hint="eastAsia" w:ascii="CESI仿宋-GB2312" w:hAnsi="CESI仿宋-GB2312" w:eastAsia="CESI仿宋-GB2312" w:cs="CESI仿宋-GB2312"/>
                <w:sz w:val="24"/>
                <w:lang w:val="en-US" w:eastAsia="zh-CN"/>
              </w:rPr>
              <w:t>陈嘉伟</w:t>
            </w:r>
          </w:p>
        </w:tc>
        <w:tc>
          <w:tcPr>
            <w:tcW w:w="1843" w:type="dxa"/>
            <w:tcBorders>
              <w:top w:val="single" w:color="auto" w:sz="4" w:space="0"/>
              <w:left w:val="single" w:color="auto" w:sz="4" w:space="0"/>
              <w:bottom w:val="single" w:color="auto" w:sz="4" w:space="0"/>
            </w:tcBorders>
            <w:noWrap w:val="0"/>
            <w:vAlign w:val="center"/>
          </w:tcPr>
          <w:p w14:paraId="5A3A31B6">
            <w:pPr>
              <w:spacing w:line="560" w:lineRule="exact"/>
              <w:jc w:val="center"/>
              <w:rPr>
                <w:rFonts w:hint="eastAsia" w:ascii="CESI仿宋-GB2312" w:hAnsi="CESI仿宋-GB2312" w:eastAsia="CESI仿宋-GB2312" w:cs="CESI仿宋-GB2312"/>
                <w:sz w:val="24"/>
                <w:lang w:val="en-US" w:eastAsia="zh-CN"/>
              </w:rPr>
            </w:pPr>
            <w:r>
              <w:rPr>
                <w:rFonts w:hint="eastAsia" w:ascii="CESI仿宋-GB2312" w:hAnsi="CESI仿宋-GB2312" w:eastAsia="CESI仿宋-GB2312" w:cs="CESI仿宋-GB2312"/>
                <w:sz w:val="24"/>
                <w:lang w:val="en-US" w:eastAsia="zh-CN"/>
              </w:rPr>
              <w:t>副大队长</w:t>
            </w:r>
          </w:p>
        </w:tc>
        <w:tc>
          <w:tcPr>
            <w:tcW w:w="1483" w:type="dxa"/>
            <w:tcBorders>
              <w:top w:val="single" w:color="auto" w:sz="4" w:space="0"/>
              <w:left w:val="single" w:color="auto" w:sz="4" w:space="0"/>
              <w:bottom w:val="single" w:color="auto" w:sz="4" w:space="0"/>
            </w:tcBorders>
            <w:noWrap w:val="0"/>
            <w:vAlign w:val="center"/>
          </w:tcPr>
          <w:p w14:paraId="20067FA0">
            <w:pPr>
              <w:spacing w:line="560" w:lineRule="exact"/>
              <w:jc w:val="center"/>
              <w:rPr>
                <w:rFonts w:hint="eastAsia" w:ascii="CESI仿宋-GB2312" w:hAnsi="CESI仿宋-GB2312" w:eastAsia="CESI仿宋-GB2312" w:cs="CESI仿宋-GB2312"/>
                <w:sz w:val="24"/>
                <w:lang w:val="en-US" w:eastAsia="zh-CN"/>
              </w:rPr>
            </w:pPr>
            <w:r>
              <w:rPr>
                <w:rFonts w:hint="eastAsia" w:ascii="CESI仿宋-GB2312" w:hAnsi="CESI仿宋-GB2312" w:eastAsia="CESI仿宋-GB2312" w:cs="CESI仿宋-GB2312"/>
                <w:sz w:val="24"/>
                <w:lang w:val="en-US" w:eastAsia="zh-CN"/>
              </w:rPr>
              <w:t>-</w:t>
            </w:r>
          </w:p>
        </w:tc>
        <w:tc>
          <w:tcPr>
            <w:tcW w:w="1884" w:type="dxa"/>
            <w:tcBorders>
              <w:top w:val="single" w:color="auto" w:sz="4" w:space="0"/>
              <w:left w:val="single" w:color="auto" w:sz="4" w:space="0"/>
              <w:bottom w:val="single" w:color="auto" w:sz="4" w:space="0"/>
            </w:tcBorders>
            <w:noWrap w:val="0"/>
            <w:vAlign w:val="center"/>
          </w:tcPr>
          <w:p w14:paraId="328E3EBB">
            <w:pPr>
              <w:spacing w:line="560" w:lineRule="exact"/>
              <w:jc w:val="center"/>
              <w:rPr>
                <w:rFonts w:hint="eastAsia" w:ascii="CESI仿宋-GB2312" w:hAnsi="CESI仿宋-GB2312" w:eastAsia="CESI仿宋-GB2312" w:cs="CESI仿宋-GB2312"/>
                <w:sz w:val="24"/>
                <w:lang w:val="en-US" w:eastAsia="zh-CN"/>
              </w:rPr>
            </w:pPr>
            <w:r>
              <w:rPr>
                <w:rFonts w:hint="eastAsia" w:ascii="CESI仿宋-GB2312" w:hAnsi="CESI仿宋-GB2312" w:eastAsia="CESI仿宋-GB2312" w:cs="CESI仿宋-GB2312"/>
                <w:sz w:val="24"/>
                <w:lang w:val="en-US" w:eastAsia="zh-CN"/>
              </w:rPr>
              <w:t>18565866270</w:t>
            </w:r>
          </w:p>
        </w:tc>
      </w:tr>
      <w:tr w14:paraId="57DBA51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90" w:hRule="atLeast"/>
          <w:jc w:val="center"/>
        </w:trPr>
        <w:tc>
          <w:tcPr>
            <w:tcW w:w="2994" w:type="dxa"/>
            <w:vMerge w:val="restart"/>
            <w:tcBorders>
              <w:top w:val="single" w:color="auto" w:sz="4" w:space="0"/>
              <w:right w:val="single" w:color="auto" w:sz="4" w:space="0"/>
            </w:tcBorders>
            <w:noWrap w:val="0"/>
            <w:vAlign w:val="center"/>
          </w:tcPr>
          <w:p w14:paraId="2889E03F">
            <w:pPr>
              <w:spacing w:line="560" w:lineRule="exact"/>
              <w:jc w:val="center"/>
              <w:rPr>
                <w:rFonts w:hint="eastAsia" w:ascii="CESI仿宋-GB2312" w:hAnsi="CESI仿宋-GB2312" w:eastAsia="CESI仿宋-GB2312" w:cs="CESI仿宋-GB2312"/>
                <w:sz w:val="24"/>
                <w:lang w:val="en-US" w:eastAsia="zh-CN"/>
              </w:rPr>
            </w:pPr>
            <w:r>
              <w:rPr>
                <w:rFonts w:hint="eastAsia" w:ascii="CESI仿宋-GB2312" w:hAnsi="CESI仿宋-GB2312" w:eastAsia="CESI仿宋-GB2312" w:cs="CESI仿宋-GB2312"/>
                <w:sz w:val="24"/>
                <w:lang w:val="en-US" w:eastAsia="zh-CN"/>
              </w:rPr>
              <w:t>成员及相关单位联系人</w:t>
            </w:r>
          </w:p>
        </w:tc>
        <w:tc>
          <w:tcPr>
            <w:tcW w:w="1842" w:type="dxa"/>
            <w:tcBorders>
              <w:top w:val="single" w:color="auto" w:sz="4" w:space="0"/>
              <w:left w:val="single" w:color="auto" w:sz="4" w:space="0"/>
              <w:bottom w:val="single" w:color="auto" w:sz="4" w:space="0"/>
              <w:right w:val="single" w:color="auto" w:sz="4" w:space="0"/>
            </w:tcBorders>
            <w:noWrap w:val="0"/>
            <w:vAlign w:val="center"/>
          </w:tcPr>
          <w:p w14:paraId="1E12BB4E">
            <w:pPr>
              <w:spacing w:line="560" w:lineRule="exact"/>
              <w:jc w:val="center"/>
              <w:rPr>
                <w:rFonts w:hint="eastAsia" w:ascii="CESI仿宋-GB2312" w:hAnsi="CESI仿宋-GB2312" w:eastAsia="CESI仿宋-GB2312" w:cs="CESI仿宋-GB2312"/>
                <w:sz w:val="24"/>
                <w:lang w:val="en-US" w:eastAsia="zh-CN"/>
              </w:rPr>
            </w:pPr>
            <w:r>
              <w:rPr>
                <w:rFonts w:hint="eastAsia" w:ascii="CESI仿宋-GB2312" w:hAnsi="CESI仿宋-GB2312" w:eastAsia="CESI仿宋-GB2312" w:cs="CESI仿宋-GB2312"/>
                <w:sz w:val="24"/>
                <w:lang w:val="en-US" w:eastAsia="zh-CN"/>
              </w:rPr>
              <w:t>区委宣传部</w:t>
            </w:r>
          </w:p>
        </w:tc>
        <w:tc>
          <w:tcPr>
            <w:tcW w:w="1335" w:type="dxa"/>
            <w:tcBorders>
              <w:top w:val="single" w:color="auto" w:sz="4" w:space="0"/>
              <w:left w:val="single" w:color="auto" w:sz="4" w:space="0"/>
              <w:bottom w:val="single" w:color="auto" w:sz="4" w:space="0"/>
              <w:right w:val="single" w:color="auto" w:sz="4" w:space="0"/>
            </w:tcBorders>
            <w:noWrap w:val="0"/>
            <w:vAlign w:val="center"/>
          </w:tcPr>
          <w:p w14:paraId="041BC88D">
            <w:pPr>
              <w:spacing w:line="560" w:lineRule="exact"/>
              <w:jc w:val="center"/>
              <w:rPr>
                <w:rFonts w:hint="eastAsia" w:ascii="CESI仿宋-GB2312" w:hAnsi="CESI仿宋-GB2312" w:eastAsia="CESI仿宋-GB2312" w:cs="CESI仿宋-GB2312"/>
                <w:sz w:val="24"/>
                <w:lang w:val="en-US" w:eastAsia="zh-CN"/>
              </w:rPr>
            </w:pPr>
            <w:r>
              <w:rPr>
                <w:rFonts w:hint="eastAsia" w:ascii="CESI仿宋-GB2312" w:hAnsi="CESI仿宋-GB2312" w:eastAsia="CESI仿宋-GB2312" w:cs="CESI仿宋-GB2312"/>
                <w:sz w:val="24"/>
                <w:lang w:val="en-US" w:eastAsia="zh-CN"/>
              </w:rPr>
              <w:t>侯守松</w:t>
            </w:r>
          </w:p>
        </w:tc>
        <w:tc>
          <w:tcPr>
            <w:tcW w:w="1843" w:type="dxa"/>
            <w:tcBorders>
              <w:top w:val="single" w:color="auto" w:sz="4" w:space="0"/>
              <w:left w:val="single" w:color="auto" w:sz="4" w:space="0"/>
              <w:bottom w:val="single" w:color="auto" w:sz="4" w:space="0"/>
            </w:tcBorders>
            <w:noWrap w:val="0"/>
            <w:vAlign w:val="center"/>
          </w:tcPr>
          <w:p w14:paraId="520C8762">
            <w:pPr>
              <w:spacing w:line="560" w:lineRule="exact"/>
              <w:jc w:val="center"/>
              <w:rPr>
                <w:rFonts w:hint="eastAsia" w:ascii="CESI仿宋-GB2312" w:hAnsi="CESI仿宋-GB2312" w:eastAsia="CESI仿宋-GB2312" w:cs="CESI仿宋-GB2312"/>
                <w:sz w:val="24"/>
                <w:lang w:val="en-US" w:eastAsia="zh-CN"/>
              </w:rPr>
            </w:pPr>
            <w:r>
              <w:rPr>
                <w:rFonts w:hint="eastAsia" w:ascii="CESI仿宋-GB2312" w:hAnsi="CESI仿宋-GB2312" w:eastAsia="CESI仿宋-GB2312" w:cs="CESI仿宋-GB2312"/>
                <w:sz w:val="24"/>
                <w:lang w:val="en-US" w:eastAsia="zh-CN"/>
              </w:rPr>
              <w:t>区网信中心副主任</w:t>
            </w:r>
          </w:p>
        </w:tc>
        <w:tc>
          <w:tcPr>
            <w:tcW w:w="1483" w:type="dxa"/>
            <w:tcBorders>
              <w:top w:val="single" w:color="auto" w:sz="4" w:space="0"/>
              <w:left w:val="single" w:color="auto" w:sz="4" w:space="0"/>
              <w:bottom w:val="single" w:color="auto" w:sz="4" w:space="0"/>
            </w:tcBorders>
            <w:noWrap w:val="0"/>
            <w:vAlign w:val="center"/>
          </w:tcPr>
          <w:p w14:paraId="046E4374">
            <w:pPr>
              <w:spacing w:line="560" w:lineRule="exact"/>
              <w:jc w:val="center"/>
              <w:rPr>
                <w:rFonts w:hint="eastAsia" w:ascii="CESI仿宋-GB2312" w:hAnsi="CESI仿宋-GB2312" w:eastAsia="CESI仿宋-GB2312" w:cs="CESI仿宋-GB2312"/>
                <w:sz w:val="24"/>
                <w:lang w:val="en-US" w:eastAsia="zh-CN"/>
              </w:rPr>
            </w:pPr>
          </w:p>
        </w:tc>
        <w:tc>
          <w:tcPr>
            <w:tcW w:w="1884" w:type="dxa"/>
            <w:tcBorders>
              <w:top w:val="single" w:color="auto" w:sz="4" w:space="0"/>
              <w:left w:val="single" w:color="auto" w:sz="4" w:space="0"/>
              <w:bottom w:val="single" w:color="auto" w:sz="4" w:space="0"/>
            </w:tcBorders>
            <w:noWrap w:val="0"/>
            <w:vAlign w:val="center"/>
          </w:tcPr>
          <w:p w14:paraId="51F0D55A">
            <w:pPr>
              <w:spacing w:line="560" w:lineRule="exact"/>
              <w:jc w:val="center"/>
              <w:rPr>
                <w:rFonts w:hint="eastAsia" w:ascii="CESI仿宋-GB2312" w:hAnsi="CESI仿宋-GB2312" w:eastAsia="CESI仿宋-GB2312" w:cs="CESI仿宋-GB2312"/>
                <w:sz w:val="24"/>
                <w:lang w:val="en-US" w:eastAsia="zh-CN"/>
              </w:rPr>
            </w:pPr>
            <w:r>
              <w:rPr>
                <w:rFonts w:hint="eastAsia" w:ascii="CESI仿宋-GB2312" w:hAnsi="CESI仿宋-GB2312" w:eastAsia="CESI仿宋-GB2312" w:cs="CESI仿宋-GB2312"/>
                <w:sz w:val="24"/>
                <w:lang w:val="en-US" w:eastAsia="zh-CN"/>
              </w:rPr>
              <w:t>18312535829</w:t>
            </w:r>
          </w:p>
        </w:tc>
      </w:tr>
      <w:tr w14:paraId="00F7512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317" w:hRule="atLeast"/>
          <w:jc w:val="center"/>
        </w:trPr>
        <w:tc>
          <w:tcPr>
            <w:tcW w:w="2994" w:type="dxa"/>
            <w:vMerge w:val="continue"/>
            <w:tcBorders>
              <w:top w:val="single" w:color="auto" w:sz="4" w:space="0"/>
              <w:right w:val="single" w:color="auto" w:sz="4" w:space="0"/>
            </w:tcBorders>
            <w:noWrap w:val="0"/>
            <w:vAlign w:val="center"/>
          </w:tcPr>
          <w:p w14:paraId="3B6A53F3">
            <w:pPr>
              <w:spacing w:line="560" w:lineRule="exact"/>
              <w:jc w:val="center"/>
              <w:rPr>
                <w:rFonts w:hint="eastAsia" w:ascii="CESI仿宋-GB2312" w:hAnsi="CESI仿宋-GB2312" w:eastAsia="CESI仿宋-GB2312" w:cs="CESI仿宋-GB2312"/>
                <w:sz w:val="24"/>
                <w:lang w:val="en-US" w:eastAsia="zh-CN"/>
              </w:rPr>
            </w:pPr>
          </w:p>
        </w:tc>
        <w:tc>
          <w:tcPr>
            <w:tcW w:w="1842" w:type="dxa"/>
            <w:tcBorders>
              <w:top w:val="single" w:color="auto" w:sz="4" w:space="0"/>
              <w:left w:val="single" w:color="auto" w:sz="4" w:space="0"/>
              <w:bottom w:val="single" w:color="auto" w:sz="4" w:space="0"/>
              <w:right w:val="single" w:color="auto" w:sz="4" w:space="0"/>
            </w:tcBorders>
            <w:noWrap w:val="0"/>
            <w:vAlign w:val="center"/>
          </w:tcPr>
          <w:p w14:paraId="647DEB97">
            <w:pPr>
              <w:spacing w:line="560" w:lineRule="exact"/>
              <w:jc w:val="center"/>
              <w:rPr>
                <w:rFonts w:hint="eastAsia" w:ascii="CESI仿宋-GB2312" w:hAnsi="CESI仿宋-GB2312" w:eastAsia="CESI仿宋-GB2312" w:cs="CESI仿宋-GB2312"/>
                <w:sz w:val="24"/>
                <w:lang w:val="en-US" w:eastAsia="zh-CN"/>
              </w:rPr>
            </w:pPr>
            <w:r>
              <w:rPr>
                <w:rFonts w:hint="eastAsia" w:ascii="CESI仿宋-GB2312" w:hAnsi="CESI仿宋-GB2312" w:eastAsia="CESI仿宋-GB2312" w:cs="CESI仿宋-GB2312"/>
                <w:sz w:val="24"/>
                <w:lang w:val="en-US" w:eastAsia="zh-CN"/>
              </w:rPr>
              <w:t>区发展改革局</w:t>
            </w:r>
          </w:p>
        </w:tc>
        <w:tc>
          <w:tcPr>
            <w:tcW w:w="1335" w:type="dxa"/>
            <w:tcBorders>
              <w:top w:val="single" w:color="auto" w:sz="4" w:space="0"/>
              <w:left w:val="single" w:color="auto" w:sz="4" w:space="0"/>
              <w:bottom w:val="single" w:color="auto" w:sz="4" w:space="0"/>
              <w:right w:val="single" w:color="auto" w:sz="4" w:space="0"/>
            </w:tcBorders>
            <w:noWrap w:val="0"/>
            <w:vAlign w:val="center"/>
          </w:tcPr>
          <w:p w14:paraId="6BCA994D">
            <w:pPr>
              <w:spacing w:line="560" w:lineRule="exact"/>
              <w:jc w:val="center"/>
              <w:rPr>
                <w:rFonts w:hint="eastAsia" w:ascii="CESI仿宋-GB2312" w:hAnsi="CESI仿宋-GB2312" w:eastAsia="CESI仿宋-GB2312" w:cs="CESI仿宋-GB2312"/>
                <w:sz w:val="24"/>
                <w:lang w:val="en-US" w:eastAsia="zh-CN"/>
              </w:rPr>
            </w:pPr>
            <w:r>
              <w:rPr>
                <w:rFonts w:hint="eastAsia" w:ascii="CESI仿宋-GB2312" w:hAnsi="CESI仿宋-GB2312" w:eastAsia="CESI仿宋-GB2312" w:cs="CESI仿宋-GB2312"/>
                <w:sz w:val="24"/>
                <w:lang w:val="en-US" w:eastAsia="zh-CN"/>
              </w:rPr>
              <w:t>张智</w:t>
            </w:r>
          </w:p>
        </w:tc>
        <w:tc>
          <w:tcPr>
            <w:tcW w:w="1843" w:type="dxa"/>
            <w:tcBorders>
              <w:top w:val="single" w:color="auto" w:sz="4" w:space="0"/>
              <w:left w:val="single" w:color="auto" w:sz="4" w:space="0"/>
              <w:bottom w:val="single" w:color="auto" w:sz="4" w:space="0"/>
            </w:tcBorders>
            <w:noWrap w:val="0"/>
            <w:vAlign w:val="center"/>
          </w:tcPr>
          <w:p w14:paraId="6F8B5D82">
            <w:pPr>
              <w:spacing w:line="560" w:lineRule="exact"/>
              <w:jc w:val="center"/>
              <w:rPr>
                <w:rFonts w:hint="eastAsia" w:ascii="CESI仿宋-GB2312" w:hAnsi="CESI仿宋-GB2312" w:eastAsia="CESI仿宋-GB2312" w:cs="CESI仿宋-GB2312"/>
                <w:sz w:val="24"/>
                <w:lang w:val="en-US" w:eastAsia="zh-CN"/>
              </w:rPr>
            </w:pPr>
            <w:r>
              <w:rPr>
                <w:rFonts w:hint="eastAsia" w:ascii="CESI仿宋-GB2312" w:hAnsi="CESI仿宋-GB2312" w:eastAsia="CESI仿宋-GB2312" w:cs="CESI仿宋-GB2312"/>
                <w:sz w:val="24"/>
                <w:lang w:val="en-US" w:eastAsia="zh-CN"/>
              </w:rPr>
              <w:t>区发改局党组成员、副局长</w:t>
            </w:r>
          </w:p>
        </w:tc>
        <w:tc>
          <w:tcPr>
            <w:tcW w:w="1483" w:type="dxa"/>
            <w:tcBorders>
              <w:top w:val="single" w:color="auto" w:sz="4" w:space="0"/>
              <w:left w:val="single" w:color="auto" w:sz="4" w:space="0"/>
              <w:bottom w:val="single" w:color="auto" w:sz="4" w:space="0"/>
            </w:tcBorders>
            <w:noWrap w:val="0"/>
            <w:vAlign w:val="center"/>
          </w:tcPr>
          <w:p w14:paraId="0757139D">
            <w:pPr>
              <w:spacing w:line="560" w:lineRule="exact"/>
              <w:jc w:val="center"/>
              <w:rPr>
                <w:rFonts w:hint="eastAsia" w:ascii="CESI仿宋-GB2312" w:hAnsi="CESI仿宋-GB2312" w:eastAsia="CESI仿宋-GB2312" w:cs="CESI仿宋-GB2312"/>
                <w:sz w:val="24"/>
                <w:lang w:val="en-US" w:eastAsia="zh-CN"/>
              </w:rPr>
            </w:pPr>
            <w:r>
              <w:rPr>
                <w:rFonts w:hint="eastAsia" w:ascii="CESI仿宋-GB2312" w:hAnsi="CESI仿宋-GB2312" w:eastAsia="CESI仿宋-GB2312" w:cs="CESI仿宋-GB2312"/>
                <w:sz w:val="24"/>
                <w:lang w:val="en-US" w:eastAsia="zh-CN"/>
              </w:rPr>
              <w:t>88170908</w:t>
            </w:r>
          </w:p>
        </w:tc>
        <w:tc>
          <w:tcPr>
            <w:tcW w:w="1884" w:type="dxa"/>
            <w:tcBorders>
              <w:top w:val="single" w:color="auto" w:sz="4" w:space="0"/>
              <w:left w:val="single" w:color="auto" w:sz="4" w:space="0"/>
              <w:bottom w:val="single" w:color="auto" w:sz="4" w:space="0"/>
            </w:tcBorders>
            <w:noWrap w:val="0"/>
            <w:vAlign w:val="center"/>
          </w:tcPr>
          <w:p w14:paraId="1CE22017">
            <w:pPr>
              <w:spacing w:line="560" w:lineRule="exact"/>
              <w:jc w:val="center"/>
              <w:rPr>
                <w:rFonts w:hint="eastAsia" w:ascii="CESI仿宋-GB2312" w:hAnsi="CESI仿宋-GB2312" w:eastAsia="CESI仿宋-GB2312" w:cs="CESI仿宋-GB2312"/>
                <w:sz w:val="24"/>
                <w:lang w:val="en-US" w:eastAsia="zh-CN"/>
              </w:rPr>
            </w:pPr>
            <w:r>
              <w:rPr>
                <w:rFonts w:hint="eastAsia" w:ascii="CESI仿宋-GB2312" w:hAnsi="CESI仿宋-GB2312" w:eastAsia="CESI仿宋-GB2312" w:cs="CESI仿宋-GB2312"/>
                <w:sz w:val="24"/>
                <w:lang w:val="en-US" w:eastAsia="zh-CN"/>
              </w:rPr>
              <w:t>13528760689</w:t>
            </w:r>
          </w:p>
        </w:tc>
      </w:tr>
      <w:tr w14:paraId="3C499B3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90" w:hRule="atLeast"/>
          <w:jc w:val="center"/>
        </w:trPr>
        <w:tc>
          <w:tcPr>
            <w:tcW w:w="2994" w:type="dxa"/>
            <w:vMerge w:val="continue"/>
            <w:tcBorders>
              <w:top w:val="single" w:color="auto" w:sz="4" w:space="0"/>
              <w:right w:val="single" w:color="auto" w:sz="4" w:space="0"/>
            </w:tcBorders>
            <w:noWrap w:val="0"/>
            <w:vAlign w:val="center"/>
          </w:tcPr>
          <w:p w14:paraId="77CE1138">
            <w:pPr>
              <w:spacing w:line="560" w:lineRule="exact"/>
              <w:jc w:val="center"/>
              <w:rPr>
                <w:rFonts w:hint="eastAsia" w:ascii="CESI仿宋-GB2312" w:hAnsi="CESI仿宋-GB2312" w:eastAsia="CESI仿宋-GB2312" w:cs="CESI仿宋-GB2312"/>
                <w:sz w:val="24"/>
                <w:lang w:val="en-US" w:eastAsia="zh-CN"/>
              </w:rPr>
            </w:pPr>
          </w:p>
        </w:tc>
        <w:tc>
          <w:tcPr>
            <w:tcW w:w="1842" w:type="dxa"/>
            <w:tcBorders>
              <w:top w:val="single" w:color="auto" w:sz="4" w:space="0"/>
              <w:left w:val="single" w:color="auto" w:sz="4" w:space="0"/>
              <w:bottom w:val="single" w:color="auto" w:sz="4" w:space="0"/>
              <w:right w:val="single" w:color="auto" w:sz="4" w:space="0"/>
            </w:tcBorders>
            <w:noWrap w:val="0"/>
            <w:vAlign w:val="center"/>
          </w:tcPr>
          <w:p w14:paraId="47D74E77">
            <w:pPr>
              <w:spacing w:line="560" w:lineRule="exact"/>
              <w:jc w:val="center"/>
              <w:rPr>
                <w:rFonts w:hint="eastAsia" w:ascii="CESI仿宋-GB2312" w:hAnsi="CESI仿宋-GB2312" w:eastAsia="CESI仿宋-GB2312" w:cs="CESI仿宋-GB2312"/>
                <w:sz w:val="24"/>
                <w:lang w:val="en-US" w:eastAsia="zh-CN"/>
              </w:rPr>
            </w:pPr>
            <w:r>
              <w:rPr>
                <w:rFonts w:hint="eastAsia" w:ascii="CESI仿宋-GB2312" w:hAnsi="CESI仿宋-GB2312" w:eastAsia="CESI仿宋-GB2312" w:cs="CESI仿宋-GB2312"/>
                <w:sz w:val="24"/>
                <w:lang w:val="en-US" w:eastAsia="zh-CN"/>
              </w:rPr>
              <w:t>区教育局</w:t>
            </w:r>
          </w:p>
        </w:tc>
        <w:tc>
          <w:tcPr>
            <w:tcW w:w="1335" w:type="dxa"/>
            <w:tcBorders>
              <w:top w:val="single" w:color="auto" w:sz="4" w:space="0"/>
              <w:left w:val="single" w:color="auto" w:sz="4" w:space="0"/>
              <w:bottom w:val="single" w:color="auto" w:sz="4" w:space="0"/>
              <w:right w:val="single" w:color="auto" w:sz="4" w:space="0"/>
            </w:tcBorders>
            <w:noWrap w:val="0"/>
            <w:vAlign w:val="center"/>
          </w:tcPr>
          <w:p w14:paraId="40E2DC8D">
            <w:pPr>
              <w:spacing w:line="560" w:lineRule="exact"/>
              <w:jc w:val="center"/>
              <w:rPr>
                <w:rFonts w:hint="eastAsia" w:ascii="CESI仿宋-GB2312" w:hAnsi="CESI仿宋-GB2312" w:eastAsia="CESI仿宋-GB2312" w:cs="CESI仿宋-GB2312"/>
                <w:sz w:val="24"/>
                <w:lang w:val="en-US" w:eastAsia="zh-CN"/>
              </w:rPr>
            </w:pPr>
            <w:r>
              <w:rPr>
                <w:rFonts w:hint="eastAsia" w:ascii="CESI仿宋-GB2312" w:hAnsi="CESI仿宋-GB2312" w:eastAsia="CESI仿宋-GB2312" w:cs="CESI仿宋-GB2312"/>
                <w:sz w:val="24"/>
                <w:lang w:val="en-US" w:eastAsia="zh-CN"/>
              </w:rPr>
              <w:t>潘海辉</w:t>
            </w:r>
          </w:p>
        </w:tc>
        <w:tc>
          <w:tcPr>
            <w:tcW w:w="1843" w:type="dxa"/>
            <w:tcBorders>
              <w:top w:val="single" w:color="auto" w:sz="4" w:space="0"/>
              <w:left w:val="single" w:color="auto" w:sz="4" w:space="0"/>
              <w:bottom w:val="single" w:color="auto" w:sz="4" w:space="0"/>
            </w:tcBorders>
            <w:noWrap w:val="0"/>
            <w:vAlign w:val="center"/>
          </w:tcPr>
          <w:p w14:paraId="56B45D5F">
            <w:pPr>
              <w:spacing w:line="560" w:lineRule="exact"/>
              <w:jc w:val="center"/>
              <w:rPr>
                <w:rFonts w:hint="eastAsia" w:ascii="CESI仿宋-GB2312" w:hAnsi="CESI仿宋-GB2312" w:eastAsia="CESI仿宋-GB2312" w:cs="CESI仿宋-GB2312"/>
                <w:sz w:val="24"/>
                <w:lang w:val="en-US" w:eastAsia="zh-CN"/>
              </w:rPr>
            </w:pPr>
            <w:r>
              <w:rPr>
                <w:rFonts w:hint="eastAsia" w:ascii="CESI仿宋-GB2312" w:hAnsi="CESI仿宋-GB2312" w:eastAsia="CESI仿宋-GB2312" w:cs="CESI仿宋-GB2312"/>
                <w:sz w:val="24"/>
                <w:lang w:val="en-US" w:eastAsia="zh-CN"/>
              </w:rPr>
              <w:t>区委教育工委副书记、纪工委书记</w:t>
            </w:r>
          </w:p>
        </w:tc>
        <w:tc>
          <w:tcPr>
            <w:tcW w:w="1483" w:type="dxa"/>
            <w:tcBorders>
              <w:top w:val="single" w:color="auto" w:sz="4" w:space="0"/>
              <w:left w:val="single" w:color="auto" w:sz="4" w:space="0"/>
              <w:bottom w:val="single" w:color="auto" w:sz="4" w:space="0"/>
            </w:tcBorders>
            <w:noWrap w:val="0"/>
            <w:vAlign w:val="center"/>
          </w:tcPr>
          <w:p w14:paraId="1783045F">
            <w:pPr>
              <w:spacing w:line="560" w:lineRule="exact"/>
              <w:jc w:val="center"/>
              <w:rPr>
                <w:rFonts w:hint="eastAsia" w:ascii="CESI仿宋-GB2312" w:hAnsi="CESI仿宋-GB2312" w:eastAsia="CESI仿宋-GB2312" w:cs="CESI仿宋-GB2312"/>
                <w:sz w:val="24"/>
                <w:lang w:val="en-US" w:eastAsia="zh-CN"/>
              </w:rPr>
            </w:pPr>
            <w:r>
              <w:rPr>
                <w:rFonts w:hint="eastAsia" w:ascii="CESI仿宋-GB2312" w:hAnsi="CESI仿宋-GB2312" w:eastAsia="CESI仿宋-GB2312" w:cs="CESI仿宋-GB2312"/>
                <w:sz w:val="24"/>
                <w:lang w:val="en-US" w:eastAsia="zh-CN"/>
              </w:rPr>
              <w:t>25229709</w:t>
            </w:r>
          </w:p>
        </w:tc>
        <w:tc>
          <w:tcPr>
            <w:tcW w:w="1884" w:type="dxa"/>
            <w:tcBorders>
              <w:top w:val="single" w:color="auto" w:sz="4" w:space="0"/>
              <w:left w:val="single" w:color="auto" w:sz="4" w:space="0"/>
              <w:bottom w:val="single" w:color="auto" w:sz="4" w:space="0"/>
            </w:tcBorders>
            <w:noWrap w:val="0"/>
            <w:vAlign w:val="center"/>
          </w:tcPr>
          <w:p w14:paraId="783EB7F2">
            <w:pPr>
              <w:spacing w:line="560" w:lineRule="exact"/>
              <w:jc w:val="center"/>
              <w:rPr>
                <w:rFonts w:hint="eastAsia" w:ascii="CESI仿宋-GB2312" w:hAnsi="CESI仿宋-GB2312" w:eastAsia="CESI仿宋-GB2312" w:cs="CESI仿宋-GB2312"/>
                <w:sz w:val="24"/>
                <w:lang w:val="en-US" w:eastAsia="zh-CN"/>
              </w:rPr>
            </w:pPr>
            <w:r>
              <w:rPr>
                <w:rFonts w:hint="eastAsia" w:ascii="CESI仿宋-GB2312" w:hAnsi="CESI仿宋-GB2312" w:eastAsia="CESI仿宋-GB2312" w:cs="CESI仿宋-GB2312"/>
                <w:sz w:val="24"/>
                <w:lang w:val="en-US" w:eastAsia="zh-CN"/>
              </w:rPr>
              <w:t>13714356909</w:t>
            </w:r>
          </w:p>
        </w:tc>
      </w:tr>
      <w:tr w14:paraId="21A1C2D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317" w:hRule="atLeast"/>
          <w:jc w:val="center"/>
        </w:trPr>
        <w:tc>
          <w:tcPr>
            <w:tcW w:w="2994" w:type="dxa"/>
            <w:vMerge w:val="continue"/>
            <w:tcBorders>
              <w:top w:val="single" w:color="auto" w:sz="4" w:space="0"/>
              <w:right w:val="single" w:color="auto" w:sz="4" w:space="0"/>
            </w:tcBorders>
            <w:noWrap w:val="0"/>
            <w:vAlign w:val="center"/>
          </w:tcPr>
          <w:p w14:paraId="2C54CAB1">
            <w:pPr>
              <w:spacing w:line="560" w:lineRule="exact"/>
              <w:jc w:val="center"/>
              <w:rPr>
                <w:rFonts w:hint="eastAsia" w:ascii="CESI仿宋-GB2312" w:hAnsi="CESI仿宋-GB2312" w:eastAsia="CESI仿宋-GB2312" w:cs="CESI仿宋-GB2312"/>
                <w:sz w:val="24"/>
                <w:lang w:val="en-US" w:eastAsia="zh-CN"/>
              </w:rPr>
            </w:pPr>
          </w:p>
        </w:tc>
        <w:tc>
          <w:tcPr>
            <w:tcW w:w="1842" w:type="dxa"/>
            <w:tcBorders>
              <w:top w:val="single" w:color="auto" w:sz="4" w:space="0"/>
              <w:left w:val="single" w:color="auto" w:sz="4" w:space="0"/>
              <w:bottom w:val="single" w:color="auto" w:sz="4" w:space="0"/>
              <w:right w:val="single" w:color="auto" w:sz="4" w:space="0"/>
            </w:tcBorders>
            <w:noWrap w:val="0"/>
            <w:vAlign w:val="center"/>
          </w:tcPr>
          <w:p w14:paraId="492FAF5E">
            <w:pPr>
              <w:spacing w:line="560" w:lineRule="exact"/>
              <w:jc w:val="center"/>
              <w:rPr>
                <w:rFonts w:hint="eastAsia" w:ascii="CESI仿宋-GB2312" w:hAnsi="CESI仿宋-GB2312" w:eastAsia="CESI仿宋-GB2312" w:cs="CESI仿宋-GB2312"/>
                <w:sz w:val="24"/>
                <w:lang w:val="en-US" w:eastAsia="zh-CN"/>
              </w:rPr>
            </w:pPr>
            <w:r>
              <w:rPr>
                <w:rFonts w:hint="eastAsia" w:ascii="CESI仿宋-GB2312" w:hAnsi="CESI仿宋-GB2312" w:eastAsia="CESI仿宋-GB2312" w:cs="CESI仿宋-GB2312"/>
                <w:sz w:val="24"/>
                <w:lang w:val="en-US" w:eastAsia="zh-CN"/>
              </w:rPr>
              <w:t>区工业和信息化局</w:t>
            </w:r>
          </w:p>
        </w:tc>
        <w:tc>
          <w:tcPr>
            <w:tcW w:w="1335" w:type="dxa"/>
            <w:tcBorders>
              <w:top w:val="single" w:color="auto" w:sz="4" w:space="0"/>
              <w:left w:val="single" w:color="auto" w:sz="4" w:space="0"/>
              <w:bottom w:val="single" w:color="auto" w:sz="4" w:space="0"/>
              <w:right w:val="single" w:color="auto" w:sz="4" w:space="0"/>
            </w:tcBorders>
            <w:noWrap w:val="0"/>
            <w:vAlign w:val="center"/>
          </w:tcPr>
          <w:p w14:paraId="2C01BDCA">
            <w:pPr>
              <w:spacing w:line="560" w:lineRule="exact"/>
              <w:jc w:val="center"/>
              <w:rPr>
                <w:rFonts w:hint="eastAsia" w:ascii="CESI仿宋-GB2312" w:hAnsi="CESI仿宋-GB2312" w:eastAsia="CESI仿宋-GB2312" w:cs="CESI仿宋-GB2312"/>
                <w:sz w:val="24"/>
                <w:lang w:val="en-US" w:eastAsia="zh-CN"/>
              </w:rPr>
            </w:pPr>
            <w:r>
              <w:rPr>
                <w:rFonts w:hint="eastAsia" w:ascii="CESI仿宋-GB2312" w:hAnsi="CESI仿宋-GB2312" w:eastAsia="CESI仿宋-GB2312" w:cs="CESI仿宋-GB2312"/>
                <w:sz w:val="24"/>
                <w:lang w:val="en-US" w:eastAsia="zh-CN"/>
              </w:rPr>
              <w:t>陈锋</w:t>
            </w:r>
          </w:p>
        </w:tc>
        <w:tc>
          <w:tcPr>
            <w:tcW w:w="1843" w:type="dxa"/>
            <w:tcBorders>
              <w:top w:val="single" w:color="auto" w:sz="4" w:space="0"/>
              <w:left w:val="single" w:color="auto" w:sz="4" w:space="0"/>
              <w:bottom w:val="single" w:color="auto" w:sz="4" w:space="0"/>
            </w:tcBorders>
            <w:noWrap w:val="0"/>
            <w:vAlign w:val="center"/>
          </w:tcPr>
          <w:p w14:paraId="1F363746">
            <w:pPr>
              <w:spacing w:line="560" w:lineRule="exact"/>
              <w:jc w:val="center"/>
              <w:rPr>
                <w:rFonts w:hint="eastAsia" w:ascii="CESI仿宋-GB2312" w:hAnsi="CESI仿宋-GB2312" w:eastAsia="CESI仿宋-GB2312" w:cs="CESI仿宋-GB2312"/>
                <w:sz w:val="24"/>
                <w:lang w:val="en-US" w:eastAsia="zh-CN"/>
              </w:rPr>
            </w:pPr>
            <w:r>
              <w:rPr>
                <w:rFonts w:hint="eastAsia" w:ascii="CESI仿宋-GB2312" w:hAnsi="CESI仿宋-GB2312" w:eastAsia="CESI仿宋-GB2312" w:cs="CESI仿宋-GB2312"/>
                <w:sz w:val="24"/>
                <w:lang w:val="en-US" w:eastAsia="zh-CN"/>
              </w:rPr>
              <w:t>安全专干</w:t>
            </w:r>
          </w:p>
        </w:tc>
        <w:tc>
          <w:tcPr>
            <w:tcW w:w="1483" w:type="dxa"/>
            <w:tcBorders>
              <w:top w:val="single" w:color="auto" w:sz="4" w:space="0"/>
              <w:left w:val="single" w:color="auto" w:sz="4" w:space="0"/>
              <w:bottom w:val="single" w:color="auto" w:sz="4" w:space="0"/>
            </w:tcBorders>
            <w:noWrap w:val="0"/>
            <w:vAlign w:val="center"/>
          </w:tcPr>
          <w:p w14:paraId="158A4DD5">
            <w:pPr>
              <w:spacing w:line="560" w:lineRule="exact"/>
              <w:jc w:val="center"/>
              <w:rPr>
                <w:rFonts w:hint="eastAsia" w:ascii="CESI仿宋-GB2312" w:hAnsi="CESI仿宋-GB2312" w:eastAsia="CESI仿宋-GB2312" w:cs="CESI仿宋-GB2312"/>
                <w:sz w:val="24"/>
                <w:lang w:val="en-US" w:eastAsia="zh-CN"/>
              </w:rPr>
            </w:pPr>
            <w:r>
              <w:rPr>
                <w:rFonts w:hint="eastAsia" w:ascii="CESI仿宋-GB2312" w:hAnsi="CESI仿宋-GB2312" w:eastAsia="CESI仿宋-GB2312" w:cs="CESI仿宋-GB2312"/>
                <w:sz w:val="24"/>
                <w:lang w:val="en-US" w:eastAsia="zh-CN"/>
              </w:rPr>
              <w:t>88170991</w:t>
            </w:r>
          </w:p>
        </w:tc>
        <w:tc>
          <w:tcPr>
            <w:tcW w:w="1884" w:type="dxa"/>
            <w:tcBorders>
              <w:top w:val="single" w:color="auto" w:sz="4" w:space="0"/>
              <w:left w:val="single" w:color="auto" w:sz="4" w:space="0"/>
              <w:bottom w:val="single" w:color="auto" w:sz="4" w:space="0"/>
            </w:tcBorders>
            <w:noWrap w:val="0"/>
            <w:vAlign w:val="center"/>
          </w:tcPr>
          <w:p w14:paraId="6EFD039C">
            <w:pPr>
              <w:spacing w:line="560" w:lineRule="exact"/>
              <w:jc w:val="center"/>
              <w:rPr>
                <w:rFonts w:hint="eastAsia" w:ascii="CESI仿宋-GB2312" w:hAnsi="CESI仿宋-GB2312" w:eastAsia="CESI仿宋-GB2312" w:cs="CESI仿宋-GB2312"/>
                <w:sz w:val="24"/>
                <w:lang w:val="en-US" w:eastAsia="zh-CN"/>
              </w:rPr>
            </w:pPr>
            <w:r>
              <w:rPr>
                <w:rFonts w:hint="eastAsia" w:ascii="CESI仿宋-GB2312" w:hAnsi="CESI仿宋-GB2312" w:eastAsia="CESI仿宋-GB2312" w:cs="CESI仿宋-GB2312"/>
                <w:sz w:val="24"/>
                <w:lang w:val="en-US" w:eastAsia="zh-CN"/>
              </w:rPr>
              <w:t>13424325265</w:t>
            </w:r>
          </w:p>
        </w:tc>
      </w:tr>
      <w:tr w14:paraId="322CD9F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317" w:hRule="atLeast"/>
          <w:jc w:val="center"/>
        </w:trPr>
        <w:tc>
          <w:tcPr>
            <w:tcW w:w="2994" w:type="dxa"/>
            <w:vMerge w:val="continue"/>
            <w:tcBorders>
              <w:top w:val="single" w:color="auto" w:sz="4" w:space="0"/>
              <w:right w:val="single" w:color="auto" w:sz="4" w:space="0"/>
            </w:tcBorders>
            <w:noWrap w:val="0"/>
            <w:vAlign w:val="center"/>
          </w:tcPr>
          <w:p w14:paraId="33556293">
            <w:pPr>
              <w:spacing w:line="560" w:lineRule="exact"/>
              <w:jc w:val="center"/>
              <w:rPr>
                <w:rFonts w:hint="eastAsia" w:ascii="CESI仿宋-GB2312" w:hAnsi="CESI仿宋-GB2312" w:eastAsia="CESI仿宋-GB2312" w:cs="CESI仿宋-GB2312"/>
                <w:sz w:val="24"/>
                <w:lang w:val="en-US" w:eastAsia="zh-CN"/>
              </w:rPr>
            </w:pPr>
          </w:p>
        </w:tc>
        <w:tc>
          <w:tcPr>
            <w:tcW w:w="1842" w:type="dxa"/>
            <w:tcBorders>
              <w:top w:val="single" w:color="auto" w:sz="4" w:space="0"/>
              <w:left w:val="single" w:color="auto" w:sz="4" w:space="0"/>
              <w:bottom w:val="single" w:color="auto" w:sz="4" w:space="0"/>
              <w:right w:val="single" w:color="auto" w:sz="4" w:space="0"/>
            </w:tcBorders>
            <w:noWrap w:val="0"/>
            <w:vAlign w:val="center"/>
          </w:tcPr>
          <w:p w14:paraId="0C7F1666">
            <w:pPr>
              <w:spacing w:line="560" w:lineRule="exact"/>
              <w:jc w:val="center"/>
              <w:rPr>
                <w:rFonts w:hint="eastAsia" w:ascii="CESI仿宋-GB2312" w:hAnsi="CESI仿宋-GB2312" w:eastAsia="CESI仿宋-GB2312" w:cs="CESI仿宋-GB2312"/>
                <w:sz w:val="24"/>
                <w:lang w:val="en-US" w:eastAsia="zh-CN"/>
              </w:rPr>
            </w:pPr>
            <w:r>
              <w:rPr>
                <w:rFonts w:hint="eastAsia" w:ascii="CESI仿宋-GB2312" w:hAnsi="CESI仿宋-GB2312" w:eastAsia="CESI仿宋-GB2312" w:cs="CESI仿宋-GB2312"/>
                <w:sz w:val="24"/>
                <w:lang w:val="en-US" w:eastAsia="zh-CN"/>
              </w:rPr>
              <w:t>区民政局（区残联）</w:t>
            </w:r>
          </w:p>
        </w:tc>
        <w:tc>
          <w:tcPr>
            <w:tcW w:w="1335" w:type="dxa"/>
            <w:tcBorders>
              <w:top w:val="single" w:color="auto" w:sz="4" w:space="0"/>
              <w:left w:val="single" w:color="auto" w:sz="4" w:space="0"/>
              <w:bottom w:val="single" w:color="auto" w:sz="4" w:space="0"/>
              <w:right w:val="single" w:color="auto" w:sz="4" w:space="0"/>
            </w:tcBorders>
            <w:noWrap w:val="0"/>
            <w:vAlign w:val="center"/>
          </w:tcPr>
          <w:p w14:paraId="3A60B4BF">
            <w:pPr>
              <w:spacing w:line="560" w:lineRule="exact"/>
              <w:jc w:val="center"/>
              <w:rPr>
                <w:rFonts w:hint="eastAsia" w:ascii="CESI仿宋-GB2312" w:hAnsi="CESI仿宋-GB2312" w:eastAsia="CESI仿宋-GB2312" w:cs="CESI仿宋-GB2312"/>
                <w:sz w:val="24"/>
                <w:lang w:val="en-US" w:eastAsia="zh-CN"/>
              </w:rPr>
            </w:pPr>
            <w:r>
              <w:rPr>
                <w:rFonts w:hint="eastAsia" w:ascii="CESI仿宋-GB2312" w:hAnsi="CESI仿宋-GB2312" w:eastAsia="CESI仿宋-GB2312" w:cs="CESI仿宋-GB2312"/>
                <w:sz w:val="24"/>
                <w:lang w:val="en-US" w:eastAsia="zh-CN"/>
              </w:rPr>
              <w:t>倪天富</w:t>
            </w:r>
          </w:p>
        </w:tc>
        <w:tc>
          <w:tcPr>
            <w:tcW w:w="1843" w:type="dxa"/>
            <w:tcBorders>
              <w:top w:val="single" w:color="auto" w:sz="4" w:space="0"/>
              <w:left w:val="single" w:color="auto" w:sz="4" w:space="0"/>
              <w:bottom w:val="single" w:color="auto" w:sz="4" w:space="0"/>
            </w:tcBorders>
            <w:noWrap w:val="0"/>
            <w:vAlign w:val="center"/>
          </w:tcPr>
          <w:p w14:paraId="021D04B4">
            <w:pPr>
              <w:spacing w:line="560" w:lineRule="exact"/>
              <w:jc w:val="center"/>
              <w:rPr>
                <w:rFonts w:hint="eastAsia" w:ascii="CESI仿宋-GB2312" w:hAnsi="CESI仿宋-GB2312" w:eastAsia="CESI仿宋-GB2312" w:cs="CESI仿宋-GB2312"/>
                <w:sz w:val="24"/>
                <w:lang w:val="en-US" w:eastAsia="zh-CN"/>
              </w:rPr>
            </w:pPr>
            <w:r>
              <w:rPr>
                <w:rFonts w:hint="eastAsia" w:ascii="CESI仿宋-GB2312" w:hAnsi="CESI仿宋-GB2312" w:eastAsia="CESI仿宋-GB2312" w:cs="CESI仿宋-GB2312"/>
                <w:sz w:val="24"/>
                <w:lang w:val="en-US" w:eastAsia="zh-CN"/>
              </w:rPr>
              <w:t>副局长</w:t>
            </w:r>
          </w:p>
        </w:tc>
        <w:tc>
          <w:tcPr>
            <w:tcW w:w="1483" w:type="dxa"/>
            <w:tcBorders>
              <w:top w:val="single" w:color="auto" w:sz="4" w:space="0"/>
              <w:left w:val="single" w:color="auto" w:sz="4" w:space="0"/>
              <w:bottom w:val="single" w:color="auto" w:sz="4" w:space="0"/>
            </w:tcBorders>
            <w:noWrap w:val="0"/>
            <w:vAlign w:val="center"/>
          </w:tcPr>
          <w:p w14:paraId="28261E4B">
            <w:pPr>
              <w:spacing w:line="560" w:lineRule="exact"/>
              <w:jc w:val="center"/>
              <w:rPr>
                <w:rFonts w:hint="eastAsia" w:ascii="CESI仿宋-GB2312" w:hAnsi="CESI仿宋-GB2312" w:eastAsia="CESI仿宋-GB2312" w:cs="CESI仿宋-GB2312"/>
                <w:sz w:val="24"/>
                <w:lang w:val="en-US" w:eastAsia="zh-CN"/>
              </w:rPr>
            </w:pPr>
            <w:r>
              <w:rPr>
                <w:rFonts w:hint="eastAsia" w:ascii="CESI仿宋-GB2312" w:hAnsi="CESI仿宋-GB2312" w:eastAsia="CESI仿宋-GB2312" w:cs="CESI仿宋-GB2312"/>
                <w:sz w:val="24"/>
                <w:lang w:val="en-US" w:eastAsia="zh-CN"/>
              </w:rPr>
              <w:t>22357645</w:t>
            </w:r>
          </w:p>
        </w:tc>
        <w:tc>
          <w:tcPr>
            <w:tcW w:w="1884" w:type="dxa"/>
            <w:tcBorders>
              <w:top w:val="single" w:color="auto" w:sz="4" w:space="0"/>
              <w:left w:val="single" w:color="auto" w:sz="4" w:space="0"/>
              <w:bottom w:val="single" w:color="auto" w:sz="4" w:space="0"/>
            </w:tcBorders>
            <w:noWrap w:val="0"/>
            <w:vAlign w:val="center"/>
          </w:tcPr>
          <w:p w14:paraId="6C3C9F10">
            <w:pPr>
              <w:spacing w:line="560" w:lineRule="exact"/>
              <w:jc w:val="center"/>
              <w:rPr>
                <w:rFonts w:hint="eastAsia" w:ascii="CESI仿宋-GB2312" w:hAnsi="CESI仿宋-GB2312" w:eastAsia="CESI仿宋-GB2312" w:cs="CESI仿宋-GB2312"/>
                <w:sz w:val="24"/>
                <w:lang w:val="en-US" w:eastAsia="zh-CN"/>
              </w:rPr>
            </w:pPr>
            <w:r>
              <w:rPr>
                <w:rFonts w:hint="eastAsia" w:ascii="CESI仿宋-GB2312" w:hAnsi="CESI仿宋-GB2312" w:eastAsia="CESI仿宋-GB2312" w:cs="CESI仿宋-GB2312"/>
                <w:sz w:val="24"/>
                <w:lang w:val="en-US" w:eastAsia="zh-CN"/>
              </w:rPr>
              <w:t>18820253252</w:t>
            </w:r>
          </w:p>
        </w:tc>
      </w:tr>
      <w:tr w14:paraId="647274D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317" w:hRule="atLeast"/>
          <w:jc w:val="center"/>
        </w:trPr>
        <w:tc>
          <w:tcPr>
            <w:tcW w:w="2994" w:type="dxa"/>
            <w:vMerge w:val="continue"/>
            <w:tcBorders>
              <w:top w:val="single" w:color="auto" w:sz="4" w:space="0"/>
              <w:right w:val="single" w:color="auto" w:sz="4" w:space="0"/>
            </w:tcBorders>
            <w:noWrap w:val="0"/>
            <w:vAlign w:val="center"/>
          </w:tcPr>
          <w:p w14:paraId="08A349D0">
            <w:pPr>
              <w:spacing w:line="560" w:lineRule="exact"/>
              <w:jc w:val="center"/>
              <w:rPr>
                <w:rFonts w:hint="eastAsia" w:ascii="CESI仿宋-GB2312" w:hAnsi="CESI仿宋-GB2312" w:eastAsia="CESI仿宋-GB2312" w:cs="CESI仿宋-GB2312"/>
                <w:sz w:val="24"/>
                <w:lang w:val="en-US" w:eastAsia="zh-CN"/>
              </w:rPr>
            </w:pPr>
          </w:p>
        </w:tc>
        <w:tc>
          <w:tcPr>
            <w:tcW w:w="1842" w:type="dxa"/>
            <w:tcBorders>
              <w:top w:val="single" w:color="auto" w:sz="4" w:space="0"/>
              <w:left w:val="single" w:color="auto" w:sz="4" w:space="0"/>
              <w:bottom w:val="single" w:color="auto" w:sz="4" w:space="0"/>
              <w:right w:val="single" w:color="auto" w:sz="4" w:space="0"/>
            </w:tcBorders>
            <w:noWrap w:val="0"/>
            <w:vAlign w:val="center"/>
          </w:tcPr>
          <w:p w14:paraId="43C9769F">
            <w:pPr>
              <w:spacing w:line="560" w:lineRule="exact"/>
              <w:jc w:val="center"/>
              <w:rPr>
                <w:rFonts w:hint="eastAsia" w:ascii="CESI仿宋-GB2312" w:hAnsi="CESI仿宋-GB2312" w:eastAsia="CESI仿宋-GB2312" w:cs="CESI仿宋-GB2312"/>
                <w:sz w:val="24"/>
                <w:lang w:val="en-US" w:eastAsia="zh-CN"/>
              </w:rPr>
            </w:pPr>
            <w:r>
              <w:rPr>
                <w:rFonts w:hint="eastAsia" w:ascii="CESI仿宋-GB2312" w:hAnsi="CESI仿宋-GB2312" w:eastAsia="CESI仿宋-GB2312" w:cs="CESI仿宋-GB2312"/>
                <w:sz w:val="24"/>
                <w:lang w:val="en-US" w:eastAsia="zh-CN"/>
              </w:rPr>
              <w:t>区财政局</w:t>
            </w:r>
          </w:p>
        </w:tc>
        <w:tc>
          <w:tcPr>
            <w:tcW w:w="1335" w:type="dxa"/>
            <w:tcBorders>
              <w:top w:val="single" w:color="auto" w:sz="4" w:space="0"/>
              <w:left w:val="single" w:color="auto" w:sz="4" w:space="0"/>
              <w:bottom w:val="single" w:color="auto" w:sz="4" w:space="0"/>
              <w:right w:val="single" w:color="auto" w:sz="4" w:space="0"/>
            </w:tcBorders>
            <w:noWrap w:val="0"/>
            <w:vAlign w:val="center"/>
          </w:tcPr>
          <w:p w14:paraId="01EDDD03">
            <w:pPr>
              <w:spacing w:line="560" w:lineRule="exact"/>
              <w:jc w:val="center"/>
              <w:rPr>
                <w:rFonts w:hint="eastAsia" w:ascii="CESI仿宋-GB2312" w:hAnsi="CESI仿宋-GB2312" w:eastAsia="CESI仿宋-GB2312" w:cs="CESI仿宋-GB2312"/>
                <w:sz w:val="24"/>
                <w:lang w:val="en-US" w:eastAsia="zh-CN"/>
              </w:rPr>
            </w:pPr>
            <w:r>
              <w:rPr>
                <w:rFonts w:hint="eastAsia" w:ascii="CESI仿宋-GB2312" w:hAnsi="CESI仿宋-GB2312" w:eastAsia="CESI仿宋-GB2312" w:cs="CESI仿宋-GB2312"/>
                <w:sz w:val="24"/>
                <w:lang w:val="en-US" w:eastAsia="zh-CN"/>
              </w:rPr>
              <w:t>胡健驰</w:t>
            </w:r>
          </w:p>
        </w:tc>
        <w:tc>
          <w:tcPr>
            <w:tcW w:w="1843" w:type="dxa"/>
            <w:tcBorders>
              <w:top w:val="single" w:color="auto" w:sz="4" w:space="0"/>
              <w:left w:val="single" w:color="auto" w:sz="4" w:space="0"/>
              <w:bottom w:val="single" w:color="auto" w:sz="4" w:space="0"/>
            </w:tcBorders>
            <w:noWrap w:val="0"/>
            <w:vAlign w:val="center"/>
          </w:tcPr>
          <w:p w14:paraId="517C35D9">
            <w:pPr>
              <w:spacing w:line="560" w:lineRule="exact"/>
              <w:jc w:val="center"/>
              <w:rPr>
                <w:rFonts w:hint="eastAsia" w:ascii="CESI仿宋-GB2312" w:hAnsi="CESI仿宋-GB2312" w:eastAsia="CESI仿宋-GB2312" w:cs="CESI仿宋-GB2312"/>
                <w:sz w:val="24"/>
                <w:lang w:val="en-US" w:eastAsia="zh-CN"/>
              </w:rPr>
            </w:pPr>
            <w:r>
              <w:rPr>
                <w:rFonts w:hint="eastAsia" w:ascii="CESI仿宋-GB2312" w:hAnsi="CESI仿宋-GB2312" w:eastAsia="CESI仿宋-GB2312" w:cs="CESI仿宋-GB2312"/>
                <w:sz w:val="24"/>
                <w:lang w:val="en-US" w:eastAsia="zh-CN"/>
              </w:rPr>
              <w:t>副局长</w:t>
            </w:r>
          </w:p>
        </w:tc>
        <w:tc>
          <w:tcPr>
            <w:tcW w:w="1483" w:type="dxa"/>
            <w:tcBorders>
              <w:top w:val="single" w:color="auto" w:sz="4" w:space="0"/>
              <w:left w:val="single" w:color="auto" w:sz="4" w:space="0"/>
              <w:bottom w:val="single" w:color="auto" w:sz="4" w:space="0"/>
            </w:tcBorders>
            <w:noWrap w:val="0"/>
            <w:vAlign w:val="center"/>
          </w:tcPr>
          <w:p w14:paraId="7A61B258">
            <w:pPr>
              <w:spacing w:line="560" w:lineRule="exact"/>
              <w:jc w:val="center"/>
              <w:rPr>
                <w:rFonts w:hint="eastAsia" w:ascii="CESI仿宋-GB2312" w:hAnsi="CESI仿宋-GB2312" w:eastAsia="CESI仿宋-GB2312" w:cs="CESI仿宋-GB2312"/>
                <w:sz w:val="24"/>
                <w:lang w:val="en-US" w:eastAsia="zh-CN"/>
              </w:rPr>
            </w:pPr>
            <w:r>
              <w:rPr>
                <w:rFonts w:hint="eastAsia" w:ascii="CESI仿宋-GB2312" w:hAnsi="CESI仿宋-GB2312" w:eastAsia="CESI仿宋-GB2312" w:cs="CESI仿宋-GB2312"/>
                <w:sz w:val="24"/>
                <w:lang w:val="en-US" w:eastAsia="zh-CN"/>
              </w:rPr>
              <w:t>88171133</w:t>
            </w:r>
          </w:p>
        </w:tc>
        <w:tc>
          <w:tcPr>
            <w:tcW w:w="1884" w:type="dxa"/>
            <w:tcBorders>
              <w:top w:val="single" w:color="auto" w:sz="4" w:space="0"/>
              <w:left w:val="single" w:color="auto" w:sz="4" w:space="0"/>
              <w:bottom w:val="single" w:color="auto" w:sz="4" w:space="0"/>
            </w:tcBorders>
            <w:noWrap w:val="0"/>
            <w:vAlign w:val="center"/>
          </w:tcPr>
          <w:p w14:paraId="133FD625">
            <w:pPr>
              <w:spacing w:line="560" w:lineRule="exact"/>
              <w:jc w:val="center"/>
              <w:rPr>
                <w:rFonts w:hint="eastAsia" w:ascii="CESI仿宋-GB2312" w:hAnsi="CESI仿宋-GB2312" w:eastAsia="CESI仿宋-GB2312" w:cs="CESI仿宋-GB2312"/>
                <w:sz w:val="24"/>
                <w:lang w:val="en-US" w:eastAsia="zh-CN"/>
              </w:rPr>
            </w:pPr>
            <w:r>
              <w:rPr>
                <w:rFonts w:hint="eastAsia" w:ascii="CESI仿宋-GB2312" w:hAnsi="CESI仿宋-GB2312" w:eastAsia="CESI仿宋-GB2312" w:cs="CESI仿宋-GB2312"/>
                <w:sz w:val="24"/>
                <w:lang w:val="en-US" w:eastAsia="zh-CN"/>
              </w:rPr>
              <w:t>13798200426</w:t>
            </w:r>
          </w:p>
        </w:tc>
      </w:tr>
      <w:tr w14:paraId="038BA49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317" w:hRule="atLeast"/>
          <w:jc w:val="center"/>
        </w:trPr>
        <w:tc>
          <w:tcPr>
            <w:tcW w:w="2994" w:type="dxa"/>
            <w:vMerge w:val="continue"/>
            <w:tcBorders>
              <w:top w:val="single" w:color="auto" w:sz="4" w:space="0"/>
              <w:right w:val="single" w:color="auto" w:sz="4" w:space="0"/>
            </w:tcBorders>
            <w:noWrap w:val="0"/>
            <w:vAlign w:val="center"/>
          </w:tcPr>
          <w:p w14:paraId="598B0396">
            <w:pPr>
              <w:spacing w:line="560" w:lineRule="exact"/>
              <w:jc w:val="center"/>
              <w:rPr>
                <w:rFonts w:hint="eastAsia" w:ascii="CESI仿宋-GB2312" w:hAnsi="CESI仿宋-GB2312" w:eastAsia="CESI仿宋-GB2312" w:cs="CESI仿宋-GB2312"/>
                <w:sz w:val="24"/>
                <w:lang w:val="en-US" w:eastAsia="zh-CN"/>
              </w:rPr>
            </w:pPr>
          </w:p>
        </w:tc>
        <w:tc>
          <w:tcPr>
            <w:tcW w:w="1842" w:type="dxa"/>
            <w:tcBorders>
              <w:top w:val="single" w:color="auto" w:sz="4" w:space="0"/>
              <w:left w:val="single" w:color="auto" w:sz="4" w:space="0"/>
              <w:bottom w:val="single" w:color="auto" w:sz="4" w:space="0"/>
              <w:right w:val="single" w:color="auto" w:sz="4" w:space="0"/>
            </w:tcBorders>
            <w:noWrap w:val="0"/>
            <w:vAlign w:val="center"/>
          </w:tcPr>
          <w:p w14:paraId="4399A132">
            <w:pPr>
              <w:spacing w:line="560" w:lineRule="exact"/>
              <w:jc w:val="center"/>
              <w:rPr>
                <w:rFonts w:hint="eastAsia" w:ascii="CESI仿宋-GB2312" w:hAnsi="CESI仿宋-GB2312" w:eastAsia="CESI仿宋-GB2312" w:cs="CESI仿宋-GB2312"/>
                <w:sz w:val="24"/>
                <w:lang w:val="en-US" w:eastAsia="zh-CN"/>
              </w:rPr>
            </w:pPr>
            <w:r>
              <w:rPr>
                <w:rFonts w:hint="eastAsia" w:ascii="CESI仿宋-GB2312" w:hAnsi="CESI仿宋-GB2312" w:eastAsia="CESI仿宋-GB2312" w:cs="CESI仿宋-GB2312"/>
                <w:sz w:val="24"/>
                <w:lang w:val="en-US" w:eastAsia="zh-CN"/>
              </w:rPr>
              <w:t>区住房建设局</w:t>
            </w:r>
          </w:p>
        </w:tc>
        <w:tc>
          <w:tcPr>
            <w:tcW w:w="1335" w:type="dxa"/>
            <w:tcBorders>
              <w:top w:val="single" w:color="auto" w:sz="4" w:space="0"/>
              <w:left w:val="single" w:color="auto" w:sz="4" w:space="0"/>
              <w:bottom w:val="single" w:color="auto" w:sz="4" w:space="0"/>
              <w:right w:val="single" w:color="auto" w:sz="4" w:space="0"/>
            </w:tcBorders>
            <w:noWrap w:val="0"/>
            <w:vAlign w:val="center"/>
          </w:tcPr>
          <w:p w14:paraId="2681B38A">
            <w:pPr>
              <w:spacing w:line="560" w:lineRule="exact"/>
              <w:jc w:val="center"/>
              <w:rPr>
                <w:rFonts w:hint="eastAsia" w:ascii="CESI仿宋-GB2312" w:hAnsi="CESI仿宋-GB2312" w:eastAsia="CESI仿宋-GB2312" w:cs="CESI仿宋-GB2312"/>
                <w:sz w:val="24"/>
                <w:lang w:val="en" w:eastAsia="zh-CN"/>
              </w:rPr>
            </w:pPr>
            <w:r>
              <w:rPr>
                <w:rFonts w:hint="eastAsia" w:ascii="CESI仿宋-GB2312" w:hAnsi="CESI仿宋-GB2312" w:eastAsia="CESI仿宋-GB2312" w:cs="CESI仿宋-GB2312"/>
                <w:sz w:val="24"/>
                <w:lang w:val="en" w:eastAsia="zh-CN"/>
              </w:rPr>
              <w:t>张泽楷</w:t>
            </w:r>
          </w:p>
        </w:tc>
        <w:tc>
          <w:tcPr>
            <w:tcW w:w="1843" w:type="dxa"/>
            <w:tcBorders>
              <w:top w:val="single" w:color="auto" w:sz="4" w:space="0"/>
              <w:left w:val="single" w:color="auto" w:sz="4" w:space="0"/>
              <w:bottom w:val="single" w:color="auto" w:sz="4" w:space="0"/>
            </w:tcBorders>
            <w:noWrap w:val="0"/>
            <w:vAlign w:val="center"/>
          </w:tcPr>
          <w:p w14:paraId="497E8852">
            <w:pPr>
              <w:spacing w:line="560" w:lineRule="exact"/>
              <w:jc w:val="center"/>
              <w:rPr>
                <w:rFonts w:hint="eastAsia" w:ascii="CESI仿宋-GB2312" w:hAnsi="CESI仿宋-GB2312" w:eastAsia="CESI仿宋-GB2312" w:cs="CESI仿宋-GB2312"/>
                <w:sz w:val="24"/>
                <w:lang w:val="en-US" w:eastAsia="zh-CN"/>
              </w:rPr>
            </w:pPr>
            <w:r>
              <w:rPr>
                <w:rFonts w:hint="eastAsia" w:ascii="CESI仿宋-GB2312" w:hAnsi="CESI仿宋-GB2312" w:eastAsia="CESI仿宋-GB2312" w:cs="CESI仿宋-GB2312"/>
                <w:sz w:val="24"/>
                <w:lang w:val="en-US" w:eastAsia="zh-CN"/>
              </w:rPr>
              <w:t>区住房建设局工程质量安全科科长</w:t>
            </w:r>
          </w:p>
        </w:tc>
        <w:tc>
          <w:tcPr>
            <w:tcW w:w="1483" w:type="dxa"/>
            <w:tcBorders>
              <w:top w:val="single" w:color="auto" w:sz="4" w:space="0"/>
              <w:left w:val="single" w:color="auto" w:sz="4" w:space="0"/>
              <w:bottom w:val="single" w:color="auto" w:sz="4" w:space="0"/>
            </w:tcBorders>
            <w:noWrap w:val="0"/>
            <w:vAlign w:val="center"/>
          </w:tcPr>
          <w:p w14:paraId="64A26B82">
            <w:pPr>
              <w:spacing w:line="560" w:lineRule="exact"/>
              <w:jc w:val="center"/>
              <w:rPr>
                <w:rFonts w:hint="eastAsia" w:ascii="CESI仿宋-GB2312" w:hAnsi="CESI仿宋-GB2312" w:eastAsia="CESI仿宋-GB2312" w:cs="CESI仿宋-GB2312"/>
                <w:sz w:val="24"/>
                <w:lang w:val="en-US" w:eastAsia="zh-CN"/>
              </w:rPr>
            </w:pPr>
            <w:r>
              <w:rPr>
                <w:rFonts w:hint="eastAsia" w:ascii="CESI仿宋-GB2312" w:hAnsi="CESI仿宋-GB2312" w:eastAsia="CESI仿宋-GB2312" w:cs="CESI仿宋-GB2312"/>
                <w:sz w:val="24"/>
                <w:lang w:val="en-US" w:eastAsia="zh-CN"/>
              </w:rPr>
              <w:t>25161460</w:t>
            </w:r>
          </w:p>
        </w:tc>
        <w:tc>
          <w:tcPr>
            <w:tcW w:w="1884" w:type="dxa"/>
            <w:tcBorders>
              <w:top w:val="single" w:color="auto" w:sz="4" w:space="0"/>
              <w:left w:val="single" w:color="auto" w:sz="4" w:space="0"/>
              <w:bottom w:val="single" w:color="auto" w:sz="4" w:space="0"/>
            </w:tcBorders>
            <w:noWrap w:val="0"/>
            <w:vAlign w:val="center"/>
          </w:tcPr>
          <w:p w14:paraId="496692DE">
            <w:pPr>
              <w:spacing w:line="560" w:lineRule="exact"/>
              <w:jc w:val="center"/>
              <w:rPr>
                <w:rFonts w:hint="eastAsia" w:ascii="CESI仿宋-GB2312" w:hAnsi="CESI仿宋-GB2312" w:eastAsia="CESI仿宋-GB2312" w:cs="CESI仿宋-GB2312"/>
                <w:sz w:val="24"/>
                <w:lang w:val="en-US" w:eastAsia="zh-CN"/>
              </w:rPr>
            </w:pPr>
            <w:r>
              <w:rPr>
                <w:rFonts w:hint="eastAsia" w:ascii="CESI仿宋-GB2312" w:hAnsi="CESI仿宋-GB2312" w:eastAsia="CESI仿宋-GB2312" w:cs="CESI仿宋-GB2312"/>
                <w:sz w:val="24"/>
                <w:lang w:val="en-US" w:eastAsia="zh-CN"/>
              </w:rPr>
              <w:t>13823307649</w:t>
            </w:r>
          </w:p>
        </w:tc>
      </w:tr>
      <w:tr w14:paraId="32B50E5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317" w:hRule="atLeast"/>
          <w:jc w:val="center"/>
        </w:trPr>
        <w:tc>
          <w:tcPr>
            <w:tcW w:w="2994" w:type="dxa"/>
            <w:vMerge w:val="continue"/>
            <w:tcBorders>
              <w:right w:val="single" w:color="auto" w:sz="4" w:space="0"/>
            </w:tcBorders>
            <w:noWrap w:val="0"/>
            <w:vAlign w:val="center"/>
          </w:tcPr>
          <w:p w14:paraId="1623BA1D">
            <w:pPr>
              <w:spacing w:line="560" w:lineRule="exact"/>
              <w:jc w:val="center"/>
              <w:rPr>
                <w:rFonts w:hint="eastAsia" w:ascii="CESI仿宋-GB2312" w:hAnsi="CESI仿宋-GB2312" w:eastAsia="CESI仿宋-GB2312" w:cs="CESI仿宋-GB2312"/>
                <w:sz w:val="24"/>
                <w:lang w:val="en-US" w:eastAsia="zh-CN"/>
              </w:rPr>
            </w:pPr>
          </w:p>
        </w:tc>
        <w:tc>
          <w:tcPr>
            <w:tcW w:w="1842" w:type="dxa"/>
            <w:tcBorders>
              <w:top w:val="single" w:color="auto" w:sz="4" w:space="0"/>
              <w:left w:val="single" w:color="auto" w:sz="4" w:space="0"/>
              <w:bottom w:val="single" w:color="auto" w:sz="4" w:space="0"/>
              <w:right w:val="single" w:color="auto" w:sz="4" w:space="0"/>
            </w:tcBorders>
            <w:noWrap w:val="0"/>
            <w:vAlign w:val="center"/>
          </w:tcPr>
          <w:p w14:paraId="5EB275F1">
            <w:pPr>
              <w:spacing w:line="560" w:lineRule="exact"/>
              <w:jc w:val="center"/>
              <w:rPr>
                <w:rFonts w:hint="eastAsia" w:ascii="CESI仿宋-GB2312" w:hAnsi="CESI仿宋-GB2312" w:eastAsia="CESI仿宋-GB2312" w:cs="CESI仿宋-GB2312"/>
                <w:sz w:val="24"/>
                <w:lang w:val="en-US" w:eastAsia="zh-CN"/>
              </w:rPr>
            </w:pPr>
            <w:r>
              <w:rPr>
                <w:rFonts w:hint="eastAsia" w:ascii="CESI仿宋-GB2312" w:hAnsi="CESI仿宋-GB2312" w:eastAsia="CESI仿宋-GB2312" w:cs="CESI仿宋-GB2312"/>
                <w:sz w:val="24"/>
                <w:lang w:val="en-US" w:eastAsia="zh-CN"/>
              </w:rPr>
              <w:t>区水务局</w:t>
            </w:r>
          </w:p>
        </w:tc>
        <w:tc>
          <w:tcPr>
            <w:tcW w:w="1335" w:type="dxa"/>
            <w:tcBorders>
              <w:top w:val="single" w:color="auto" w:sz="4" w:space="0"/>
              <w:left w:val="single" w:color="auto" w:sz="4" w:space="0"/>
              <w:bottom w:val="single" w:color="auto" w:sz="4" w:space="0"/>
              <w:right w:val="single" w:color="auto" w:sz="4" w:space="0"/>
            </w:tcBorders>
            <w:noWrap w:val="0"/>
            <w:vAlign w:val="center"/>
          </w:tcPr>
          <w:p w14:paraId="6441DED5">
            <w:pPr>
              <w:spacing w:line="560" w:lineRule="exact"/>
              <w:jc w:val="center"/>
              <w:rPr>
                <w:rFonts w:hint="eastAsia" w:ascii="CESI仿宋-GB2312" w:hAnsi="CESI仿宋-GB2312" w:eastAsia="CESI仿宋-GB2312" w:cs="CESI仿宋-GB2312"/>
                <w:sz w:val="24"/>
                <w:lang w:val="en" w:eastAsia="zh-CN"/>
              </w:rPr>
            </w:pPr>
            <w:r>
              <w:rPr>
                <w:rFonts w:hint="eastAsia" w:ascii="CESI仿宋-GB2312" w:hAnsi="CESI仿宋-GB2312" w:eastAsia="CESI仿宋-GB2312" w:cs="CESI仿宋-GB2312"/>
                <w:sz w:val="24"/>
                <w:lang w:val="en" w:eastAsia="zh-CN"/>
              </w:rPr>
              <w:t>何元方</w:t>
            </w:r>
          </w:p>
        </w:tc>
        <w:tc>
          <w:tcPr>
            <w:tcW w:w="1843" w:type="dxa"/>
            <w:tcBorders>
              <w:top w:val="single" w:color="auto" w:sz="4" w:space="0"/>
              <w:left w:val="single" w:color="auto" w:sz="4" w:space="0"/>
              <w:bottom w:val="single" w:color="auto" w:sz="4" w:space="0"/>
            </w:tcBorders>
            <w:noWrap w:val="0"/>
            <w:vAlign w:val="center"/>
          </w:tcPr>
          <w:p w14:paraId="361799B7">
            <w:pPr>
              <w:spacing w:line="560" w:lineRule="exact"/>
              <w:jc w:val="center"/>
              <w:rPr>
                <w:rFonts w:hint="eastAsia" w:ascii="CESI仿宋-GB2312" w:hAnsi="CESI仿宋-GB2312" w:eastAsia="CESI仿宋-GB2312" w:cs="CESI仿宋-GB2312"/>
                <w:sz w:val="24"/>
                <w:lang w:val="en" w:eastAsia="zh-CN"/>
              </w:rPr>
            </w:pPr>
            <w:r>
              <w:rPr>
                <w:rFonts w:hint="eastAsia" w:ascii="CESI仿宋-GB2312" w:hAnsi="CESI仿宋-GB2312" w:eastAsia="CESI仿宋-GB2312" w:cs="CESI仿宋-GB2312"/>
                <w:sz w:val="24"/>
                <w:lang w:val="en" w:eastAsia="zh-CN"/>
              </w:rPr>
              <w:t>副局长</w:t>
            </w:r>
          </w:p>
        </w:tc>
        <w:tc>
          <w:tcPr>
            <w:tcW w:w="1483" w:type="dxa"/>
            <w:tcBorders>
              <w:top w:val="single" w:color="auto" w:sz="4" w:space="0"/>
              <w:left w:val="single" w:color="auto" w:sz="4" w:space="0"/>
              <w:bottom w:val="single" w:color="auto" w:sz="4" w:space="0"/>
            </w:tcBorders>
            <w:noWrap w:val="0"/>
            <w:vAlign w:val="center"/>
          </w:tcPr>
          <w:p w14:paraId="4643A298">
            <w:pPr>
              <w:spacing w:line="560" w:lineRule="exact"/>
              <w:jc w:val="center"/>
              <w:rPr>
                <w:rFonts w:hint="eastAsia" w:ascii="CESI仿宋-GB2312" w:hAnsi="CESI仿宋-GB2312" w:eastAsia="CESI仿宋-GB2312" w:cs="CESI仿宋-GB2312"/>
                <w:sz w:val="24"/>
                <w:lang w:val="en" w:eastAsia="zh-CN"/>
              </w:rPr>
            </w:pPr>
            <w:r>
              <w:rPr>
                <w:rFonts w:hint="eastAsia" w:ascii="CESI仿宋-GB2312" w:hAnsi="CESI仿宋-GB2312" w:eastAsia="CESI仿宋-GB2312" w:cs="CESI仿宋-GB2312"/>
                <w:sz w:val="24"/>
                <w:lang w:val="en" w:eastAsia="zh-CN"/>
              </w:rPr>
              <w:t>22357232</w:t>
            </w:r>
          </w:p>
        </w:tc>
        <w:tc>
          <w:tcPr>
            <w:tcW w:w="1884" w:type="dxa"/>
            <w:tcBorders>
              <w:top w:val="single" w:color="auto" w:sz="4" w:space="0"/>
              <w:left w:val="single" w:color="auto" w:sz="4" w:space="0"/>
              <w:bottom w:val="single" w:color="auto" w:sz="4" w:space="0"/>
            </w:tcBorders>
            <w:noWrap w:val="0"/>
            <w:vAlign w:val="center"/>
          </w:tcPr>
          <w:p w14:paraId="1DB88772">
            <w:pPr>
              <w:spacing w:line="560" w:lineRule="exact"/>
              <w:jc w:val="center"/>
              <w:rPr>
                <w:rFonts w:hint="eastAsia" w:ascii="CESI仿宋-GB2312" w:hAnsi="CESI仿宋-GB2312" w:eastAsia="CESI仿宋-GB2312" w:cs="CESI仿宋-GB2312"/>
                <w:sz w:val="24"/>
                <w:lang w:val="en" w:eastAsia="zh-CN"/>
              </w:rPr>
            </w:pPr>
            <w:r>
              <w:rPr>
                <w:rFonts w:hint="eastAsia" w:ascii="CESI仿宋-GB2312" w:hAnsi="CESI仿宋-GB2312" w:eastAsia="CESI仿宋-GB2312" w:cs="CESI仿宋-GB2312"/>
                <w:sz w:val="24"/>
                <w:lang w:val="en" w:eastAsia="zh-CN"/>
              </w:rPr>
              <w:t>13925225975</w:t>
            </w:r>
          </w:p>
        </w:tc>
      </w:tr>
      <w:tr w14:paraId="0137C17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317" w:hRule="atLeast"/>
          <w:jc w:val="center"/>
        </w:trPr>
        <w:tc>
          <w:tcPr>
            <w:tcW w:w="2994" w:type="dxa"/>
            <w:vMerge w:val="continue"/>
            <w:tcBorders>
              <w:right w:val="single" w:color="auto" w:sz="4" w:space="0"/>
            </w:tcBorders>
            <w:noWrap w:val="0"/>
            <w:vAlign w:val="center"/>
          </w:tcPr>
          <w:p w14:paraId="30A7A8CA">
            <w:pPr>
              <w:spacing w:line="560" w:lineRule="exact"/>
              <w:jc w:val="center"/>
              <w:rPr>
                <w:rFonts w:hint="eastAsia" w:ascii="CESI仿宋-GB2312" w:hAnsi="CESI仿宋-GB2312" w:eastAsia="CESI仿宋-GB2312" w:cs="CESI仿宋-GB2312"/>
                <w:sz w:val="24"/>
                <w:lang w:val="en-US" w:eastAsia="zh-CN"/>
              </w:rPr>
            </w:pPr>
          </w:p>
        </w:tc>
        <w:tc>
          <w:tcPr>
            <w:tcW w:w="1842" w:type="dxa"/>
            <w:tcBorders>
              <w:top w:val="single" w:color="auto" w:sz="4" w:space="0"/>
              <w:left w:val="single" w:color="auto" w:sz="4" w:space="0"/>
              <w:bottom w:val="single" w:color="auto" w:sz="4" w:space="0"/>
              <w:right w:val="single" w:color="auto" w:sz="4" w:space="0"/>
            </w:tcBorders>
            <w:noWrap w:val="0"/>
            <w:vAlign w:val="center"/>
          </w:tcPr>
          <w:p w14:paraId="4A1F0440">
            <w:pPr>
              <w:spacing w:line="560" w:lineRule="exact"/>
              <w:jc w:val="center"/>
              <w:rPr>
                <w:rFonts w:hint="eastAsia" w:ascii="CESI仿宋-GB2312" w:hAnsi="CESI仿宋-GB2312" w:eastAsia="CESI仿宋-GB2312" w:cs="CESI仿宋-GB2312"/>
                <w:sz w:val="24"/>
                <w:lang w:val="en-US" w:eastAsia="zh-CN"/>
              </w:rPr>
            </w:pPr>
            <w:r>
              <w:rPr>
                <w:rFonts w:hint="eastAsia" w:ascii="CESI仿宋-GB2312" w:hAnsi="CESI仿宋-GB2312" w:eastAsia="CESI仿宋-GB2312" w:cs="CESI仿宋-GB2312"/>
                <w:sz w:val="24"/>
                <w:lang w:val="en-US" w:eastAsia="zh-CN"/>
              </w:rPr>
              <w:t>区文化广电旅游体育局</w:t>
            </w:r>
          </w:p>
        </w:tc>
        <w:tc>
          <w:tcPr>
            <w:tcW w:w="1335" w:type="dxa"/>
            <w:tcBorders>
              <w:top w:val="single" w:color="auto" w:sz="4" w:space="0"/>
              <w:left w:val="single" w:color="auto" w:sz="4" w:space="0"/>
              <w:bottom w:val="single" w:color="auto" w:sz="4" w:space="0"/>
              <w:right w:val="single" w:color="auto" w:sz="4" w:space="0"/>
            </w:tcBorders>
            <w:noWrap w:val="0"/>
            <w:vAlign w:val="center"/>
          </w:tcPr>
          <w:p w14:paraId="40413297">
            <w:pPr>
              <w:spacing w:line="560" w:lineRule="exact"/>
              <w:jc w:val="center"/>
              <w:rPr>
                <w:rFonts w:hint="eastAsia" w:ascii="CESI仿宋-GB2312" w:hAnsi="CESI仿宋-GB2312" w:eastAsia="CESI仿宋-GB2312" w:cs="CESI仿宋-GB2312"/>
                <w:sz w:val="24"/>
                <w:lang w:val="en-US" w:eastAsia="zh-CN"/>
              </w:rPr>
            </w:pPr>
            <w:r>
              <w:rPr>
                <w:rFonts w:hint="eastAsia" w:ascii="CESI仿宋-GB2312" w:hAnsi="CESI仿宋-GB2312" w:eastAsia="CESI仿宋-GB2312" w:cs="CESI仿宋-GB2312"/>
                <w:sz w:val="24"/>
                <w:lang w:val="en-US" w:eastAsia="zh-CN"/>
              </w:rPr>
              <w:t>戴浩洋</w:t>
            </w:r>
          </w:p>
        </w:tc>
        <w:tc>
          <w:tcPr>
            <w:tcW w:w="1843" w:type="dxa"/>
            <w:tcBorders>
              <w:top w:val="single" w:color="auto" w:sz="4" w:space="0"/>
              <w:left w:val="single" w:color="auto" w:sz="4" w:space="0"/>
              <w:bottom w:val="single" w:color="auto" w:sz="4" w:space="0"/>
            </w:tcBorders>
            <w:noWrap w:val="0"/>
            <w:vAlign w:val="center"/>
          </w:tcPr>
          <w:p w14:paraId="2C1F003F">
            <w:pPr>
              <w:spacing w:line="560" w:lineRule="exact"/>
              <w:jc w:val="center"/>
              <w:rPr>
                <w:rFonts w:hint="eastAsia" w:ascii="CESI仿宋-GB2312" w:hAnsi="CESI仿宋-GB2312" w:eastAsia="CESI仿宋-GB2312" w:cs="CESI仿宋-GB2312"/>
                <w:sz w:val="24"/>
                <w:lang w:val="en-US" w:eastAsia="zh-CN"/>
              </w:rPr>
            </w:pPr>
            <w:r>
              <w:rPr>
                <w:rFonts w:hint="eastAsia" w:ascii="CESI仿宋-GB2312" w:hAnsi="CESI仿宋-GB2312" w:eastAsia="CESI仿宋-GB2312" w:cs="CESI仿宋-GB2312"/>
                <w:sz w:val="24"/>
                <w:lang w:val="en-US" w:eastAsia="zh-CN"/>
              </w:rPr>
              <w:t>区文化广电旅游体育局党组成员、副局长</w:t>
            </w:r>
          </w:p>
        </w:tc>
        <w:tc>
          <w:tcPr>
            <w:tcW w:w="1483" w:type="dxa"/>
            <w:tcBorders>
              <w:top w:val="single" w:color="auto" w:sz="4" w:space="0"/>
              <w:left w:val="single" w:color="auto" w:sz="4" w:space="0"/>
              <w:bottom w:val="single" w:color="auto" w:sz="4" w:space="0"/>
            </w:tcBorders>
            <w:noWrap w:val="0"/>
            <w:vAlign w:val="center"/>
          </w:tcPr>
          <w:p w14:paraId="45DE2E8F">
            <w:pPr>
              <w:spacing w:line="560" w:lineRule="exact"/>
              <w:jc w:val="center"/>
              <w:rPr>
                <w:rFonts w:hint="eastAsia" w:ascii="CESI仿宋-GB2312" w:hAnsi="CESI仿宋-GB2312" w:eastAsia="CESI仿宋-GB2312" w:cs="CESI仿宋-GB2312"/>
                <w:sz w:val="24"/>
                <w:lang w:val="en-US" w:eastAsia="zh-CN"/>
              </w:rPr>
            </w:pPr>
            <w:r>
              <w:rPr>
                <w:rFonts w:hint="eastAsia" w:ascii="CESI仿宋-GB2312" w:hAnsi="CESI仿宋-GB2312" w:eastAsia="CESI仿宋-GB2312" w:cs="CESI仿宋-GB2312"/>
                <w:sz w:val="24"/>
                <w:lang w:val="en-US" w:eastAsia="zh-CN"/>
              </w:rPr>
              <w:t>88171303</w:t>
            </w:r>
          </w:p>
        </w:tc>
        <w:tc>
          <w:tcPr>
            <w:tcW w:w="1884" w:type="dxa"/>
            <w:tcBorders>
              <w:top w:val="single" w:color="auto" w:sz="4" w:space="0"/>
              <w:left w:val="single" w:color="auto" w:sz="4" w:space="0"/>
              <w:bottom w:val="single" w:color="auto" w:sz="4" w:space="0"/>
            </w:tcBorders>
            <w:noWrap w:val="0"/>
            <w:vAlign w:val="center"/>
          </w:tcPr>
          <w:p w14:paraId="6D63FFF1">
            <w:pPr>
              <w:spacing w:line="560" w:lineRule="exact"/>
              <w:jc w:val="center"/>
              <w:rPr>
                <w:rFonts w:hint="eastAsia" w:ascii="CESI仿宋-GB2312" w:hAnsi="CESI仿宋-GB2312" w:eastAsia="CESI仿宋-GB2312" w:cs="CESI仿宋-GB2312"/>
                <w:sz w:val="24"/>
                <w:lang w:val="en-US" w:eastAsia="zh-CN"/>
              </w:rPr>
            </w:pPr>
            <w:r>
              <w:rPr>
                <w:rFonts w:hint="eastAsia" w:ascii="CESI仿宋-GB2312" w:hAnsi="CESI仿宋-GB2312" w:eastAsia="CESI仿宋-GB2312" w:cs="CESI仿宋-GB2312"/>
                <w:sz w:val="24"/>
                <w:lang w:val="en-US" w:eastAsia="zh-CN"/>
              </w:rPr>
              <w:t>13502864665</w:t>
            </w:r>
          </w:p>
        </w:tc>
      </w:tr>
      <w:tr w14:paraId="20FD64B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318" w:hRule="atLeast"/>
          <w:jc w:val="center"/>
        </w:trPr>
        <w:tc>
          <w:tcPr>
            <w:tcW w:w="2994" w:type="dxa"/>
            <w:vMerge w:val="continue"/>
            <w:tcBorders>
              <w:right w:val="single" w:color="auto" w:sz="4" w:space="0"/>
            </w:tcBorders>
            <w:noWrap w:val="0"/>
            <w:vAlign w:val="center"/>
          </w:tcPr>
          <w:p w14:paraId="6A66151F">
            <w:pPr>
              <w:spacing w:line="560" w:lineRule="exact"/>
              <w:jc w:val="center"/>
              <w:rPr>
                <w:rFonts w:hint="eastAsia" w:ascii="CESI仿宋-GB2312" w:hAnsi="CESI仿宋-GB2312" w:eastAsia="CESI仿宋-GB2312" w:cs="CESI仿宋-GB2312"/>
                <w:sz w:val="24"/>
                <w:lang w:val="en-US" w:eastAsia="zh-CN"/>
              </w:rPr>
            </w:pPr>
          </w:p>
        </w:tc>
        <w:tc>
          <w:tcPr>
            <w:tcW w:w="1842" w:type="dxa"/>
            <w:tcBorders>
              <w:top w:val="single" w:color="auto" w:sz="4" w:space="0"/>
              <w:left w:val="single" w:color="auto" w:sz="4" w:space="0"/>
              <w:bottom w:val="single" w:color="auto" w:sz="4" w:space="0"/>
              <w:right w:val="single" w:color="auto" w:sz="4" w:space="0"/>
            </w:tcBorders>
            <w:noWrap w:val="0"/>
            <w:vAlign w:val="center"/>
          </w:tcPr>
          <w:p w14:paraId="4BD26404">
            <w:pPr>
              <w:spacing w:line="560" w:lineRule="exact"/>
              <w:jc w:val="center"/>
              <w:rPr>
                <w:rFonts w:hint="eastAsia" w:ascii="CESI仿宋-GB2312" w:hAnsi="CESI仿宋-GB2312" w:eastAsia="CESI仿宋-GB2312" w:cs="CESI仿宋-GB2312"/>
                <w:sz w:val="24"/>
                <w:lang w:val="en-US" w:eastAsia="zh-CN"/>
              </w:rPr>
            </w:pPr>
            <w:r>
              <w:rPr>
                <w:rFonts w:hint="eastAsia" w:ascii="CESI仿宋-GB2312" w:hAnsi="CESI仿宋-GB2312" w:eastAsia="CESI仿宋-GB2312" w:cs="CESI仿宋-GB2312"/>
                <w:sz w:val="24"/>
                <w:lang w:val="en-US" w:eastAsia="zh-CN"/>
              </w:rPr>
              <w:t>区卫生健康局</w:t>
            </w:r>
          </w:p>
        </w:tc>
        <w:tc>
          <w:tcPr>
            <w:tcW w:w="1335" w:type="dxa"/>
            <w:tcBorders>
              <w:top w:val="single" w:color="auto" w:sz="4" w:space="0"/>
              <w:left w:val="single" w:color="auto" w:sz="4" w:space="0"/>
              <w:bottom w:val="single" w:color="auto" w:sz="4" w:space="0"/>
              <w:right w:val="single" w:color="auto" w:sz="4" w:space="0"/>
            </w:tcBorders>
            <w:noWrap w:val="0"/>
            <w:vAlign w:val="center"/>
          </w:tcPr>
          <w:p w14:paraId="625D09A5">
            <w:pPr>
              <w:spacing w:line="560" w:lineRule="exact"/>
              <w:jc w:val="center"/>
              <w:rPr>
                <w:rFonts w:hint="eastAsia" w:ascii="CESI仿宋-GB2312" w:hAnsi="CESI仿宋-GB2312" w:eastAsia="CESI仿宋-GB2312" w:cs="CESI仿宋-GB2312"/>
                <w:sz w:val="24"/>
                <w:lang w:val="en-US" w:eastAsia="zh-CN"/>
              </w:rPr>
            </w:pPr>
            <w:r>
              <w:rPr>
                <w:rFonts w:hint="eastAsia" w:ascii="CESI仿宋-GB2312" w:hAnsi="CESI仿宋-GB2312" w:eastAsia="CESI仿宋-GB2312" w:cs="CESI仿宋-GB2312"/>
                <w:sz w:val="24"/>
                <w:lang w:val="en-US" w:eastAsia="zh-CN"/>
              </w:rPr>
              <w:t>周灿明</w:t>
            </w:r>
          </w:p>
        </w:tc>
        <w:tc>
          <w:tcPr>
            <w:tcW w:w="1843" w:type="dxa"/>
            <w:tcBorders>
              <w:top w:val="single" w:color="auto" w:sz="4" w:space="0"/>
              <w:left w:val="single" w:color="auto" w:sz="4" w:space="0"/>
              <w:bottom w:val="single" w:color="auto" w:sz="4" w:space="0"/>
            </w:tcBorders>
            <w:noWrap w:val="0"/>
            <w:vAlign w:val="center"/>
          </w:tcPr>
          <w:p w14:paraId="60DE4E00">
            <w:pPr>
              <w:spacing w:line="560" w:lineRule="exact"/>
              <w:jc w:val="center"/>
              <w:rPr>
                <w:rFonts w:hint="eastAsia" w:ascii="CESI仿宋-GB2312" w:hAnsi="CESI仿宋-GB2312" w:eastAsia="CESI仿宋-GB2312" w:cs="CESI仿宋-GB2312"/>
                <w:sz w:val="24"/>
                <w:lang w:val="en-US" w:eastAsia="zh-CN"/>
              </w:rPr>
            </w:pPr>
            <w:r>
              <w:rPr>
                <w:rFonts w:hint="eastAsia" w:ascii="CESI仿宋-GB2312" w:hAnsi="CESI仿宋-GB2312" w:eastAsia="CESI仿宋-GB2312" w:cs="CESI仿宋-GB2312"/>
                <w:sz w:val="24"/>
                <w:lang w:val="en-US" w:eastAsia="zh-CN"/>
              </w:rPr>
              <w:t>副局长</w:t>
            </w:r>
          </w:p>
        </w:tc>
        <w:tc>
          <w:tcPr>
            <w:tcW w:w="1483" w:type="dxa"/>
            <w:tcBorders>
              <w:top w:val="single" w:color="auto" w:sz="4" w:space="0"/>
              <w:left w:val="single" w:color="auto" w:sz="4" w:space="0"/>
              <w:bottom w:val="single" w:color="auto" w:sz="4" w:space="0"/>
            </w:tcBorders>
            <w:noWrap w:val="0"/>
            <w:vAlign w:val="center"/>
          </w:tcPr>
          <w:p w14:paraId="0B92A619">
            <w:pPr>
              <w:spacing w:line="560" w:lineRule="exact"/>
              <w:jc w:val="center"/>
              <w:rPr>
                <w:rFonts w:hint="eastAsia" w:ascii="CESI仿宋-GB2312" w:hAnsi="CESI仿宋-GB2312" w:eastAsia="CESI仿宋-GB2312" w:cs="CESI仿宋-GB2312"/>
                <w:sz w:val="24"/>
                <w:lang w:val="en-US" w:eastAsia="zh-CN"/>
              </w:rPr>
            </w:pPr>
            <w:r>
              <w:rPr>
                <w:rFonts w:hint="eastAsia" w:ascii="CESI仿宋-GB2312" w:hAnsi="CESI仿宋-GB2312" w:eastAsia="CESI仿宋-GB2312" w:cs="CESI仿宋-GB2312"/>
                <w:sz w:val="24"/>
                <w:lang w:val="en-US" w:eastAsia="zh-CN"/>
              </w:rPr>
              <w:t>25228518</w:t>
            </w:r>
          </w:p>
        </w:tc>
        <w:tc>
          <w:tcPr>
            <w:tcW w:w="1884" w:type="dxa"/>
            <w:tcBorders>
              <w:top w:val="single" w:color="auto" w:sz="4" w:space="0"/>
              <w:left w:val="single" w:color="auto" w:sz="4" w:space="0"/>
              <w:bottom w:val="single" w:color="auto" w:sz="4" w:space="0"/>
            </w:tcBorders>
            <w:noWrap w:val="0"/>
            <w:vAlign w:val="center"/>
          </w:tcPr>
          <w:p w14:paraId="0F668A5E">
            <w:pPr>
              <w:spacing w:line="560" w:lineRule="exact"/>
              <w:jc w:val="center"/>
              <w:rPr>
                <w:rFonts w:hint="eastAsia" w:ascii="CESI仿宋-GB2312" w:hAnsi="CESI仿宋-GB2312" w:eastAsia="CESI仿宋-GB2312" w:cs="CESI仿宋-GB2312"/>
                <w:sz w:val="24"/>
                <w:lang w:val="en-US" w:eastAsia="zh-CN"/>
              </w:rPr>
            </w:pPr>
            <w:r>
              <w:rPr>
                <w:rFonts w:hint="eastAsia" w:ascii="CESI仿宋-GB2312" w:hAnsi="CESI仿宋-GB2312" w:eastAsia="CESI仿宋-GB2312" w:cs="CESI仿宋-GB2312"/>
                <w:sz w:val="24"/>
                <w:lang w:val="en-US" w:eastAsia="zh-CN"/>
              </w:rPr>
              <w:t>18820253282</w:t>
            </w:r>
          </w:p>
        </w:tc>
      </w:tr>
      <w:tr w14:paraId="7773489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318" w:hRule="atLeast"/>
          <w:jc w:val="center"/>
        </w:trPr>
        <w:tc>
          <w:tcPr>
            <w:tcW w:w="2994" w:type="dxa"/>
            <w:vMerge w:val="continue"/>
            <w:tcBorders>
              <w:right w:val="single" w:color="auto" w:sz="4" w:space="0"/>
            </w:tcBorders>
            <w:noWrap w:val="0"/>
            <w:vAlign w:val="center"/>
          </w:tcPr>
          <w:p w14:paraId="104DFC19">
            <w:pPr>
              <w:spacing w:line="560" w:lineRule="exact"/>
              <w:jc w:val="center"/>
              <w:rPr>
                <w:rFonts w:hint="eastAsia" w:ascii="CESI仿宋-GB2312" w:hAnsi="CESI仿宋-GB2312" w:eastAsia="CESI仿宋-GB2312" w:cs="CESI仿宋-GB2312"/>
                <w:sz w:val="24"/>
                <w:lang w:val="en-US" w:eastAsia="zh-CN"/>
              </w:rPr>
            </w:pPr>
          </w:p>
        </w:tc>
        <w:tc>
          <w:tcPr>
            <w:tcW w:w="1842" w:type="dxa"/>
            <w:tcBorders>
              <w:top w:val="single" w:color="auto" w:sz="4" w:space="0"/>
              <w:left w:val="single" w:color="auto" w:sz="4" w:space="0"/>
              <w:bottom w:val="single" w:color="auto" w:sz="4" w:space="0"/>
              <w:right w:val="single" w:color="auto" w:sz="4" w:space="0"/>
            </w:tcBorders>
            <w:noWrap w:val="0"/>
            <w:vAlign w:val="center"/>
          </w:tcPr>
          <w:p w14:paraId="037A5C9D">
            <w:pPr>
              <w:spacing w:line="560" w:lineRule="exact"/>
              <w:jc w:val="center"/>
              <w:rPr>
                <w:rFonts w:hint="eastAsia" w:ascii="CESI仿宋-GB2312" w:hAnsi="CESI仿宋-GB2312" w:eastAsia="CESI仿宋-GB2312" w:cs="CESI仿宋-GB2312"/>
                <w:sz w:val="24"/>
                <w:lang w:val="en-US" w:eastAsia="zh-CN"/>
              </w:rPr>
            </w:pPr>
            <w:r>
              <w:rPr>
                <w:rFonts w:hint="eastAsia" w:ascii="CESI仿宋-GB2312" w:hAnsi="CESI仿宋-GB2312" w:eastAsia="CESI仿宋-GB2312" w:cs="CESI仿宋-GB2312"/>
                <w:sz w:val="24"/>
                <w:lang w:val="en-US" w:eastAsia="zh-CN"/>
              </w:rPr>
              <w:t>区应急管理局</w:t>
            </w:r>
          </w:p>
        </w:tc>
        <w:tc>
          <w:tcPr>
            <w:tcW w:w="1335" w:type="dxa"/>
            <w:tcBorders>
              <w:top w:val="single" w:color="auto" w:sz="4" w:space="0"/>
              <w:left w:val="single" w:color="auto" w:sz="4" w:space="0"/>
              <w:bottom w:val="single" w:color="auto" w:sz="4" w:space="0"/>
              <w:right w:val="single" w:color="auto" w:sz="4" w:space="0"/>
            </w:tcBorders>
            <w:noWrap w:val="0"/>
            <w:vAlign w:val="center"/>
          </w:tcPr>
          <w:p w14:paraId="478CC1AC">
            <w:pPr>
              <w:spacing w:line="560" w:lineRule="exact"/>
              <w:jc w:val="center"/>
              <w:rPr>
                <w:rFonts w:hint="eastAsia" w:ascii="CESI仿宋-GB2312" w:hAnsi="CESI仿宋-GB2312" w:eastAsia="CESI仿宋-GB2312" w:cs="CESI仿宋-GB2312"/>
                <w:sz w:val="24"/>
                <w:lang w:val="en-US" w:eastAsia="zh-CN"/>
              </w:rPr>
            </w:pPr>
            <w:r>
              <w:rPr>
                <w:rFonts w:hint="eastAsia" w:ascii="CESI仿宋-GB2312" w:hAnsi="CESI仿宋-GB2312" w:eastAsia="CESI仿宋-GB2312" w:cs="CESI仿宋-GB2312"/>
                <w:sz w:val="24"/>
                <w:lang w:val="en-US" w:eastAsia="zh-CN"/>
              </w:rPr>
              <w:t>罗  鹏</w:t>
            </w:r>
          </w:p>
        </w:tc>
        <w:tc>
          <w:tcPr>
            <w:tcW w:w="1843" w:type="dxa"/>
            <w:tcBorders>
              <w:top w:val="single" w:color="auto" w:sz="4" w:space="0"/>
              <w:left w:val="single" w:color="auto" w:sz="4" w:space="0"/>
              <w:bottom w:val="single" w:color="auto" w:sz="4" w:space="0"/>
            </w:tcBorders>
            <w:noWrap w:val="0"/>
            <w:vAlign w:val="center"/>
          </w:tcPr>
          <w:p w14:paraId="6F0EAD6F">
            <w:pPr>
              <w:spacing w:line="560" w:lineRule="exact"/>
              <w:jc w:val="center"/>
              <w:rPr>
                <w:rFonts w:hint="eastAsia" w:ascii="CESI仿宋-GB2312" w:hAnsi="CESI仿宋-GB2312" w:eastAsia="CESI仿宋-GB2312" w:cs="CESI仿宋-GB2312"/>
                <w:sz w:val="24"/>
                <w:lang w:val="en-US" w:eastAsia="zh-CN"/>
              </w:rPr>
            </w:pPr>
            <w:r>
              <w:rPr>
                <w:rFonts w:hint="eastAsia" w:ascii="CESI仿宋-GB2312" w:hAnsi="CESI仿宋-GB2312" w:eastAsia="CESI仿宋-GB2312" w:cs="CESI仿宋-GB2312"/>
                <w:sz w:val="24"/>
                <w:lang w:val="en-US" w:eastAsia="zh-CN"/>
              </w:rPr>
              <w:t>副局长</w:t>
            </w:r>
          </w:p>
        </w:tc>
        <w:tc>
          <w:tcPr>
            <w:tcW w:w="1483" w:type="dxa"/>
            <w:tcBorders>
              <w:top w:val="single" w:color="auto" w:sz="4" w:space="0"/>
              <w:left w:val="single" w:color="auto" w:sz="4" w:space="0"/>
              <w:bottom w:val="single" w:color="auto" w:sz="4" w:space="0"/>
            </w:tcBorders>
            <w:noWrap w:val="0"/>
            <w:vAlign w:val="center"/>
          </w:tcPr>
          <w:p w14:paraId="569C6768">
            <w:pPr>
              <w:spacing w:line="560" w:lineRule="exact"/>
              <w:jc w:val="center"/>
              <w:rPr>
                <w:rFonts w:hint="eastAsia" w:ascii="CESI仿宋-GB2312" w:hAnsi="CESI仿宋-GB2312" w:eastAsia="CESI仿宋-GB2312" w:cs="CESI仿宋-GB2312"/>
                <w:sz w:val="24"/>
                <w:lang w:val="en-US" w:eastAsia="zh-CN"/>
              </w:rPr>
            </w:pPr>
            <w:r>
              <w:rPr>
                <w:rFonts w:hint="eastAsia" w:ascii="CESI仿宋-GB2312" w:hAnsi="CESI仿宋-GB2312" w:eastAsia="CESI仿宋-GB2312" w:cs="CESI仿宋-GB2312"/>
                <w:sz w:val="24"/>
                <w:lang w:val="en-US" w:eastAsia="zh-CN"/>
              </w:rPr>
              <w:t>88171515</w:t>
            </w:r>
          </w:p>
        </w:tc>
        <w:tc>
          <w:tcPr>
            <w:tcW w:w="1884" w:type="dxa"/>
            <w:tcBorders>
              <w:top w:val="single" w:color="auto" w:sz="4" w:space="0"/>
              <w:left w:val="single" w:color="auto" w:sz="4" w:space="0"/>
              <w:bottom w:val="single" w:color="auto" w:sz="4" w:space="0"/>
            </w:tcBorders>
            <w:noWrap w:val="0"/>
            <w:vAlign w:val="center"/>
          </w:tcPr>
          <w:p w14:paraId="08B240A9">
            <w:pPr>
              <w:spacing w:line="560" w:lineRule="exact"/>
              <w:jc w:val="center"/>
              <w:rPr>
                <w:rFonts w:hint="eastAsia" w:ascii="CESI仿宋-GB2312" w:hAnsi="CESI仿宋-GB2312" w:eastAsia="CESI仿宋-GB2312" w:cs="CESI仿宋-GB2312"/>
                <w:sz w:val="24"/>
                <w:lang w:val="en-US" w:eastAsia="zh-CN"/>
              </w:rPr>
            </w:pPr>
            <w:r>
              <w:rPr>
                <w:rFonts w:hint="eastAsia" w:ascii="CESI仿宋-GB2312" w:hAnsi="CESI仿宋-GB2312" w:eastAsia="CESI仿宋-GB2312" w:cs="CESI仿宋-GB2312"/>
                <w:sz w:val="24"/>
                <w:lang w:val="en-US" w:eastAsia="zh-CN"/>
              </w:rPr>
              <w:t>13828869339</w:t>
            </w:r>
          </w:p>
        </w:tc>
      </w:tr>
      <w:tr w14:paraId="1EEB60B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90" w:hRule="atLeast"/>
          <w:jc w:val="center"/>
        </w:trPr>
        <w:tc>
          <w:tcPr>
            <w:tcW w:w="2994" w:type="dxa"/>
            <w:vMerge w:val="continue"/>
            <w:tcBorders>
              <w:right w:val="single" w:color="auto" w:sz="4" w:space="0"/>
            </w:tcBorders>
            <w:noWrap w:val="0"/>
            <w:vAlign w:val="center"/>
          </w:tcPr>
          <w:p w14:paraId="116C9CE6">
            <w:pPr>
              <w:spacing w:line="560" w:lineRule="exact"/>
              <w:jc w:val="center"/>
              <w:rPr>
                <w:rFonts w:hint="eastAsia" w:ascii="CESI仿宋-GB2312" w:hAnsi="CESI仿宋-GB2312" w:eastAsia="CESI仿宋-GB2312" w:cs="CESI仿宋-GB2312"/>
                <w:sz w:val="24"/>
                <w:lang w:val="en-US" w:eastAsia="zh-CN"/>
              </w:rPr>
            </w:pPr>
          </w:p>
        </w:tc>
        <w:tc>
          <w:tcPr>
            <w:tcW w:w="1842" w:type="dxa"/>
            <w:tcBorders>
              <w:top w:val="single" w:color="auto" w:sz="4" w:space="0"/>
              <w:left w:val="single" w:color="auto" w:sz="4" w:space="0"/>
              <w:bottom w:val="single" w:color="auto" w:sz="4" w:space="0"/>
              <w:right w:val="single" w:color="auto" w:sz="4" w:space="0"/>
            </w:tcBorders>
            <w:noWrap w:val="0"/>
            <w:vAlign w:val="center"/>
          </w:tcPr>
          <w:p w14:paraId="5F6F9788">
            <w:pPr>
              <w:spacing w:line="560" w:lineRule="exact"/>
              <w:jc w:val="center"/>
              <w:rPr>
                <w:rFonts w:hint="eastAsia" w:ascii="CESI仿宋-GB2312" w:hAnsi="CESI仿宋-GB2312" w:eastAsia="CESI仿宋-GB2312" w:cs="CESI仿宋-GB2312"/>
                <w:sz w:val="24"/>
                <w:lang w:val="en-US" w:eastAsia="zh-CN"/>
              </w:rPr>
            </w:pPr>
            <w:r>
              <w:rPr>
                <w:rFonts w:hint="eastAsia" w:ascii="CESI仿宋-GB2312" w:hAnsi="CESI仿宋-GB2312" w:eastAsia="CESI仿宋-GB2312" w:cs="CESI仿宋-GB2312"/>
                <w:sz w:val="24"/>
                <w:lang w:val="en-US" w:eastAsia="zh-CN"/>
              </w:rPr>
              <w:t>区城市管理和综合执法局</w:t>
            </w:r>
          </w:p>
        </w:tc>
        <w:tc>
          <w:tcPr>
            <w:tcW w:w="1335" w:type="dxa"/>
            <w:tcBorders>
              <w:top w:val="single" w:color="auto" w:sz="4" w:space="0"/>
              <w:left w:val="single" w:color="auto" w:sz="4" w:space="0"/>
              <w:bottom w:val="single" w:color="auto" w:sz="4" w:space="0"/>
              <w:right w:val="single" w:color="auto" w:sz="4" w:space="0"/>
            </w:tcBorders>
            <w:noWrap w:val="0"/>
            <w:vAlign w:val="center"/>
          </w:tcPr>
          <w:p w14:paraId="0651ABE8">
            <w:pPr>
              <w:spacing w:line="560" w:lineRule="exact"/>
              <w:jc w:val="center"/>
              <w:rPr>
                <w:rFonts w:hint="eastAsia" w:ascii="CESI仿宋-GB2312" w:hAnsi="CESI仿宋-GB2312" w:eastAsia="CESI仿宋-GB2312" w:cs="CESI仿宋-GB2312"/>
                <w:sz w:val="24"/>
                <w:lang w:val="en-US" w:eastAsia="zh-CN"/>
              </w:rPr>
            </w:pPr>
            <w:r>
              <w:rPr>
                <w:rFonts w:hint="eastAsia" w:ascii="CESI仿宋-GB2312" w:hAnsi="CESI仿宋-GB2312" w:eastAsia="CESI仿宋-GB2312" w:cs="CESI仿宋-GB2312"/>
                <w:sz w:val="24"/>
                <w:lang w:val="en" w:eastAsia="zh-CN"/>
              </w:rPr>
              <w:t>林志明</w:t>
            </w:r>
          </w:p>
        </w:tc>
        <w:tc>
          <w:tcPr>
            <w:tcW w:w="1843" w:type="dxa"/>
            <w:tcBorders>
              <w:top w:val="single" w:color="auto" w:sz="4" w:space="0"/>
              <w:left w:val="single" w:color="auto" w:sz="4" w:space="0"/>
              <w:bottom w:val="single" w:color="auto" w:sz="4" w:space="0"/>
            </w:tcBorders>
            <w:noWrap w:val="0"/>
            <w:vAlign w:val="center"/>
          </w:tcPr>
          <w:p w14:paraId="3FE7ADD3">
            <w:pPr>
              <w:spacing w:line="560" w:lineRule="exact"/>
              <w:jc w:val="center"/>
              <w:rPr>
                <w:rFonts w:hint="eastAsia" w:ascii="CESI仿宋-GB2312" w:hAnsi="CESI仿宋-GB2312" w:eastAsia="CESI仿宋-GB2312" w:cs="CESI仿宋-GB2312"/>
                <w:sz w:val="24"/>
                <w:lang w:val="en-US" w:eastAsia="zh-CN"/>
              </w:rPr>
            </w:pPr>
            <w:r>
              <w:rPr>
                <w:rFonts w:hint="eastAsia" w:ascii="CESI仿宋-GB2312" w:hAnsi="CESI仿宋-GB2312" w:eastAsia="CESI仿宋-GB2312" w:cs="CESI仿宋-GB2312"/>
                <w:sz w:val="24"/>
                <w:lang w:val="en" w:eastAsia="zh-CN"/>
              </w:rPr>
              <w:t>副局长</w:t>
            </w:r>
          </w:p>
        </w:tc>
        <w:tc>
          <w:tcPr>
            <w:tcW w:w="1483" w:type="dxa"/>
            <w:tcBorders>
              <w:top w:val="single" w:color="auto" w:sz="4" w:space="0"/>
              <w:left w:val="single" w:color="auto" w:sz="4" w:space="0"/>
              <w:bottom w:val="single" w:color="auto" w:sz="4" w:space="0"/>
            </w:tcBorders>
            <w:noWrap w:val="0"/>
            <w:vAlign w:val="center"/>
          </w:tcPr>
          <w:p w14:paraId="5D938875">
            <w:pPr>
              <w:spacing w:line="560" w:lineRule="exact"/>
              <w:jc w:val="center"/>
              <w:rPr>
                <w:rFonts w:hint="eastAsia" w:ascii="CESI仿宋-GB2312" w:hAnsi="CESI仿宋-GB2312" w:eastAsia="CESI仿宋-GB2312" w:cs="CESI仿宋-GB2312"/>
                <w:sz w:val="24"/>
                <w:lang w:val="en-US" w:eastAsia="zh-CN"/>
              </w:rPr>
            </w:pPr>
            <w:r>
              <w:rPr>
                <w:rFonts w:hint="eastAsia" w:ascii="CESI仿宋-GB2312" w:hAnsi="CESI仿宋-GB2312" w:eastAsia="CESI仿宋-GB2312" w:cs="CESI仿宋-GB2312"/>
                <w:sz w:val="24"/>
                <w:lang w:val="en" w:eastAsia="zh-CN"/>
              </w:rPr>
              <w:t>25228419</w:t>
            </w:r>
          </w:p>
        </w:tc>
        <w:tc>
          <w:tcPr>
            <w:tcW w:w="1884" w:type="dxa"/>
            <w:tcBorders>
              <w:top w:val="single" w:color="auto" w:sz="4" w:space="0"/>
              <w:left w:val="single" w:color="auto" w:sz="4" w:space="0"/>
              <w:bottom w:val="single" w:color="auto" w:sz="4" w:space="0"/>
            </w:tcBorders>
            <w:noWrap w:val="0"/>
            <w:vAlign w:val="center"/>
          </w:tcPr>
          <w:p w14:paraId="5B45AC1E">
            <w:pPr>
              <w:spacing w:line="560" w:lineRule="exact"/>
              <w:jc w:val="center"/>
              <w:rPr>
                <w:rFonts w:hint="eastAsia" w:ascii="CESI仿宋-GB2312" w:hAnsi="CESI仿宋-GB2312" w:eastAsia="CESI仿宋-GB2312" w:cs="CESI仿宋-GB2312"/>
                <w:sz w:val="24"/>
                <w:lang w:val="en-US" w:eastAsia="zh-CN"/>
              </w:rPr>
            </w:pPr>
            <w:r>
              <w:rPr>
                <w:rFonts w:hint="eastAsia" w:ascii="CESI仿宋-GB2312" w:hAnsi="CESI仿宋-GB2312" w:eastAsia="CESI仿宋-GB2312" w:cs="CESI仿宋-GB2312"/>
                <w:sz w:val="24"/>
                <w:lang w:val="en" w:eastAsia="zh-CN"/>
              </w:rPr>
              <w:t>13501573842</w:t>
            </w:r>
          </w:p>
        </w:tc>
      </w:tr>
      <w:tr w14:paraId="298CB0B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318" w:hRule="atLeast"/>
          <w:jc w:val="center"/>
        </w:trPr>
        <w:tc>
          <w:tcPr>
            <w:tcW w:w="2994" w:type="dxa"/>
            <w:vMerge w:val="continue"/>
            <w:tcBorders>
              <w:right w:val="single" w:color="auto" w:sz="4" w:space="0"/>
            </w:tcBorders>
            <w:noWrap w:val="0"/>
            <w:vAlign w:val="center"/>
          </w:tcPr>
          <w:p w14:paraId="6FBB79F8">
            <w:pPr>
              <w:spacing w:line="560" w:lineRule="exact"/>
              <w:jc w:val="center"/>
              <w:rPr>
                <w:rFonts w:hint="eastAsia" w:ascii="CESI仿宋-GB2312" w:hAnsi="CESI仿宋-GB2312" w:eastAsia="CESI仿宋-GB2312" w:cs="CESI仿宋-GB2312"/>
                <w:sz w:val="24"/>
                <w:lang w:val="en-US" w:eastAsia="zh-CN"/>
              </w:rPr>
            </w:pPr>
          </w:p>
        </w:tc>
        <w:tc>
          <w:tcPr>
            <w:tcW w:w="1842" w:type="dxa"/>
            <w:tcBorders>
              <w:top w:val="single" w:color="auto" w:sz="4" w:space="0"/>
              <w:left w:val="single" w:color="auto" w:sz="4" w:space="0"/>
              <w:bottom w:val="single" w:color="auto" w:sz="4" w:space="0"/>
              <w:right w:val="single" w:color="auto" w:sz="4" w:space="0"/>
            </w:tcBorders>
            <w:noWrap w:val="0"/>
            <w:vAlign w:val="center"/>
          </w:tcPr>
          <w:p w14:paraId="097653A6">
            <w:pPr>
              <w:spacing w:line="560" w:lineRule="exact"/>
              <w:jc w:val="center"/>
              <w:rPr>
                <w:rFonts w:hint="eastAsia" w:ascii="CESI仿宋-GB2312" w:hAnsi="CESI仿宋-GB2312" w:eastAsia="CESI仿宋-GB2312" w:cs="CESI仿宋-GB2312"/>
                <w:sz w:val="24"/>
                <w:lang w:val="en-US" w:eastAsia="zh-CN"/>
              </w:rPr>
            </w:pPr>
            <w:r>
              <w:rPr>
                <w:rFonts w:hint="eastAsia" w:ascii="CESI仿宋-GB2312" w:hAnsi="CESI仿宋-GB2312" w:eastAsia="CESI仿宋-GB2312" w:cs="CESI仿宋-GB2312"/>
                <w:sz w:val="24"/>
                <w:lang w:val="en-US" w:eastAsia="zh-CN"/>
              </w:rPr>
              <w:t>区建筑工程事务署</w:t>
            </w:r>
          </w:p>
        </w:tc>
        <w:tc>
          <w:tcPr>
            <w:tcW w:w="1335" w:type="dxa"/>
            <w:tcBorders>
              <w:top w:val="single" w:color="auto" w:sz="4" w:space="0"/>
              <w:left w:val="single" w:color="auto" w:sz="4" w:space="0"/>
              <w:bottom w:val="single" w:color="auto" w:sz="4" w:space="0"/>
              <w:right w:val="single" w:color="auto" w:sz="4" w:space="0"/>
            </w:tcBorders>
            <w:noWrap w:val="0"/>
            <w:vAlign w:val="center"/>
          </w:tcPr>
          <w:p w14:paraId="786E2428">
            <w:pPr>
              <w:spacing w:line="560" w:lineRule="exact"/>
              <w:jc w:val="center"/>
              <w:rPr>
                <w:rFonts w:hint="eastAsia" w:ascii="CESI仿宋-GB2312" w:hAnsi="CESI仿宋-GB2312" w:eastAsia="CESI仿宋-GB2312" w:cs="CESI仿宋-GB2312"/>
                <w:sz w:val="24"/>
                <w:lang w:val="en-US" w:eastAsia="zh-CN"/>
              </w:rPr>
            </w:pPr>
            <w:r>
              <w:rPr>
                <w:rFonts w:hint="eastAsia" w:ascii="CESI仿宋-GB2312" w:hAnsi="CESI仿宋-GB2312" w:eastAsia="CESI仿宋-GB2312" w:cs="CESI仿宋-GB2312"/>
                <w:sz w:val="24"/>
                <w:lang w:val="en-US" w:eastAsia="zh-CN"/>
              </w:rPr>
              <w:t>李骥</w:t>
            </w:r>
          </w:p>
        </w:tc>
        <w:tc>
          <w:tcPr>
            <w:tcW w:w="1843" w:type="dxa"/>
            <w:tcBorders>
              <w:top w:val="single" w:color="auto" w:sz="4" w:space="0"/>
              <w:left w:val="single" w:color="auto" w:sz="4" w:space="0"/>
              <w:bottom w:val="single" w:color="auto" w:sz="4" w:space="0"/>
            </w:tcBorders>
            <w:noWrap w:val="0"/>
            <w:vAlign w:val="center"/>
          </w:tcPr>
          <w:p w14:paraId="6798CFF0">
            <w:pPr>
              <w:spacing w:line="560" w:lineRule="exact"/>
              <w:jc w:val="center"/>
              <w:rPr>
                <w:rFonts w:hint="eastAsia" w:ascii="CESI仿宋-GB2312" w:hAnsi="CESI仿宋-GB2312" w:eastAsia="CESI仿宋-GB2312" w:cs="CESI仿宋-GB2312"/>
                <w:sz w:val="24"/>
                <w:lang w:val="en-US" w:eastAsia="zh-CN"/>
              </w:rPr>
            </w:pPr>
            <w:r>
              <w:rPr>
                <w:rFonts w:hint="eastAsia" w:ascii="CESI仿宋-GB2312" w:hAnsi="CESI仿宋-GB2312" w:eastAsia="CESI仿宋-GB2312" w:cs="CESI仿宋-GB2312"/>
                <w:sz w:val="24"/>
                <w:lang w:val="en-US" w:eastAsia="zh-CN"/>
              </w:rPr>
              <w:t>副署长</w:t>
            </w:r>
          </w:p>
        </w:tc>
        <w:tc>
          <w:tcPr>
            <w:tcW w:w="1483" w:type="dxa"/>
            <w:tcBorders>
              <w:top w:val="single" w:color="auto" w:sz="4" w:space="0"/>
              <w:left w:val="single" w:color="auto" w:sz="4" w:space="0"/>
              <w:bottom w:val="single" w:color="auto" w:sz="4" w:space="0"/>
            </w:tcBorders>
            <w:noWrap w:val="0"/>
            <w:vAlign w:val="center"/>
          </w:tcPr>
          <w:p w14:paraId="29C6B98A">
            <w:pPr>
              <w:spacing w:line="560" w:lineRule="exact"/>
              <w:jc w:val="center"/>
              <w:rPr>
                <w:rFonts w:hint="eastAsia" w:ascii="CESI仿宋-GB2312" w:hAnsi="CESI仿宋-GB2312" w:eastAsia="CESI仿宋-GB2312" w:cs="CESI仿宋-GB2312"/>
                <w:sz w:val="24"/>
                <w:lang w:val="en-US" w:eastAsia="zh-CN"/>
              </w:rPr>
            </w:pPr>
            <w:r>
              <w:rPr>
                <w:rFonts w:hint="eastAsia" w:ascii="CESI仿宋-GB2312" w:hAnsi="CESI仿宋-GB2312" w:eastAsia="CESI仿宋-GB2312" w:cs="CESI仿宋-GB2312"/>
                <w:sz w:val="24"/>
                <w:lang w:val="en-US" w:eastAsia="zh-CN"/>
              </w:rPr>
              <w:t>22320399</w:t>
            </w:r>
          </w:p>
        </w:tc>
        <w:tc>
          <w:tcPr>
            <w:tcW w:w="1884" w:type="dxa"/>
            <w:tcBorders>
              <w:top w:val="single" w:color="auto" w:sz="4" w:space="0"/>
              <w:left w:val="single" w:color="auto" w:sz="4" w:space="0"/>
              <w:bottom w:val="single" w:color="auto" w:sz="4" w:space="0"/>
            </w:tcBorders>
            <w:noWrap w:val="0"/>
            <w:vAlign w:val="center"/>
          </w:tcPr>
          <w:p w14:paraId="01A6D8AF">
            <w:pPr>
              <w:spacing w:line="560" w:lineRule="exact"/>
              <w:jc w:val="center"/>
              <w:rPr>
                <w:rFonts w:hint="eastAsia" w:ascii="CESI仿宋-GB2312" w:hAnsi="CESI仿宋-GB2312" w:eastAsia="CESI仿宋-GB2312" w:cs="CESI仿宋-GB2312"/>
                <w:sz w:val="24"/>
                <w:lang w:val="en-US" w:eastAsia="zh-CN"/>
              </w:rPr>
            </w:pPr>
            <w:r>
              <w:rPr>
                <w:rFonts w:hint="eastAsia" w:ascii="CESI仿宋-GB2312" w:hAnsi="CESI仿宋-GB2312" w:eastAsia="CESI仿宋-GB2312" w:cs="CESI仿宋-GB2312"/>
                <w:sz w:val="24"/>
                <w:lang w:val="en-US" w:eastAsia="zh-CN"/>
              </w:rPr>
              <w:t>15012552885</w:t>
            </w:r>
          </w:p>
        </w:tc>
      </w:tr>
      <w:tr w14:paraId="4EA5032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318" w:hRule="atLeast"/>
          <w:jc w:val="center"/>
        </w:trPr>
        <w:tc>
          <w:tcPr>
            <w:tcW w:w="2994" w:type="dxa"/>
            <w:vMerge w:val="continue"/>
            <w:tcBorders>
              <w:right w:val="single" w:color="auto" w:sz="4" w:space="0"/>
            </w:tcBorders>
            <w:noWrap w:val="0"/>
            <w:vAlign w:val="center"/>
          </w:tcPr>
          <w:p w14:paraId="22A84E29">
            <w:pPr>
              <w:spacing w:line="560" w:lineRule="exact"/>
              <w:jc w:val="center"/>
              <w:rPr>
                <w:rFonts w:hint="eastAsia" w:ascii="CESI仿宋-GB2312" w:hAnsi="CESI仿宋-GB2312" w:eastAsia="CESI仿宋-GB2312" w:cs="CESI仿宋-GB2312"/>
                <w:sz w:val="24"/>
                <w:lang w:val="en-US" w:eastAsia="zh-CN"/>
              </w:rPr>
            </w:pPr>
          </w:p>
        </w:tc>
        <w:tc>
          <w:tcPr>
            <w:tcW w:w="1842" w:type="dxa"/>
            <w:tcBorders>
              <w:top w:val="single" w:color="auto" w:sz="4" w:space="0"/>
              <w:left w:val="single" w:color="auto" w:sz="4" w:space="0"/>
              <w:bottom w:val="single" w:color="auto" w:sz="4" w:space="0"/>
              <w:right w:val="single" w:color="auto" w:sz="4" w:space="0"/>
            </w:tcBorders>
            <w:noWrap w:val="0"/>
            <w:vAlign w:val="center"/>
          </w:tcPr>
          <w:p w14:paraId="7A2DDCBF">
            <w:pPr>
              <w:spacing w:line="560" w:lineRule="exact"/>
              <w:jc w:val="center"/>
              <w:rPr>
                <w:rFonts w:hint="eastAsia" w:ascii="CESI仿宋-GB2312" w:hAnsi="CESI仿宋-GB2312" w:eastAsia="CESI仿宋-GB2312" w:cs="CESI仿宋-GB2312"/>
                <w:sz w:val="24"/>
                <w:lang w:val="en-US" w:eastAsia="zh-CN"/>
              </w:rPr>
            </w:pPr>
            <w:r>
              <w:rPr>
                <w:rFonts w:hint="eastAsia" w:ascii="CESI仿宋-GB2312" w:hAnsi="CESI仿宋-GB2312" w:eastAsia="CESI仿宋-GB2312" w:cs="CESI仿宋-GB2312"/>
                <w:sz w:val="24"/>
                <w:lang w:val="en-US" w:eastAsia="zh-CN"/>
              </w:rPr>
              <w:t>区人武部</w:t>
            </w:r>
          </w:p>
        </w:tc>
        <w:tc>
          <w:tcPr>
            <w:tcW w:w="1335" w:type="dxa"/>
            <w:tcBorders>
              <w:top w:val="single" w:color="auto" w:sz="4" w:space="0"/>
              <w:left w:val="single" w:color="auto" w:sz="4" w:space="0"/>
              <w:bottom w:val="single" w:color="auto" w:sz="4" w:space="0"/>
              <w:right w:val="single" w:color="auto" w:sz="4" w:space="0"/>
            </w:tcBorders>
            <w:noWrap w:val="0"/>
            <w:vAlign w:val="center"/>
          </w:tcPr>
          <w:p w14:paraId="7FD7444B">
            <w:pPr>
              <w:spacing w:line="560" w:lineRule="exact"/>
              <w:jc w:val="center"/>
              <w:rPr>
                <w:rFonts w:hint="eastAsia" w:ascii="CESI仿宋-GB2312" w:hAnsi="CESI仿宋-GB2312" w:eastAsia="CESI仿宋-GB2312" w:cs="CESI仿宋-GB2312"/>
                <w:sz w:val="24"/>
                <w:lang w:val="en-US" w:eastAsia="zh-CN"/>
              </w:rPr>
            </w:pPr>
            <w:r>
              <w:rPr>
                <w:rFonts w:hint="eastAsia" w:ascii="CESI仿宋-GB2312" w:hAnsi="CESI仿宋-GB2312" w:eastAsia="CESI仿宋-GB2312" w:cs="CESI仿宋-GB2312"/>
                <w:sz w:val="24"/>
                <w:lang w:val="en-US" w:eastAsia="zh-CN"/>
              </w:rPr>
              <w:t>丁屹</w:t>
            </w:r>
          </w:p>
        </w:tc>
        <w:tc>
          <w:tcPr>
            <w:tcW w:w="1843" w:type="dxa"/>
            <w:tcBorders>
              <w:top w:val="single" w:color="auto" w:sz="4" w:space="0"/>
              <w:left w:val="single" w:color="auto" w:sz="4" w:space="0"/>
              <w:bottom w:val="single" w:color="auto" w:sz="4" w:space="0"/>
            </w:tcBorders>
            <w:noWrap w:val="0"/>
            <w:vAlign w:val="center"/>
          </w:tcPr>
          <w:p w14:paraId="6559C81B">
            <w:pPr>
              <w:spacing w:line="560" w:lineRule="exact"/>
              <w:jc w:val="center"/>
              <w:rPr>
                <w:rFonts w:hint="eastAsia" w:ascii="CESI仿宋-GB2312" w:hAnsi="CESI仿宋-GB2312" w:eastAsia="CESI仿宋-GB2312" w:cs="CESI仿宋-GB2312"/>
                <w:sz w:val="24"/>
                <w:lang w:val="en-US" w:eastAsia="zh-CN"/>
              </w:rPr>
            </w:pPr>
            <w:r>
              <w:rPr>
                <w:rFonts w:hint="eastAsia" w:ascii="CESI仿宋-GB2312" w:hAnsi="CESI仿宋-GB2312" w:eastAsia="CESI仿宋-GB2312" w:cs="CESI仿宋-GB2312"/>
                <w:sz w:val="24"/>
                <w:lang w:val="en-US" w:eastAsia="zh-CN"/>
              </w:rPr>
              <w:t>参谋</w:t>
            </w:r>
          </w:p>
        </w:tc>
        <w:tc>
          <w:tcPr>
            <w:tcW w:w="1483" w:type="dxa"/>
            <w:tcBorders>
              <w:top w:val="single" w:color="auto" w:sz="4" w:space="0"/>
              <w:left w:val="single" w:color="auto" w:sz="4" w:space="0"/>
              <w:bottom w:val="single" w:color="auto" w:sz="4" w:space="0"/>
            </w:tcBorders>
            <w:noWrap w:val="0"/>
            <w:vAlign w:val="center"/>
          </w:tcPr>
          <w:p w14:paraId="25D95CF0">
            <w:pPr>
              <w:spacing w:line="560" w:lineRule="exact"/>
              <w:jc w:val="center"/>
              <w:rPr>
                <w:rFonts w:hint="eastAsia" w:ascii="CESI仿宋-GB2312" w:hAnsi="CESI仿宋-GB2312" w:eastAsia="CESI仿宋-GB2312" w:cs="CESI仿宋-GB2312"/>
                <w:sz w:val="24"/>
                <w:lang w:val="en-US" w:eastAsia="zh-CN"/>
              </w:rPr>
            </w:pPr>
          </w:p>
        </w:tc>
        <w:tc>
          <w:tcPr>
            <w:tcW w:w="1884" w:type="dxa"/>
            <w:tcBorders>
              <w:top w:val="single" w:color="auto" w:sz="4" w:space="0"/>
              <w:left w:val="single" w:color="auto" w:sz="4" w:space="0"/>
              <w:bottom w:val="single" w:color="auto" w:sz="4" w:space="0"/>
            </w:tcBorders>
            <w:noWrap w:val="0"/>
            <w:vAlign w:val="center"/>
          </w:tcPr>
          <w:p w14:paraId="07566E5B">
            <w:pPr>
              <w:spacing w:line="560" w:lineRule="exact"/>
              <w:jc w:val="center"/>
              <w:rPr>
                <w:rFonts w:hint="eastAsia" w:ascii="CESI仿宋-GB2312" w:hAnsi="CESI仿宋-GB2312" w:eastAsia="CESI仿宋-GB2312" w:cs="CESI仿宋-GB2312"/>
                <w:sz w:val="24"/>
                <w:lang w:val="en-US" w:eastAsia="zh-CN"/>
              </w:rPr>
            </w:pPr>
            <w:r>
              <w:rPr>
                <w:rFonts w:hint="eastAsia" w:ascii="CESI仿宋-GB2312" w:hAnsi="CESI仿宋-GB2312" w:eastAsia="CESI仿宋-GB2312" w:cs="CESI仿宋-GB2312"/>
                <w:sz w:val="24"/>
                <w:lang w:val="en-US" w:eastAsia="zh-CN"/>
              </w:rPr>
              <w:t>18575926482</w:t>
            </w:r>
          </w:p>
        </w:tc>
      </w:tr>
      <w:tr w14:paraId="7CC2579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318" w:hRule="atLeast"/>
          <w:jc w:val="center"/>
        </w:trPr>
        <w:tc>
          <w:tcPr>
            <w:tcW w:w="2994" w:type="dxa"/>
            <w:vMerge w:val="continue"/>
            <w:tcBorders>
              <w:right w:val="single" w:color="auto" w:sz="4" w:space="0"/>
            </w:tcBorders>
            <w:noWrap w:val="0"/>
            <w:vAlign w:val="center"/>
          </w:tcPr>
          <w:p w14:paraId="41501030">
            <w:pPr>
              <w:spacing w:line="560" w:lineRule="exact"/>
              <w:jc w:val="center"/>
              <w:rPr>
                <w:rFonts w:hint="eastAsia" w:ascii="CESI仿宋-GB2312" w:hAnsi="CESI仿宋-GB2312" w:eastAsia="CESI仿宋-GB2312" w:cs="CESI仿宋-GB2312"/>
                <w:sz w:val="24"/>
                <w:lang w:val="en-US" w:eastAsia="zh-CN"/>
              </w:rPr>
            </w:pPr>
          </w:p>
        </w:tc>
        <w:tc>
          <w:tcPr>
            <w:tcW w:w="1842" w:type="dxa"/>
            <w:tcBorders>
              <w:top w:val="single" w:color="auto" w:sz="4" w:space="0"/>
              <w:left w:val="single" w:color="auto" w:sz="4" w:space="0"/>
              <w:bottom w:val="single" w:color="auto" w:sz="4" w:space="0"/>
              <w:right w:val="single" w:color="auto" w:sz="4" w:space="0"/>
            </w:tcBorders>
            <w:noWrap w:val="0"/>
            <w:vAlign w:val="center"/>
          </w:tcPr>
          <w:p w14:paraId="460B7B10">
            <w:pPr>
              <w:spacing w:line="560" w:lineRule="exact"/>
              <w:jc w:val="center"/>
              <w:rPr>
                <w:rFonts w:hint="eastAsia" w:ascii="CESI仿宋-GB2312" w:hAnsi="CESI仿宋-GB2312" w:eastAsia="CESI仿宋-GB2312" w:cs="CESI仿宋-GB2312"/>
                <w:sz w:val="24"/>
                <w:lang w:val="en-US" w:eastAsia="zh-CN"/>
              </w:rPr>
            </w:pPr>
            <w:r>
              <w:rPr>
                <w:rFonts w:hint="eastAsia" w:ascii="CESI仿宋-GB2312" w:hAnsi="CESI仿宋-GB2312" w:eastAsia="CESI仿宋-GB2312" w:cs="CESI仿宋-GB2312"/>
                <w:sz w:val="24"/>
                <w:lang w:val="en-US" w:eastAsia="zh-CN"/>
              </w:rPr>
              <w:t>区政务服务数据管理局</w:t>
            </w:r>
          </w:p>
        </w:tc>
        <w:tc>
          <w:tcPr>
            <w:tcW w:w="1335" w:type="dxa"/>
            <w:tcBorders>
              <w:top w:val="single" w:color="auto" w:sz="4" w:space="0"/>
              <w:left w:val="single" w:color="auto" w:sz="4" w:space="0"/>
              <w:bottom w:val="single" w:color="auto" w:sz="4" w:space="0"/>
              <w:right w:val="single" w:color="auto" w:sz="4" w:space="0"/>
            </w:tcBorders>
            <w:noWrap w:val="0"/>
            <w:vAlign w:val="center"/>
          </w:tcPr>
          <w:p w14:paraId="15FF0FE1">
            <w:pPr>
              <w:spacing w:line="560" w:lineRule="exact"/>
              <w:jc w:val="center"/>
              <w:rPr>
                <w:rFonts w:hint="eastAsia" w:ascii="CESI仿宋-GB2312" w:hAnsi="CESI仿宋-GB2312" w:eastAsia="CESI仿宋-GB2312" w:cs="CESI仿宋-GB2312"/>
                <w:sz w:val="24"/>
                <w:lang w:val="en-US" w:eastAsia="zh-CN"/>
              </w:rPr>
            </w:pPr>
            <w:r>
              <w:rPr>
                <w:rFonts w:hint="eastAsia" w:ascii="CESI仿宋-GB2312" w:hAnsi="CESI仿宋-GB2312" w:eastAsia="CESI仿宋-GB2312" w:cs="CESI仿宋-GB2312"/>
                <w:sz w:val="24"/>
                <w:lang w:val="en-US" w:eastAsia="zh-CN"/>
              </w:rPr>
              <w:t>廖英豪</w:t>
            </w:r>
          </w:p>
        </w:tc>
        <w:tc>
          <w:tcPr>
            <w:tcW w:w="1843" w:type="dxa"/>
            <w:tcBorders>
              <w:top w:val="single" w:color="auto" w:sz="4" w:space="0"/>
              <w:left w:val="single" w:color="auto" w:sz="4" w:space="0"/>
              <w:bottom w:val="single" w:color="auto" w:sz="4" w:space="0"/>
            </w:tcBorders>
            <w:noWrap w:val="0"/>
            <w:vAlign w:val="center"/>
          </w:tcPr>
          <w:p w14:paraId="334DA9C6">
            <w:pPr>
              <w:spacing w:line="560" w:lineRule="exact"/>
              <w:jc w:val="center"/>
              <w:rPr>
                <w:rFonts w:hint="eastAsia" w:ascii="CESI仿宋-GB2312" w:hAnsi="CESI仿宋-GB2312" w:eastAsia="CESI仿宋-GB2312" w:cs="CESI仿宋-GB2312"/>
                <w:sz w:val="24"/>
                <w:lang w:val="en-US" w:eastAsia="zh-CN"/>
              </w:rPr>
            </w:pPr>
            <w:r>
              <w:rPr>
                <w:rFonts w:hint="eastAsia" w:ascii="CESI仿宋-GB2312" w:hAnsi="CESI仿宋-GB2312" w:eastAsia="CESI仿宋-GB2312" w:cs="CESI仿宋-GB2312"/>
                <w:sz w:val="24"/>
                <w:lang w:val="en-US" w:eastAsia="zh-CN"/>
              </w:rPr>
              <w:t>中心副主任</w:t>
            </w:r>
          </w:p>
        </w:tc>
        <w:tc>
          <w:tcPr>
            <w:tcW w:w="1483" w:type="dxa"/>
            <w:tcBorders>
              <w:top w:val="single" w:color="auto" w:sz="4" w:space="0"/>
              <w:left w:val="single" w:color="auto" w:sz="4" w:space="0"/>
              <w:bottom w:val="single" w:color="auto" w:sz="4" w:space="0"/>
            </w:tcBorders>
            <w:noWrap w:val="0"/>
            <w:vAlign w:val="center"/>
          </w:tcPr>
          <w:p w14:paraId="4041CE64">
            <w:pPr>
              <w:spacing w:line="560" w:lineRule="exact"/>
              <w:jc w:val="center"/>
              <w:rPr>
                <w:rFonts w:hint="eastAsia" w:ascii="CESI仿宋-GB2312" w:hAnsi="CESI仿宋-GB2312" w:eastAsia="CESI仿宋-GB2312" w:cs="CESI仿宋-GB2312"/>
                <w:sz w:val="24"/>
                <w:lang w:val="en-US" w:eastAsia="zh-CN"/>
              </w:rPr>
            </w:pPr>
            <w:r>
              <w:rPr>
                <w:rFonts w:hint="eastAsia" w:ascii="CESI仿宋-GB2312" w:hAnsi="CESI仿宋-GB2312" w:eastAsia="CESI仿宋-GB2312" w:cs="CESI仿宋-GB2312"/>
                <w:sz w:val="24"/>
                <w:lang w:val="en-US" w:eastAsia="zh-CN"/>
              </w:rPr>
              <w:t>88171720</w:t>
            </w:r>
          </w:p>
        </w:tc>
        <w:tc>
          <w:tcPr>
            <w:tcW w:w="1884" w:type="dxa"/>
            <w:tcBorders>
              <w:top w:val="single" w:color="auto" w:sz="4" w:space="0"/>
              <w:left w:val="single" w:color="auto" w:sz="4" w:space="0"/>
              <w:bottom w:val="single" w:color="auto" w:sz="4" w:space="0"/>
            </w:tcBorders>
            <w:noWrap w:val="0"/>
            <w:vAlign w:val="center"/>
          </w:tcPr>
          <w:p w14:paraId="403A4001">
            <w:pPr>
              <w:spacing w:line="560" w:lineRule="exact"/>
              <w:jc w:val="center"/>
              <w:rPr>
                <w:rFonts w:hint="eastAsia" w:ascii="CESI仿宋-GB2312" w:hAnsi="CESI仿宋-GB2312" w:eastAsia="CESI仿宋-GB2312" w:cs="CESI仿宋-GB2312"/>
                <w:sz w:val="24"/>
                <w:lang w:val="en-US" w:eastAsia="zh-CN"/>
              </w:rPr>
            </w:pPr>
            <w:r>
              <w:rPr>
                <w:rFonts w:hint="eastAsia" w:ascii="CESI仿宋-GB2312" w:hAnsi="CESI仿宋-GB2312" w:eastAsia="CESI仿宋-GB2312" w:cs="CESI仿宋-GB2312"/>
                <w:sz w:val="24"/>
                <w:lang w:val="en-US" w:eastAsia="zh-CN"/>
              </w:rPr>
              <w:t>13509673720</w:t>
            </w:r>
          </w:p>
        </w:tc>
      </w:tr>
      <w:tr w14:paraId="60581D0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90" w:hRule="atLeast"/>
          <w:jc w:val="center"/>
        </w:trPr>
        <w:tc>
          <w:tcPr>
            <w:tcW w:w="2994" w:type="dxa"/>
            <w:vMerge w:val="continue"/>
            <w:tcBorders>
              <w:right w:val="single" w:color="auto" w:sz="4" w:space="0"/>
            </w:tcBorders>
            <w:noWrap w:val="0"/>
            <w:vAlign w:val="center"/>
          </w:tcPr>
          <w:p w14:paraId="1F385157">
            <w:pPr>
              <w:spacing w:line="560" w:lineRule="exact"/>
              <w:jc w:val="center"/>
              <w:rPr>
                <w:rFonts w:hint="eastAsia" w:ascii="CESI仿宋-GB2312" w:hAnsi="CESI仿宋-GB2312" w:eastAsia="CESI仿宋-GB2312" w:cs="CESI仿宋-GB2312"/>
                <w:sz w:val="24"/>
                <w:lang w:val="en-US" w:eastAsia="zh-CN"/>
              </w:rPr>
            </w:pPr>
          </w:p>
        </w:tc>
        <w:tc>
          <w:tcPr>
            <w:tcW w:w="1842" w:type="dxa"/>
            <w:tcBorders>
              <w:top w:val="single" w:color="auto" w:sz="4" w:space="0"/>
              <w:left w:val="single" w:color="auto" w:sz="4" w:space="0"/>
              <w:bottom w:val="single" w:color="auto" w:sz="4" w:space="0"/>
              <w:right w:val="single" w:color="auto" w:sz="4" w:space="0"/>
            </w:tcBorders>
            <w:noWrap w:val="0"/>
            <w:vAlign w:val="center"/>
          </w:tcPr>
          <w:p w14:paraId="3F9D0CF6">
            <w:pPr>
              <w:spacing w:line="560" w:lineRule="exact"/>
              <w:jc w:val="center"/>
              <w:rPr>
                <w:rFonts w:hint="eastAsia" w:ascii="CESI仿宋-GB2312" w:hAnsi="CESI仿宋-GB2312" w:eastAsia="CESI仿宋-GB2312" w:cs="CESI仿宋-GB2312"/>
                <w:sz w:val="24"/>
                <w:lang w:val="en-US" w:eastAsia="zh-CN"/>
              </w:rPr>
            </w:pPr>
            <w:r>
              <w:rPr>
                <w:rFonts w:hint="eastAsia" w:ascii="CESI仿宋-GB2312" w:hAnsi="CESI仿宋-GB2312" w:eastAsia="CESI仿宋-GB2312" w:cs="CESI仿宋-GB2312"/>
                <w:sz w:val="24"/>
                <w:lang w:val="en-US" w:eastAsia="zh-CN"/>
              </w:rPr>
              <w:t>区机关事务局</w:t>
            </w:r>
          </w:p>
        </w:tc>
        <w:tc>
          <w:tcPr>
            <w:tcW w:w="1335" w:type="dxa"/>
            <w:tcBorders>
              <w:top w:val="single" w:color="auto" w:sz="4" w:space="0"/>
              <w:left w:val="single" w:color="auto" w:sz="4" w:space="0"/>
              <w:bottom w:val="single" w:color="auto" w:sz="4" w:space="0"/>
              <w:right w:val="single" w:color="auto" w:sz="4" w:space="0"/>
            </w:tcBorders>
            <w:noWrap w:val="0"/>
            <w:vAlign w:val="center"/>
          </w:tcPr>
          <w:p w14:paraId="4D895729">
            <w:pPr>
              <w:spacing w:line="560" w:lineRule="exact"/>
              <w:jc w:val="center"/>
              <w:rPr>
                <w:rFonts w:hint="eastAsia" w:ascii="CESI仿宋-GB2312" w:hAnsi="CESI仿宋-GB2312" w:eastAsia="CESI仿宋-GB2312" w:cs="CESI仿宋-GB2312"/>
                <w:sz w:val="24"/>
                <w:lang w:val="en-US" w:eastAsia="zh-CN"/>
              </w:rPr>
            </w:pPr>
            <w:r>
              <w:rPr>
                <w:rFonts w:hint="eastAsia" w:ascii="CESI仿宋-GB2312" w:hAnsi="CESI仿宋-GB2312" w:eastAsia="CESI仿宋-GB2312" w:cs="CESI仿宋-GB2312"/>
                <w:sz w:val="24"/>
                <w:lang w:val="en-US" w:eastAsia="zh-CN"/>
              </w:rPr>
              <w:t>刘鸿达</w:t>
            </w:r>
          </w:p>
        </w:tc>
        <w:tc>
          <w:tcPr>
            <w:tcW w:w="1843" w:type="dxa"/>
            <w:tcBorders>
              <w:top w:val="single" w:color="auto" w:sz="4" w:space="0"/>
              <w:left w:val="single" w:color="auto" w:sz="4" w:space="0"/>
              <w:bottom w:val="single" w:color="auto" w:sz="4" w:space="0"/>
            </w:tcBorders>
            <w:noWrap w:val="0"/>
            <w:vAlign w:val="center"/>
          </w:tcPr>
          <w:p w14:paraId="37910B1F">
            <w:pPr>
              <w:spacing w:line="560" w:lineRule="exact"/>
              <w:jc w:val="center"/>
              <w:rPr>
                <w:rFonts w:hint="eastAsia" w:ascii="CESI仿宋-GB2312" w:hAnsi="CESI仿宋-GB2312" w:eastAsia="CESI仿宋-GB2312" w:cs="CESI仿宋-GB2312"/>
                <w:sz w:val="24"/>
                <w:lang w:val="en-US" w:eastAsia="zh-CN"/>
              </w:rPr>
            </w:pPr>
            <w:r>
              <w:rPr>
                <w:rFonts w:hint="eastAsia" w:ascii="CESI仿宋-GB2312" w:hAnsi="CESI仿宋-GB2312" w:eastAsia="CESI仿宋-GB2312" w:cs="CESI仿宋-GB2312"/>
                <w:sz w:val="24"/>
                <w:lang w:val="en-US" w:eastAsia="zh-CN"/>
              </w:rPr>
              <w:t>党组成员、副局长、三级调研员</w:t>
            </w:r>
          </w:p>
        </w:tc>
        <w:tc>
          <w:tcPr>
            <w:tcW w:w="1483" w:type="dxa"/>
            <w:tcBorders>
              <w:top w:val="single" w:color="auto" w:sz="4" w:space="0"/>
              <w:left w:val="single" w:color="auto" w:sz="4" w:space="0"/>
              <w:bottom w:val="single" w:color="auto" w:sz="4" w:space="0"/>
            </w:tcBorders>
            <w:noWrap w:val="0"/>
            <w:vAlign w:val="center"/>
          </w:tcPr>
          <w:p w14:paraId="68269D8C">
            <w:pPr>
              <w:spacing w:line="560" w:lineRule="exact"/>
              <w:jc w:val="center"/>
              <w:rPr>
                <w:rFonts w:hint="eastAsia" w:ascii="CESI仿宋-GB2312" w:hAnsi="CESI仿宋-GB2312" w:eastAsia="CESI仿宋-GB2312" w:cs="CESI仿宋-GB2312"/>
                <w:sz w:val="24"/>
                <w:lang w:val="en-US" w:eastAsia="zh-CN"/>
              </w:rPr>
            </w:pPr>
            <w:r>
              <w:rPr>
                <w:rFonts w:hint="eastAsia" w:ascii="CESI仿宋-GB2312" w:hAnsi="CESI仿宋-GB2312" w:eastAsia="CESI仿宋-GB2312" w:cs="CESI仿宋-GB2312"/>
                <w:sz w:val="24"/>
                <w:lang w:val="en-US" w:eastAsia="zh-CN"/>
              </w:rPr>
              <w:t>88171898</w:t>
            </w:r>
          </w:p>
        </w:tc>
        <w:tc>
          <w:tcPr>
            <w:tcW w:w="1884" w:type="dxa"/>
            <w:tcBorders>
              <w:top w:val="single" w:color="auto" w:sz="4" w:space="0"/>
              <w:left w:val="single" w:color="auto" w:sz="4" w:space="0"/>
              <w:bottom w:val="single" w:color="auto" w:sz="4" w:space="0"/>
            </w:tcBorders>
            <w:noWrap w:val="0"/>
            <w:vAlign w:val="center"/>
          </w:tcPr>
          <w:p w14:paraId="7910E9A2">
            <w:pPr>
              <w:spacing w:line="560" w:lineRule="exact"/>
              <w:jc w:val="center"/>
              <w:rPr>
                <w:rFonts w:hint="eastAsia" w:ascii="CESI仿宋-GB2312" w:hAnsi="CESI仿宋-GB2312" w:eastAsia="CESI仿宋-GB2312" w:cs="CESI仿宋-GB2312"/>
                <w:sz w:val="24"/>
                <w:lang w:val="en-US" w:eastAsia="zh-CN"/>
              </w:rPr>
            </w:pPr>
            <w:r>
              <w:rPr>
                <w:rFonts w:hint="eastAsia" w:ascii="CESI仿宋-GB2312" w:hAnsi="CESI仿宋-GB2312" w:eastAsia="CESI仿宋-GB2312" w:cs="CESI仿宋-GB2312"/>
                <w:sz w:val="24"/>
                <w:lang w:val="en-US" w:eastAsia="zh-CN"/>
              </w:rPr>
              <w:t>13602662111</w:t>
            </w:r>
          </w:p>
        </w:tc>
      </w:tr>
      <w:tr w14:paraId="0366FC1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318" w:hRule="atLeast"/>
          <w:jc w:val="center"/>
        </w:trPr>
        <w:tc>
          <w:tcPr>
            <w:tcW w:w="2994" w:type="dxa"/>
            <w:vMerge w:val="continue"/>
            <w:tcBorders>
              <w:right w:val="single" w:color="auto" w:sz="4" w:space="0"/>
            </w:tcBorders>
            <w:noWrap w:val="0"/>
            <w:vAlign w:val="center"/>
          </w:tcPr>
          <w:p w14:paraId="465A992D">
            <w:pPr>
              <w:spacing w:line="560" w:lineRule="exact"/>
              <w:jc w:val="center"/>
              <w:rPr>
                <w:rFonts w:hint="eastAsia" w:ascii="CESI仿宋-GB2312" w:hAnsi="CESI仿宋-GB2312" w:eastAsia="CESI仿宋-GB2312" w:cs="CESI仿宋-GB2312"/>
                <w:sz w:val="24"/>
                <w:lang w:val="en-US" w:eastAsia="zh-CN"/>
              </w:rPr>
            </w:pPr>
          </w:p>
        </w:tc>
        <w:tc>
          <w:tcPr>
            <w:tcW w:w="1842" w:type="dxa"/>
            <w:tcBorders>
              <w:top w:val="single" w:color="auto" w:sz="4" w:space="0"/>
              <w:left w:val="single" w:color="auto" w:sz="4" w:space="0"/>
              <w:bottom w:val="single" w:color="auto" w:sz="4" w:space="0"/>
              <w:right w:val="single" w:color="auto" w:sz="4" w:space="0"/>
            </w:tcBorders>
            <w:noWrap w:val="0"/>
            <w:vAlign w:val="center"/>
          </w:tcPr>
          <w:p w14:paraId="7E76CF29">
            <w:pPr>
              <w:spacing w:line="560" w:lineRule="exact"/>
              <w:jc w:val="center"/>
              <w:rPr>
                <w:rFonts w:hint="eastAsia" w:ascii="CESI仿宋-GB2312" w:hAnsi="CESI仿宋-GB2312" w:eastAsia="CESI仿宋-GB2312" w:cs="CESI仿宋-GB2312"/>
                <w:sz w:val="24"/>
                <w:lang w:val="en-US" w:eastAsia="zh-CN"/>
              </w:rPr>
            </w:pPr>
            <w:r>
              <w:rPr>
                <w:rFonts w:hint="eastAsia" w:ascii="CESI仿宋-GB2312" w:hAnsi="CESI仿宋-GB2312" w:eastAsia="CESI仿宋-GB2312" w:cs="CESI仿宋-GB2312"/>
                <w:sz w:val="24"/>
                <w:lang w:val="en-US" w:eastAsia="zh-CN"/>
              </w:rPr>
              <w:t>沙头角街道</w:t>
            </w:r>
          </w:p>
        </w:tc>
        <w:tc>
          <w:tcPr>
            <w:tcW w:w="1335" w:type="dxa"/>
            <w:tcBorders>
              <w:top w:val="single" w:color="auto" w:sz="4" w:space="0"/>
              <w:left w:val="single" w:color="auto" w:sz="4" w:space="0"/>
              <w:bottom w:val="single" w:color="auto" w:sz="4" w:space="0"/>
              <w:right w:val="single" w:color="auto" w:sz="4" w:space="0"/>
            </w:tcBorders>
            <w:noWrap w:val="0"/>
            <w:vAlign w:val="center"/>
          </w:tcPr>
          <w:p w14:paraId="4FA1D239">
            <w:pPr>
              <w:spacing w:line="560" w:lineRule="exact"/>
              <w:jc w:val="center"/>
              <w:rPr>
                <w:rFonts w:hint="eastAsia" w:ascii="CESI仿宋-GB2312" w:hAnsi="CESI仿宋-GB2312" w:eastAsia="CESI仿宋-GB2312" w:cs="CESI仿宋-GB2312"/>
                <w:sz w:val="24"/>
                <w:lang w:val="en-US" w:eastAsia="zh-CN"/>
              </w:rPr>
            </w:pPr>
            <w:r>
              <w:rPr>
                <w:rFonts w:hint="eastAsia" w:ascii="CESI仿宋-GB2312" w:hAnsi="CESI仿宋-GB2312" w:eastAsia="CESI仿宋-GB2312" w:cs="CESI仿宋-GB2312"/>
                <w:sz w:val="24"/>
                <w:lang w:val="en-US" w:eastAsia="zh-CN"/>
              </w:rPr>
              <w:t>王笛</w:t>
            </w:r>
          </w:p>
        </w:tc>
        <w:tc>
          <w:tcPr>
            <w:tcW w:w="1843" w:type="dxa"/>
            <w:tcBorders>
              <w:top w:val="single" w:color="auto" w:sz="4" w:space="0"/>
              <w:left w:val="single" w:color="auto" w:sz="4" w:space="0"/>
              <w:bottom w:val="single" w:color="auto" w:sz="4" w:space="0"/>
            </w:tcBorders>
            <w:noWrap w:val="0"/>
            <w:vAlign w:val="center"/>
          </w:tcPr>
          <w:p w14:paraId="341B00EB">
            <w:pPr>
              <w:spacing w:line="560" w:lineRule="exact"/>
              <w:jc w:val="center"/>
              <w:rPr>
                <w:rFonts w:hint="eastAsia" w:ascii="CESI仿宋-GB2312" w:hAnsi="CESI仿宋-GB2312" w:eastAsia="CESI仿宋-GB2312" w:cs="CESI仿宋-GB2312"/>
                <w:sz w:val="24"/>
                <w:lang w:val="en-US" w:eastAsia="zh-CN"/>
              </w:rPr>
            </w:pPr>
            <w:r>
              <w:rPr>
                <w:rFonts w:hint="eastAsia" w:ascii="CESI仿宋-GB2312" w:hAnsi="CESI仿宋-GB2312" w:eastAsia="CESI仿宋-GB2312" w:cs="CESI仿宋-GB2312"/>
                <w:sz w:val="24"/>
                <w:lang w:val="en-US" w:eastAsia="zh-CN"/>
              </w:rPr>
              <w:t>街道党工委委员、办事处副主任、应急办主任</w:t>
            </w:r>
          </w:p>
        </w:tc>
        <w:tc>
          <w:tcPr>
            <w:tcW w:w="1483" w:type="dxa"/>
            <w:tcBorders>
              <w:top w:val="single" w:color="auto" w:sz="4" w:space="0"/>
              <w:left w:val="single" w:color="auto" w:sz="4" w:space="0"/>
              <w:bottom w:val="single" w:color="auto" w:sz="4" w:space="0"/>
            </w:tcBorders>
            <w:noWrap w:val="0"/>
            <w:vAlign w:val="center"/>
          </w:tcPr>
          <w:p w14:paraId="4637AABD">
            <w:pPr>
              <w:spacing w:line="560" w:lineRule="exact"/>
              <w:jc w:val="center"/>
              <w:rPr>
                <w:rFonts w:hint="eastAsia" w:ascii="CESI仿宋-GB2312" w:hAnsi="CESI仿宋-GB2312" w:eastAsia="CESI仿宋-GB2312" w:cs="CESI仿宋-GB2312"/>
                <w:sz w:val="24"/>
                <w:lang w:val="en-US" w:eastAsia="zh-CN"/>
              </w:rPr>
            </w:pPr>
            <w:r>
              <w:rPr>
                <w:rFonts w:hint="eastAsia" w:ascii="CESI仿宋-GB2312" w:hAnsi="CESI仿宋-GB2312" w:eastAsia="CESI仿宋-GB2312" w:cs="CESI仿宋-GB2312"/>
                <w:sz w:val="24"/>
                <w:lang w:val="en-US" w:eastAsia="zh-CN"/>
              </w:rPr>
              <w:t>25552226</w:t>
            </w:r>
          </w:p>
        </w:tc>
        <w:tc>
          <w:tcPr>
            <w:tcW w:w="1884" w:type="dxa"/>
            <w:tcBorders>
              <w:top w:val="single" w:color="auto" w:sz="4" w:space="0"/>
              <w:left w:val="single" w:color="auto" w:sz="4" w:space="0"/>
              <w:bottom w:val="single" w:color="auto" w:sz="4" w:space="0"/>
            </w:tcBorders>
            <w:noWrap w:val="0"/>
            <w:vAlign w:val="center"/>
          </w:tcPr>
          <w:p w14:paraId="6744179A">
            <w:pPr>
              <w:spacing w:line="560" w:lineRule="exact"/>
              <w:jc w:val="center"/>
              <w:rPr>
                <w:rFonts w:hint="eastAsia" w:ascii="CESI仿宋-GB2312" w:hAnsi="CESI仿宋-GB2312" w:eastAsia="CESI仿宋-GB2312" w:cs="CESI仿宋-GB2312"/>
                <w:sz w:val="24"/>
                <w:lang w:val="en-US" w:eastAsia="zh-CN"/>
              </w:rPr>
            </w:pPr>
            <w:r>
              <w:rPr>
                <w:rFonts w:hint="eastAsia" w:ascii="CESI仿宋-GB2312" w:hAnsi="CESI仿宋-GB2312" w:eastAsia="CESI仿宋-GB2312" w:cs="CESI仿宋-GB2312"/>
                <w:sz w:val="24"/>
                <w:lang w:val="en-US" w:eastAsia="zh-CN"/>
              </w:rPr>
              <w:t>18129962259</w:t>
            </w:r>
          </w:p>
        </w:tc>
      </w:tr>
      <w:tr w14:paraId="27A0C9A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318" w:hRule="atLeast"/>
          <w:jc w:val="center"/>
        </w:trPr>
        <w:tc>
          <w:tcPr>
            <w:tcW w:w="2994" w:type="dxa"/>
            <w:vMerge w:val="continue"/>
            <w:tcBorders>
              <w:right w:val="single" w:color="auto" w:sz="4" w:space="0"/>
            </w:tcBorders>
            <w:noWrap w:val="0"/>
            <w:vAlign w:val="center"/>
          </w:tcPr>
          <w:p w14:paraId="563309B5">
            <w:pPr>
              <w:spacing w:line="560" w:lineRule="exact"/>
              <w:jc w:val="center"/>
              <w:rPr>
                <w:rFonts w:hint="eastAsia" w:ascii="CESI仿宋-GB2312" w:hAnsi="CESI仿宋-GB2312" w:eastAsia="CESI仿宋-GB2312" w:cs="CESI仿宋-GB2312"/>
                <w:sz w:val="24"/>
                <w:lang w:val="en-US" w:eastAsia="zh-CN"/>
              </w:rPr>
            </w:pPr>
          </w:p>
        </w:tc>
        <w:tc>
          <w:tcPr>
            <w:tcW w:w="1842" w:type="dxa"/>
            <w:tcBorders>
              <w:top w:val="single" w:color="auto" w:sz="4" w:space="0"/>
              <w:left w:val="single" w:color="auto" w:sz="4" w:space="0"/>
              <w:bottom w:val="single" w:color="auto" w:sz="4" w:space="0"/>
              <w:right w:val="single" w:color="auto" w:sz="4" w:space="0"/>
            </w:tcBorders>
            <w:noWrap w:val="0"/>
            <w:vAlign w:val="center"/>
          </w:tcPr>
          <w:p w14:paraId="5A793AA9">
            <w:pPr>
              <w:spacing w:line="560" w:lineRule="exact"/>
              <w:jc w:val="center"/>
              <w:rPr>
                <w:rFonts w:hint="eastAsia" w:ascii="CESI仿宋-GB2312" w:hAnsi="CESI仿宋-GB2312" w:eastAsia="CESI仿宋-GB2312" w:cs="CESI仿宋-GB2312"/>
                <w:sz w:val="24"/>
                <w:lang w:val="en-US" w:eastAsia="zh-CN"/>
              </w:rPr>
            </w:pPr>
            <w:r>
              <w:rPr>
                <w:rFonts w:hint="eastAsia" w:ascii="CESI仿宋-GB2312" w:hAnsi="CESI仿宋-GB2312" w:eastAsia="CESI仿宋-GB2312" w:cs="CESI仿宋-GB2312"/>
                <w:sz w:val="24"/>
                <w:lang w:val="en-US" w:eastAsia="zh-CN"/>
              </w:rPr>
              <w:t>海山街道</w:t>
            </w:r>
          </w:p>
        </w:tc>
        <w:tc>
          <w:tcPr>
            <w:tcW w:w="1335" w:type="dxa"/>
            <w:tcBorders>
              <w:top w:val="single" w:color="auto" w:sz="4" w:space="0"/>
              <w:left w:val="single" w:color="auto" w:sz="4" w:space="0"/>
              <w:bottom w:val="single" w:color="auto" w:sz="4" w:space="0"/>
              <w:right w:val="single" w:color="auto" w:sz="4" w:space="0"/>
            </w:tcBorders>
            <w:noWrap w:val="0"/>
            <w:vAlign w:val="center"/>
          </w:tcPr>
          <w:p w14:paraId="71D4E0DC">
            <w:pPr>
              <w:spacing w:line="560" w:lineRule="exact"/>
              <w:jc w:val="center"/>
              <w:rPr>
                <w:rFonts w:hint="eastAsia" w:ascii="CESI仿宋-GB2312" w:hAnsi="CESI仿宋-GB2312" w:eastAsia="CESI仿宋-GB2312" w:cs="CESI仿宋-GB2312"/>
                <w:sz w:val="24"/>
                <w:lang w:val="en-US" w:eastAsia="zh-CN"/>
              </w:rPr>
            </w:pPr>
            <w:r>
              <w:rPr>
                <w:rFonts w:hint="eastAsia" w:ascii="CESI仿宋-GB2312" w:hAnsi="CESI仿宋-GB2312" w:eastAsia="CESI仿宋-GB2312" w:cs="CESI仿宋-GB2312"/>
                <w:sz w:val="24"/>
                <w:lang w:val="en-US" w:eastAsia="zh-CN"/>
              </w:rPr>
              <w:t>陈兆秋</w:t>
            </w:r>
          </w:p>
        </w:tc>
        <w:tc>
          <w:tcPr>
            <w:tcW w:w="1843" w:type="dxa"/>
            <w:tcBorders>
              <w:top w:val="single" w:color="auto" w:sz="4" w:space="0"/>
              <w:left w:val="single" w:color="auto" w:sz="4" w:space="0"/>
              <w:bottom w:val="single" w:color="auto" w:sz="4" w:space="0"/>
            </w:tcBorders>
            <w:noWrap w:val="0"/>
            <w:vAlign w:val="center"/>
          </w:tcPr>
          <w:p w14:paraId="203C5414">
            <w:pPr>
              <w:spacing w:line="560" w:lineRule="exact"/>
              <w:jc w:val="center"/>
              <w:rPr>
                <w:rFonts w:hint="eastAsia" w:ascii="CESI仿宋-GB2312" w:hAnsi="CESI仿宋-GB2312" w:eastAsia="CESI仿宋-GB2312" w:cs="CESI仿宋-GB2312"/>
                <w:sz w:val="24"/>
                <w:lang w:val="en-US" w:eastAsia="zh-CN"/>
              </w:rPr>
            </w:pPr>
            <w:r>
              <w:rPr>
                <w:rFonts w:hint="eastAsia" w:ascii="CESI仿宋-GB2312" w:hAnsi="CESI仿宋-GB2312" w:eastAsia="CESI仿宋-GB2312" w:cs="CESI仿宋-GB2312"/>
                <w:sz w:val="24"/>
                <w:lang w:val="en-US" w:eastAsia="zh-CN"/>
              </w:rPr>
              <w:t>办事处副主任、应急办主任</w:t>
            </w:r>
          </w:p>
        </w:tc>
        <w:tc>
          <w:tcPr>
            <w:tcW w:w="1483" w:type="dxa"/>
            <w:tcBorders>
              <w:top w:val="single" w:color="auto" w:sz="4" w:space="0"/>
              <w:left w:val="single" w:color="auto" w:sz="4" w:space="0"/>
              <w:bottom w:val="single" w:color="auto" w:sz="4" w:space="0"/>
            </w:tcBorders>
            <w:noWrap w:val="0"/>
            <w:vAlign w:val="center"/>
          </w:tcPr>
          <w:p w14:paraId="5F7479E9">
            <w:pPr>
              <w:spacing w:line="560" w:lineRule="exact"/>
              <w:jc w:val="center"/>
              <w:rPr>
                <w:rFonts w:hint="eastAsia" w:ascii="CESI仿宋-GB2312" w:hAnsi="CESI仿宋-GB2312" w:eastAsia="CESI仿宋-GB2312" w:cs="CESI仿宋-GB2312"/>
                <w:sz w:val="24"/>
                <w:lang w:val="en-US" w:eastAsia="zh-CN"/>
              </w:rPr>
            </w:pPr>
          </w:p>
        </w:tc>
        <w:tc>
          <w:tcPr>
            <w:tcW w:w="1884" w:type="dxa"/>
            <w:tcBorders>
              <w:top w:val="single" w:color="auto" w:sz="4" w:space="0"/>
              <w:left w:val="single" w:color="auto" w:sz="4" w:space="0"/>
              <w:bottom w:val="single" w:color="auto" w:sz="4" w:space="0"/>
            </w:tcBorders>
            <w:noWrap w:val="0"/>
            <w:vAlign w:val="center"/>
          </w:tcPr>
          <w:p w14:paraId="168FAD5A">
            <w:pPr>
              <w:spacing w:line="560" w:lineRule="exact"/>
              <w:jc w:val="center"/>
              <w:rPr>
                <w:rFonts w:hint="eastAsia" w:ascii="CESI仿宋-GB2312" w:hAnsi="CESI仿宋-GB2312" w:eastAsia="CESI仿宋-GB2312" w:cs="CESI仿宋-GB2312"/>
                <w:sz w:val="24"/>
                <w:lang w:val="en-US" w:eastAsia="zh-CN"/>
              </w:rPr>
            </w:pPr>
            <w:r>
              <w:rPr>
                <w:rFonts w:hint="eastAsia" w:ascii="CESI仿宋-GB2312" w:hAnsi="CESI仿宋-GB2312" w:eastAsia="CESI仿宋-GB2312" w:cs="CESI仿宋-GB2312"/>
                <w:sz w:val="24"/>
                <w:lang w:val="en-US" w:eastAsia="zh-CN"/>
              </w:rPr>
              <w:t>13603030522</w:t>
            </w:r>
          </w:p>
        </w:tc>
      </w:tr>
      <w:tr w14:paraId="555D0AD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318" w:hRule="atLeast"/>
          <w:jc w:val="center"/>
        </w:trPr>
        <w:tc>
          <w:tcPr>
            <w:tcW w:w="2994" w:type="dxa"/>
            <w:vMerge w:val="continue"/>
            <w:tcBorders>
              <w:right w:val="single" w:color="auto" w:sz="4" w:space="0"/>
            </w:tcBorders>
            <w:noWrap w:val="0"/>
            <w:vAlign w:val="center"/>
          </w:tcPr>
          <w:p w14:paraId="3C279F93">
            <w:pPr>
              <w:spacing w:line="560" w:lineRule="exact"/>
              <w:jc w:val="center"/>
              <w:rPr>
                <w:rFonts w:hint="eastAsia" w:ascii="CESI仿宋-GB2312" w:hAnsi="CESI仿宋-GB2312" w:eastAsia="CESI仿宋-GB2312" w:cs="CESI仿宋-GB2312"/>
                <w:sz w:val="24"/>
                <w:lang w:val="en-US" w:eastAsia="zh-CN"/>
              </w:rPr>
            </w:pPr>
          </w:p>
        </w:tc>
        <w:tc>
          <w:tcPr>
            <w:tcW w:w="1842" w:type="dxa"/>
            <w:tcBorders>
              <w:top w:val="single" w:color="auto" w:sz="4" w:space="0"/>
              <w:left w:val="single" w:color="auto" w:sz="4" w:space="0"/>
              <w:bottom w:val="single" w:color="auto" w:sz="4" w:space="0"/>
              <w:right w:val="single" w:color="auto" w:sz="4" w:space="0"/>
            </w:tcBorders>
            <w:noWrap w:val="0"/>
            <w:vAlign w:val="center"/>
          </w:tcPr>
          <w:p w14:paraId="06D8E81A">
            <w:pPr>
              <w:spacing w:line="560" w:lineRule="exact"/>
              <w:jc w:val="center"/>
              <w:rPr>
                <w:rFonts w:hint="eastAsia" w:ascii="CESI仿宋-GB2312" w:hAnsi="CESI仿宋-GB2312" w:eastAsia="CESI仿宋-GB2312" w:cs="CESI仿宋-GB2312"/>
                <w:sz w:val="24"/>
                <w:lang w:val="en-US" w:eastAsia="zh-CN"/>
              </w:rPr>
            </w:pPr>
            <w:r>
              <w:rPr>
                <w:rFonts w:hint="eastAsia" w:ascii="CESI仿宋-GB2312" w:hAnsi="CESI仿宋-GB2312" w:eastAsia="CESI仿宋-GB2312" w:cs="CESI仿宋-GB2312"/>
                <w:sz w:val="24"/>
                <w:lang w:val="en-US" w:eastAsia="zh-CN"/>
              </w:rPr>
              <w:t>盐田街道</w:t>
            </w:r>
          </w:p>
        </w:tc>
        <w:tc>
          <w:tcPr>
            <w:tcW w:w="1335" w:type="dxa"/>
            <w:tcBorders>
              <w:top w:val="single" w:color="auto" w:sz="4" w:space="0"/>
              <w:left w:val="single" w:color="auto" w:sz="4" w:space="0"/>
              <w:bottom w:val="single" w:color="auto" w:sz="4" w:space="0"/>
              <w:right w:val="single" w:color="auto" w:sz="4" w:space="0"/>
            </w:tcBorders>
            <w:noWrap w:val="0"/>
            <w:vAlign w:val="center"/>
          </w:tcPr>
          <w:p w14:paraId="16B477FF">
            <w:pPr>
              <w:spacing w:line="560" w:lineRule="exact"/>
              <w:jc w:val="center"/>
              <w:rPr>
                <w:rFonts w:hint="eastAsia" w:ascii="CESI仿宋-GB2312" w:hAnsi="CESI仿宋-GB2312" w:eastAsia="CESI仿宋-GB2312" w:cs="CESI仿宋-GB2312"/>
                <w:sz w:val="24"/>
                <w:lang w:val="en" w:eastAsia="zh-CN"/>
              </w:rPr>
            </w:pPr>
            <w:r>
              <w:rPr>
                <w:rFonts w:hint="eastAsia" w:ascii="CESI仿宋-GB2312" w:hAnsi="CESI仿宋-GB2312" w:eastAsia="CESI仿宋-GB2312" w:cs="CESI仿宋-GB2312"/>
                <w:sz w:val="24"/>
                <w:lang w:val="en" w:eastAsia="zh-CN"/>
              </w:rPr>
              <w:t>罗名康</w:t>
            </w:r>
          </w:p>
        </w:tc>
        <w:tc>
          <w:tcPr>
            <w:tcW w:w="1843" w:type="dxa"/>
            <w:tcBorders>
              <w:top w:val="single" w:color="auto" w:sz="4" w:space="0"/>
              <w:left w:val="single" w:color="auto" w:sz="4" w:space="0"/>
              <w:bottom w:val="single" w:color="auto" w:sz="4" w:space="0"/>
            </w:tcBorders>
            <w:noWrap w:val="0"/>
            <w:vAlign w:val="center"/>
          </w:tcPr>
          <w:p w14:paraId="5234BCF4">
            <w:pPr>
              <w:spacing w:line="560" w:lineRule="exact"/>
              <w:jc w:val="center"/>
              <w:rPr>
                <w:rFonts w:hint="eastAsia" w:ascii="CESI仿宋-GB2312" w:hAnsi="CESI仿宋-GB2312" w:eastAsia="CESI仿宋-GB2312" w:cs="CESI仿宋-GB2312"/>
                <w:sz w:val="24"/>
                <w:lang w:val="en" w:eastAsia="zh-CN"/>
              </w:rPr>
            </w:pPr>
            <w:r>
              <w:rPr>
                <w:rFonts w:hint="eastAsia" w:ascii="CESI仿宋-GB2312" w:hAnsi="CESI仿宋-GB2312" w:eastAsia="CESI仿宋-GB2312" w:cs="CESI仿宋-GB2312"/>
                <w:sz w:val="24"/>
                <w:lang w:val="en" w:eastAsia="zh-CN"/>
              </w:rPr>
              <w:t>应急办副主任</w:t>
            </w:r>
          </w:p>
        </w:tc>
        <w:tc>
          <w:tcPr>
            <w:tcW w:w="1483" w:type="dxa"/>
            <w:tcBorders>
              <w:top w:val="single" w:color="auto" w:sz="4" w:space="0"/>
              <w:left w:val="single" w:color="auto" w:sz="4" w:space="0"/>
              <w:bottom w:val="single" w:color="auto" w:sz="4" w:space="0"/>
            </w:tcBorders>
            <w:noWrap w:val="0"/>
            <w:vAlign w:val="center"/>
          </w:tcPr>
          <w:p w14:paraId="56EDC214">
            <w:pPr>
              <w:spacing w:line="560" w:lineRule="exact"/>
              <w:jc w:val="center"/>
              <w:rPr>
                <w:rFonts w:hint="eastAsia" w:ascii="CESI仿宋-GB2312" w:hAnsi="CESI仿宋-GB2312" w:eastAsia="CESI仿宋-GB2312" w:cs="CESI仿宋-GB2312"/>
                <w:sz w:val="24"/>
                <w:lang w:val="en" w:eastAsia="zh-CN"/>
              </w:rPr>
            </w:pPr>
            <w:r>
              <w:rPr>
                <w:rFonts w:hint="eastAsia" w:ascii="CESI仿宋-GB2312" w:hAnsi="CESI仿宋-GB2312" w:eastAsia="CESI仿宋-GB2312" w:cs="CESI仿宋-GB2312"/>
                <w:sz w:val="24"/>
                <w:lang w:val="en" w:eastAsia="zh-CN"/>
              </w:rPr>
              <w:t>25205261</w:t>
            </w:r>
          </w:p>
        </w:tc>
        <w:tc>
          <w:tcPr>
            <w:tcW w:w="1884" w:type="dxa"/>
            <w:tcBorders>
              <w:top w:val="single" w:color="auto" w:sz="4" w:space="0"/>
              <w:left w:val="single" w:color="auto" w:sz="4" w:space="0"/>
              <w:bottom w:val="single" w:color="auto" w:sz="4" w:space="0"/>
            </w:tcBorders>
            <w:noWrap w:val="0"/>
            <w:vAlign w:val="center"/>
          </w:tcPr>
          <w:p w14:paraId="65DBEC2B">
            <w:pPr>
              <w:spacing w:line="560" w:lineRule="exact"/>
              <w:jc w:val="center"/>
              <w:rPr>
                <w:rFonts w:hint="eastAsia" w:ascii="CESI仿宋-GB2312" w:hAnsi="CESI仿宋-GB2312" w:eastAsia="CESI仿宋-GB2312" w:cs="CESI仿宋-GB2312"/>
                <w:sz w:val="24"/>
                <w:lang w:val="en" w:eastAsia="zh-CN"/>
              </w:rPr>
            </w:pPr>
            <w:r>
              <w:rPr>
                <w:rFonts w:hint="eastAsia" w:ascii="CESI仿宋-GB2312" w:hAnsi="CESI仿宋-GB2312" w:eastAsia="CESI仿宋-GB2312" w:cs="CESI仿宋-GB2312"/>
                <w:sz w:val="24"/>
                <w:lang w:val="en" w:eastAsia="zh-CN"/>
              </w:rPr>
              <w:t>13538148660</w:t>
            </w:r>
          </w:p>
        </w:tc>
      </w:tr>
      <w:tr w14:paraId="4128A76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318" w:hRule="atLeast"/>
          <w:jc w:val="center"/>
        </w:trPr>
        <w:tc>
          <w:tcPr>
            <w:tcW w:w="2994" w:type="dxa"/>
            <w:vMerge w:val="continue"/>
            <w:tcBorders>
              <w:right w:val="single" w:color="auto" w:sz="4" w:space="0"/>
            </w:tcBorders>
            <w:noWrap w:val="0"/>
            <w:vAlign w:val="center"/>
          </w:tcPr>
          <w:p w14:paraId="03D8BD3E">
            <w:pPr>
              <w:spacing w:line="560" w:lineRule="exact"/>
              <w:jc w:val="center"/>
              <w:rPr>
                <w:rFonts w:hint="eastAsia" w:ascii="CESI仿宋-GB2312" w:hAnsi="CESI仿宋-GB2312" w:eastAsia="CESI仿宋-GB2312" w:cs="CESI仿宋-GB2312"/>
                <w:sz w:val="24"/>
                <w:lang w:val="en-US" w:eastAsia="zh-CN"/>
              </w:rPr>
            </w:pPr>
          </w:p>
        </w:tc>
        <w:tc>
          <w:tcPr>
            <w:tcW w:w="1842" w:type="dxa"/>
            <w:tcBorders>
              <w:top w:val="single" w:color="auto" w:sz="4" w:space="0"/>
              <w:left w:val="single" w:color="auto" w:sz="4" w:space="0"/>
              <w:bottom w:val="single" w:color="auto" w:sz="4" w:space="0"/>
              <w:right w:val="single" w:color="auto" w:sz="4" w:space="0"/>
            </w:tcBorders>
            <w:noWrap w:val="0"/>
            <w:vAlign w:val="center"/>
          </w:tcPr>
          <w:p w14:paraId="7527B838">
            <w:pPr>
              <w:spacing w:line="560" w:lineRule="exact"/>
              <w:jc w:val="center"/>
              <w:rPr>
                <w:rFonts w:hint="eastAsia" w:ascii="CESI仿宋-GB2312" w:hAnsi="CESI仿宋-GB2312" w:eastAsia="CESI仿宋-GB2312" w:cs="CESI仿宋-GB2312"/>
                <w:sz w:val="24"/>
                <w:lang w:val="en-US" w:eastAsia="zh-CN"/>
              </w:rPr>
            </w:pPr>
            <w:r>
              <w:rPr>
                <w:rFonts w:hint="eastAsia" w:ascii="CESI仿宋-GB2312" w:hAnsi="CESI仿宋-GB2312" w:eastAsia="CESI仿宋-GB2312" w:cs="CESI仿宋-GB2312"/>
                <w:sz w:val="24"/>
                <w:lang w:val="en-US" w:eastAsia="zh-CN"/>
              </w:rPr>
              <w:t>梅沙街道</w:t>
            </w:r>
          </w:p>
        </w:tc>
        <w:tc>
          <w:tcPr>
            <w:tcW w:w="1335" w:type="dxa"/>
            <w:tcBorders>
              <w:top w:val="single" w:color="auto" w:sz="4" w:space="0"/>
              <w:left w:val="single" w:color="auto" w:sz="4" w:space="0"/>
              <w:bottom w:val="single" w:color="auto" w:sz="4" w:space="0"/>
              <w:right w:val="single" w:color="auto" w:sz="4" w:space="0"/>
            </w:tcBorders>
            <w:noWrap w:val="0"/>
            <w:vAlign w:val="center"/>
          </w:tcPr>
          <w:p w14:paraId="217ECB53">
            <w:pPr>
              <w:spacing w:line="560" w:lineRule="exact"/>
              <w:jc w:val="center"/>
              <w:rPr>
                <w:rFonts w:hint="eastAsia" w:ascii="CESI仿宋-GB2312" w:hAnsi="CESI仿宋-GB2312" w:eastAsia="CESI仿宋-GB2312" w:cs="CESI仿宋-GB2312"/>
                <w:sz w:val="24"/>
                <w:lang w:val="en-US" w:eastAsia="zh-CN"/>
              </w:rPr>
            </w:pPr>
            <w:r>
              <w:rPr>
                <w:rFonts w:hint="eastAsia" w:ascii="CESI仿宋-GB2312" w:hAnsi="CESI仿宋-GB2312" w:eastAsia="CESI仿宋-GB2312" w:cs="CESI仿宋-GB2312"/>
                <w:sz w:val="24"/>
                <w:lang w:val="en-US" w:eastAsia="zh-CN"/>
              </w:rPr>
              <w:t>罗阳春</w:t>
            </w:r>
          </w:p>
        </w:tc>
        <w:tc>
          <w:tcPr>
            <w:tcW w:w="1843" w:type="dxa"/>
            <w:tcBorders>
              <w:top w:val="single" w:color="auto" w:sz="4" w:space="0"/>
              <w:left w:val="single" w:color="auto" w:sz="4" w:space="0"/>
              <w:bottom w:val="single" w:color="auto" w:sz="4" w:space="0"/>
            </w:tcBorders>
            <w:noWrap w:val="0"/>
            <w:vAlign w:val="center"/>
          </w:tcPr>
          <w:p w14:paraId="4FFD6470">
            <w:pPr>
              <w:spacing w:line="560" w:lineRule="exact"/>
              <w:jc w:val="center"/>
              <w:rPr>
                <w:rFonts w:hint="eastAsia" w:ascii="CESI仿宋-GB2312" w:hAnsi="CESI仿宋-GB2312" w:eastAsia="CESI仿宋-GB2312" w:cs="CESI仿宋-GB2312"/>
                <w:sz w:val="24"/>
                <w:lang w:val="en-US" w:eastAsia="zh-CN"/>
              </w:rPr>
            </w:pPr>
            <w:r>
              <w:rPr>
                <w:rFonts w:hint="eastAsia" w:ascii="CESI仿宋-GB2312" w:hAnsi="CESI仿宋-GB2312" w:eastAsia="CESI仿宋-GB2312" w:cs="CESI仿宋-GB2312"/>
                <w:sz w:val="24"/>
                <w:lang w:val="en-US" w:eastAsia="zh-CN"/>
              </w:rPr>
              <w:t>党工委委员</w:t>
            </w:r>
          </w:p>
        </w:tc>
        <w:tc>
          <w:tcPr>
            <w:tcW w:w="1483" w:type="dxa"/>
            <w:tcBorders>
              <w:top w:val="single" w:color="auto" w:sz="4" w:space="0"/>
              <w:left w:val="single" w:color="auto" w:sz="4" w:space="0"/>
              <w:bottom w:val="single" w:color="auto" w:sz="4" w:space="0"/>
            </w:tcBorders>
            <w:noWrap w:val="0"/>
            <w:vAlign w:val="center"/>
          </w:tcPr>
          <w:p w14:paraId="62998564">
            <w:pPr>
              <w:spacing w:line="560" w:lineRule="exact"/>
              <w:jc w:val="center"/>
              <w:rPr>
                <w:rFonts w:hint="eastAsia" w:ascii="CESI仿宋-GB2312" w:hAnsi="CESI仿宋-GB2312" w:eastAsia="CESI仿宋-GB2312" w:cs="CESI仿宋-GB2312"/>
                <w:sz w:val="24"/>
                <w:lang w:val="en-US" w:eastAsia="zh-CN"/>
              </w:rPr>
            </w:pPr>
            <w:r>
              <w:rPr>
                <w:rFonts w:hint="eastAsia" w:ascii="CESI仿宋-GB2312" w:hAnsi="CESI仿宋-GB2312" w:eastAsia="CESI仿宋-GB2312" w:cs="CESI仿宋-GB2312"/>
                <w:sz w:val="24"/>
                <w:lang w:val="en-US" w:eastAsia="zh-CN"/>
              </w:rPr>
              <w:t>25060923</w:t>
            </w:r>
          </w:p>
        </w:tc>
        <w:tc>
          <w:tcPr>
            <w:tcW w:w="1884" w:type="dxa"/>
            <w:tcBorders>
              <w:top w:val="single" w:color="auto" w:sz="4" w:space="0"/>
              <w:left w:val="single" w:color="auto" w:sz="4" w:space="0"/>
              <w:bottom w:val="single" w:color="auto" w:sz="4" w:space="0"/>
            </w:tcBorders>
            <w:noWrap w:val="0"/>
            <w:vAlign w:val="center"/>
          </w:tcPr>
          <w:p w14:paraId="487FF738">
            <w:pPr>
              <w:spacing w:line="560" w:lineRule="exact"/>
              <w:jc w:val="center"/>
              <w:rPr>
                <w:rFonts w:hint="eastAsia" w:ascii="CESI仿宋-GB2312" w:hAnsi="CESI仿宋-GB2312" w:eastAsia="CESI仿宋-GB2312" w:cs="CESI仿宋-GB2312"/>
                <w:sz w:val="24"/>
                <w:lang w:val="en-US" w:eastAsia="zh-CN"/>
              </w:rPr>
            </w:pPr>
            <w:r>
              <w:rPr>
                <w:rFonts w:hint="eastAsia" w:ascii="CESI仿宋-GB2312" w:hAnsi="CESI仿宋-GB2312" w:eastAsia="CESI仿宋-GB2312" w:cs="CESI仿宋-GB2312"/>
                <w:sz w:val="24"/>
                <w:lang w:val="en-US" w:eastAsia="zh-CN"/>
              </w:rPr>
              <w:t>13823239009</w:t>
            </w:r>
          </w:p>
        </w:tc>
      </w:tr>
      <w:tr w14:paraId="64B918B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318" w:hRule="atLeast"/>
          <w:jc w:val="center"/>
        </w:trPr>
        <w:tc>
          <w:tcPr>
            <w:tcW w:w="2994" w:type="dxa"/>
            <w:vMerge w:val="continue"/>
            <w:tcBorders>
              <w:right w:val="single" w:color="auto" w:sz="4" w:space="0"/>
            </w:tcBorders>
            <w:noWrap w:val="0"/>
            <w:vAlign w:val="center"/>
          </w:tcPr>
          <w:p w14:paraId="5461E3B7">
            <w:pPr>
              <w:spacing w:line="560" w:lineRule="exact"/>
              <w:jc w:val="center"/>
              <w:rPr>
                <w:rFonts w:hint="eastAsia" w:ascii="CESI仿宋-GB2312" w:hAnsi="CESI仿宋-GB2312" w:eastAsia="CESI仿宋-GB2312" w:cs="CESI仿宋-GB2312"/>
                <w:sz w:val="24"/>
                <w:lang w:val="en-US" w:eastAsia="zh-CN"/>
              </w:rPr>
            </w:pPr>
          </w:p>
        </w:tc>
        <w:tc>
          <w:tcPr>
            <w:tcW w:w="1842" w:type="dxa"/>
            <w:tcBorders>
              <w:top w:val="single" w:color="auto" w:sz="4" w:space="0"/>
              <w:left w:val="single" w:color="auto" w:sz="4" w:space="0"/>
              <w:bottom w:val="single" w:color="auto" w:sz="4" w:space="0"/>
              <w:right w:val="single" w:color="auto" w:sz="4" w:space="0"/>
            </w:tcBorders>
            <w:noWrap w:val="0"/>
            <w:vAlign w:val="center"/>
          </w:tcPr>
          <w:p w14:paraId="35D1C156">
            <w:pPr>
              <w:spacing w:line="560" w:lineRule="exact"/>
              <w:jc w:val="center"/>
              <w:rPr>
                <w:rFonts w:hint="eastAsia" w:ascii="CESI仿宋-GB2312" w:hAnsi="CESI仿宋-GB2312" w:eastAsia="CESI仿宋-GB2312" w:cs="CESI仿宋-GB2312"/>
                <w:sz w:val="24"/>
                <w:lang w:val="en-US" w:eastAsia="zh-CN"/>
              </w:rPr>
            </w:pPr>
            <w:r>
              <w:rPr>
                <w:rFonts w:hint="eastAsia" w:ascii="CESI仿宋-GB2312" w:hAnsi="CESI仿宋-GB2312" w:eastAsia="CESI仿宋-GB2312" w:cs="CESI仿宋-GB2312"/>
                <w:sz w:val="24"/>
                <w:lang w:val="en-US" w:eastAsia="zh-CN"/>
              </w:rPr>
              <w:t>中英街管理局</w:t>
            </w:r>
          </w:p>
        </w:tc>
        <w:tc>
          <w:tcPr>
            <w:tcW w:w="1335" w:type="dxa"/>
            <w:tcBorders>
              <w:top w:val="single" w:color="auto" w:sz="4" w:space="0"/>
              <w:left w:val="single" w:color="auto" w:sz="4" w:space="0"/>
              <w:bottom w:val="single" w:color="auto" w:sz="4" w:space="0"/>
              <w:right w:val="single" w:color="auto" w:sz="4" w:space="0"/>
            </w:tcBorders>
            <w:noWrap w:val="0"/>
            <w:vAlign w:val="center"/>
          </w:tcPr>
          <w:p w14:paraId="3E8E8068">
            <w:pPr>
              <w:spacing w:line="560" w:lineRule="exact"/>
              <w:jc w:val="center"/>
              <w:rPr>
                <w:rFonts w:hint="eastAsia" w:ascii="CESI仿宋-GB2312" w:hAnsi="CESI仿宋-GB2312" w:eastAsia="CESI仿宋-GB2312" w:cs="CESI仿宋-GB2312"/>
                <w:sz w:val="24"/>
                <w:lang w:val="en-US" w:eastAsia="zh-CN"/>
              </w:rPr>
            </w:pPr>
            <w:r>
              <w:rPr>
                <w:rFonts w:hint="eastAsia" w:ascii="CESI仿宋-GB2312" w:hAnsi="CESI仿宋-GB2312" w:eastAsia="CESI仿宋-GB2312" w:cs="CESI仿宋-GB2312"/>
                <w:sz w:val="24"/>
                <w:lang w:val="en-US" w:eastAsia="zh-CN"/>
              </w:rPr>
              <w:t>刘斌</w:t>
            </w:r>
          </w:p>
        </w:tc>
        <w:tc>
          <w:tcPr>
            <w:tcW w:w="1843" w:type="dxa"/>
            <w:tcBorders>
              <w:top w:val="single" w:color="auto" w:sz="4" w:space="0"/>
              <w:left w:val="single" w:color="auto" w:sz="4" w:space="0"/>
              <w:bottom w:val="single" w:color="auto" w:sz="4" w:space="0"/>
            </w:tcBorders>
            <w:noWrap w:val="0"/>
            <w:vAlign w:val="center"/>
          </w:tcPr>
          <w:p w14:paraId="64FFBFBA">
            <w:pPr>
              <w:spacing w:line="560" w:lineRule="exact"/>
              <w:jc w:val="center"/>
              <w:rPr>
                <w:rFonts w:hint="eastAsia" w:ascii="CESI仿宋-GB2312" w:hAnsi="CESI仿宋-GB2312" w:eastAsia="CESI仿宋-GB2312" w:cs="CESI仿宋-GB2312"/>
                <w:sz w:val="24"/>
                <w:lang w:val="en-US" w:eastAsia="zh-CN"/>
              </w:rPr>
            </w:pPr>
            <w:r>
              <w:rPr>
                <w:rFonts w:hint="eastAsia" w:ascii="CESI仿宋-GB2312" w:hAnsi="CESI仿宋-GB2312" w:eastAsia="CESI仿宋-GB2312" w:cs="CESI仿宋-GB2312"/>
                <w:sz w:val="24"/>
                <w:lang w:val="en-US" w:eastAsia="zh-CN"/>
              </w:rPr>
              <w:t>党组成员、执法队队长</w:t>
            </w:r>
          </w:p>
        </w:tc>
        <w:tc>
          <w:tcPr>
            <w:tcW w:w="1483" w:type="dxa"/>
            <w:tcBorders>
              <w:top w:val="single" w:color="auto" w:sz="4" w:space="0"/>
              <w:left w:val="single" w:color="auto" w:sz="4" w:space="0"/>
              <w:bottom w:val="single" w:color="auto" w:sz="4" w:space="0"/>
            </w:tcBorders>
            <w:noWrap w:val="0"/>
            <w:vAlign w:val="center"/>
          </w:tcPr>
          <w:p w14:paraId="61D7BED0">
            <w:pPr>
              <w:spacing w:line="560" w:lineRule="exact"/>
              <w:jc w:val="center"/>
              <w:rPr>
                <w:rFonts w:hint="eastAsia" w:ascii="CESI仿宋-GB2312" w:hAnsi="CESI仿宋-GB2312" w:eastAsia="CESI仿宋-GB2312" w:cs="CESI仿宋-GB2312"/>
                <w:sz w:val="24"/>
                <w:lang w:val="en-US" w:eastAsia="zh-CN"/>
              </w:rPr>
            </w:pPr>
            <w:r>
              <w:rPr>
                <w:rFonts w:hint="eastAsia" w:ascii="CESI仿宋-GB2312" w:hAnsi="CESI仿宋-GB2312" w:eastAsia="CESI仿宋-GB2312" w:cs="CESI仿宋-GB2312"/>
                <w:sz w:val="24"/>
                <w:lang w:val="en-US" w:eastAsia="zh-CN"/>
              </w:rPr>
              <w:t>22747204</w:t>
            </w:r>
          </w:p>
        </w:tc>
        <w:tc>
          <w:tcPr>
            <w:tcW w:w="1884" w:type="dxa"/>
            <w:tcBorders>
              <w:top w:val="single" w:color="auto" w:sz="4" w:space="0"/>
              <w:left w:val="single" w:color="auto" w:sz="4" w:space="0"/>
              <w:bottom w:val="single" w:color="auto" w:sz="4" w:space="0"/>
            </w:tcBorders>
            <w:noWrap w:val="0"/>
            <w:vAlign w:val="center"/>
          </w:tcPr>
          <w:p w14:paraId="05993385">
            <w:pPr>
              <w:spacing w:line="560" w:lineRule="exact"/>
              <w:jc w:val="center"/>
              <w:rPr>
                <w:rFonts w:hint="eastAsia" w:ascii="CESI仿宋-GB2312" w:hAnsi="CESI仿宋-GB2312" w:eastAsia="CESI仿宋-GB2312" w:cs="CESI仿宋-GB2312"/>
                <w:sz w:val="24"/>
                <w:lang w:val="en-US" w:eastAsia="zh-CN"/>
              </w:rPr>
            </w:pPr>
            <w:r>
              <w:rPr>
                <w:rFonts w:hint="eastAsia" w:ascii="CESI仿宋-GB2312" w:hAnsi="CESI仿宋-GB2312" w:eastAsia="CESI仿宋-GB2312" w:cs="CESI仿宋-GB2312"/>
                <w:sz w:val="24"/>
                <w:lang w:val="en-US" w:eastAsia="zh-CN"/>
              </w:rPr>
              <w:t>13823139038</w:t>
            </w:r>
          </w:p>
        </w:tc>
      </w:tr>
      <w:tr w14:paraId="3747C13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318" w:hRule="atLeast"/>
          <w:jc w:val="center"/>
        </w:trPr>
        <w:tc>
          <w:tcPr>
            <w:tcW w:w="2994" w:type="dxa"/>
            <w:vMerge w:val="continue"/>
            <w:tcBorders>
              <w:right w:val="single" w:color="auto" w:sz="4" w:space="0"/>
            </w:tcBorders>
            <w:noWrap w:val="0"/>
            <w:vAlign w:val="center"/>
          </w:tcPr>
          <w:p w14:paraId="3CD63B57">
            <w:pPr>
              <w:spacing w:line="560" w:lineRule="exact"/>
              <w:jc w:val="center"/>
              <w:rPr>
                <w:rFonts w:hint="eastAsia" w:ascii="CESI仿宋-GB2312" w:hAnsi="CESI仿宋-GB2312" w:eastAsia="CESI仿宋-GB2312" w:cs="CESI仿宋-GB2312"/>
                <w:sz w:val="24"/>
                <w:lang w:val="en-US" w:eastAsia="zh-CN"/>
              </w:rPr>
            </w:pPr>
            <w:r>
              <w:rPr>
                <w:rFonts w:hint="eastAsia" w:ascii="CESI仿宋-GB2312" w:hAnsi="CESI仿宋-GB2312" w:eastAsia="CESI仿宋-GB2312" w:cs="CESI仿宋-GB2312"/>
                <w:sz w:val="24"/>
                <w:lang w:val="en-US" w:eastAsia="zh-CN"/>
              </w:rPr>
              <w:t>在·</w:t>
            </w:r>
          </w:p>
        </w:tc>
        <w:tc>
          <w:tcPr>
            <w:tcW w:w="1842" w:type="dxa"/>
            <w:tcBorders>
              <w:top w:val="single" w:color="auto" w:sz="4" w:space="0"/>
              <w:left w:val="single" w:color="auto" w:sz="4" w:space="0"/>
              <w:bottom w:val="single" w:color="auto" w:sz="4" w:space="0"/>
              <w:right w:val="single" w:color="auto" w:sz="4" w:space="0"/>
            </w:tcBorders>
            <w:noWrap w:val="0"/>
            <w:vAlign w:val="center"/>
          </w:tcPr>
          <w:p w14:paraId="23E0B11E">
            <w:pPr>
              <w:spacing w:line="560" w:lineRule="exact"/>
              <w:jc w:val="center"/>
              <w:rPr>
                <w:rFonts w:hint="eastAsia" w:ascii="CESI仿宋-GB2312" w:hAnsi="CESI仿宋-GB2312" w:eastAsia="CESI仿宋-GB2312" w:cs="CESI仿宋-GB2312"/>
                <w:sz w:val="24"/>
                <w:lang w:val="en-US" w:eastAsia="zh-CN"/>
              </w:rPr>
            </w:pPr>
            <w:r>
              <w:rPr>
                <w:rFonts w:hint="eastAsia" w:ascii="CESI仿宋-GB2312" w:hAnsi="CESI仿宋-GB2312" w:eastAsia="CESI仿宋-GB2312" w:cs="CESI仿宋-GB2312"/>
                <w:sz w:val="24"/>
                <w:lang w:val="en-US" w:eastAsia="zh-CN"/>
              </w:rPr>
              <w:t>盐田公安分局</w:t>
            </w:r>
          </w:p>
        </w:tc>
        <w:tc>
          <w:tcPr>
            <w:tcW w:w="1335" w:type="dxa"/>
            <w:tcBorders>
              <w:top w:val="single" w:color="auto" w:sz="4" w:space="0"/>
              <w:left w:val="single" w:color="auto" w:sz="4" w:space="0"/>
              <w:bottom w:val="single" w:color="auto" w:sz="4" w:space="0"/>
              <w:right w:val="single" w:color="auto" w:sz="4" w:space="0"/>
            </w:tcBorders>
            <w:noWrap w:val="0"/>
            <w:vAlign w:val="center"/>
          </w:tcPr>
          <w:p w14:paraId="46AF4909">
            <w:pPr>
              <w:spacing w:line="560" w:lineRule="exact"/>
              <w:jc w:val="center"/>
              <w:rPr>
                <w:rFonts w:hint="eastAsia" w:ascii="CESI仿宋-GB2312" w:hAnsi="CESI仿宋-GB2312" w:eastAsia="CESI仿宋-GB2312" w:cs="CESI仿宋-GB2312"/>
                <w:sz w:val="24"/>
                <w:lang w:val="en-US" w:eastAsia="zh-CN"/>
              </w:rPr>
            </w:pPr>
            <w:r>
              <w:rPr>
                <w:rFonts w:hint="eastAsia" w:ascii="CESI仿宋-GB2312" w:hAnsi="CESI仿宋-GB2312" w:eastAsia="CESI仿宋-GB2312" w:cs="CESI仿宋-GB2312"/>
                <w:sz w:val="24"/>
                <w:lang w:val="en-US" w:eastAsia="zh-CN"/>
              </w:rPr>
              <w:t>余磊</w:t>
            </w:r>
          </w:p>
        </w:tc>
        <w:tc>
          <w:tcPr>
            <w:tcW w:w="1843" w:type="dxa"/>
            <w:tcBorders>
              <w:top w:val="single" w:color="auto" w:sz="4" w:space="0"/>
              <w:left w:val="single" w:color="auto" w:sz="4" w:space="0"/>
              <w:bottom w:val="single" w:color="auto" w:sz="4" w:space="0"/>
            </w:tcBorders>
            <w:noWrap w:val="0"/>
            <w:vAlign w:val="center"/>
          </w:tcPr>
          <w:p w14:paraId="2AE39CC5">
            <w:pPr>
              <w:spacing w:line="560" w:lineRule="exact"/>
              <w:jc w:val="center"/>
              <w:rPr>
                <w:rFonts w:hint="eastAsia" w:ascii="CESI仿宋-GB2312" w:hAnsi="CESI仿宋-GB2312" w:eastAsia="CESI仿宋-GB2312" w:cs="CESI仿宋-GB2312"/>
                <w:sz w:val="24"/>
                <w:lang w:val="en-US" w:eastAsia="zh-CN"/>
              </w:rPr>
            </w:pPr>
            <w:r>
              <w:rPr>
                <w:rFonts w:hint="eastAsia" w:ascii="CESI仿宋-GB2312" w:hAnsi="CESI仿宋-GB2312" w:eastAsia="CESI仿宋-GB2312" w:cs="CESI仿宋-GB2312"/>
                <w:sz w:val="24"/>
                <w:lang w:val="en-US" w:eastAsia="zh-CN"/>
              </w:rPr>
              <w:t>一级警长</w:t>
            </w:r>
          </w:p>
        </w:tc>
        <w:tc>
          <w:tcPr>
            <w:tcW w:w="1483" w:type="dxa"/>
            <w:tcBorders>
              <w:top w:val="single" w:color="auto" w:sz="4" w:space="0"/>
              <w:left w:val="single" w:color="auto" w:sz="4" w:space="0"/>
              <w:bottom w:val="single" w:color="auto" w:sz="4" w:space="0"/>
            </w:tcBorders>
            <w:noWrap w:val="0"/>
            <w:vAlign w:val="center"/>
          </w:tcPr>
          <w:p w14:paraId="15CED23B">
            <w:pPr>
              <w:spacing w:line="560" w:lineRule="exact"/>
              <w:jc w:val="center"/>
              <w:rPr>
                <w:rFonts w:hint="eastAsia" w:ascii="CESI仿宋-GB2312" w:hAnsi="CESI仿宋-GB2312" w:eastAsia="CESI仿宋-GB2312" w:cs="CESI仿宋-GB2312"/>
                <w:sz w:val="24"/>
                <w:lang w:val="en-US" w:eastAsia="zh-CN"/>
              </w:rPr>
            </w:pPr>
            <w:r>
              <w:rPr>
                <w:rFonts w:hint="eastAsia" w:ascii="CESI仿宋-GB2312" w:hAnsi="CESI仿宋-GB2312" w:eastAsia="CESI仿宋-GB2312" w:cs="CESI仿宋-GB2312"/>
                <w:sz w:val="24"/>
                <w:lang w:val="en-US" w:eastAsia="zh-CN"/>
              </w:rPr>
              <w:t>84460718</w:t>
            </w:r>
          </w:p>
        </w:tc>
        <w:tc>
          <w:tcPr>
            <w:tcW w:w="1884" w:type="dxa"/>
            <w:tcBorders>
              <w:top w:val="single" w:color="auto" w:sz="4" w:space="0"/>
              <w:left w:val="single" w:color="auto" w:sz="4" w:space="0"/>
              <w:bottom w:val="single" w:color="auto" w:sz="4" w:space="0"/>
            </w:tcBorders>
            <w:noWrap w:val="0"/>
            <w:vAlign w:val="center"/>
          </w:tcPr>
          <w:p w14:paraId="375306A2">
            <w:pPr>
              <w:spacing w:line="560" w:lineRule="exact"/>
              <w:jc w:val="center"/>
              <w:rPr>
                <w:rFonts w:hint="eastAsia" w:ascii="CESI仿宋-GB2312" w:hAnsi="CESI仿宋-GB2312" w:eastAsia="CESI仿宋-GB2312" w:cs="CESI仿宋-GB2312"/>
                <w:sz w:val="24"/>
                <w:lang w:val="en-US" w:eastAsia="zh-CN"/>
              </w:rPr>
            </w:pPr>
            <w:r>
              <w:rPr>
                <w:rFonts w:hint="eastAsia" w:ascii="CESI仿宋-GB2312" w:hAnsi="CESI仿宋-GB2312" w:eastAsia="CESI仿宋-GB2312" w:cs="CESI仿宋-GB2312"/>
                <w:sz w:val="24"/>
                <w:lang w:val="en-US" w:eastAsia="zh-CN"/>
              </w:rPr>
              <w:t>13510303344</w:t>
            </w:r>
          </w:p>
        </w:tc>
      </w:tr>
      <w:tr w14:paraId="12ADC07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317" w:hRule="atLeast"/>
          <w:jc w:val="center"/>
        </w:trPr>
        <w:tc>
          <w:tcPr>
            <w:tcW w:w="2994" w:type="dxa"/>
            <w:vMerge w:val="continue"/>
            <w:tcBorders>
              <w:right w:val="single" w:color="auto" w:sz="4" w:space="0"/>
            </w:tcBorders>
            <w:noWrap w:val="0"/>
            <w:vAlign w:val="center"/>
          </w:tcPr>
          <w:p w14:paraId="57EF91D2">
            <w:pPr>
              <w:spacing w:line="560" w:lineRule="exact"/>
              <w:jc w:val="center"/>
              <w:rPr>
                <w:rFonts w:hint="eastAsia" w:ascii="CESI仿宋-GB2312" w:hAnsi="CESI仿宋-GB2312" w:eastAsia="CESI仿宋-GB2312" w:cs="CESI仿宋-GB2312"/>
                <w:sz w:val="24"/>
                <w:lang w:val="en-US" w:eastAsia="zh-CN"/>
              </w:rPr>
            </w:pPr>
          </w:p>
        </w:tc>
        <w:tc>
          <w:tcPr>
            <w:tcW w:w="1842" w:type="dxa"/>
            <w:tcBorders>
              <w:top w:val="single" w:color="auto" w:sz="4" w:space="0"/>
              <w:left w:val="single" w:color="auto" w:sz="4" w:space="0"/>
              <w:bottom w:val="single" w:color="auto" w:sz="4" w:space="0"/>
              <w:right w:val="single" w:color="auto" w:sz="4" w:space="0"/>
            </w:tcBorders>
            <w:noWrap w:val="0"/>
            <w:vAlign w:val="center"/>
          </w:tcPr>
          <w:p w14:paraId="549C789F">
            <w:pPr>
              <w:spacing w:line="560" w:lineRule="exact"/>
              <w:jc w:val="center"/>
              <w:rPr>
                <w:rFonts w:hint="eastAsia" w:ascii="CESI仿宋-GB2312" w:hAnsi="CESI仿宋-GB2312" w:eastAsia="CESI仿宋-GB2312" w:cs="CESI仿宋-GB2312"/>
                <w:sz w:val="24"/>
                <w:lang w:val="en-US" w:eastAsia="zh-CN"/>
              </w:rPr>
            </w:pPr>
            <w:r>
              <w:rPr>
                <w:rFonts w:hint="eastAsia" w:ascii="CESI仿宋-GB2312" w:hAnsi="CESI仿宋-GB2312" w:eastAsia="CESI仿宋-GB2312" w:cs="CESI仿宋-GB2312"/>
                <w:sz w:val="24"/>
                <w:lang w:val="en-US" w:eastAsia="zh-CN"/>
              </w:rPr>
              <w:t>市规划和自然资源局盐田管理局</w:t>
            </w:r>
          </w:p>
        </w:tc>
        <w:tc>
          <w:tcPr>
            <w:tcW w:w="1335" w:type="dxa"/>
            <w:tcBorders>
              <w:top w:val="single" w:color="auto" w:sz="4" w:space="0"/>
              <w:left w:val="single" w:color="auto" w:sz="4" w:space="0"/>
              <w:bottom w:val="single" w:color="auto" w:sz="4" w:space="0"/>
              <w:right w:val="single" w:color="auto" w:sz="4" w:space="0"/>
            </w:tcBorders>
            <w:noWrap w:val="0"/>
            <w:vAlign w:val="center"/>
          </w:tcPr>
          <w:p w14:paraId="462F815D">
            <w:pPr>
              <w:spacing w:line="560" w:lineRule="exact"/>
              <w:jc w:val="center"/>
              <w:rPr>
                <w:rFonts w:hint="eastAsia" w:ascii="CESI仿宋-GB2312" w:hAnsi="CESI仿宋-GB2312" w:eastAsia="CESI仿宋-GB2312" w:cs="CESI仿宋-GB2312"/>
                <w:sz w:val="24"/>
                <w:lang w:val="en-US" w:eastAsia="zh-CN"/>
              </w:rPr>
            </w:pPr>
            <w:r>
              <w:rPr>
                <w:rFonts w:hint="eastAsia" w:ascii="CESI仿宋-GB2312" w:hAnsi="CESI仿宋-GB2312" w:eastAsia="CESI仿宋-GB2312" w:cs="CESI仿宋-GB2312"/>
                <w:sz w:val="24"/>
                <w:lang w:val="en-US" w:eastAsia="zh-CN"/>
              </w:rPr>
              <w:t>王博韬</w:t>
            </w:r>
          </w:p>
        </w:tc>
        <w:tc>
          <w:tcPr>
            <w:tcW w:w="1843" w:type="dxa"/>
            <w:tcBorders>
              <w:top w:val="single" w:color="auto" w:sz="4" w:space="0"/>
              <w:left w:val="single" w:color="auto" w:sz="4" w:space="0"/>
              <w:bottom w:val="single" w:color="auto" w:sz="4" w:space="0"/>
            </w:tcBorders>
            <w:noWrap w:val="0"/>
            <w:vAlign w:val="center"/>
          </w:tcPr>
          <w:p w14:paraId="21549F2F">
            <w:pPr>
              <w:spacing w:line="560" w:lineRule="exact"/>
              <w:jc w:val="center"/>
              <w:rPr>
                <w:rFonts w:hint="eastAsia" w:ascii="CESI仿宋-GB2312" w:hAnsi="CESI仿宋-GB2312" w:eastAsia="CESI仿宋-GB2312" w:cs="CESI仿宋-GB2312"/>
                <w:sz w:val="24"/>
                <w:lang w:val="en-US" w:eastAsia="zh-CN"/>
              </w:rPr>
            </w:pPr>
            <w:r>
              <w:rPr>
                <w:rFonts w:hint="eastAsia" w:ascii="CESI仿宋-GB2312" w:hAnsi="CESI仿宋-GB2312" w:eastAsia="CESI仿宋-GB2312" w:cs="CESI仿宋-GB2312"/>
                <w:sz w:val="24"/>
                <w:lang w:val="en-US" w:eastAsia="zh-CN"/>
              </w:rPr>
              <w:t>四级主任科员</w:t>
            </w:r>
          </w:p>
        </w:tc>
        <w:tc>
          <w:tcPr>
            <w:tcW w:w="1483" w:type="dxa"/>
            <w:tcBorders>
              <w:top w:val="single" w:color="auto" w:sz="4" w:space="0"/>
              <w:left w:val="single" w:color="auto" w:sz="4" w:space="0"/>
              <w:bottom w:val="single" w:color="auto" w:sz="4" w:space="0"/>
            </w:tcBorders>
            <w:noWrap w:val="0"/>
            <w:vAlign w:val="center"/>
          </w:tcPr>
          <w:p w14:paraId="022A756F">
            <w:pPr>
              <w:spacing w:line="560" w:lineRule="exact"/>
              <w:jc w:val="center"/>
              <w:rPr>
                <w:rFonts w:hint="eastAsia" w:ascii="CESI仿宋-GB2312" w:hAnsi="CESI仿宋-GB2312" w:eastAsia="CESI仿宋-GB2312" w:cs="CESI仿宋-GB2312"/>
                <w:sz w:val="24"/>
                <w:lang w:val="en-US" w:eastAsia="zh-CN"/>
              </w:rPr>
            </w:pPr>
            <w:r>
              <w:rPr>
                <w:rFonts w:hint="eastAsia" w:ascii="CESI仿宋-GB2312" w:hAnsi="CESI仿宋-GB2312" w:eastAsia="CESI仿宋-GB2312" w:cs="CESI仿宋-GB2312"/>
                <w:sz w:val="24"/>
                <w:lang w:val="en-US" w:eastAsia="zh-CN"/>
              </w:rPr>
              <w:t>25359626</w:t>
            </w:r>
          </w:p>
        </w:tc>
        <w:tc>
          <w:tcPr>
            <w:tcW w:w="1884" w:type="dxa"/>
            <w:tcBorders>
              <w:top w:val="single" w:color="auto" w:sz="4" w:space="0"/>
              <w:left w:val="single" w:color="auto" w:sz="4" w:space="0"/>
              <w:bottom w:val="single" w:color="auto" w:sz="4" w:space="0"/>
            </w:tcBorders>
            <w:noWrap w:val="0"/>
            <w:vAlign w:val="center"/>
          </w:tcPr>
          <w:p w14:paraId="4B369178">
            <w:pPr>
              <w:spacing w:line="560" w:lineRule="exact"/>
              <w:jc w:val="center"/>
              <w:rPr>
                <w:rFonts w:hint="eastAsia" w:ascii="CESI仿宋-GB2312" w:hAnsi="CESI仿宋-GB2312" w:eastAsia="CESI仿宋-GB2312" w:cs="CESI仿宋-GB2312"/>
                <w:sz w:val="24"/>
                <w:lang w:val="en-US" w:eastAsia="zh-CN"/>
              </w:rPr>
            </w:pPr>
            <w:r>
              <w:rPr>
                <w:rFonts w:hint="eastAsia" w:ascii="CESI仿宋-GB2312" w:hAnsi="CESI仿宋-GB2312" w:eastAsia="CESI仿宋-GB2312" w:cs="CESI仿宋-GB2312"/>
                <w:sz w:val="24"/>
                <w:lang w:val="en-US" w:eastAsia="zh-CN"/>
              </w:rPr>
              <w:t>15110038705</w:t>
            </w:r>
          </w:p>
        </w:tc>
      </w:tr>
      <w:tr w14:paraId="0FBB056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317" w:hRule="atLeast"/>
          <w:jc w:val="center"/>
        </w:trPr>
        <w:tc>
          <w:tcPr>
            <w:tcW w:w="2994" w:type="dxa"/>
            <w:vMerge w:val="continue"/>
            <w:tcBorders>
              <w:right w:val="single" w:color="auto" w:sz="4" w:space="0"/>
            </w:tcBorders>
            <w:noWrap w:val="0"/>
            <w:vAlign w:val="center"/>
          </w:tcPr>
          <w:p w14:paraId="1761DD68">
            <w:pPr>
              <w:spacing w:line="560" w:lineRule="exact"/>
              <w:jc w:val="center"/>
              <w:rPr>
                <w:rFonts w:hint="eastAsia" w:ascii="CESI仿宋-GB2312" w:hAnsi="CESI仿宋-GB2312" w:eastAsia="CESI仿宋-GB2312" w:cs="CESI仿宋-GB2312"/>
                <w:sz w:val="24"/>
                <w:lang w:val="en-US" w:eastAsia="zh-CN"/>
              </w:rPr>
            </w:pPr>
          </w:p>
        </w:tc>
        <w:tc>
          <w:tcPr>
            <w:tcW w:w="1842" w:type="dxa"/>
            <w:tcBorders>
              <w:top w:val="single" w:color="auto" w:sz="4" w:space="0"/>
              <w:left w:val="single" w:color="auto" w:sz="4" w:space="0"/>
              <w:bottom w:val="single" w:color="auto" w:sz="4" w:space="0"/>
              <w:right w:val="single" w:color="auto" w:sz="4" w:space="0"/>
            </w:tcBorders>
            <w:noWrap w:val="0"/>
            <w:vAlign w:val="center"/>
          </w:tcPr>
          <w:p w14:paraId="1E816333">
            <w:pPr>
              <w:spacing w:line="560" w:lineRule="exact"/>
              <w:jc w:val="center"/>
              <w:rPr>
                <w:rFonts w:hint="eastAsia" w:ascii="CESI仿宋-GB2312" w:hAnsi="CESI仿宋-GB2312" w:eastAsia="CESI仿宋-GB2312" w:cs="CESI仿宋-GB2312"/>
                <w:sz w:val="24"/>
                <w:lang w:val="en-US" w:eastAsia="zh-CN"/>
              </w:rPr>
            </w:pPr>
            <w:r>
              <w:rPr>
                <w:rFonts w:hint="eastAsia" w:ascii="CESI仿宋-GB2312" w:hAnsi="CESI仿宋-GB2312" w:eastAsia="CESI仿宋-GB2312" w:cs="CESI仿宋-GB2312"/>
                <w:sz w:val="24"/>
                <w:lang w:val="en-US" w:eastAsia="zh-CN"/>
              </w:rPr>
              <w:t>市生态环境局盐田管理局</w:t>
            </w:r>
          </w:p>
        </w:tc>
        <w:tc>
          <w:tcPr>
            <w:tcW w:w="1335" w:type="dxa"/>
            <w:tcBorders>
              <w:top w:val="single" w:color="auto" w:sz="4" w:space="0"/>
              <w:left w:val="single" w:color="auto" w:sz="4" w:space="0"/>
              <w:bottom w:val="single" w:color="auto" w:sz="4" w:space="0"/>
              <w:right w:val="single" w:color="auto" w:sz="4" w:space="0"/>
            </w:tcBorders>
            <w:noWrap w:val="0"/>
            <w:vAlign w:val="center"/>
          </w:tcPr>
          <w:p w14:paraId="0D238305">
            <w:pPr>
              <w:spacing w:line="560" w:lineRule="exact"/>
              <w:jc w:val="center"/>
              <w:rPr>
                <w:rFonts w:hint="eastAsia" w:ascii="CESI仿宋-GB2312" w:hAnsi="CESI仿宋-GB2312" w:eastAsia="CESI仿宋-GB2312" w:cs="CESI仿宋-GB2312"/>
                <w:sz w:val="24"/>
                <w:lang w:val="en-US" w:eastAsia="zh-CN"/>
              </w:rPr>
            </w:pPr>
            <w:r>
              <w:rPr>
                <w:rFonts w:hint="eastAsia" w:ascii="CESI仿宋-GB2312" w:hAnsi="CESI仿宋-GB2312" w:eastAsia="CESI仿宋-GB2312" w:cs="CESI仿宋-GB2312"/>
                <w:sz w:val="24"/>
                <w:lang w:val="en-US" w:eastAsia="zh-CN"/>
              </w:rPr>
              <w:t>黄徽</w:t>
            </w:r>
          </w:p>
        </w:tc>
        <w:tc>
          <w:tcPr>
            <w:tcW w:w="1843" w:type="dxa"/>
            <w:tcBorders>
              <w:top w:val="single" w:color="auto" w:sz="4" w:space="0"/>
              <w:left w:val="single" w:color="auto" w:sz="4" w:space="0"/>
              <w:bottom w:val="single" w:color="auto" w:sz="4" w:space="0"/>
            </w:tcBorders>
            <w:noWrap w:val="0"/>
            <w:vAlign w:val="center"/>
          </w:tcPr>
          <w:p w14:paraId="2F79F6F8">
            <w:pPr>
              <w:spacing w:line="560" w:lineRule="exact"/>
              <w:jc w:val="center"/>
              <w:rPr>
                <w:rFonts w:hint="eastAsia" w:ascii="CESI仿宋-GB2312" w:hAnsi="CESI仿宋-GB2312" w:eastAsia="CESI仿宋-GB2312" w:cs="CESI仿宋-GB2312"/>
                <w:sz w:val="24"/>
                <w:lang w:val="en-US" w:eastAsia="zh-CN"/>
              </w:rPr>
            </w:pPr>
            <w:r>
              <w:rPr>
                <w:rFonts w:hint="eastAsia" w:ascii="CESI仿宋-GB2312" w:hAnsi="CESI仿宋-GB2312" w:eastAsia="CESI仿宋-GB2312" w:cs="CESI仿宋-GB2312"/>
                <w:sz w:val="24"/>
                <w:lang w:val="en-US" w:eastAsia="zh-CN"/>
              </w:rPr>
              <w:t>副局长</w:t>
            </w:r>
          </w:p>
        </w:tc>
        <w:tc>
          <w:tcPr>
            <w:tcW w:w="1483" w:type="dxa"/>
            <w:tcBorders>
              <w:top w:val="single" w:color="auto" w:sz="4" w:space="0"/>
              <w:left w:val="single" w:color="auto" w:sz="4" w:space="0"/>
              <w:bottom w:val="single" w:color="auto" w:sz="4" w:space="0"/>
            </w:tcBorders>
            <w:noWrap w:val="0"/>
            <w:vAlign w:val="center"/>
          </w:tcPr>
          <w:p w14:paraId="3F06ABC4">
            <w:pPr>
              <w:spacing w:line="560" w:lineRule="exact"/>
              <w:jc w:val="center"/>
              <w:rPr>
                <w:rFonts w:hint="eastAsia" w:ascii="CESI仿宋-GB2312" w:hAnsi="CESI仿宋-GB2312" w:eastAsia="CESI仿宋-GB2312" w:cs="CESI仿宋-GB2312"/>
                <w:sz w:val="24"/>
                <w:lang w:val="en-US" w:eastAsia="zh-CN"/>
              </w:rPr>
            </w:pPr>
            <w:r>
              <w:rPr>
                <w:rFonts w:hint="eastAsia" w:ascii="CESI仿宋-GB2312" w:hAnsi="CESI仿宋-GB2312" w:eastAsia="CESI仿宋-GB2312" w:cs="CESI仿宋-GB2312"/>
                <w:sz w:val="24"/>
                <w:lang w:val="en-US" w:eastAsia="zh-CN"/>
              </w:rPr>
              <w:t>25229827</w:t>
            </w:r>
          </w:p>
        </w:tc>
        <w:tc>
          <w:tcPr>
            <w:tcW w:w="1884" w:type="dxa"/>
            <w:tcBorders>
              <w:top w:val="single" w:color="auto" w:sz="4" w:space="0"/>
              <w:left w:val="single" w:color="auto" w:sz="4" w:space="0"/>
              <w:bottom w:val="single" w:color="auto" w:sz="4" w:space="0"/>
            </w:tcBorders>
            <w:noWrap w:val="0"/>
            <w:vAlign w:val="center"/>
          </w:tcPr>
          <w:p w14:paraId="3EF33324">
            <w:pPr>
              <w:spacing w:line="560" w:lineRule="exact"/>
              <w:jc w:val="center"/>
              <w:rPr>
                <w:rFonts w:hint="eastAsia" w:ascii="CESI仿宋-GB2312" w:hAnsi="CESI仿宋-GB2312" w:eastAsia="CESI仿宋-GB2312" w:cs="CESI仿宋-GB2312"/>
                <w:sz w:val="24"/>
                <w:lang w:val="en-US" w:eastAsia="zh-CN"/>
              </w:rPr>
            </w:pPr>
            <w:r>
              <w:rPr>
                <w:rFonts w:hint="eastAsia" w:ascii="CESI仿宋-GB2312" w:hAnsi="CESI仿宋-GB2312" w:eastAsia="CESI仿宋-GB2312" w:cs="CESI仿宋-GB2312"/>
                <w:sz w:val="24"/>
                <w:lang w:val="en-US" w:eastAsia="zh-CN"/>
              </w:rPr>
              <w:t>13714171142</w:t>
            </w:r>
          </w:p>
        </w:tc>
      </w:tr>
      <w:tr w14:paraId="5BD7AF1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317" w:hRule="atLeast"/>
          <w:jc w:val="center"/>
        </w:trPr>
        <w:tc>
          <w:tcPr>
            <w:tcW w:w="2994" w:type="dxa"/>
            <w:vMerge w:val="continue"/>
            <w:tcBorders>
              <w:right w:val="single" w:color="auto" w:sz="4" w:space="0"/>
            </w:tcBorders>
            <w:noWrap w:val="0"/>
            <w:vAlign w:val="center"/>
          </w:tcPr>
          <w:p w14:paraId="0FAD20E4">
            <w:pPr>
              <w:spacing w:line="560" w:lineRule="exact"/>
              <w:jc w:val="center"/>
              <w:rPr>
                <w:rFonts w:hint="eastAsia" w:ascii="CESI仿宋-GB2312" w:hAnsi="CESI仿宋-GB2312" w:eastAsia="CESI仿宋-GB2312" w:cs="CESI仿宋-GB2312"/>
                <w:sz w:val="24"/>
                <w:lang w:val="en-US" w:eastAsia="zh-CN"/>
              </w:rPr>
            </w:pPr>
          </w:p>
        </w:tc>
        <w:tc>
          <w:tcPr>
            <w:tcW w:w="1842" w:type="dxa"/>
            <w:tcBorders>
              <w:top w:val="single" w:color="auto" w:sz="4" w:space="0"/>
              <w:left w:val="single" w:color="auto" w:sz="4" w:space="0"/>
              <w:bottom w:val="single" w:color="auto" w:sz="4" w:space="0"/>
              <w:right w:val="single" w:color="auto" w:sz="4" w:space="0"/>
            </w:tcBorders>
            <w:noWrap w:val="0"/>
            <w:vAlign w:val="center"/>
          </w:tcPr>
          <w:p w14:paraId="46E77184">
            <w:pPr>
              <w:spacing w:line="560" w:lineRule="exact"/>
              <w:jc w:val="center"/>
              <w:rPr>
                <w:rFonts w:hint="eastAsia" w:ascii="CESI仿宋-GB2312" w:hAnsi="CESI仿宋-GB2312" w:eastAsia="CESI仿宋-GB2312" w:cs="CESI仿宋-GB2312"/>
                <w:sz w:val="24"/>
                <w:lang w:val="en-US" w:eastAsia="zh-CN"/>
              </w:rPr>
            </w:pPr>
            <w:r>
              <w:rPr>
                <w:rFonts w:hint="eastAsia" w:ascii="CESI仿宋-GB2312" w:hAnsi="CESI仿宋-GB2312" w:eastAsia="CESI仿宋-GB2312" w:cs="CESI仿宋-GB2312"/>
                <w:sz w:val="24"/>
                <w:lang w:val="en-US" w:eastAsia="zh-CN"/>
              </w:rPr>
              <w:t>市交通运输局盐田管理局</w:t>
            </w:r>
          </w:p>
        </w:tc>
        <w:tc>
          <w:tcPr>
            <w:tcW w:w="1335" w:type="dxa"/>
            <w:tcBorders>
              <w:top w:val="single" w:color="auto" w:sz="4" w:space="0"/>
              <w:left w:val="single" w:color="auto" w:sz="4" w:space="0"/>
              <w:bottom w:val="single" w:color="auto" w:sz="4" w:space="0"/>
              <w:right w:val="single" w:color="auto" w:sz="4" w:space="0"/>
            </w:tcBorders>
            <w:noWrap w:val="0"/>
            <w:vAlign w:val="center"/>
          </w:tcPr>
          <w:p w14:paraId="11A5398E">
            <w:pPr>
              <w:spacing w:line="560" w:lineRule="exact"/>
              <w:jc w:val="center"/>
              <w:rPr>
                <w:rFonts w:hint="eastAsia" w:ascii="CESI仿宋-GB2312" w:hAnsi="CESI仿宋-GB2312" w:eastAsia="CESI仿宋-GB2312" w:cs="CESI仿宋-GB2312"/>
                <w:sz w:val="24"/>
                <w:lang w:val="en-US" w:eastAsia="zh-CN"/>
              </w:rPr>
            </w:pPr>
            <w:r>
              <w:rPr>
                <w:rFonts w:hint="eastAsia" w:ascii="CESI仿宋-GB2312" w:hAnsi="CESI仿宋-GB2312" w:eastAsia="CESI仿宋-GB2312" w:cs="CESI仿宋-GB2312"/>
                <w:sz w:val="24"/>
                <w:lang w:val="en-US" w:eastAsia="zh-CN"/>
              </w:rPr>
              <w:t>肖卫东</w:t>
            </w:r>
          </w:p>
        </w:tc>
        <w:tc>
          <w:tcPr>
            <w:tcW w:w="1843" w:type="dxa"/>
            <w:tcBorders>
              <w:top w:val="single" w:color="auto" w:sz="4" w:space="0"/>
              <w:left w:val="single" w:color="auto" w:sz="4" w:space="0"/>
              <w:bottom w:val="single" w:color="auto" w:sz="4" w:space="0"/>
            </w:tcBorders>
            <w:noWrap w:val="0"/>
            <w:vAlign w:val="center"/>
          </w:tcPr>
          <w:p w14:paraId="625EA422">
            <w:pPr>
              <w:spacing w:line="560" w:lineRule="exact"/>
              <w:jc w:val="center"/>
              <w:rPr>
                <w:rFonts w:hint="eastAsia" w:ascii="CESI仿宋-GB2312" w:hAnsi="CESI仿宋-GB2312" w:eastAsia="CESI仿宋-GB2312" w:cs="CESI仿宋-GB2312"/>
                <w:sz w:val="24"/>
                <w:lang w:val="en-US" w:eastAsia="zh-CN"/>
              </w:rPr>
            </w:pPr>
            <w:r>
              <w:rPr>
                <w:rFonts w:hint="eastAsia" w:ascii="CESI仿宋-GB2312" w:hAnsi="CESI仿宋-GB2312" w:eastAsia="CESI仿宋-GB2312" w:cs="CESI仿宋-GB2312"/>
                <w:sz w:val="24"/>
                <w:lang w:val="en-US" w:eastAsia="zh-CN"/>
              </w:rPr>
              <w:t>副局长</w:t>
            </w:r>
          </w:p>
        </w:tc>
        <w:tc>
          <w:tcPr>
            <w:tcW w:w="1483" w:type="dxa"/>
            <w:tcBorders>
              <w:top w:val="single" w:color="auto" w:sz="4" w:space="0"/>
              <w:left w:val="single" w:color="auto" w:sz="4" w:space="0"/>
              <w:bottom w:val="single" w:color="auto" w:sz="4" w:space="0"/>
            </w:tcBorders>
            <w:noWrap w:val="0"/>
            <w:vAlign w:val="center"/>
          </w:tcPr>
          <w:p w14:paraId="75C31C52">
            <w:pPr>
              <w:spacing w:line="560" w:lineRule="exact"/>
              <w:jc w:val="center"/>
              <w:rPr>
                <w:rFonts w:hint="eastAsia" w:ascii="CESI仿宋-GB2312" w:hAnsi="CESI仿宋-GB2312" w:eastAsia="CESI仿宋-GB2312" w:cs="CESI仿宋-GB2312"/>
                <w:sz w:val="24"/>
                <w:lang w:val="en-US" w:eastAsia="zh-CN"/>
              </w:rPr>
            </w:pPr>
            <w:r>
              <w:rPr>
                <w:rFonts w:hint="eastAsia" w:ascii="CESI仿宋-GB2312" w:hAnsi="CESI仿宋-GB2312" w:eastAsia="CESI仿宋-GB2312" w:cs="CESI仿宋-GB2312"/>
                <w:sz w:val="24"/>
                <w:lang w:val="en-US" w:eastAsia="zh-CN"/>
              </w:rPr>
              <w:t>66878801</w:t>
            </w:r>
          </w:p>
        </w:tc>
        <w:tc>
          <w:tcPr>
            <w:tcW w:w="1884" w:type="dxa"/>
            <w:tcBorders>
              <w:top w:val="single" w:color="auto" w:sz="4" w:space="0"/>
              <w:left w:val="single" w:color="auto" w:sz="4" w:space="0"/>
              <w:bottom w:val="single" w:color="auto" w:sz="4" w:space="0"/>
            </w:tcBorders>
            <w:noWrap w:val="0"/>
            <w:vAlign w:val="center"/>
          </w:tcPr>
          <w:p w14:paraId="531B4A6F">
            <w:pPr>
              <w:spacing w:line="560" w:lineRule="exact"/>
              <w:jc w:val="center"/>
              <w:rPr>
                <w:rFonts w:hint="eastAsia" w:ascii="CESI仿宋-GB2312" w:hAnsi="CESI仿宋-GB2312" w:eastAsia="CESI仿宋-GB2312" w:cs="CESI仿宋-GB2312"/>
                <w:sz w:val="24"/>
                <w:lang w:val="en-US" w:eastAsia="zh-CN"/>
              </w:rPr>
            </w:pPr>
            <w:r>
              <w:rPr>
                <w:rFonts w:hint="eastAsia" w:ascii="CESI仿宋-GB2312" w:hAnsi="CESI仿宋-GB2312" w:eastAsia="CESI仿宋-GB2312" w:cs="CESI仿宋-GB2312"/>
                <w:sz w:val="24"/>
                <w:lang w:val="en-US" w:eastAsia="zh-CN"/>
              </w:rPr>
              <w:t>13802236822</w:t>
            </w:r>
          </w:p>
        </w:tc>
      </w:tr>
      <w:tr w14:paraId="46CA858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317" w:hRule="atLeast"/>
          <w:jc w:val="center"/>
        </w:trPr>
        <w:tc>
          <w:tcPr>
            <w:tcW w:w="2994" w:type="dxa"/>
            <w:vMerge w:val="continue"/>
            <w:tcBorders>
              <w:right w:val="single" w:color="auto" w:sz="4" w:space="0"/>
            </w:tcBorders>
            <w:noWrap w:val="0"/>
            <w:vAlign w:val="center"/>
          </w:tcPr>
          <w:p w14:paraId="6DBAB08B">
            <w:pPr>
              <w:spacing w:line="560" w:lineRule="exact"/>
              <w:jc w:val="center"/>
              <w:rPr>
                <w:rFonts w:hint="eastAsia" w:ascii="CESI仿宋-GB2312" w:hAnsi="CESI仿宋-GB2312" w:eastAsia="CESI仿宋-GB2312" w:cs="CESI仿宋-GB2312"/>
                <w:sz w:val="24"/>
                <w:lang w:val="en-US" w:eastAsia="zh-CN"/>
              </w:rPr>
            </w:pPr>
          </w:p>
        </w:tc>
        <w:tc>
          <w:tcPr>
            <w:tcW w:w="1842" w:type="dxa"/>
            <w:tcBorders>
              <w:top w:val="single" w:color="auto" w:sz="4" w:space="0"/>
              <w:left w:val="single" w:color="auto" w:sz="4" w:space="0"/>
              <w:bottom w:val="single" w:color="auto" w:sz="4" w:space="0"/>
              <w:right w:val="single" w:color="auto" w:sz="4" w:space="0"/>
            </w:tcBorders>
            <w:noWrap w:val="0"/>
            <w:vAlign w:val="center"/>
          </w:tcPr>
          <w:p w14:paraId="58753297">
            <w:pPr>
              <w:spacing w:line="560" w:lineRule="exact"/>
              <w:jc w:val="center"/>
              <w:rPr>
                <w:rFonts w:hint="eastAsia" w:ascii="CESI仿宋-GB2312" w:hAnsi="CESI仿宋-GB2312" w:eastAsia="CESI仿宋-GB2312" w:cs="CESI仿宋-GB2312"/>
                <w:sz w:val="24"/>
                <w:lang w:val="en-US" w:eastAsia="zh-CN"/>
              </w:rPr>
            </w:pPr>
            <w:r>
              <w:rPr>
                <w:rFonts w:hint="eastAsia" w:ascii="CESI仿宋-GB2312" w:hAnsi="CESI仿宋-GB2312" w:eastAsia="CESI仿宋-GB2312" w:cs="CESI仿宋-GB2312"/>
                <w:sz w:val="24"/>
                <w:lang w:val="en-US" w:eastAsia="zh-CN"/>
              </w:rPr>
              <w:t>市市场监督管理局盐田监管局</w:t>
            </w:r>
          </w:p>
        </w:tc>
        <w:tc>
          <w:tcPr>
            <w:tcW w:w="1335" w:type="dxa"/>
            <w:tcBorders>
              <w:top w:val="single" w:color="auto" w:sz="4" w:space="0"/>
              <w:left w:val="single" w:color="auto" w:sz="4" w:space="0"/>
              <w:bottom w:val="single" w:color="auto" w:sz="4" w:space="0"/>
              <w:right w:val="single" w:color="auto" w:sz="4" w:space="0"/>
            </w:tcBorders>
            <w:noWrap w:val="0"/>
            <w:vAlign w:val="center"/>
          </w:tcPr>
          <w:p w14:paraId="7160407B">
            <w:pPr>
              <w:spacing w:line="560" w:lineRule="exact"/>
              <w:jc w:val="center"/>
              <w:rPr>
                <w:rFonts w:hint="eastAsia" w:ascii="CESI仿宋-GB2312" w:hAnsi="CESI仿宋-GB2312" w:eastAsia="CESI仿宋-GB2312" w:cs="CESI仿宋-GB2312"/>
                <w:sz w:val="24"/>
                <w:lang w:val="en-US" w:eastAsia="zh-CN"/>
              </w:rPr>
            </w:pPr>
            <w:r>
              <w:rPr>
                <w:rFonts w:hint="eastAsia" w:ascii="CESI仿宋-GB2312" w:hAnsi="CESI仿宋-GB2312" w:eastAsia="CESI仿宋-GB2312" w:cs="CESI仿宋-GB2312"/>
                <w:sz w:val="24"/>
                <w:lang w:val="en-US" w:eastAsia="zh-CN"/>
              </w:rPr>
              <w:t>贺俊生</w:t>
            </w:r>
          </w:p>
        </w:tc>
        <w:tc>
          <w:tcPr>
            <w:tcW w:w="1843" w:type="dxa"/>
            <w:tcBorders>
              <w:top w:val="single" w:color="auto" w:sz="4" w:space="0"/>
              <w:left w:val="single" w:color="auto" w:sz="4" w:space="0"/>
              <w:bottom w:val="single" w:color="auto" w:sz="4" w:space="0"/>
            </w:tcBorders>
            <w:noWrap w:val="0"/>
            <w:vAlign w:val="center"/>
          </w:tcPr>
          <w:p w14:paraId="0ADCC0BB">
            <w:pPr>
              <w:spacing w:line="560" w:lineRule="exact"/>
              <w:jc w:val="center"/>
              <w:rPr>
                <w:rFonts w:hint="eastAsia" w:ascii="CESI仿宋-GB2312" w:hAnsi="CESI仿宋-GB2312" w:eastAsia="CESI仿宋-GB2312" w:cs="CESI仿宋-GB2312"/>
                <w:sz w:val="24"/>
                <w:lang w:val="en-US" w:eastAsia="zh-CN"/>
              </w:rPr>
            </w:pPr>
            <w:r>
              <w:rPr>
                <w:rFonts w:hint="eastAsia" w:ascii="CESI仿宋-GB2312" w:hAnsi="CESI仿宋-GB2312" w:eastAsia="CESI仿宋-GB2312" w:cs="CESI仿宋-GB2312"/>
                <w:sz w:val="24"/>
                <w:lang w:val="en-US" w:eastAsia="zh-CN"/>
              </w:rPr>
              <w:t>副局长</w:t>
            </w:r>
          </w:p>
        </w:tc>
        <w:tc>
          <w:tcPr>
            <w:tcW w:w="1483" w:type="dxa"/>
            <w:tcBorders>
              <w:top w:val="single" w:color="auto" w:sz="4" w:space="0"/>
              <w:left w:val="single" w:color="auto" w:sz="4" w:space="0"/>
              <w:bottom w:val="single" w:color="auto" w:sz="4" w:space="0"/>
            </w:tcBorders>
            <w:noWrap w:val="0"/>
            <w:vAlign w:val="center"/>
          </w:tcPr>
          <w:p w14:paraId="0DD4A010">
            <w:pPr>
              <w:spacing w:line="560" w:lineRule="exact"/>
              <w:jc w:val="center"/>
              <w:rPr>
                <w:rFonts w:hint="eastAsia" w:ascii="CESI仿宋-GB2312" w:hAnsi="CESI仿宋-GB2312" w:eastAsia="CESI仿宋-GB2312" w:cs="CESI仿宋-GB2312"/>
                <w:sz w:val="24"/>
                <w:lang w:val="en-US" w:eastAsia="zh-CN"/>
              </w:rPr>
            </w:pPr>
            <w:r>
              <w:rPr>
                <w:rFonts w:hint="eastAsia" w:ascii="CESI仿宋-GB2312" w:hAnsi="CESI仿宋-GB2312" w:eastAsia="CESI仿宋-GB2312" w:cs="CESI仿宋-GB2312"/>
                <w:sz w:val="24"/>
                <w:lang w:val="en-US" w:eastAsia="zh-CN"/>
              </w:rPr>
              <w:t>25363368</w:t>
            </w:r>
          </w:p>
        </w:tc>
        <w:tc>
          <w:tcPr>
            <w:tcW w:w="1884" w:type="dxa"/>
            <w:tcBorders>
              <w:top w:val="single" w:color="auto" w:sz="4" w:space="0"/>
              <w:left w:val="single" w:color="auto" w:sz="4" w:space="0"/>
              <w:bottom w:val="single" w:color="auto" w:sz="4" w:space="0"/>
            </w:tcBorders>
            <w:noWrap w:val="0"/>
            <w:vAlign w:val="center"/>
          </w:tcPr>
          <w:p w14:paraId="180E687A">
            <w:pPr>
              <w:spacing w:line="560" w:lineRule="exact"/>
              <w:jc w:val="center"/>
              <w:rPr>
                <w:rFonts w:hint="eastAsia" w:ascii="CESI仿宋-GB2312" w:hAnsi="CESI仿宋-GB2312" w:eastAsia="CESI仿宋-GB2312" w:cs="CESI仿宋-GB2312"/>
                <w:sz w:val="24"/>
                <w:lang w:val="en-US" w:eastAsia="zh-CN"/>
              </w:rPr>
            </w:pPr>
            <w:r>
              <w:rPr>
                <w:rFonts w:hint="eastAsia" w:ascii="CESI仿宋-GB2312" w:hAnsi="CESI仿宋-GB2312" w:eastAsia="CESI仿宋-GB2312" w:cs="CESI仿宋-GB2312"/>
                <w:sz w:val="24"/>
                <w:lang w:val="en-US" w:eastAsia="zh-CN"/>
              </w:rPr>
              <w:t>13602671919</w:t>
            </w:r>
          </w:p>
        </w:tc>
      </w:tr>
      <w:tr w14:paraId="0411766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317" w:hRule="atLeast"/>
          <w:jc w:val="center"/>
        </w:trPr>
        <w:tc>
          <w:tcPr>
            <w:tcW w:w="2994" w:type="dxa"/>
            <w:vMerge w:val="continue"/>
            <w:tcBorders>
              <w:right w:val="single" w:color="auto" w:sz="4" w:space="0"/>
            </w:tcBorders>
            <w:noWrap w:val="0"/>
            <w:vAlign w:val="center"/>
          </w:tcPr>
          <w:p w14:paraId="0DBEC707">
            <w:pPr>
              <w:spacing w:line="560" w:lineRule="exact"/>
              <w:jc w:val="center"/>
              <w:rPr>
                <w:rFonts w:hint="eastAsia" w:ascii="CESI仿宋-GB2312" w:hAnsi="CESI仿宋-GB2312" w:eastAsia="CESI仿宋-GB2312" w:cs="CESI仿宋-GB2312"/>
                <w:sz w:val="24"/>
                <w:lang w:val="en-US" w:eastAsia="zh-CN"/>
              </w:rPr>
            </w:pPr>
          </w:p>
        </w:tc>
        <w:tc>
          <w:tcPr>
            <w:tcW w:w="1842" w:type="dxa"/>
            <w:tcBorders>
              <w:top w:val="single" w:color="auto" w:sz="4" w:space="0"/>
              <w:left w:val="single" w:color="auto" w:sz="4" w:space="0"/>
              <w:bottom w:val="single" w:color="auto" w:sz="4" w:space="0"/>
              <w:right w:val="single" w:color="auto" w:sz="4" w:space="0"/>
            </w:tcBorders>
            <w:noWrap w:val="0"/>
            <w:vAlign w:val="center"/>
          </w:tcPr>
          <w:p w14:paraId="12ADF6D6">
            <w:pPr>
              <w:spacing w:line="560" w:lineRule="exact"/>
              <w:jc w:val="center"/>
              <w:rPr>
                <w:rFonts w:hint="eastAsia" w:ascii="CESI仿宋-GB2312" w:hAnsi="CESI仿宋-GB2312" w:eastAsia="CESI仿宋-GB2312" w:cs="CESI仿宋-GB2312"/>
                <w:sz w:val="24"/>
                <w:lang w:val="en-US" w:eastAsia="zh-CN"/>
              </w:rPr>
            </w:pPr>
            <w:r>
              <w:rPr>
                <w:rFonts w:hint="eastAsia" w:ascii="CESI仿宋-GB2312" w:hAnsi="CESI仿宋-GB2312" w:eastAsia="CESI仿宋-GB2312" w:cs="CESI仿宋-GB2312"/>
                <w:sz w:val="24"/>
                <w:lang w:val="en-US" w:eastAsia="zh-CN"/>
              </w:rPr>
              <w:t>盐田交警大队</w:t>
            </w:r>
          </w:p>
        </w:tc>
        <w:tc>
          <w:tcPr>
            <w:tcW w:w="1335" w:type="dxa"/>
            <w:tcBorders>
              <w:top w:val="single" w:color="auto" w:sz="4" w:space="0"/>
              <w:left w:val="single" w:color="auto" w:sz="4" w:space="0"/>
              <w:bottom w:val="single" w:color="auto" w:sz="4" w:space="0"/>
              <w:right w:val="single" w:color="auto" w:sz="4" w:space="0"/>
            </w:tcBorders>
            <w:noWrap w:val="0"/>
            <w:vAlign w:val="center"/>
          </w:tcPr>
          <w:p w14:paraId="3A578358">
            <w:pPr>
              <w:spacing w:line="560" w:lineRule="exact"/>
              <w:jc w:val="center"/>
              <w:rPr>
                <w:rFonts w:hint="eastAsia" w:ascii="CESI仿宋-GB2312" w:hAnsi="CESI仿宋-GB2312" w:eastAsia="CESI仿宋-GB2312" w:cs="CESI仿宋-GB2312"/>
                <w:sz w:val="24"/>
                <w:lang w:val="en-US" w:eastAsia="zh-CN"/>
              </w:rPr>
            </w:pPr>
            <w:r>
              <w:rPr>
                <w:rFonts w:hint="eastAsia" w:ascii="CESI仿宋-GB2312" w:hAnsi="CESI仿宋-GB2312" w:eastAsia="CESI仿宋-GB2312" w:cs="CESI仿宋-GB2312"/>
                <w:sz w:val="24"/>
                <w:lang w:val="en-US" w:eastAsia="zh-CN"/>
              </w:rPr>
              <w:t>陈禹霖</w:t>
            </w:r>
          </w:p>
        </w:tc>
        <w:tc>
          <w:tcPr>
            <w:tcW w:w="1843" w:type="dxa"/>
            <w:tcBorders>
              <w:top w:val="single" w:color="auto" w:sz="4" w:space="0"/>
              <w:left w:val="single" w:color="auto" w:sz="4" w:space="0"/>
              <w:bottom w:val="single" w:color="auto" w:sz="4" w:space="0"/>
            </w:tcBorders>
            <w:noWrap w:val="0"/>
            <w:vAlign w:val="center"/>
          </w:tcPr>
          <w:p w14:paraId="2C756A3B">
            <w:pPr>
              <w:spacing w:line="560" w:lineRule="exact"/>
              <w:jc w:val="center"/>
              <w:rPr>
                <w:rFonts w:hint="eastAsia" w:ascii="CESI仿宋-GB2312" w:hAnsi="CESI仿宋-GB2312" w:eastAsia="CESI仿宋-GB2312" w:cs="CESI仿宋-GB2312"/>
                <w:sz w:val="24"/>
                <w:lang w:val="en-US" w:eastAsia="zh-CN"/>
              </w:rPr>
            </w:pPr>
            <w:r>
              <w:rPr>
                <w:rFonts w:hint="eastAsia" w:ascii="CESI仿宋-GB2312" w:hAnsi="CESI仿宋-GB2312" w:eastAsia="CESI仿宋-GB2312" w:cs="CESI仿宋-GB2312"/>
                <w:sz w:val="24"/>
                <w:lang w:val="en-US" w:eastAsia="zh-CN"/>
              </w:rPr>
              <w:t>一级警员</w:t>
            </w:r>
          </w:p>
        </w:tc>
        <w:tc>
          <w:tcPr>
            <w:tcW w:w="1483" w:type="dxa"/>
            <w:tcBorders>
              <w:top w:val="single" w:color="auto" w:sz="4" w:space="0"/>
              <w:left w:val="single" w:color="auto" w:sz="4" w:space="0"/>
              <w:bottom w:val="single" w:color="auto" w:sz="4" w:space="0"/>
            </w:tcBorders>
            <w:noWrap w:val="0"/>
            <w:vAlign w:val="center"/>
          </w:tcPr>
          <w:p w14:paraId="1FEFF132">
            <w:pPr>
              <w:spacing w:line="560" w:lineRule="exact"/>
              <w:jc w:val="center"/>
              <w:rPr>
                <w:rFonts w:hint="eastAsia" w:ascii="CESI仿宋-GB2312" w:hAnsi="CESI仿宋-GB2312" w:eastAsia="CESI仿宋-GB2312" w:cs="CESI仿宋-GB2312"/>
                <w:sz w:val="24"/>
                <w:lang w:val="en-US" w:eastAsia="zh-CN"/>
              </w:rPr>
            </w:pPr>
            <w:r>
              <w:rPr>
                <w:rFonts w:hint="eastAsia" w:ascii="CESI仿宋-GB2312" w:hAnsi="CESI仿宋-GB2312" w:eastAsia="CESI仿宋-GB2312" w:cs="CESI仿宋-GB2312"/>
                <w:sz w:val="24"/>
                <w:lang w:val="en-US" w:eastAsia="zh-CN"/>
              </w:rPr>
              <w:t>25164033</w:t>
            </w:r>
          </w:p>
        </w:tc>
        <w:tc>
          <w:tcPr>
            <w:tcW w:w="1884" w:type="dxa"/>
            <w:tcBorders>
              <w:top w:val="single" w:color="auto" w:sz="4" w:space="0"/>
              <w:left w:val="single" w:color="auto" w:sz="4" w:space="0"/>
              <w:bottom w:val="single" w:color="auto" w:sz="4" w:space="0"/>
            </w:tcBorders>
            <w:noWrap w:val="0"/>
            <w:vAlign w:val="center"/>
          </w:tcPr>
          <w:p w14:paraId="6D51D255">
            <w:pPr>
              <w:spacing w:line="560" w:lineRule="exact"/>
              <w:jc w:val="center"/>
              <w:rPr>
                <w:rFonts w:hint="eastAsia" w:ascii="CESI仿宋-GB2312" w:hAnsi="CESI仿宋-GB2312" w:eastAsia="CESI仿宋-GB2312" w:cs="CESI仿宋-GB2312"/>
                <w:sz w:val="24"/>
                <w:lang w:val="en-US" w:eastAsia="zh-CN"/>
              </w:rPr>
            </w:pPr>
            <w:r>
              <w:rPr>
                <w:rFonts w:hint="eastAsia" w:ascii="CESI仿宋-GB2312" w:hAnsi="CESI仿宋-GB2312" w:eastAsia="CESI仿宋-GB2312" w:cs="CESI仿宋-GB2312"/>
                <w:sz w:val="24"/>
                <w:lang w:val="en-US" w:eastAsia="zh-CN"/>
              </w:rPr>
              <w:t>15997870005</w:t>
            </w:r>
          </w:p>
        </w:tc>
      </w:tr>
      <w:tr w14:paraId="7622722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317" w:hRule="atLeast"/>
          <w:jc w:val="center"/>
        </w:trPr>
        <w:tc>
          <w:tcPr>
            <w:tcW w:w="2994" w:type="dxa"/>
            <w:vMerge w:val="continue"/>
            <w:tcBorders>
              <w:right w:val="single" w:color="auto" w:sz="4" w:space="0"/>
            </w:tcBorders>
            <w:noWrap w:val="0"/>
            <w:vAlign w:val="center"/>
          </w:tcPr>
          <w:p w14:paraId="076DE2D5">
            <w:pPr>
              <w:spacing w:line="560" w:lineRule="exact"/>
              <w:jc w:val="center"/>
              <w:rPr>
                <w:rFonts w:hint="eastAsia" w:ascii="CESI仿宋-GB2312" w:hAnsi="CESI仿宋-GB2312" w:eastAsia="CESI仿宋-GB2312" w:cs="CESI仿宋-GB2312"/>
                <w:sz w:val="24"/>
                <w:lang w:val="en-US" w:eastAsia="zh-CN"/>
              </w:rPr>
            </w:pPr>
          </w:p>
        </w:tc>
        <w:tc>
          <w:tcPr>
            <w:tcW w:w="1842" w:type="dxa"/>
            <w:tcBorders>
              <w:top w:val="single" w:color="auto" w:sz="4" w:space="0"/>
              <w:left w:val="single" w:color="auto" w:sz="4" w:space="0"/>
              <w:bottom w:val="single" w:color="auto" w:sz="4" w:space="0"/>
              <w:right w:val="single" w:color="auto" w:sz="4" w:space="0"/>
            </w:tcBorders>
            <w:noWrap w:val="0"/>
            <w:vAlign w:val="center"/>
          </w:tcPr>
          <w:p w14:paraId="3E845CD0">
            <w:pPr>
              <w:spacing w:line="560" w:lineRule="exact"/>
              <w:jc w:val="center"/>
              <w:rPr>
                <w:rFonts w:hint="eastAsia" w:ascii="CESI仿宋-GB2312" w:hAnsi="CESI仿宋-GB2312" w:eastAsia="CESI仿宋-GB2312" w:cs="CESI仿宋-GB2312"/>
                <w:sz w:val="24"/>
                <w:lang w:val="en-US" w:eastAsia="zh-CN"/>
              </w:rPr>
            </w:pPr>
            <w:r>
              <w:rPr>
                <w:rFonts w:hint="eastAsia" w:ascii="CESI仿宋-GB2312" w:hAnsi="CESI仿宋-GB2312" w:eastAsia="CESI仿宋-GB2312" w:cs="CESI仿宋-GB2312"/>
                <w:sz w:val="24"/>
                <w:lang w:val="en-US" w:eastAsia="zh-CN"/>
              </w:rPr>
              <w:t>盐田区消防救援大队</w:t>
            </w:r>
          </w:p>
        </w:tc>
        <w:tc>
          <w:tcPr>
            <w:tcW w:w="1335" w:type="dxa"/>
            <w:tcBorders>
              <w:top w:val="single" w:color="auto" w:sz="4" w:space="0"/>
              <w:left w:val="single" w:color="auto" w:sz="4" w:space="0"/>
              <w:bottom w:val="single" w:color="auto" w:sz="4" w:space="0"/>
              <w:right w:val="single" w:color="auto" w:sz="4" w:space="0"/>
            </w:tcBorders>
            <w:noWrap w:val="0"/>
            <w:vAlign w:val="center"/>
          </w:tcPr>
          <w:p w14:paraId="6BB9232B">
            <w:pPr>
              <w:spacing w:line="560" w:lineRule="exact"/>
              <w:jc w:val="center"/>
              <w:rPr>
                <w:rFonts w:hint="eastAsia" w:ascii="CESI仿宋-GB2312" w:hAnsi="CESI仿宋-GB2312" w:eastAsia="CESI仿宋-GB2312" w:cs="CESI仿宋-GB2312"/>
                <w:sz w:val="24"/>
                <w:lang w:val="en-US" w:eastAsia="zh-CN"/>
              </w:rPr>
            </w:pPr>
            <w:r>
              <w:rPr>
                <w:rFonts w:hint="eastAsia" w:ascii="CESI仿宋-GB2312" w:hAnsi="CESI仿宋-GB2312" w:eastAsia="CESI仿宋-GB2312" w:cs="CESI仿宋-GB2312"/>
                <w:sz w:val="24"/>
                <w:lang w:val="en-US" w:eastAsia="zh-CN"/>
              </w:rPr>
              <w:t>徐文超</w:t>
            </w:r>
          </w:p>
        </w:tc>
        <w:tc>
          <w:tcPr>
            <w:tcW w:w="1843" w:type="dxa"/>
            <w:tcBorders>
              <w:top w:val="single" w:color="auto" w:sz="4" w:space="0"/>
              <w:left w:val="single" w:color="auto" w:sz="4" w:space="0"/>
              <w:bottom w:val="single" w:color="auto" w:sz="4" w:space="0"/>
            </w:tcBorders>
            <w:noWrap w:val="0"/>
            <w:vAlign w:val="center"/>
          </w:tcPr>
          <w:p w14:paraId="18F2DD2F">
            <w:pPr>
              <w:spacing w:line="560" w:lineRule="exact"/>
              <w:jc w:val="center"/>
              <w:rPr>
                <w:rFonts w:hint="eastAsia" w:ascii="CESI仿宋-GB2312" w:hAnsi="CESI仿宋-GB2312" w:eastAsia="CESI仿宋-GB2312" w:cs="CESI仿宋-GB2312"/>
                <w:sz w:val="24"/>
                <w:lang w:val="en-US" w:eastAsia="zh-CN"/>
              </w:rPr>
            </w:pPr>
            <w:r>
              <w:rPr>
                <w:rFonts w:hint="eastAsia" w:ascii="CESI仿宋-GB2312" w:hAnsi="CESI仿宋-GB2312" w:eastAsia="CESI仿宋-GB2312" w:cs="CESI仿宋-GB2312"/>
                <w:sz w:val="24"/>
                <w:lang w:val="en-US" w:eastAsia="zh-CN"/>
              </w:rPr>
              <w:t>参谋</w:t>
            </w:r>
          </w:p>
        </w:tc>
        <w:tc>
          <w:tcPr>
            <w:tcW w:w="1483" w:type="dxa"/>
            <w:tcBorders>
              <w:top w:val="single" w:color="auto" w:sz="4" w:space="0"/>
              <w:left w:val="single" w:color="auto" w:sz="4" w:space="0"/>
              <w:bottom w:val="single" w:color="auto" w:sz="4" w:space="0"/>
            </w:tcBorders>
            <w:noWrap w:val="0"/>
            <w:vAlign w:val="center"/>
          </w:tcPr>
          <w:p w14:paraId="1A82E6D2">
            <w:pPr>
              <w:spacing w:line="560" w:lineRule="exact"/>
              <w:jc w:val="center"/>
              <w:rPr>
                <w:rFonts w:hint="eastAsia" w:ascii="CESI仿宋-GB2312" w:hAnsi="CESI仿宋-GB2312" w:eastAsia="CESI仿宋-GB2312" w:cs="CESI仿宋-GB2312"/>
                <w:sz w:val="24"/>
                <w:lang w:val="en-US" w:eastAsia="zh-CN"/>
              </w:rPr>
            </w:pPr>
          </w:p>
        </w:tc>
        <w:tc>
          <w:tcPr>
            <w:tcW w:w="1884" w:type="dxa"/>
            <w:tcBorders>
              <w:top w:val="single" w:color="auto" w:sz="4" w:space="0"/>
              <w:left w:val="single" w:color="auto" w:sz="4" w:space="0"/>
              <w:bottom w:val="single" w:color="auto" w:sz="4" w:space="0"/>
            </w:tcBorders>
            <w:noWrap w:val="0"/>
            <w:vAlign w:val="center"/>
          </w:tcPr>
          <w:p w14:paraId="092F489A">
            <w:pPr>
              <w:spacing w:line="560" w:lineRule="exact"/>
              <w:jc w:val="center"/>
              <w:rPr>
                <w:rFonts w:hint="eastAsia" w:ascii="CESI仿宋-GB2312" w:hAnsi="CESI仿宋-GB2312" w:eastAsia="CESI仿宋-GB2312" w:cs="CESI仿宋-GB2312"/>
                <w:sz w:val="24"/>
                <w:lang w:val="en-US" w:eastAsia="zh-CN"/>
              </w:rPr>
            </w:pPr>
            <w:r>
              <w:rPr>
                <w:rFonts w:hint="eastAsia" w:ascii="CESI仿宋-GB2312" w:hAnsi="CESI仿宋-GB2312" w:eastAsia="CESI仿宋-GB2312" w:cs="CESI仿宋-GB2312"/>
                <w:sz w:val="24"/>
                <w:lang w:val="en-US" w:eastAsia="zh-CN"/>
              </w:rPr>
              <w:t>13723732424</w:t>
            </w:r>
          </w:p>
        </w:tc>
      </w:tr>
      <w:tr w14:paraId="5007173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317" w:hRule="atLeast"/>
          <w:jc w:val="center"/>
        </w:trPr>
        <w:tc>
          <w:tcPr>
            <w:tcW w:w="2994" w:type="dxa"/>
            <w:vMerge w:val="continue"/>
            <w:tcBorders>
              <w:right w:val="single" w:color="auto" w:sz="4" w:space="0"/>
            </w:tcBorders>
            <w:noWrap w:val="0"/>
            <w:vAlign w:val="center"/>
          </w:tcPr>
          <w:p w14:paraId="530BD98C">
            <w:pPr>
              <w:spacing w:line="560" w:lineRule="exact"/>
              <w:jc w:val="center"/>
              <w:rPr>
                <w:rFonts w:hint="eastAsia" w:ascii="CESI仿宋-GB2312" w:hAnsi="CESI仿宋-GB2312" w:eastAsia="CESI仿宋-GB2312" w:cs="CESI仿宋-GB2312"/>
                <w:sz w:val="24"/>
                <w:lang w:val="en-US" w:eastAsia="zh-CN"/>
              </w:rPr>
            </w:pPr>
          </w:p>
        </w:tc>
        <w:tc>
          <w:tcPr>
            <w:tcW w:w="1842" w:type="dxa"/>
            <w:tcBorders>
              <w:top w:val="single" w:color="auto" w:sz="4" w:space="0"/>
              <w:left w:val="single" w:color="auto" w:sz="4" w:space="0"/>
              <w:bottom w:val="single" w:color="auto" w:sz="4" w:space="0"/>
              <w:right w:val="single" w:color="auto" w:sz="4" w:space="0"/>
            </w:tcBorders>
            <w:noWrap w:val="0"/>
            <w:vAlign w:val="center"/>
          </w:tcPr>
          <w:p w14:paraId="5737DAFD">
            <w:pPr>
              <w:spacing w:line="560" w:lineRule="exact"/>
              <w:jc w:val="center"/>
              <w:rPr>
                <w:rFonts w:hint="eastAsia" w:ascii="CESI仿宋-GB2312" w:hAnsi="CESI仿宋-GB2312" w:eastAsia="CESI仿宋-GB2312" w:cs="CESI仿宋-GB2312"/>
                <w:sz w:val="24"/>
                <w:lang w:val="en-US" w:eastAsia="zh-CN"/>
              </w:rPr>
            </w:pPr>
            <w:r>
              <w:rPr>
                <w:rFonts w:hint="eastAsia" w:ascii="CESI仿宋-GB2312" w:hAnsi="CESI仿宋-GB2312" w:eastAsia="CESI仿宋-GB2312" w:cs="CESI仿宋-GB2312"/>
                <w:sz w:val="24"/>
                <w:lang w:val="en-US" w:eastAsia="zh-CN"/>
              </w:rPr>
              <w:t>盐田供电局</w:t>
            </w:r>
          </w:p>
        </w:tc>
        <w:tc>
          <w:tcPr>
            <w:tcW w:w="1335" w:type="dxa"/>
            <w:tcBorders>
              <w:top w:val="single" w:color="auto" w:sz="4" w:space="0"/>
              <w:left w:val="single" w:color="auto" w:sz="4" w:space="0"/>
              <w:bottom w:val="single" w:color="auto" w:sz="4" w:space="0"/>
              <w:right w:val="single" w:color="auto" w:sz="4" w:space="0"/>
            </w:tcBorders>
            <w:noWrap w:val="0"/>
            <w:vAlign w:val="center"/>
          </w:tcPr>
          <w:p w14:paraId="1140B0DB">
            <w:pPr>
              <w:spacing w:line="560" w:lineRule="exact"/>
              <w:jc w:val="center"/>
              <w:rPr>
                <w:rFonts w:hint="eastAsia" w:ascii="CESI仿宋-GB2312" w:hAnsi="CESI仿宋-GB2312" w:eastAsia="CESI仿宋-GB2312" w:cs="CESI仿宋-GB2312"/>
                <w:sz w:val="24"/>
                <w:lang w:val="en-US" w:eastAsia="zh-CN"/>
              </w:rPr>
            </w:pPr>
            <w:r>
              <w:rPr>
                <w:rFonts w:hint="eastAsia" w:ascii="CESI仿宋-GB2312" w:hAnsi="CESI仿宋-GB2312" w:eastAsia="CESI仿宋-GB2312" w:cs="CESI仿宋-GB2312"/>
                <w:sz w:val="24"/>
                <w:lang w:val="en-US" w:eastAsia="zh-CN"/>
              </w:rPr>
              <w:t>许卫东</w:t>
            </w:r>
          </w:p>
        </w:tc>
        <w:tc>
          <w:tcPr>
            <w:tcW w:w="1843" w:type="dxa"/>
            <w:tcBorders>
              <w:top w:val="single" w:color="auto" w:sz="4" w:space="0"/>
              <w:left w:val="single" w:color="auto" w:sz="4" w:space="0"/>
              <w:bottom w:val="single" w:color="auto" w:sz="4" w:space="0"/>
            </w:tcBorders>
            <w:noWrap w:val="0"/>
            <w:vAlign w:val="center"/>
          </w:tcPr>
          <w:p w14:paraId="154D9E9A">
            <w:pPr>
              <w:spacing w:line="560" w:lineRule="exact"/>
              <w:jc w:val="center"/>
              <w:rPr>
                <w:rFonts w:hint="eastAsia" w:ascii="CESI仿宋-GB2312" w:hAnsi="CESI仿宋-GB2312" w:eastAsia="CESI仿宋-GB2312" w:cs="CESI仿宋-GB2312"/>
                <w:sz w:val="24"/>
                <w:lang w:val="en-US" w:eastAsia="zh-CN"/>
              </w:rPr>
            </w:pPr>
            <w:r>
              <w:rPr>
                <w:rFonts w:hint="eastAsia" w:ascii="CESI仿宋-GB2312" w:hAnsi="CESI仿宋-GB2312" w:eastAsia="CESI仿宋-GB2312" w:cs="CESI仿宋-GB2312"/>
                <w:sz w:val="24"/>
                <w:lang w:val="en-US" w:eastAsia="zh-CN"/>
              </w:rPr>
              <w:t>副局长</w:t>
            </w:r>
          </w:p>
        </w:tc>
        <w:tc>
          <w:tcPr>
            <w:tcW w:w="1483" w:type="dxa"/>
            <w:tcBorders>
              <w:top w:val="single" w:color="auto" w:sz="4" w:space="0"/>
              <w:left w:val="single" w:color="auto" w:sz="4" w:space="0"/>
              <w:bottom w:val="single" w:color="auto" w:sz="4" w:space="0"/>
            </w:tcBorders>
            <w:noWrap w:val="0"/>
            <w:vAlign w:val="center"/>
          </w:tcPr>
          <w:p w14:paraId="29A31FDC">
            <w:pPr>
              <w:spacing w:line="560" w:lineRule="exact"/>
              <w:jc w:val="center"/>
              <w:rPr>
                <w:rFonts w:hint="eastAsia" w:ascii="CESI仿宋-GB2312" w:hAnsi="CESI仿宋-GB2312" w:eastAsia="CESI仿宋-GB2312" w:cs="CESI仿宋-GB2312"/>
                <w:sz w:val="24"/>
                <w:lang w:val="en-US" w:eastAsia="zh-CN"/>
              </w:rPr>
            </w:pPr>
            <w:r>
              <w:rPr>
                <w:rFonts w:hint="eastAsia" w:ascii="CESI仿宋-GB2312" w:hAnsi="CESI仿宋-GB2312" w:eastAsia="CESI仿宋-GB2312" w:cs="CESI仿宋-GB2312"/>
                <w:sz w:val="24"/>
                <w:lang w:val="en-US" w:eastAsia="zh-CN"/>
              </w:rPr>
              <w:t>88935878</w:t>
            </w:r>
          </w:p>
        </w:tc>
        <w:tc>
          <w:tcPr>
            <w:tcW w:w="1884" w:type="dxa"/>
            <w:tcBorders>
              <w:top w:val="single" w:color="auto" w:sz="4" w:space="0"/>
              <w:left w:val="single" w:color="auto" w:sz="4" w:space="0"/>
              <w:bottom w:val="single" w:color="auto" w:sz="4" w:space="0"/>
            </w:tcBorders>
            <w:noWrap w:val="0"/>
            <w:vAlign w:val="center"/>
          </w:tcPr>
          <w:p w14:paraId="0A5AF616">
            <w:pPr>
              <w:spacing w:line="560" w:lineRule="exact"/>
              <w:jc w:val="center"/>
              <w:rPr>
                <w:rFonts w:hint="eastAsia" w:ascii="CESI仿宋-GB2312" w:hAnsi="CESI仿宋-GB2312" w:eastAsia="CESI仿宋-GB2312" w:cs="CESI仿宋-GB2312"/>
                <w:sz w:val="24"/>
                <w:lang w:val="en-US" w:eastAsia="zh-CN"/>
              </w:rPr>
            </w:pPr>
            <w:r>
              <w:rPr>
                <w:rFonts w:hint="eastAsia" w:ascii="CESI仿宋-GB2312" w:hAnsi="CESI仿宋-GB2312" w:eastAsia="CESI仿宋-GB2312" w:cs="CESI仿宋-GB2312"/>
                <w:sz w:val="24"/>
                <w:lang w:val="en-US" w:eastAsia="zh-CN"/>
              </w:rPr>
              <w:t>13714620513</w:t>
            </w:r>
          </w:p>
        </w:tc>
      </w:tr>
      <w:tr w14:paraId="0835B6B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317" w:hRule="atLeast"/>
          <w:jc w:val="center"/>
        </w:trPr>
        <w:tc>
          <w:tcPr>
            <w:tcW w:w="2994" w:type="dxa"/>
            <w:vMerge w:val="continue"/>
            <w:tcBorders>
              <w:right w:val="single" w:color="auto" w:sz="4" w:space="0"/>
            </w:tcBorders>
            <w:noWrap w:val="0"/>
            <w:vAlign w:val="center"/>
          </w:tcPr>
          <w:p w14:paraId="39BF17F8">
            <w:pPr>
              <w:spacing w:line="560" w:lineRule="exact"/>
              <w:jc w:val="center"/>
              <w:rPr>
                <w:rFonts w:hint="eastAsia" w:ascii="CESI仿宋-GB2312" w:hAnsi="CESI仿宋-GB2312" w:eastAsia="CESI仿宋-GB2312" w:cs="CESI仿宋-GB2312"/>
                <w:sz w:val="24"/>
                <w:lang w:val="en-US" w:eastAsia="zh-CN"/>
              </w:rPr>
            </w:pPr>
          </w:p>
        </w:tc>
        <w:tc>
          <w:tcPr>
            <w:tcW w:w="1842" w:type="dxa"/>
            <w:tcBorders>
              <w:top w:val="single" w:color="auto" w:sz="4" w:space="0"/>
              <w:left w:val="single" w:color="auto" w:sz="4" w:space="0"/>
              <w:bottom w:val="single" w:color="auto" w:sz="4" w:space="0"/>
              <w:right w:val="single" w:color="auto" w:sz="4" w:space="0"/>
            </w:tcBorders>
            <w:noWrap w:val="0"/>
            <w:vAlign w:val="center"/>
          </w:tcPr>
          <w:p w14:paraId="4B60F1FA">
            <w:pPr>
              <w:spacing w:line="560" w:lineRule="exact"/>
              <w:jc w:val="center"/>
              <w:rPr>
                <w:rFonts w:hint="eastAsia" w:ascii="CESI仿宋-GB2312" w:hAnsi="CESI仿宋-GB2312" w:eastAsia="CESI仿宋-GB2312" w:cs="CESI仿宋-GB2312"/>
                <w:sz w:val="24"/>
                <w:lang w:val="en-US" w:eastAsia="zh-CN"/>
              </w:rPr>
            </w:pPr>
            <w:r>
              <w:rPr>
                <w:rFonts w:hint="eastAsia" w:ascii="CESI仿宋-GB2312" w:hAnsi="CESI仿宋-GB2312" w:eastAsia="CESI仿宋-GB2312" w:cs="CESI仿宋-GB2312"/>
                <w:sz w:val="24"/>
                <w:lang w:val="en-US" w:eastAsia="zh-CN"/>
              </w:rPr>
              <w:t>盐田港集团公司</w:t>
            </w:r>
          </w:p>
        </w:tc>
        <w:tc>
          <w:tcPr>
            <w:tcW w:w="1335" w:type="dxa"/>
            <w:tcBorders>
              <w:top w:val="single" w:color="auto" w:sz="4" w:space="0"/>
              <w:left w:val="single" w:color="auto" w:sz="4" w:space="0"/>
              <w:bottom w:val="single" w:color="auto" w:sz="4" w:space="0"/>
              <w:right w:val="single" w:color="auto" w:sz="4" w:space="0"/>
            </w:tcBorders>
            <w:noWrap w:val="0"/>
            <w:vAlign w:val="center"/>
          </w:tcPr>
          <w:p w14:paraId="7F50FE0F">
            <w:pPr>
              <w:spacing w:line="560" w:lineRule="exact"/>
              <w:jc w:val="center"/>
              <w:rPr>
                <w:rFonts w:hint="eastAsia" w:ascii="CESI仿宋-GB2312" w:hAnsi="CESI仿宋-GB2312" w:eastAsia="CESI仿宋-GB2312" w:cs="CESI仿宋-GB2312"/>
                <w:sz w:val="24"/>
                <w:lang w:val="en-US" w:eastAsia="zh-CN"/>
              </w:rPr>
            </w:pPr>
            <w:r>
              <w:rPr>
                <w:rFonts w:hint="eastAsia" w:ascii="CESI仿宋-GB2312" w:hAnsi="CESI仿宋-GB2312" w:eastAsia="CESI仿宋-GB2312" w:cs="CESI仿宋-GB2312"/>
                <w:sz w:val="24"/>
                <w:lang w:val="en-US" w:eastAsia="zh-CN"/>
              </w:rPr>
              <w:t>肖明俊</w:t>
            </w:r>
          </w:p>
        </w:tc>
        <w:tc>
          <w:tcPr>
            <w:tcW w:w="1843" w:type="dxa"/>
            <w:tcBorders>
              <w:top w:val="single" w:color="auto" w:sz="4" w:space="0"/>
              <w:left w:val="single" w:color="auto" w:sz="4" w:space="0"/>
              <w:bottom w:val="single" w:color="auto" w:sz="4" w:space="0"/>
            </w:tcBorders>
            <w:noWrap w:val="0"/>
            <w:vAlign w:val="center"/>
          </w:tcPr>
          <w:p w14:paraId="4E8E8B23">
            <w:pPr>
              <w:spacing w:line="560" w:lineRule="exact"/>
              <w:jc w:val="center"/>
              <w:rPr>
                <w:rFonts w:hint="eastAsia" w:ascii="CESI仿宋-GB2312" w:hAnsi="CESI仿宋-GB2312" w:eastAsia="CESI仿宋-GB2312" w:cs="CESI仿宋-GB2312"/>
                <w:sz w:val="24"/>
                <w:lang w:val="en-US" w:eastAsia="zh-CN"/>
              </w:rPr>
            </w:pPr>
            <w:r>
              <w:rPr>
                <w:rFonts w:hint="eastAsia" w:ascii="CESI仿宋-GB2312" w:hAnsi="CESI仿宋-GB2312" w:eastAsia="CESI仿宋-GB2312" w:cs="CESI仿宋-GB2312"/>
                <w:sz w:val="24"/>
                <w:lang w:val="en-US" w:eastAsia="zh-CN"/>
              </w:rPr>
              <w:t>总工程师</w:t>
            </w:r>
          </w:p>
        </w:tc>
        <w:tc>
          <w:tcPr>
            <w:tcW w:w="1483" w:type="dxa"/>
            <w:tcBorders>
              <w:top w:val="single" w:color="auto" w:sz="4" w:space="0"/>
              <w:left w:val="single" w:color="auto" w:sz="4" w:space="0"/>
              <w:bottom w:val="single" w:color="auto" w:sz="4" w:space="0"/>
            </w:tcBorders>
            <w:noWrap w:val="0"/>
            <w:vAlign w:val="center"/>
          </w:tcPr>
          <w:p w14:paraId="360ACCA8">
            <w:pPr>
              <w:spacing w:line="560" w:lineRule="exact"/>
              <w:jc w:val="center"/>
              <w:rPr>
                <w:rFonts w:hint="eastAsia" w:ascii="CESI仿宋-GB2312" w:hAnsi="CESI仿宋-GB2312" w:eastAsia="CESI仿宋-GB2312" w:cs="CESI仿宋-GB2312"/>
                <w:sz w:val="24"/>
                <w:lang w:val="en-US" w:eastAsia="zh-CN"/>
              </w:rPr>
            </w:pPr>
          </w:p>
        </w:tc>
        <w:tc>
          <w:tcPr>
            <w:tcW w:w="1884" w:type="dxa"/>
            <w:tcBorders>
              <w:top w:val="single" w:color="auto" w:sz="4" w:space="0"/>
              <w:left w:val="single" w:color="auto" w:sz="4" w:space="0"/>
              <w:bottom w:val="single" w:color="auto" w:sz="4" w:space="0"/>
            </w:tcBorders>
            <w:noWrap w:val="0"/>
            <w:vAlign w:val="center"/>
          </w:tcPr>
          <w:p w14:paraId="63365968">
            <w:pPr>
              <w:spacing w:line="560" w:lineRule="exact"/>
              <w:jc w:val="center"/>
              <w:rPr>
                <w:rFonts w:hint="eastAsia" w:ascii="CESI仿宋-GB2312" w:hAnsi="CESI仿宋-GB2312" w:eastAsia="CESI仿宋-GB2312" w:cs="CESI仿宋-GB2312"/>
                <w:sz w:val="24"/>
                <w:lang w:val="en-US" w:eastAsia="zh-CN"/>
              </w:rPr>
            </w:pPr>
            <w:r>
              <w:rPr>
                <w:rFonts w:hint="eastAsia" w:ascii="CESI仿宋-GB2312" w:hAnsi="CESI仿宋-GB2312" w:eastAsia="CESI仿宋-GB2312" w:cs="CESI仿宋-GB2312"/>
                <w:sz w:val="24"/>
                <w:lang w:val="en-US" w:eastAsia="zh-CN"/>
              </w:rPr>
              <w:t>13802231621</w:t>
            </w:r>
          </w:p>
        </w:tc>
      </w:tr>
      <w:tr w14:paraId="329FEDC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317" w:hRule="atLeast"/>
          <w:jc w:val="center"/>
        </w:trPr>
        <w:tc>
          <w:tcPr>
            <w:tcW w:w="2994" w:type="dxa"/>
            <w:vMerge w:val="continue"/>
            <w:tcBorders>
              <w:right w:val="single" w:color="auto" w:sz="4" w:space="0"/>
            </w:tcBorders>
            <w:noWrap w:val="0"/>
            <w:vAlign w:val="center"/>
          </w:tcPr>
          <w:p w14:paraId="6E3E93AC">
            <w:pPr>
              <w:spacing w:line="560" w:lineRule="exact"/>
              <w:jc w:val="center"/>
              <w:rPr>
                <w:rFonts w:hint="eastAsia" w:ascii="CESI仿宋-GB2312" w:hAnsi="CESI仿宋-GB2312" w:eastAsia="CESI仿宋-GB2312" w:cs="CESI仿宋-GB2312"/>
                <w:sz w:val="24"/>
                <w:lang w:val="en-US" w:eastAsia="zh-CN"/>
              </w:rPr>
            </w:pPr>
          </w:p>
        </w:tc>
        <w:tc>
          <w:tcPr>
            <w:tcW w:w="1842" w:type="dxa"/>
            <w:tcBorders>
              <w:top w:val="single" w:color="auto" w:sz="4" w:space="0"/>
              <w:left w:val="single" w:color="auto" w:sz="4" w:space="0"/>
              <w:bottom w:val="single" w:color="auto" w:sz="4" w:space="0"/>
              <w:right w:val="single" w:color="auto" w:sz="4" w:space="0"/>
            </w:tcBorders>
            <w:noWrap w:val="0"/>
            <w:vAlign w:val="center"/>
          </w:tcPr>
          <w:p w14:paraId="11131856">
            <w:pPr>
              <w:spacing w:line="560" w:lineRule="exact"/>
              <w:jc w:val="center"/>
              <w:rPr>
                <w:rFonts w:hint="eastAsia" w:ascii="CESI仿宋-GB2312" w:hAnsi="CESI仿宋-GB2312" w:eastAsia="CESI仿宋-GB2312" w:cs="CESI仿宋-GB2312"/>
                <w:sz w:val="24"/>
                <w:lang w:val="en-US" w:eastAsia="zh-CN"/>
              </w:rPr>
            </w:pPr>
            <w:r>
              <w:rPr>
                <w:rFonts w:hint="eastAsia" w:ascii="CESI仿宋-GB2312" w:hAnsi="CESI仿宋-GB2312" w:eastAsia="CESI仿宋-GB2312" w:cs="CESI仿宋-GB2312"/>
                <w:sz w:val="24"/>
                <w:lang w:val="en-US" w:eastAsia="zh-CN"/>
              </w:rPr>
              <w:t>东部华侨城</w:t>
            </w:r>
          </w:p>
        </w:tc>
        <w:tc>
          <w:tcPr>
            <w:tcW w:w="1335" w:type="dxa"/>
            <w:tcBorders>
              <w:top w:val="single" w:color="auto" w:sz="4" w:space="0"/>
              <w:left w:val="single" w:color="auto" w:sz="4" w:space="0"/>
              <w:bottom w:val="single" w:color="auto" w:sz="4" w:space="0"/>
              <w:right w:val="single" w:color="auto" w:sz="4" w:space="0"/>
            </w:tcBorders>
            <w:noWrap w:val="0"/>
            <w:vAlign w:val="center"/>
          </w:tcPr>
          <w:p w14:paraId="46FF694F">
            <w:pPr>
              <w:spacing w:line="560" w:lineRule="exact"/>
              <w:jc w:val="center"/>
              <w:rPr>
                <w:rFonts w:hint="eastAsia" w:ascii="CESI仿宋-GB2312" w:hAnsi="CESI仿宋-GB2312" w:eastAsia="CESI仿宋-GB2312" w:cs="CESI仿宋-GB2312"/>
                <w:sz w:val="24"/>
                <w:lang w:val="en-US" w:eastAsia="zh-CN"/>
              </w:rPr>
            </w:pPr>
            <w:r>
              <w:rPr>
                <w:rFonts w:hint="eastAsia" w:ascii="CESI仿宋-GB2312" w:hAnsi="CESI仿宋-GB2312" w:eastAsia="CESI仿宋-GB2312" w:cs="CESI仿宋-GB2312"/>
                <w:sz w:val="24"/>
                <w:lang w:val="en-US" w:eastAsia="zh-CN"/>
              </w:rPr>
              <w:t>杨庆隆</w:t>
            </w:r>
          </w:p>
        </w:tc>
        <w:tc>
          <w:tcPr>
            <w:tcW w:w="1843" w:type="dxa"/>
            <w:tcBorders>
              <w:top w:val="single" w:color="auto" w:sz="4" w:space="0"/>
              <w:left w:val="single" w:color="auto" w:sz="4" w:space="0"/>
              <w:bottom w:val="single" w:color="auto" w:sz="4" w:space="0"/>
            </w:tcBorders>
            <w:noWrap w:val="0"/>
            <w:vAlign w:val="center"/>
          </w:tcPr>
          <w:p w14:paraId="6DB0A558">
            <w:pPr>
              <w:spacing w:line="560" w:lineRule="exact"/>
              <w:jc w:val="center"/>
              <w:rPr>
                <w:rFonts w:hint="eastAsia" w:ascii="CESI仿宋-GB2312" w:hAnsi="CESI仿宋-GB2312" w:eastAsia="CESI仿宋-GB2312" w:cs="CESI仿宋-GB2312"/>
                <w:sz w:val="24"/>
                <w:lang w:val="en-US" w:eastAsia="zh-CN"/>
              </w:rPr>
            </w:pPr>
            <w:r>
              <w:rPr>
                <w:rFonts w:hint="eastAsia" w:ascii="CESI仿宋-GB2312" w:hAnsi="CESI仿宋-GB2312" w:eastAsia="CESI仿宋-GB2312" w:cs="CESI仿宋-GB2312"/>
                <w:sz w:val="24"/>
                <w:lang w:val="en-US" w:eastAsia="zh-CN"/>
              </w:rPr>
              <w:t>总监</w:t>
            </w:r>
          </w:p>
        </w:tc>
        <w:tc>
          <w:tcPr>
            <w:tcW w:w="1483" w:type="dxa"/>
            <w:tcBorders>
              <w:top w:val="single" w:color="auto" w:sz="4" w:space="0"/>
              <w:left w:val="single" w:color="auto" w:sz="4" w:space="0"/>
              <w:bottom w:val="single" w:color="auto" w:sz="4" w:space="0"/>
            </w:tcBorders>
            <w:noWrap w:val="0"/>
            <w:vAlign w:val="center"/>
          </w:tcPr>
          <w:p w14:paraId="40EC50BD">
            <w:pPr>
              <w:spacing w:line="560" w:lineRule="exact"/>
              <w:jc w:val="center"/>
              <w:rPr>
                <w:rFonts w:hint="eastAsia" w:ascii="CESI仿宋-GB2312" w:hAnsi="CESI仿宋-GB2312" w:eastAsia="CESI仿宋-GB2312" w:cs="CESI仿宋-GB2312"/>
                <w:sz w:val="24"/>
                <w:lang w:val="en-US" w:eastAsia="zh-CN"/>
              </w:rPr>
            </w:pPr>
          </w:p>
        </w:tc>
        <w:tc>
          <w:tcPr>
            <w:tcW w:w="1884" w:type="dxa"/>
            <w:tcBorders>
              <w:top w:val="single" w:color="auto" w:sz="4" w:space="0"/>
              <w:left w:val="single" w:color="auto" w:sz="4" w:space="0"/>
              <w:bottom w:val="single" w:color="auto" w:sz="4" w:space="0"/>
            </w:tcBorders>
            <w:noWrap w:val="0"/>
            <w:vAlign w:val="center"/>
          </w:tcPr>
          <w:p w14:paraId="239D4817">
            <w:pPr>
              <w:spacing w:line="560" w:lineRule="exact"/>
              <w:jc w:val="center"/>
              <w:rPr>
                <w:rFonts w:hint="eastAsia" w:ascii="CESI仿宋-GB2312" w:hAnsi="CESI仿宋-GB2312" w:eastAsia="CESI仿宋-GB2312" w:cs="CESI仿宋-GB2312"/>
                <w:sz w:val="24"/>
                <w:lang w:val="en-US" w:eastAsia="zh-CN"/>
              </w:rPr>
            </w:pPr>
            <w:r>
              <w:rPr>
                <w:rFonts w:hint="eastAsia" w:ascii="CESI仿宋-GB2312" w:hAnsi="CESI仿宋-GB2312" w:eastAsia="CESI仿宋-GB2312" w:cs="CESI仿宋-GB2312"/>
                <w:sz w:val="24"/>
                <w:lang w:val="en-US" w:eastAsia="zh-CN"/>
              </w:rPr>
              <w:t>13922793115</w:t>
            </w:r>
          </w:p>
        </w:tc>
      </w:tr>
      <w:tr w14:paraId="03198D2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455" w:hRule="atLeast"/>
          <w:jc w:val="center"/>
        </w:trPr>
        <w:tc>
          <w:tcPr>
            <w:tcW w:w="2994" w:type="dxa"/>
            <w:vMerge w:val="restart"/>
            <w:tcBorders>
              <w:right w:val="single" w:color="auto" w:sz="4" w:space="0"/>
            </w:tcBorders>
            <w:noWrap w:val="0"/>
            <w:vAlign w:val="center"/>
          </w:tcPr>
          <w:p w14:paraId="10F7E09C">
            <w:pPr>
              <w:spacing w:line="560" w:lineRule="exact"/>
              <w:jc w:val="center"/>
              <w:rPr>
                <w:rFonts w:hint="eastAsia" w:ascii="CESI仿宋-GB2312" w:hAnsi="CESI仿宋-GB2312" w:eastAsia="CESI仿宋-GB2312" w:cs="CESI仿宋-GB2312"/>
                <w:sz w:val="24"/>
                <w:lang w:val="en-US" w:eastAsia="zh-CN"/>
              </w:rPr>
            </w:pPr>
          </w:p>
        </w:tc>
        <w:tc>
          <w:tcPr>
            <w:tcW w:w="1842" w:type="dxa"/>
            <w:tcBorders>
              <w:top w:val="single" w:color="auto" w:sz="4" w:space="0"/>
              <w:left w:val="single" w:color="auto" w:sz="4" w:space="0"/>
              <w:bottom w:val="single" w:color="auto" w:sz="4" w:space="0"/>
              <w:right w:val="single" w:color="auto" w:sz="4" w:space="0"/>
            </w:tcBorders>
            <w:noWrap w:val="0"/>
            <w:vAlign w:val="center"/>
          </w:tcPr>
          <w:p w14:paraId="20B54E8A">
            <w:pPr>
              <w:spacing w:line="560" w:lineRule="exact"/>
              <w:jc w:val="center"/>
              <w:rPr>
                <w:rFonts w:hint="eastAsia" w:ascii="CESI仿宋-GB2312" w:hAnsi="CESI仿宋-GB2312" w:eastAsia="CESI仿宋-GB2312" w:cs="CESI仿宋-GB2312"/>
                <w:sz w:val="24"/>
                <w:lang w:val="en-US" w:eastAsia="zh-CN"/>
              </w:rPr>
            </w:pPr>
            <w:r>
              <w:rPr>
                <w:rFonts w:hint="eastAsia" w:ascii="CESI仿宋-GB2312" w:hAnsi="CESI仿宋-GB2312" w:eastAsia="CESI仿宋-GB2312" w:cs="CESI仿宋-GB2312"/>
                <w:sz w:val="24"/>
                <w:lang w:val="en-US" w:eastAsia="zh-CN"/>
              </w:rPr>
              <w:t>区商务局</w:t>
            </w:r>
          </w:p>
        </w:tc>
        <w:tc>
          <w:tcPr>
            <w:tcW w:w="1335" w:type="dxa"/>
            <w:tcBorders>
              <w:top w:val="single" w:color="auto" w:sz="4" w:space="0"/>
              <w:left w:val="single" w:color="auto" w:sz="4" w:space="0"/>
              <w:bottom w:val="single" w:color="auto" w:sz="4" w:space="0"/>
              <w:right w:val="single" w:color="auto" w:sz="4" w:space="0"/>
            </w:tcBorders>
            <w:noWrap w:val="0"/>
            <w:vAlign w:val="center"/>
          </w:tcPr>
          <w:p w14:paraId="31656CEF">
            <w:pPr>
              <w:spacing w:line="560" w:lineRule="exact"/>
              <w:jc w:val="center"/>
              <w:rPr>
                <w:rFonts w:hint="eastAsia" w:ascii="CESI仿宋-GB2312" w:hAnsi="CESI仿宋-GB2312" w:eastAsia="CESI仿宋-GB2312" w:cs="CESI仿宋-GB2312"/>
                <w:sz w:val="24"/>
                <w:lang w:val="en-US" w:eastAsia="zh-CN"/>
              </w:rPr>
            </w:pPr>
            <w:r>
              <w:rPr>
                <w:rFonts w:hint="eastAsia" w:ascii="CESI仿宋-GB2312" w:hAnsi="CESI仿宋-GB2312" w:eastAsia="CESI仿宋-GB2312" w:cs="CESI仿宋-GB2312"/>
                <w:sz w:val="24"/>
                <w:lang w:val="en-US" w:eastAsia="zh-CN"/>
              </w:rPr>
              <w:t>梁蓓蕾</w:t>
            </w:r>
          </w:p>
        </w:tc>
        <w:tc>
          <w:tcPr>
            <w:tcW w:w="1843" w:type="dxa"/>
            <w:tcBorders>
              <w:top w:val="single" w:color="auto" w:sz="4" w:space="0"/>
              <w:left w:val="single" w:color="auto" w:sz="4" w:space="0"/>
              <w:bottom w:val="single" w:color="auto" w:sz="4" w:space="0"/>
            </w:tcBorders>
            <w:noWrap w:val="0"/>
            <w:vAlign w:val="center"/>
          </w:tcPr>
          <w:p w14:paraId="5FA5C8E4">
            <w:pPr>
              <w:spacing w:line="560" w:lineRule="exact"/>
              <w:jc w:val="center"/>
              <w:rPr>
                <w:rFonts w:hint="eastAsia" w:ascii="CESI仿宋-GB2312" w:hAnsi="CESI仿宋-GB2312" w:eastAsia="CESI仿宋-GB2312" w:cs="CESI仿宋-GB2312"/>
                <w:sz w:val="24"/>
                <w:lang w:val="en-US" w:eastAsia="zh-CN"/>
              </w:rPr>
            </w:pPr>
            <w:r>
              <w:rPr>
                <w:rFonts w:hint="eastAsia" w:ascii="CESI仿宋-GB2312" w:hAnsi="CESI仿宋-GB2312" w:eastAsia="CESI仿宋-GB2312" w:cs="CESI仿宋-GB2312"/>
                <w:sz w:val="24"/>
                <w:lang w:val="en-US" w:eastAsia="zh-CN"/>
              </w:rPr>
              <w:t>副局长</w:t>
            </w:r>
          </w:p>
        </w:tc>
        <w:tc>
          <w:tcPr>
            <w:tcW w:w="1483" w:type="dxa"/>
            <w:tcBorders>
              <w:top w:val="single" w:color="auto" w:sz="4" w:space="0"/>
              <w:left w:val="single" w:color="auto" w:sz="4" w:space="0"/>
              <w:bottom w:val="single" w:color="auto" w:sz="4" w:space="0"/>
            </w:tcBorders>
            <w:noWrap w:val="0"/>
            <w:vAlign w:val="center"/>
          </w:tcPr>
          <w:p w14:paraId="224B0896">
            <w:pPr>
              <w:spacing w:line="560" w:lineRule="exact"/>
              <w:jc w:val="center"/>
              <w:rPr>
                <w:rFonts w:hint="eastAsia" w:ascii="CESI仿宋-GB2312" w:hAnsi="CESI仿宋-GB2312" w:eastAsia="CESI仿宋-GB2312" w:cs="CESI仿宋-GB2312"/>
                <w:sz w:val="24"/>
                <w:lang w:val="en-US" w:eastAsia="zh-CN"/>
              </w:rPr>
            </w:pPr>
            <w:r>
              <w:rPr>
                <w:rFonts w:hint="eastAsia" w:ascii="CESI仿宋-GB2312" w:hAnsi="CESI仿宋-GB2312" w:eastAsia="CESI仿宋-GB2312" w:cs="CESI仿宋-GB2312"/>
                <w:sz w:val="24"/>
                <w:lang w:val="en-US" w:eastAsia="zh-CN"/>
              </w:rPr>
              <w:t>88171056</w:t>
            </w:r>
          </w:p>
        </w:tc>
        <w:tc>
          <w:tcPr>
            <w:tcW w:w="1884" w:type="dxa"/>
            <w:tcBorders>
              <w:top w:val="single" w:color="auto" w:sz="4" w:space="0"/>
              <w:left w:val="single" w:color="auto" w:sz="4" w:space="0"/>
              <w:bottom w:val="single" w:color="auto" w:sz="4" w:space="0"/>
            </w:tcBorders>
            <w:noWrap w:val="0"/>
            <w:vAlign w:val="center"/>
          </w:tcPr>
          <w:p w14:paraId="7914B99F">
            <w:pPr>
              <w:spacing w:line="560" w:lineRule="exact"/>
              <w:jc w:val="center"/>
              <w:rPr>
                <w:rFonts w:hint="eastAsia" w:ascii="CESI仿宋-GB2312" w:hAnsi="CESI仿宋-GB2312" w:eastAsia="CESI仿宋-GB2312" w:cs="CESI仿宋-GB2312"/>
                <w:sz w:val="24"/>
                <w:lang w:val="en-US" w:eastAsia="zh-CN"/>
              </w:rPr>
            </w:pPr>
            <w:r>
              <w:rPr>
                <w:rFonts w:hint="eastAsia" w:ascii="CESI仿宋-GB2312" w:hAnsi="CESI仿宋-GB2312" w:eastAsia="CESI仿宋-GB2312" w:cs="CESI仿宋-GB2312"/>
                <w:sz w:val="24"/>
                <w:lang w:val="en-US" w:eastAsia="zh-CN"/>
              </w:rPr>
              <w:t>14739008464</w:t>
            </w:r>
          </w:p>
        </w:tc>
      </w:tr>
      <w:tr w14:paraId="3EB7999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317" w:hRule="atLeast"/>
          <w:jc w:val="center"/>
        </w:trPr>
        <w:tc>
          <w:tcPr>
            <w:tcW w:w="2994" w:type="dxa"/>
            <w:vMerge w:val="continue"/>
            <w:tcBorders>
              <w:right w:val="single" w:color="auto" w:sz="4" w:space="0"/>
            </w:tcBorders>
            <w:noWrap w:val="0"/>
            <w:vAlign w:val="center"/>
          </w:tcPr>
          <w:p w14:paraId="47277E0F">
            <w:pPr>
              <w:spacing w:line="560" w:lineRule="exact"/>
              <w:jc w:val="center"/>
              <w:rPr>
                <w:rFonts w:hint="eastAsia" w:ascii="CESI仿宋-GB2312" w:hAnsi="CESI仿宋-GB2312" w:eastAsia="CESI仿宋-GB2312" w:cs="CESI仿宋-GB2312"/>
                <w:sz w:val="24"/>
                <w:lang w:val="en-US" w:eastAsia="zh-CN"/>
              </w:rPr>
            </w:pPr>
          </w:p>
        </w:tc>
        <w:tc>
          <w:tcPr>
            <w:tcW w:w="1842" w:type="dxa"/>
            <w:tcBorders>
              <w:top w:val="single" w:color="auto" w:sz="4" w:space="0"/>
              <w:left w:val="single" w:color="auto" w:sz="4" w:space="0"/>
              <w:bottom w:val="single" w:color="auto" w:sz="4" w:space="0"/>
              <w:right w:val="single" w:color="auto" w:sz="4" w:space="0"/>
            </w:tcBorders>
            <w:noWrap w:val="0"/>
            <w:vAlign w:val="center"/>
          </w:tcPr>
          <w:p w14:paraId="19363178">
            <w:pPr>
              <w:spacing w:line="560" w:lineRule="exact"/>
              <w:jc w:val="center"/>
              <w:rPr>
                <w:rFonts w:hint="eastAsia" w:ascii="CESI仿宋-GB2312" w:hAnsi="CESI仿宋-GB2312" w:eastAsia="CESI仿宋-GB2312" w:cs="CESI仿宋-GB2312"/>
                <w:sz w:val="24"/>
                <w:lang w:val="en-US" w:eastAsia="zh-CN"/>
              </w:rPr>
            </w:pPr>
            <w:r>
              <w:rPr>
                <w:rFonts w:hint="eastAsia" w:ascii="CESI仿宋-GB2312" w:hAnsi="CESI仿宋-GB2312" w:eastAsia="CESI仿宋-GB2312" w:cs="CESI仿宋-GB2312"/>
                <w:sz w:val="24"/>
                <w:lang w:val="en-US" w:eastAsia="zh-CN"/>
              </w:rPr>
              <w:t>区人力资源局</w:t>
            </w:r>
          </w:p>
        </w:tc>
        <w:tc>
          <w:tcPr>
            <w:tcW w:w="1335" w:type="dxa"/>
            <w:tcBorders>
              <w:top w:val="single" w:color="auto" w:sz="4" w:space="0"/>
              <w:left w:val="single" w:color="auto" w:sz="4" w:space="0"/>
              <w:bottom w:val="single" w:color="auto" w:sz="4" w:space="0"/>
              <w:right w:val="single" w:color="auto" w:sz="4" w:space="0"/>
            </w:tcBorders>
            <w:noWrap w:val="0"/>
            <w:vAlign w:val="center"/>
          </w:tcPr>
          <w:p w14:paraId="1E38856B">
            <w:pPr>
              <w:spacing w:line="560" w:lineRule="exact"/>
              <w:jc w:val="center"/>
              <w:rPr>
                <w:rFonts w:hint="eastAsia" w:ascii="CESI仿宋-GB2312" w:hAnsi="CESI仿宋-GB2312" w:eastAsia="CESI仿宋-GB2312" w:cs="CESI仿宋-GB2312"/>
                <w:sz w:val="24"/>
                <w:lang w:val="en-US" w:eastAsia="zh-CN"/>
              </w:rPr>
            </w:pPr>
            <w:r>
              <w:rPr>
                <w:rFonts w:hint="eastAsia" w:ascii="CESI仿宋-GB2312" w:hAnsi="CESI仿宋-GB2312" w:eastAsia="CESI仿宋-GB2312" w:cs="CESI仿宋-GB2312"/>
                <w:sz w:val="24"/>
                <w:lang w:val="en-US" w:eastAsia="zh-CN"/>
              </w:rPr>
              <w:t>李海斌</w:t>
            </w:r>
          </w:p>
        </w:tc>
        <w:tc>
          <w:tcPr>
            <w:tcW w:w="1843" w:type="dxa"/>
            <w:tcBorders>
              <w:top w:val="single" w:color="auto" w:sz="4" w:space="0"/>
              <w:left w:val="single" w:color="auto" w:sz="4" w:space="0"/>
              <w:bottom w:val="single" w:color="auto" w:sz="4" w:space="0"/>
            </w:tcBorders>
            <w:noWrap w:val="0"/>
            <w:vAlign w:val="center"/>
          </w:tcPr>
          <w:p w14:paraId="4CB87298">
            <w:pPr>
              <w:spacing w:line="560" w:lineRule="exact"/>
              <w:jc w:val="center"/>
              <w:rPr>
                <w:rFonts w:hint="eastAsia" w:ascii="CESI仿宋-GB2312" w:hAnsi="CESI仿宋-GB2312" w:eastAsia="CESI仿宋-GB2312" w:cs="CESI仿宋-GB2312"/>
                <w:sz w:val="24"/>
                <w:lang w:val="en-US" w:eastAsia="zh-CN"/>
              </w:rPr>
            </w:pPr>
            <w:r>
              <w:rPr>
                <w:rFonts w:hint="eastAsia" w:ascii="CESI仿宋-GB2312" w:hAnsi="CESI仿宋-GB2312" w:eastAsia="CESI仿宋-GB2312" w:cs="CESI仿宋-GB2312"/>
                <w:sz w:val="24"/>
                <w:lang w:val="en-US" w:eastAsia="zh-CN"/>
              </w:rPr>
              <w:t>党组成员、副局长</w:t>
            </w:r>
          </w:p>
        </w:tc>
        <w:tc>
          <w:tcPr>
            <w:tcW w:w="1483" w:type="dxa"/>
            <w:tcBorders>
              <w:top w:val="single" w:color="auto" w:sz="4" w:space="0"/>
              <w:left w:val="single" w:color="auto" w:sz="4" w:space="0"/>
              <w:bottom w:val="single" w:color="auto" w:sz="4" w:space="0"/>
            </w:tcBorders>
            <w:noWrap w:val="0"/>
            <w:vAlign w:val="center"/>
          </w:tcPr>
          <w:p w14:paraId="2251DA57">
            <w:pPr>
              <w:spacing w:line="560" w:lineRule="exact"/>
              <w:jc w:val="center"/>
              <w:rPr>
                <w:rFonts w:hint="eastAsia" w:ascii="CESI仿宋-GB2312" w:hAnsi="CESI仿宋-GB2312" w:eastAsia="CESI仿宋-GB2312" w:cs="CESI仿宋-GB2312"/>
                <w:sz w:val="24"/>
                <w:lang w:val="en-US" w:eastAsia="zh-CN"/>
              </w:rPr>
            </w:pPr>
            <w:r>
              <w:rPr>
                <w:rFonts w:hint="eastAsia" w:ascii="CESI仿宋-GB2312" w:hAnsi="CESI仿宋-GB2312" w:eastAsia="CESI仿宋-GB2312" w:cs="CESI仿宋-GB2312"/>
                <w:sz w:val="24"/>
                <w:lang w:val="en-US" w:eastAsia="zh-CN"/>
              </w:rPr>
              <w:t>25228129</w:t>
            </w:r>
          </w:p>
        </w:tc>
        <w:tc>
          <w:tcPr>
            <w:tcW w:w="1884" w:type="dxa"/>
            <w:tcBorders>
              <w:top w:val="single" w:color="auto" w:sz="4" w:space="0"/>
              <w:left w:val="single" w:color="auto" w:sz="4" w:space="0"/>
              <w:bottom w:val="single" w:color="auto" w:sz="4" w:space="0"/>
            </w:tcBorders>
            <w:noWrap w:val="0"/>
            <w:vAlign w:val="center"/>
          </w:tcPr>
          <w:p w14:paraId="42B65017">
            <w:pPr>
              <w:spacing w:line="560" w:lineRule="exact"/>
              <w:jc w:val="center"/>
              <w:rPr>
                <w:rFonts w:hint="eastAsia" w:ascii="CESI仿宋-GB2312" w:hAnsi="CESI仿宋-GB2312" w:eastAsia="CESI仿宋-GB2312" w:cs="CESI仿宋-GB2312"/>
                <w:sz w:val="24"/>
                <w:lang w:val="en-US" w:eastAsia="zh-CN"/>
              </w:rPr>
            </w:pPr>
            <w:r>
              <w:rPr>
                <w:rFonts w:hint="eastAsia" w:ascii="CESI仿宋-GB2312" w:hAnsi="CESI仿宋-GB2312" w:eastAsia="CESI仿宋-GB2312" w:cs="CESI仿宋-GB2312"/>
                <w:sz w:val="24"/>
                <w:lang w:val="en-US" w:eastAsia="zh-CN"/>
              </w:rPr>
              <w:t>13501579503</w:t>
            </w:r>
          </w:p>
        </w:tc>
      </w:tr>
    </w:tbl>
    <w:p w14:paraId="72D2EFA6">
      <w:pPr>
        <w:pStyle w:val="3"/>
        <w:bidi w:val="0"/>
        <w:jc w:val="both"/>
        <w:rPr>
          <w:rFonts w:hint="eastAsia" w:ascii="黑体" w:hAnsi="黑体" w:eastAsia="黑体" w:cs="黑体"/>
          <w:kern w:val="2"/>
          <w:sz w:val="32"/>
          <w:szCs w:val="32"/>
          <w:lang w:val="en-US" w:eastAsia="zh-CN" w:bidi="ar-SA"/>
        </w:rPr>
      </w:pPr>
      <w:bookmarkStart w:id="323" w:name="_Toc923917353"/>
      <w:r>
        <w:rPr>
          <w:rFonts w:hint="eastAsia" w:ascii="黑体" w:hAnsi="黑体" w:eastAsia="黑体" w:cs="黑体"/>
          <w:kern w:val="2"/>
          <w:sz w:val="32"/>
          <w:szCs w:val="32"/>
          <w:lang w:val="en-US" w:eastAsia="zh-CN" w:bidi="ar-SA"/>
        </w:rPr>
        <w:t>附件11</w:t>
      </w:r>
      <w:bookmarkEnd w:id="323"/>
    </w:p>
    <w:p w14:paraId="15F36554">
      <w:pPr>
        <w:rPr>
          <w:rFonts w:hint="default"/>
          <w:lang w:val="en-US" w:eastAsia="zh-CN"/>
        </w:rPr>
      </w:pPr>
    </w:p>
    <w:p w14:paraId="60FA5F15">
      <w:pPr>
        <w:pStyle w:val="3"/>
        <w:bidi w:val="0"/>
        <w:rPr>
          <w:rFonts w:hint="eastAsia"/>
        </w:rPr>
      </w:pPr>
      <w:bookmarkStart w:id="324" w:name="_Toc643412220"/>
      <w:r>
        <w:rPr>
          <w:rFonts w:hint="eastAsia"/>
        </w:rPr>
        <w:t>突发地质灾害应急指挥与处置工作图</w:t>
      </w:r>
      <w:bookmarkEnd w:id="324"/>
      <w:r>
        <w:rPr>
          <w:rFonts w:hint="eastAsia"/>
        </w:rPr>
        <w:br w:type="textWrapping"/>
      </w:r>
    </w:p>
    <w:p w14:paraId="338CD8F1">
      <w:pPr>
        <w:jc w:val="center"/>
        <w:rPr>
          <w:rFonts w:hint="eastAsia" w:eastAsia="仿宋_GB2312"/>
          <w:lang w:eastAsia="zh-CN"/>
        </w:rPr>
      </w:pPr>
      <w:r>
        <w:rPr>
          <w:rFonts w:hint="eastAsia" w:eastAsia="仿宋_GB2312"/>
          <w:lang w:eastAsia="zh-CN"/>
        </w:rPr>
        <w:drawing>
          <wp:inline distT="0" distB="0" distL="114300" distR="114300">
            <wp:extent cx="6317615" cy="3303270"/>
            <wp:effectExtent l="0" t="0" r="0" b="11430"/>
            <wp:docPr id="5" name="图片 5" descr="突发地质灾害应急指挥与处置工作图_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突发地质灾害应急指挥与处置工作图_00"/>
                    <pic:cNvPicPr>
                      <a:picLocks noChangeAspect="1"/>
                    </pic:cNvPicPr>
                  </pic:nvPicPr>
                  <pic:blipFill>
                    <a:blip r:embed="rId7">
                      <a:clrChange>
                        <a:clrFrom>
                          <a:srgbClr val="FFFFFF">
                            <a:alpha val="100000"/>
                          </a:srgbClr>
                        </a:clrFrom>
                        <a:clrTo>
                          <a:srgbClr val="FFFFFF">
                            <a:alpha val="100000"/>
                            <a:alpha val="0"/>
                          </a:srgbClr>
                        </a:clrTo>
                      </a:clrChange>
                    </a:blip>
                    <a:stretch>
                      <a:fillRect/>
                    </a:stretch>
                  </pic:blipFill>
                  <pic:spPr>
                    <a:xfrm>
                      <a:off x="0" y="0"/>
                      <a:ext cx="6317615" cy="3303270"/>
                    </a:xfrm>
                    <a:prstGeom prst="rect">
                      <a:avLst/>
                    </a:prstGeom>
                  </pic:spPr>
                </pic:pic>
              </a:graphicData>
            </a:graphic>
          </wp:inline>
        </w:drawing>
      </w:r>
    </w:p>
    <w:sectPr>
      <w:pgSz w:w="16838" w:h="11906" w:orient="landscape"/>
      <w:pgMar w:top="1803" w:right="1440" w:bottom="1803" w:left="1440" w:header="851" w:footer="992" w:gutter="0"/>
      <w:pgNumType w:fmt="decimal"/>
      <w:cols w:space="0" w:num="1"/>
      <w:docGrid w:type="lines" w:linePitch="43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等线 Light">
    <w:altName w:val="华文仿宋"/>
    <w:panose1 w:val="02010600030101010101"/>
    <w:charset w:val="86"/>
    <w:family w:val="auto"/>
    <w:pitch w:val="default"/>
    <w:sig w:usb0="00000000" w:usb1="00000000" w:usb2="00000016" w:usb3="00000000" w:csb0="0004000F" w:csb1="00000000"/>
  </w:font>
  <w:font w:name="华文仿宋">
    <w:panose1 w:val="02010600040101010101"/>
    <w:charset w:val="86"/>
    <w:family w:val="auto"/>
    <w:pitch w:val="default"/>
    <w:sig w:usb0="00000287" w:usb1="080F0000" w:usb2="00000000" w:usb3="00000000" w:csb0="0004009F" w:csb1="DFD7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3000509000000000000"/>
    <w:charset w:val="86"/>
    <w:family w:val="auto"/>
    <w:pitch w:val="default"/>
    <w:sig w:usb0="00000001" w:usb1="080E0000" w:usb2="00000000" w:usb3="00000000" w:csb0="00040000" w:csb1="00000000"/>
  </w:font>
  <w:font w:name="方正公文小标宋">
    <w:altName w:val="方正小标宋_GBK"/>
    <w:panose1 w:val="00000000000000000000"/>
    <w:charset w:val="86"/>
    <w:family w:val="auto"/>
    <w:pitch w:val="default"/>
    <w:sig w:usb0="00000000" w:usb1="00000000" w:usb2="00000016" w:usb3="00000000" w:csb0="00040001" w:csb1="00000000"/>
  </w:font>
  <w:font w:name="方正小标宋_GBK">
    <w:panose1 w:val="03000509000000000000"/>
    <w:charset w:val="86"/>
    <w:family w:val="auto"/>
    <w:pitch w:val="default"/>
    <w:sig w:usb0="00000001" w:usb1="080E0000" w:usb2="00000000" w:usb3="00000000" w:csb0="00040000" w:csb1="00000000"/>
  </w:font>
  <w:font w:name="方正黑体_GBK">
    <w:altName w:val="黑体"/>
    <w:panose1 w:val="02000000000000000000"/>
    <w:charset w:val="86"/>
    <w:family w:val="auto"/>
    <w:pitch w:val="default"/>
    <w:sig w:usb0="00000000" w:usb1="00000000" w:usb2="00000000" w:usb3="00000000" w:csb0="00040000" w:csb1="00000000"/>
  </w:font>
  <w:font w:name="CESI仿宋-GB18030">
    <w:panose1 w:val="02000500000000000000"/>
    <w:charset w:val="86"/>
    <w:family w:val="auto"/>
    <w:pitch w:val="default"/>
    <w:sig w:usb0="A00002BF" w:usb1="38C77CFA" w:usb2="00000016" w:usb3="00000000" w:csb0="0004000F" w:csb1="00000000"/>
  </w:font>
  <w:font w:name="___WRD_EMBED_SUB_43">
    <w:altName w:val="华文仿宋"/>
    <w:panose1 w:val="00000000000000000000"/>
    <w:charset w:val="86"/>
    <w:family w:val="modern"/>
    <w:pitch w:val="default"/>
    <w:sig w:usb0="00000000" w:usb1="00000000" w:usb2="00000010" w:usb3="00000000" w:csb0="00040000" w:csb1="00000000"/>
  </w:font>
  <w:font w:name="等线">
    <w:altName w:val="华文仿宋"/>
    <w:panose1 w:val="02010600030101010101"/>
    <w:charset w:val="86"/>
    <w:family w:val="auto"/>
    <w:pitch w:val="default"/>
    <w:sig w:usb0="00000000" w:usb1="00000000" w:usb2="00000016" w:usb3="00000000" w:csb0="0004000F" w:csb1="00000000"/>
  </w:font>
  <w:font w:name="___WRD_EMBED_SUB_44">
    <w:altName w:val="华文仿宋"/>
    <w:panose1 w:val="00000000000000000000"/>
    <w:charset w:val="86"/>
    <w:family w:val="modern"/>
    <w:pitch w:val="default"/>
    <w:sig w:usb0="00000000" w:usb1="00000000" w:usb2="00000016" w:usb3="00000000" w:csb0="00040001" w:csb1="00000000"/>
  </w:font>
  <w:font w:name="华文中宋">
    <w:altName w:val="宋体"/>
    <w:panose1 w:val="02010600040101010101"/>
    <w:charset w:val="86"/>
    <w:family w:val="auto"/>
    <w:pitch w:val="default"/>
    <w:sig w:usb0="00000000" w:usb1="00000000" w:usb2="00000010" w:usb3="00000000" w:csb0="0004009F" w:csb1="00000000"/>
  </w:font>
  <w:font w:name="CESI仿宋-GB2312">
    <w:panose1 w:val="02000500000000000000"/>
    <w:charset w:val="86"/>
    <w:family w:val="auto"/>
    <w:pitch w:val="default"/>
    <w:sig w:usb0="800002AF" w:usb1="084F6CF8" w:usb2="00000010" w:usb3="00000000" w:csb0="0004000F" w:csb1="00000000"/>
  </w:font>
  <w:font w:name="MathJax_Vector">
    <w:panose1 w:val="02000603000000000000"/>
    <w:charset w:val="00"/>
    <w:family w:val="auto"/>
    <w:pitch w:val="default"/>
    <w:sig w:usb0="00000001" w:usb1="00000020" w:usb2="00000000" w:usb3="00000000" w:csb0="00000001" w:csb1="00000000"/>
  </w:font>
  <w:font w:name="等线">
    <w:altName w:val="Noto Sans CJK SC"/>
    <w:panose1 w:val="00000000000000000000"/>
    <w:charset w:val="00"/>
    <w:family w:val="auto"/>
    <w:pitch w:val="default"/>
    <w:sig w:usb0="00000000" w:usb1="00000000" w:usb2="00000000" w:usb3="00000000" w:csb0="00000000" w:csb1="00000000"/>
  </w:font>
  <w:font w:name="Noto Sans CJK SC">
    <w:panose1 w:val="020B0500000000000000"/>
    <w:charset w:val="86"/>
    <w:family w:val="auto"/>
    <w:pitch w:val="default"/>
    <w:sig w:usb0="30000083" w:usb1="2BDF3C10" w:usb2="00000016" w:usb3="00000000" w:csb0="602E010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B9B786">
    <w:pPr>
      <w:pStyle w:val="7"/>
    </w:pPr>
    <w:r>
      <mc:AlternateContent>
        <mc:Choice Requires="wps">
          <w:drawing>
            <wp:anchor distT="0" distB="0" distL="114300" distR="114300" simplePos="0" relativeHeight="251659264" behindDoc="0" locked="0" layoutInCell="1" allowOverlap="1">
              <wp:simplePos x="0" y="0"/>
              <wp:positionH relativeFrom="margin">
                <wp:align>inside</wp:align>
              </wp:positionH>
              <wp:positionV relativeFrom="paragraph">
                <wp:posOffset>-120015</wp:posOffset>
              </wp:positionV>
              <wp:extent cx="909320" cy="230505"/>
              <wp:effectExtent l="0" t="0" r="5080" b="17145"/>
              <wp:wrapNone/>
              <wp:docPr id="2" name="文本框 2"/>
              <wp:cNvGraphicFramePr/>
              <a:graphic xmlns:a="http://schemas.openxmlformats.org/drawingml/2006/main">
                <a:graphicData uri="http://schemas.microsoft.com/office/word/2010/wordprocessingShape">
                  <wps:wsp>
                    <wps:cNvSpPr txBox="1">
                      <a:spLocks noChangeArrowheads="1"/>
                    </wps:cNvSpPr>
                    <wps:spPr bwMode="auto">
                      <a:xfrm>
                        <a:off x="0" y="0"/>
                        <a:ext cx="909538" cy="230505"/>
                      </a:xfrm>
                      <a:prstGeom prst="rect">
                        <a:avLst/>
                      </a:prstGeom>
                      <a:noFill/>
                      <a:ln>
                        <a:noFill/>
                      </a:ln>
                    </wps:spPr>
                    <wps:txbx>
                      <w:txbxContent>
                        <w:p w14:paraId="6DB5663A">
                          <w:pPr>
                            <w:pStyle w:val="7"/>
                            <w:rPr>
                              <w:rFonts w:hint="eastAsia"/>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vert="horz" wrap="square" lIns="0" tIns="0" rIns="0" bIns="0" anchor="t" anchorCtr="0" upright="1">
                      <a:spAutoFit/>
                    </wps:bodyPr>
                  </wps:wsp>
                </a:graphicData>
              </a:graphic>
            </wp:anchor>
          </w:drawing>
        </mc:Choice>
        <mc:Fallback>
          <w:pict>
            <v:shape id="_x0000_s1026" o:spid="_x0000_s1026" o:spt="202" type="#_x0000_t202" style="position:absolute;left:0pt;margin-top:-9.45pt;height:18.15pt;width:71.6pt;mso-position-horizontal:inside;mso-position-horizontal-relative:margin;z-index:251659264;mso-width-relative:page;mso-height-relative:page;" filled="f" stroked="f" coordsize="21600,21600" o:gfxdata="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CtYfgF1QAAAAcBAAAPAAAAAAAAAAEAIAAAACIA&#10;AABkcnMvZG93bnJldi54bWxQSwECFAAUAAAACACHTuJAWmMStwwCAAAEBAAADgAAAAAAAAABACAA&#10;AAAkAQAAZHJzL2Uyb0RvYy54bWxQSwUGAAAAAAYABgBZAQAAogUAAAAA&#10;">
              <v:fill on="f" focussize="0,0"/>
              <v:stroke on="f"/>
              <v:imagedata o:title=""/>
              <o:lock v:ext="edit" aspectratio="f"/>
              <v:textbox inset="0mm,0mm,0mm,0mm" style="mso-fit-shape-to-text:t;">
                <w:txbxContent>
                  <w:p w14:paraId="6DB5663A">
                    <w:pPr>
                      <w:pStyle w:val="7"/>
                      <w:rPr>
                        <w:rFonts w:hint="eastAsia"/>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599BBC">
    <w:pPr>
      <w:pStyle w:val="7"/>
    </w:pPr>
    <w:r>
      <mc:AlternateContent>
        <mc:Choice Requires="wps">
          <w:drawing>
            <wp:anchor distT="0" distB="0" distL="114300" distR="114300" simplePos="0" relativeHeight="251661312" behindDoc="0" locked="0" layoutInCell="1" allowOverlap="1">
              <wp:simplePos x="0" y="0"/>
              <wp:positionH relativeFrom="margin">
                <wp:align>inside</wp:align>
              </wp:positionH>
              <wp:positionV relativeFrom="paragraph">
                <wp:posOffset>-120015</wp:posOffset>
              </wp:positionV>
              <wp:extent cx="909320" cy="230505"/>
              <wp:effectExtent l="0" t="0" r="0" b="0"/>
              <wp:wrapNone/>
              <wp:docPr id="3" name="文本框 3"/>
              <wp:cNvGraphicFramePr/>
              <a:graphic xmlns:a="http://schemas.openxmlformats.org/drawingml/2006/main">
                <a:graphicData uri="http://schemas.microsoft.com/office/word/2010/wordprocessingShape">
                  <wps:wsp>
                    <wps:cNvSpPr txBox="1">
                      <a:spLocks noChangeArrowheads="1"/>
                    </wps:cNvSpPr>
                    <wps:spPr bwMode="auto">
                      <a:xfrm>
                        <a:off x="0" y="0"/>
                        <a:ext cx="909538" cy="230505"/>
                      </a:xfrm>
                      <a:prstGeom prst="rect">
                        <a:avLst/>
                      </a:prstGeom>
                      <a:noFill/>
                      <a:ln>
                        <a:noFill/>
                      </a:ln>
                    </wps:spPr>
                    <wps:txbx>
                      <w:txbxContent>
                        <w:p w14:paraId="33C15150">
                          <w:pPr>
                            <w:pStyle w:val="7"/>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vert="horz" wrap="square" lIns="0" tIns="0" rIns="0" bIns="0" anchor="t" anchorCtr="0" upright="1">
                      <a:spAutoFit/>
                    </wps:bodyPr>
                  </wps:wsp>
                </a:graphicData>
              </a:graphic>
            </wp:anchor>
          </w:drawing>
        </mc:Choice>
        <mc:Fallback>
          <w:pict>
            <v:shape id="_x0000_s1026" o:spid="_x0000_s1026" o:spt="202" type="#_x0000_t202" style="position:absolute;left:0pt;margin-top:-9.45pt;height:18.15pt;width:71.6pt;mso-position-horizontal:inside;mso-position-horizontal-relative:margin;z-index:251661312;mso-width-relative:page;mso-height-relative:page;" filled="f" stroked="f" coordsize="21600,21600" o:gfxdata="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CtYfgF1QAAAAcBAAAPAAAAAAAAAAEAIAAAACIA&#10;AABkcnMvZG93bnJldi54bWxQSwECFAAUAAAACACHTuJAFJX/6wwCAAAEBAAADgAAAAAAAAABACAA&#10;AAAkAQAAZHJzL2Uyb0RvYy54bWxQSwUGAAAAAAYABgBZAQAAogUAAAAA&#10;">
              <v:fill on="f" focussize="0,0"/>
              <v:stroke on="f"/>
              <v:imagedata o:title=""/>
              <o:lock v:ext="edit" aspectratio="f"/>
              <v:textbox inset="0mm,0mm,0mm,0mm" style="mso-fit-shape-to-text:t;">
                <w:txbxContent>
                  <w:p w14:paraId="33C15150">
                    <w:pPr>
                      <w:pStyle w:val="7"/>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7"/>
  <w:embedTrueTypeFonts/>
  <w:saveSubsetFonts/>
  <w:bordersDoNotSurroundHeader w:val="0"/>
  <w:bordersDoNotSurroundFooter w:val="0"/>
  <w:trackRevisions w:val="1"/>
  <w:documentProtection w:enforcement="0"/>
  <w:defaultTabStop w:val="420"/>
  <w:drawingGridVerticalSpacing w:val="218"/>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GNhYjYzYmEwOTllM2MxMWJhNzE3M2U3ZWZhYzQ2YzEifQ=="/>
    <w:docVar w:name="KSO_WPS_MARK_KEY" w:val="7e25e788-063e-4e69-a738-e79d38c6756b"/>
  </w:docVars>
  <w:rsids>
    <w:rsidRoot w:val="00186671"/>
    <w:rsid w:val="00005AD1"/>
    <w:rsid w:val="000077C4"/>
    <w:rsid w:val="00020BEA"/>
    <w:rsid w:val="000357FB"/>
    <w:rsid w:val="00085343"/>
    <w:rsid w:val="00086CF8"/>
    <w:rsid w:val="00095FF9"/>
    <w:rsid w:val="000962C7"/>
    <w:rsid w:val="000C6834"/>
    <w:rsid w:val="000D09C3"/>
    <w:rsid w:val="00181EE2"/>
    <w:rsid w:val="00186671"/>
    <w:rsid w:val="00186F39"/>
    <w:rsid w:val="001905F5"/>
    <w:rsid w:val="001D4C01"/>
    <w:rsid w:val="001F3988"/>
    <w:rsid w:val="00200C7A"/>
    <w:rsid w:val="00265E4F"/>
    <w:rsid w:val="00297BE6"/>
    <w:rsid w:val="002A20C2"/>
    <w:rsid w:val="002A64ED"/>
    <w:rsid w:val="002F03EE"/>
    <w:rsid w:val="0031363F"/>
    <w:rsid w:val="003367BA"/>
    <w:rsid w:val="0034236E"/>
    <w:rsid w:val="003C793E"/>
    <w:rsid w:val="003F69AD"/>
    <w:rsid w:val="004139E3"/>
    <w:rsid w:val="00436EE8"/>
    <w:rsid w:val="00497822"/>
    <w:rsid w:val="004B756F"/>
    <w:rsid w:val="00502BAF"/>
    <w:rsid w:val="00514D77"/>
    <w:rsid w:val="00522A86"/>
    <w:rsid w:val="0066303D"/>
    <w:rsid w:val="00665107"/>
    <w:rsid w:val="006836D3"/>
    <w:rsid w:val="006C3931"/>
    <w:rsid w:val="006F1024"/>
    <w:rsid w:val="00710FDF"/>
    <w:rsid w:val="00736DA8"/>
    <w:rsid w:val="00742987"/>
    <w:rsid w:val="00743739"/>
    <w:rsid w:val="00835EAF"/>
    <w:rsid w:val="00863CB2"/>
    <w:rsid w:val="008B15EF"/>
    <w:rsid w:val="008D21F1"/>
    <w:rsid w:val="008E79CD"/>
    <w:rsid w:val="008F7168"/>
    <w:rsid w:val="009A7FFD"/>
    <w:rsid w:val="00A06528"/>
    <w:rsid w:val="00A1129C"/>
    <w:rsid w:val="00A3400F"/>
    <w:rsid w:val="00A454DE"/>
    <w:rsid w:val="00AB4655"/>
    <w:rsid w:val="00B22200"/>
    <w:rsid w:val="00B35421"/>
    <w:rsid w:val="00B53F34"/>
    <w:rsid w:val="00B54DEB"/>
    <w:rsid w:val="00B65811"/>
    <w:rsid w:val="00B805E4"/>
    <w:rsid w:val="00B94CEA"/>
    <w:rsid w:val="00BE7019"/>
    <w:rsid w:val="00C00367"/>
    <w:rsid w:val="00C2464E"/>
    <w:rsid w:val="00C35878"/>
    <w:rsid w:val="00C70E48"/>
    <w:rsid w:val="00CA433D"/>
    <w:rsid w:val="00CB3182"/>
    <w:rsid w:val="00D1395F"/>
    <w:rsid w:val="00D577E4"/>
    <w:rsid w:val="00D87D39"/>
    <w:rsid w:val="00D93C65"/>
    <w:rsid w:val="00DB0C59"/>
    <w:rsid w:val="00E10197"/>
    <w:rsid w:val="00E37089"/>
    <w:rsid w:val="00E65656"/>
    <w:rsid w:val="00E961F0"/>
    <w:rsid w:val="00EB154D"/>
    <w:rsid w:val="00EF7A8F"/>
    <w:rsid w:val="00F52843"/>
    <w:rsid w:val="00F80BFE"/>
    <w:rsid w:val="00F82B5C"/>
    <w:rsid w:val="00F86305"/>
    <w:rsid w:val="00F963F6"/>
    <w:rsid w:val="00FA645B"/>
    <w:rsid w:val="00FB3E84"/>
    <w:rsid w:val="00FC0F30"/>
    <w:rsid w:val="01EF0F64"/>
    <w:rsid w:val="03435D32"/>
    <w:rsid w:val="03B64756"/>
    <w:rsid w:val="04C2712A"/>
    <w:rsid w:val="04DD37D4"/>
    <w:rsid w:val="06000FF3"/>
    <w:rsid w:val="06B55198"/>
    <w:rsid w:val="06F07F7E"/>
    <w:rsid w:val="079A2AEA"/>
    <w:rsid w:val="091066B6"/>
    <w:rsid w:val="0A591C10"/>
    <w:rsid w:val="0B5D7BAD"/>
    <w:rsid w:val="0CCF0636"/>
    <w:rsid w:val="0FF68353"/>
    <w:rsid w:val="10120F66"/>
    <w:rsid w:val="1402374B"/>
    <w:rsid w:val="16B86866"/>
    <w:rsid w:val="170830C2"/>
    <w:rsid w:val="17377710"/>
    <w:rsid w:val="19242A1C"/>
    <w:rsid w:val="19AE0949"/>
    <w:rsid w:val="19E51499"/>
    <w:rsid w:val="1A9B01A9"/>
    <w:rsid w:val="1AD8269C"/>
    <w:rsid w:val="1BB98581"/>
    <w:rsid w:val="1C8442DB"/>
    <w:rsid w:val="1CDF6673"/>
    <w:rsid w:val="1D155E43"/>
    <w:rsid w:val="1DB07E4C"/>
    <w:rsid w:val="1DB5D7F6"/>
    <w:rsid w:val="1E0F760D"/>
    <w:rsid w:val="1E430277"/>
    <w:rsid w:val="1EE5CB94"/>
    <w:rsid w:val="1EFA1763"/>
    <w:rsid w:val="1FB80050"/>
    <w:rsid w:val="1FED56CE"/>
    <w:rsid w:val="202A22FB"/>
    <w:rsid w:val="20AC7E9E"/>
    <w:rsid w:val="20AE4CDA"/>
    <w:rsid w:val="224A458F"/>
    <w:rsid w:val="224F7DF7"/>
    <w:rsid w:val="265F63A8"/>
    <w:rsid w:val="26F176CF"/>
    <w:rsid w:val="280B47C0"/>
    <w:rsid w:val="2987431B"/>
    <w:rsid w:val="2D5110F3"/>
    <w:rsid w:val="2E6C1D31"/>
    <w:rsid w:val="2EEF7F07"/>
    <w:rsid w:val="2F8A7EF2"/>
    <w:rsid w:val="2FEC7952"/>
    <w:rsid w:val="2FEED7B7"/>
    <w:rsid w:val="2FFB4B1E"/>
    <w:rsid w:val="31A16195"/>
    <w:rsid w:val="33EEDDF6"/>
    <w:rsid w:val="35697251"/>
    <w:rsid w:val="356B2048"/>
    <w:rsid w:val="357702D3"/>
    <w:rsid w:val="360F1212"/>
    <w:rsid w:val="36C520F0"/>
    <w:rsid w:val="3778E504"/>
    <w:rsid w:val="377A4B80"/>
    <w:rsid w:val="3894435E"/>
    <w:rsid w:val="3B7F3141"/>
    <w:rsid w:val="3CD2528D"/>
    <w:rsid w:val="3D001FC2"/>
    <w:rsid w:val="3D4D0762"/>
    <w:rsid w:val="3D7F2962"/>
    <w:rsid w:val="3DDF6293"/>
    <w:rsid w:val="3E1E816D"/>
    <w:rsid w:val="3E7013C9"/>
    <w:rsid w:val="3F057D64"/>
    <w:rsid w:val="3F89620C"/>
    <w:rsid w:val="3FAAB528"/>
    <w:rsid w:val="3FF98415"/>
    <w:rsid w:val="40A519CB"/>
    <w:rsid w:val="417B2918"/>
    <w:rsid w:val="43675A04"/>
    <w:rsid w:val="43AF6247"/>
    <w:rsid w:val="44881B7F"/>
    <w:rsid w:val="44915BF6"/>
    <w:rsid w:val="465357A0"/>
    <w:rsid w:val="485458B8"/>
    <w:rsid w:val="4BD70482"/>
    <w:rsid w:val="4C3D4E29"/>
    <w:rsid w:val="4D111E04"/>
    <w:rsid w:val="4F1E0010"/>
    <w:rsid w:val="4F912F4E"/>
    <w:rsid w:val="51047ED0"/>
    <w:rsid w:val="51B439E2"/>
    <w:rsid w:val="51C7750C"/>
    <w:rsid w:val="52CA7BF9"/>
    <w:rsid w:val="5358625C"/>
    <w:rsid w:val="536746F1"/>
    <w:rsid w:val="53F5E25F"/>
    <w:rsid w:val="54652D55"/>
    <w:rsid w:val="54CA6C96"/>
    <w:rsid w:val="56E0595D"/>
    <w:rsid w:val="582E3A30"/>
    <w:rsid w:val="58627BD5"/>
    <w:rsid w:val="58A37CC3"/>
    <w:rsid w:val="58FF02D5"/>
    <w:rsid w:val="592D39AB"/>
    <w:rsid w:val="59E569BE"/>
    <w:rsid w:val="5A3A1DF0"/>
    <w:rsid w:val="5A42025D"/>
    <w:rsid w:val="5ABB4E82"/>
    <w:rsid w:val="5AC8318B"/>
    <w:rsid w:val="5B3F0B65"/>
    <w:rsid w:val="5B5FD3AE"/>
    <w:rsid w:val="5BDFBE9C"/>
    <w:rsid w:val="5BF530AA"/>
    <w:rsid w:val="5D5F131D"/>
    <w:rsid w:val="5ECE203B"/>
    <w:rsid w:val="5F0454EA"/>
    <w:rsid w:val="5F4D381F"/>
    <w:rsid w:val="5FB92DE8"/>
    <w:rsid w:val="5FE9C8E4"/>
    <w:rsid w:val="5FFD2D4F"/>
    <w:rsid w:val="60AB1A15"/>
    <w:rsid w:val="611D1FCC"/>
    <w:rsid w:val="61665FE8"/>
    <w:rsid w:val="61A60705"/>
    <w:rsid w:val="632919C3"/>
    <w:rsid w:val="65BFE69D"/>
    <w:rsid w:val="6699159E"/>
    <w:rsid w:val="677156E7"/>
    <w:rsid w:val="67EFF326"/>
    <w:rsid w:val="69205BA4"/>
    <w:rsid w:val="695D32F5"/>
    <w:rsid w:val="69961435"/>
    <w:rsid w:val="6BBF258C"/>
    <w:rsid w:val="6BF7052D"/>
    <w:rsid w:val="6D777742"/>
    <w:rsid w:val="6D77BA03"/>
    <w:rsid w:val="6D7DC311"/>
    <w:rsid w:val="6D9A31A2"/>
    <w:rsid w:val="6E526272"/>
    <w:rsid w:val="6E7F59A1"/>
    <w:rsid w:val="6EA63EC8"/>
    <w:rsid w:val="6EFF2C50"/>
    <w:rsid w:val="6F086931"/>
    <w:rsid w:val="6FDA18CA"/>
    <w:rsid w:val="6FDD8A28"/>
    <w:rsid w:val="6FF944CB"/>
    <w:rsid w:val="6FFDD6AA"/>
    <w:rsid w:val="70EFDDA7"/>
    <w:rsid w:val="71A010A2"/>
    <w:rsid w:val="71C50B09"/>
    <w:rsid w:val="727F2760"/>
    <w:rsid w:val="729D55E2"/>
    <w:rsid w:val="73FEEFAD"/>
    <w:rsid w:val="7439758C"/>
    <w:rsid w:val="743EEE71"/>
    <w:rsid w:val="74AF1239"/>
    <w:rsid w:val="74D74B3D"/>
    <w:rsid w:val="75FFF593"/>
    <w:rsid w:val="764FA0E2"/>
    <w:rsid w:val="76FC5EAD"/>
    <w:rsid w:val="777E34D9"/>
    <w:rsid w:val="77EC5524"/>
    <w:rsid w:val="77EF1EBA"/>
    <w:rsid w:val="77FB6022"/>
    <w:rsid w:val="79CFC19E"/>
    <w:rsid w:val="79EF706B"/>
    <w:rsid w:val="7A2633B3"/>
    <w:rsid w:val="7A6F95C2"/>
    <w:rsid w:val="7A962EAF"/>
    <w:rsid w:val="7AD71577"/>
    <w:rsid w:val="7AF52CE4"/>
    <w:rsid w:val="7AF9948B"/>
    <w:rsid w:val="7B427B80"/>
    <w:rsid w:val="7B6F469E"/>
    <w:rsid w:val="7BBE812F"/>
    <w:rsid w:val="7BD27611"/>
    <w:rsid w:val="7BD73B70"/>
    <w:rsid w:val="7BD79F49"/>
    <w:rsid w:val="7BDF5470"/>
    <w:rsid w:val="7BFD23A9"/>
    <w:rsid w:val="7C631EB1"/>
    <w:rsid w:val="7CF7423C"/>
    <w:rsid w:val="7D442589"/>
    <w:rsid w:val="7D782ED3"/>
    <w:rsid w:val="7D7F0CC7"/>
    <w:rsid w:val="7DE2E001"/>
    <w:rsid w:val="7DE928E7"/>
    <w:rsid w:val="7DEFD16D"/>
    <w:rsid w:val="7DFF2A54"/>
    <w:rsid w:val="7DFF87DE"/>
    <w:rsid w:val="7E715B75"/>
    <w:rsid w:val="7EA97B2A"/>
    <w:rsid w:val="7EC32874"/>
    <w:rsid w:val="7ECD724F"/>
    <w:rsid w:val="7ECFB590"/>
    <w:rsid w:val="7EDBB6FA"/>
    <w:rsid w:val="7EF2A8E3"/>
    <w:rsid w:val="7EFD653D"/>
    <w:rsid w:val="7F1B445E"/>
    <w:rsid w:val="7F2C0C33"/>
    <w:rsid w:val="7F3F409D"/>
    <w:rsid w:val="7F7D12A6"/>
    <w:rsid w:val="7F7EEE9A"/>
    <w:rsid w:val="7F805B02"/>
    <w:rsid w:val="7F8F2756"/>
    <w:rsid w:val="7FB787AB"/>
    <w:rsid w:val="7FBF9B38"/>
    <w:rsid w:val="7FCDF595"/>
    <w:rsid w:val="7FF37415"/>
    <w:rsid w:val="7FF5C3DC"/>
    <w:rsid w:val="7FF77210"/>
    <w:rsid w:val="87FB35A8"/>
    <w:rsid w:val="87FB6D7B"/>
    <w:rsid w:val="8BBF7667"/>
    <w:rsid w:val="8FFA4FD3"/>
    <w:rsid w:val="9BFD4575"/>
    <w:rsid w:val="9EFF9B2F"/>
    <w:rsid w:val="A575F09E"/>
    <w:rsid w:val="A7F7C656"/>
    <w:rsid w:val="A97E973C"/>
    <w:rsid w:val="ABBF0B91"/>
    <w:rsid w:val="B4FD7113"/>
    <w:rsid w:val="B4FFF4CB"/>
    <w:rsid w:val="BCFBAD13"/>
    <w:rsid w:val="BDAE0C4F"/>
    <w:rsid w:val="BEEFB2DC"/>
    <w:rsid w:val="BF3EEC3C"/>
    <w:rsid w:val="BFDF9E96"/>
    <w:rsid w:val="CBFE1FE3"/>
    <w:rsid w:val="CFBFD64A"/>
    <w:rsid w:val="D55E5505"/>
    <w:rsid w:val="D65CAF0D"/>
    <w:rsid w:val="D6F9F2E9"/>
    <w:rsid w:val="D7FF0566"/>
    <w:rsid w:val="DADB14FF"/>
    <w:rsid w:val="DCFD8338"/>
    <w:rsid w:val="DD7CA9F7"/>
    <w:rsid w:val="DDDD3A2D"/>
    <w:rsid w:val="DE9F098A"/>
    <w:rsid w:val="DFCFBF61"/>
    <w:rsid w:val="DFDF2882"/>
    <w:rsid w:val="DFEEA0D3"/>
    <w:rsid w:val="DFFE3932"/>
    <w:rsid w:val="E2DDA3C3"/>
    <w:rsid w:val="E2FE23F3"/>
    <w:rsid w:val="E3777FFA"/>
    <w:rsid w:val="E7BDC88C"/>
    <w:rsid w:val="E7D465B5"/>
    <w:rsid w:val="EE3D96C0"/>
    <w:rsid w:val="EEDBB207"/>
    <w:rsid w:val="EEDFC145"/>
    <w:rsid w:val="EF181C71"/>
    <w:rsid w:val="EFB78F30"/>
    <w:rsid w:val="EFFBFF6B"/>
    <w:rsid w:val="F1ED46C5"/>
    <w:rsid w:val="F27B10CA"/>
    <w:rsid w:val="F3DFEE89"/>
    <w:rsid w:val="F3FE9744"/>
    <w:rsid w:val="F4FA8071"/>
    <w:rsid w:val="F6AE2D9D"/>
    <w:rsid w:val="F6FD9551"/>
    <w:rsid w:val="F77B3EBB"/>
    <w:rsid w:val="F7BFB624"/>
    <w:rsid w:val="F7DF18E9"/>
    <w:rsid w:val="F7E9911B"/>
    <w:rsid w:val="F7F71EAD"/>
    <w:rsid w:val="F7FEDEC3"/>
    <w:rsid w:val="F8EB8E06"/>
    <w:rsid w:val="F8EF3CAB"/>
    <w:rsid w:val="F9EB450B"/>
    <w:rsid w:val="FA76D8AB"/>
    <w:rsid w:val="FA7B8196"/>
    <w:rsid w:val="FBCEAD8F"/>
    <w:rsid w:val="FBD661CD"/>
    <w:rsid w:val="FBDD5D6C"/>
    <w:rsid w:val="FBE6F13A"/>
    <w:rsid w:val="FBF741ED"/>
    <w:rsid w:val="FBFFD6D4"/>
    <w:rsid w:val="FBFFE82D"/>
    <w:rsid w:val="FCBFACB5"/>
    <w:rsid w:val="FCE33C2C"/>
    <w:rsid w:val="FCF7646B"/>
    <w:rsid w:val="FD6E19EF"/>
    <w:rsid w:val="FD7B2999"/>
    <w:rsid w:val="FD8E0DD5"/>
    <w:rsid w:val="FDB528BB"/>
    <w:rsid w:val="FDF7A08A"/>
    <w:rsid w:val="FEDF86A9"/>
    <w:rsid w:val="FF6FEDFF"/>
    <w:rsid w:val="FF7FE5BB"/>
    <w:rsid w:val="FF93BF5F"/>
    <w:rsid w:val="FFAB8E76"/>
    <w:rsid w:val="FFAFD9FB"/>
    <w:rsid w:val="FFB67C59"/>
    <w:rsid w:val="FFDB23B1"/>
    <w:rsid w:val="FFDF7652"/>
    <w:rsid w:val="FFE6A000"/>
    <w:rsid w:val="FFEF62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仿宋_GB2312" w:cs="Times New Roman"/>
      <w:kern w:val="2"/>
      <w:sz w:val="32"/>
      <w:szCs w:val="24"/>
      <w:lang w:val="en-US" w:eastAsia="zh-CN" w:bidi="ar-SA"/>
    </w:rPr>
  </w:style>
  <w:style w:type="paragraph" w:styleId="3">
    <w:name w:val="heading 1"/>
    <w:basedOn w:val="1"/>
    <w:next w:val="1"/>
    <w:link w:val="20"/>
    <w:qFormat/>
    <w:uiPriority w:val="0"/>
    <w:pPr>
      <w:keepNext/>
      <w:adjustRightInd w:val="0"/>
      <w:snapToGrid w:val="0"/>
      <w:spacing w:before="50" w:beforeLines="50" w:after="50" w:afterLines="50" w:line="560" w:lineRule="exact"/>
      <w:jc w:val="center"/>
      <w:outlineLvl w:val="0"/>
    </w:pPr>
    <w:rPr>
      <w:rFonts w:ascii="Times New Roman" w:hAnsi="Times New Roman" w:eastAsia="方正小标宋简体"/>
      <w:sz w:val="44"/>
    </w:rPr>
  </w:style>
  <w:style w:type="paragraph" w:styleId="4">
    <w:name w:val="heading 2"/>
    <w:basedOn w:val="1"/>
    <w:next w:val="1"/>
    <w:link w:val="21"/>
    <w:unhideWhenUsed/>
    <w:qFormat/>
    <w:uiPriority w:val="0"/>
    <w:pPr>
      <w:keepNext/>
      <w:keepLines/>
      <w:spacing w:line="560" w:lineRule="exact"/>
      <w:ind w:firstLine="883" w:firstLineChars="200"/>
      <w:outlineLvl w:val="1"/>
    </w:pPr>
    <w:rPr>
      <w:rFonts w:ascii="楷体_GB2312" w:hAnsi="楷体_GB2312" w:eastAsia="楷体_GB2312"/>
    </w:rPr>
  </w:style>
  <w:style w:type="paragraph" w:styleId="5">
    <w:name w:val="heading 3"/>
    <w:basedOn w:val="1"/>
    <w:next w:val="1"/>
    <w:qFormat/>
    <w:uiPriority w:val="0"/>
    <w:pPr>
      <w:keepNext/>
      <w:keepLines/>
      <w:outlineLvl w:val="2"/>
    </w:pPr>
    <w:rPr>
      <w:b/>
      <w:bCs/>
      <w:szCs w:val="32"/>
    </w:rPr>
  </w:style>
  <w:style w:type="character" w:default="1" w:styleId="14">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link w:val="22"/>
    <w:qFormat/>
    <w:uiPriority w:val="0"/>
    <w:pPr>
      <w:adjustRightInd w:val="0"/>
      <w:snapToGrid w:val="0"/>
      <w:spacing w:after="120" w:line="560" w:lineRule="exact"/>
      <w:ind w:firstLine="880" w:firstLineChars="200"/>
    </w:pPr>
    <w:rPr>
      <w:rFonts w:ascii="Times New Roman" w:hAnsi="Times New Roman"/>
      <w:szCs w:val="32"/>
    </w:rPr>
  </w:style>
  <w:style w:type="paragraph" w:styleId="6">
    <w:name w:val="Normal Indent"/>
    <w:basedOn w:val="1"/>
    <w:next w:val="1"/>
    <w:qFormat/>
    <w:uiPriority w:val="0"/>
    <w:pPr>
      <w:ind w:firstLine="420" w:firstLineChars="200"/>
    </w:pPr>
  </w:style>
  <w:style w:type="paragraph" w:styleId="7">
    <w:name w:val="footer"/>
    <w:basedOn w:val="1"/>
    <w:link w:val="19"/>
    <w:unhideWhenUsed/>
    <w:qFormat/>
    <w:uiPriority w:val="0"/>
    <w:pPr>
      <w:tabs>
        <w:tab w:val="center" w:pos="4153"/>
        <w:tab w:val="right" w:pos="8306"/>
      </w:tabs>
      <w:snapToGrid w:val="0"/>
      <w:jc w:val="left"/>
    </w:pPr>
    <w:rPr>
      <w:sz w:val="18"/>
      <w:szCs w:val="18"/>
    </w:rPr>
  </w:style>
  <w:style w:type="paragraph" w:styleId="8">
    <w:name w:val="header"/>
    <w:basedOn w:val="1"/>
    <w:link w:val="18"/>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toc 1"/>
    <w:basedOn w:val="1"/>
    <w:next w:val="1"/>
    <w:unhideWhenUsed/>
    <w:qFormat/>
    <w:uiPriority w:val="39"/>
  </w:style>
  <w:style w:type="paragraph" w:styleId="10">
    <w:name w:val="toc 2"/>
    <w:basedOn w:val="1"/>
    <w:next w:val="1"/>
    <w:unhideWhenUsed/>
    <w:qFormat/>
    <w:uiPriority w:val="39"/>
    <w:pPr>
      <w:ind w:left="420" w:leftChars="200"/>
    </w:pPr>
  </w:style>
  <w:style w:type="paragraph" w:styleId="11">
    <w:name w:val="Normal (Web)"/>
    <w:basedOn w:val="1"/>
    <w:qFormat/>
    <w:uiPriority w:val="0"/>
    <w:pPr>
      <w:spacing w:before="100" w:beforeAutospacing="1" w:after="100" w:afterAutospacing="1" w:line="560" w:lineRule="exact"/>
      <w:ind w:firstLine="883" w:firstLineChars="200"/>
    </w:pPr>
    <w:rPr>
      <w:rFonts w:ascii="仿宋_GB2312" w:hAnsi="仿宋_GB2312"/>
      <w:kern w:val="0"/>
      <w:sz w:val="24"/>
    </w:rPr>
  </w:style>
  <w:style w:type="paragraph" w:styleId="12">
    <w:name w:val="Title"/>
    <w:basedOn w:val="1"/>
    <w:next w:val="1"/>
    <w:qFormat/>
    <w:uiPriority w:val="0"/>
    <w:pPr>
      <w:jc w:val="center"/>
      <w:outlineLvl w:val="0"/>
    </w:pPr>
    <w:rPr>
      <w:rFonts w:ascii="方正小标宋简体" w:hAnsi="等线 Light" w:eastAsia="方正小标宋简体"/>
      <w:bCs/>
      <w:sz w:val="44"/>
      <w:szCs w:val="32"/>
    </w:rPr>
  </w:style>
  <w:style w:type="character" w:styleId="15">
    <w:name w:val="Strong"/>
    <w:qFormat/>
    <w:uiPriority w:val="0"/>
    <w:rPr>
      <w:b/>
    </w:rPr>
  </w:style>
  <w:style w:type="character" w:styleId="16">
    <w:name w:val="Hyperlink"/>
    <w:basedOn w:val="14"/>
    <w:unhideWhenUsed/>
    <w:qFormat/>
    <w:uiPriority w:val="99"/>
    <w:rPr>
      <w:color w:val="0563C1" w:themeColor="hyperlink"/>
      <w:u w:val="single"/>
      <w14:textFill>
        <w14:solidFill>
          <w14:schemeClr w14:val="hlink"/>
        </w14:solidFill>
      </w14:textFill>
    </w:rPr>
  </w:style>
  <w:style w:type="paragraph" w:customStyle="1" w:styleId="17">
    <w:name w:val="_正文段落"/>
    <w:basedOn w:val="1"/>
    <w:qFormat/>
    <w:uiPriority w:val="0"/>
    <w:pPr>
      <w:spacing w:before="50" w:beforeLines="50" w:line="600" w:lineRule="exact"/>
    </w:pPr>
    <w:rPr>
      <w:rFonts w:eastAsia="宋体"/>
    </w:rPr>
  </w:style>
  <w:style w:type="character" w:customStyle="1" w:styleId="18">
    <w:name w:val="页眉 字符"/>
    <w:basedOn w:val="14"/>
    <w:link w:val="8"/>
    <w:qFormat/>
    <w:uiPriority w:val="99"/>
    <w:rPr>
      <w:sz w:val="18"/>
      <w:szCs w:val="18"/>
    </w:rPr>
  </w:style>
  <w:style w:type="character" w:customStyle="1" w:styleId="19">
    <w:name w:val="页脚 字符"/>
    <w:basedOn w:val="14"/>
    <w:link w:val="7"/>
    <w:qFormat/>
    <w:uiPriority w:val="99"/>
    <w:rPr>
      <w:sz w:val="18"/>
      <w:szCs w:val="18"/>
    </w:rPr>
  </w:style>
  <w:style w:type="character" w:customStyle="1" w:styleId="20">
    <w:name w:val="标题 1 字符"/>
    <w:basedOn w:val="14"/>
    <w:link w:val="3"/>
    <w:qFormat/>
    <w:uiPriority w:val="0"/>
    <w:rPr>
      <w:rFonts w:ascii="Times New Roman" w:hAnsi="Times New Roman" w:eastAsia="方正小标宋简体" w:cs="Times New Roman"/>
      <w:sz w:val="44"/>
      <w:szCs w:val="24"/>
    </w:rPr>
  </w:style>
  <w:style w:type="character" w:customStyle="1" w:styleId="21">
    <w:name w:val="标题 2 字符"/>
    <w:basedOn w:val="14"/>
    <w:link w:val="4"/>
    <w:qFormat/>
    <w:uiPriority w:val="0"/>
    <w:rPr>
      <w:rFonts w:ascii="楷体_GB2312" w:hAnsi="楷体_GB2312" w:eastAsia="楷体_GB2312" w:cs="Times New Roman"/>
      <w:sz w:val="32"/>
      <w:szCs w:val="24"/>
    </w:rPr>
  </w:style>
  <w:style w:type="character" w:customStyle="1" w:styleId="22">
    <w:name w:val="正文文本 字符"/>
    <w:basedOn w:val="14"/>
    <w:link w:val="2"/>
    <w:qFormat/>
    <w:uiPriority w:val="0"/>
    <w:rPr>
      <w:rFonts w:ascii="Times New Roman" w:hAnsi="Times New Roman" w:eastAsia="仿宋_GB2312" w:cs="Times New Roman"/>
      <w:sz w:val="32"/>
      <w:szCs w:val="32"/>
    </w:rPr>
  </w:style>
  <w:style w:type="paragraph" w:customStyle="1" w:styleId="23">
    <w:name w:val="图表内容"/>
    <w:basedOn w:val="1"/>
    <w:qFormat/>
    <w:uiPriority w:val="0"/>
    <w:pPr>
      <w:spacing w:line="360" w:lineRule="atLeast"/>
    </w:pPr>
    <w:rPr>
      <w:rFonts w:ascii="Times New Roman" w:hAnsi="Times New Roman"/>
      <w:kern w:val="24"/>
      <w:sz w:val="28"/>
      <w:szCs w:val="28"/>
    </w:rPr>
  </w:style>
  <w:style w:type="paragraph" w:styleId="24">
    <w:name w:val="List Paragraph"/>
    <w:basedOn w:val="1"/>
    <w:qFormat/>
    <w:uiPriority w:val="34"/>
    <w:pPr>
      <w:ind w:firstLine="420" w:firstLineChars="200"/>
    </w:pPr>
    <w:rPr>
      <w:rFonts w:ascii="Times New Roman" w:hAnsi="Times New Roman" w:eastAsia="宋体"/>
      <w:sz w:val="21"/>
    </w:rPr>
  </w:style>
  <w:style w:type="character" w:customStyle="1" w:styleId="25">
    <w:name w:val="font01"/>
    <w:basedOn w:val="14"/>
    <w:qFormat/>
    <w:uiPriority w:val="0"/>
    <w:rPr>
      <w:rFonts w:hint="eastAsia" w:ascii="宋体" w:hAnsi="宋体" w:eastAsia="宋体" w:cs="宋体"/>
      <w:color w:val="000000"/>
      <w:sz w:val="20"/>
      <w:szCs w:val="20"/>
      <w:u w:val="none"/>
    </w:rPr>
  </w:style>
  <w:style w:type="character" w:customStyle="1" w:styleId="26">
    <w:name w:val="font31"/>
    <w:basedOn w:val="14"/>
    <w:qFormat/>
    <w:uiPriority w:val="0"/>
    <w:rPr>
      <w:rFonts w:hint="default" w:ascii="Times New Roman" w:hAnsi="Times New Roman" w:cs="Times New Roman"/>
      <w:color w:val="000000"/>
      <w:sz w:val="20"/>
      <w:szCs w:val="20"/>
      <w:u w:val="none"/>
    </w:rPr>
  </w:style>
  <w:style w:type="character" w:customStyle="1" w:styleId="27">
    <w:name w:val="font11"/>
    <w:basedOn w:val="14"/>
    <w:qFormat/>
    <w:uiPriority w:val="0"/>
    <w:rPr>
      <w:rFonts w:hint="eastAsia" w:ascii="宋体" w:hAnsi="宋体" w:eastAsia="宋体" w:cs="宋体"/>
      <w:b/>
      <w:bCs/>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65</Pages>
  <Words>3181</Words>
  <Characters>18138</Characters>
  <Lines>151</Lines>
  <Paragraphs>42</Paragraphs>
  <TotalTime>101</TotalTime>
  <ScaleCrop>false</ScaleCrop>
  <LinksUpToDate>false</LinksUpToDate>
  <CharactersWithSpaces>21277</CharactersWithSpaces>
  <Application>WPS Office_12.1.2.23578_F1E327BC-269C-435d-A152-05C5408002CA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2025-01-16T16:42:00Z</dcterms:created>
  <dc:creator>蒋 东霖</dc:creator>
  <cp:lastModifiedBy>马小敏</cp:lastModifiedBy>
  <cp:lastPrinted>2025-07-07T14:23:00Z</cp:lastPrinted>
  <dcterms:modified xsi:type="dcterms:W3CDTF">2026-08-17T17:43:10Z</dcterms:modified>
  <dc:title>盐田区突发地质灾害应急预案</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2052-12.1.2.23578</vt:lpwstr>
  </property>
  <property fmtid="{D5CDD505-2E9C-101B-9397-08002B2CF9AE}" pid="3" name="ICV">
    <vt:lpwstr>CA78F10B8EC3C671AED7826AD462DC1F_43</vt:lpwstr>
  </property>
</Properties>
</file>