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86ABB">
      <w:pPr>
        <w:pStyle w:val="4"/>
        <w:pageBreakBefore w:val="0"/>
        <w:widowControl w:val="0"/>
        <w:tabs>
          <w:tab w:val="left" w:pos="0"/>
          <w:tab w:val="left" w:pos="3165"/>
          <w:tab w:val="center" w:pos="4153"/>
        </w:tabs>
        <w:kinsoku/>
        <w:wordWrap/>
        <w:overflowPunct/>
        <w:topLinePunct w:val="0"/>
        <w:autoSpaceDE w:val="0"/>
        <w:autoSpaceDN w:val="0"/>
        <w:bidi w:val="0"/>
        <w:adjustRightInd w:val="0"/>
        <w:snapToGrid w:val="0"/>
        <w:spacing w:before="0" w:after="0" w:line="576" w:lineRule="exact"/>
        <w:ind w:left="0" w:leftChars="0" w:firstLine="0" w:firstLineChars="0"/>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eastAsia="zh-CN"/>
        </w:rPr>
        <w:t>盐田区商务局202</w:t>
      </w:r>
      <w:r>
        <w:rPr>
          <w:rFonts w:hint="eastAsia" w:ascii="方正小标宋简体" w:hAnsi="方正小标宋简体" w:eastAsia="方正小标宋简体" w:cs="方正小标宋简体"/>
          <w:b w:val="0"/>
          <w:bCs/>
          <w:color w:val="auto"/>
          <w:sz w:val="44"/>
          <w:szCs w:val="44"/>
          <w:lang w:val="en-US" w:eastAsia="zh-CN"/>
        </w:rPr>
        <w:t>6</w:t>
      </w:r>
      <w:r>
        <w:rPr>
          <w:rFonts w:hint="eastAsia" w:ascii="方正小标宋简体" w:hAnsi="方正小标宋简体" w:eastAsia="方正小标宋简体" w:cs="方正小标宋简体"/>
          <w:b w:val="0"/>
          <w:bCs/>
          <w:color w:val="auto"/>
          <w:sz w:val="44"/>
          <w:szCs w:val="44"/>
          <w:lang w:eastAsia="zh-CN"/>
        </w:rPr>
        <w:t>-202</w:t>
      </w:r>
      <w:r>
        <w:rPr>
          <w:rFonts w:hint="eastAsia" w:ascii="方正小标宋简体" w:hAnsi="方正小标宋简体" w:eastAsia="方正小标宋简体" w:cs="方正小标宋简体"/>
          <w:b w:val="0"/>
          <w:bCs/>
          <w:color w:val="auto"/>
          <w:sz w:val="44"/>
          <w:szCs w:val="44"/>
          <w:lang w:val="en-US" w:eastAsia="zh-CN"/>
        </w:rPr>
        <w:t>7年度商贸领域</w:t>
      </w:r>
    </w:p>
    <w:p w14:paraId="1CFD4035">
      <w:pPr>
        <w:pStyle w:val="4"/>
        <w:pageBreakBefore w:val="0"/>
        <w:widowControl w:val="0"/>
        <w:tabs>
          <w:tab w:val="left" w:pos="0"/>
          <w:tab w:val="left" w:pos="3165"/>
          <w:tab w:val="center" w:pos="4153"/>
        </w:tabs>
        <w:kinsoku/>
        <w:wordWrap/>
        <w:overflowPunct/>
        <w:topLinePunct w:val="0"/>
        <w:autoSpaceDE w:val="0"/>
        <w:autoSpaceDN w:val="0"/>
        <w:bidi w:val="0"/>
        <w:adjustRightInd w:val="0"/>
        <w:snapToGrid w:val="0"/>
        <w:spacing w:before="0" w:after="0" w:line="576"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highlight w:val="none"/>
          <w:lang w:eastAsia="zh-CN"/>
        </w:rPr>
      </w:pPr>
      <w:r>
        <w:rPr>
          <w:rFonts w:hint="eastAsia" w:ascii="方正小标宋简体" w:hAnsi="方正小标宋简体" w:eastAsia="方正小标宋简体" w:cs="方正小标宋简体"/>
          <w:b w:val="0"/>
          <w:bCs/>
          <w:color w:val="auto"/>
          <w:sz w:val="44"/>
          <w:szCs w:val="44"/>
          <w:lang w:val="en-US" w:eastAsia="zh-CN"/>
        </w:rPr>
        <w:t>安全技术咨询服务</w:t>
      </w:r>
      <w:r>
        <w:rPr>
          <w:rFonts w:hint="eastAsia" w:ascii="方正小标宋简体" w:hAnsi="方正小标宋简体" w:eastAsia="方正小标宋简体" w:cs="方正小标宋简体"/>
          <w:b w:val="0"/>
          <w:bCs w:val="0"/>
          <w:color w:val="auto"/>
          <w:sz w:val="44"/>
          <w:szCs w:val="44"/>
          <w:highlight w:val="none"/>
          <w:lang w:eastAsia="zh-CN"/>
        </w:rPr>
        <w:t>自行采购公告</w:t>
      </w:r>
    </w:p>
    <w:p w14:paraId="303A7880">
      <w:pPr>
        <w:pStyle w:val="4"/>
        <w:pageBreakBefore w:val="0"/>
        <w:widowControl w:val="0"/>
        <w:tabs>
          <w:tab w:val="left" w:pos="0"/>
          <w:tab w:val="left" w:pos="3165"/>
          <w:tab w:val="center" w:pos="4153"/>
        </w:tabs>
        <w:kinsoku/>
        <w:wordWrap/>
        <w:overflowPunct/>
        <w:topLinePunct w:val="0"/>
        <w:autoSpaceDE w:val="0"/>
        <w:autoSpaceDN w:val="0"/>
        <w:bidi w:val="0"/>
        <w:adjustRightInd w:val="0"/>
        <w:snapToGrid w:val="0"/>
        <w:spacing w:before="0" w:after="0" w:line="576" w:lineRule="exact"/>
        <w:ind w:left="0" w:leftChars="0" w:firstLine="0" w:firstLineChars="0"/>
        <w:jc w:val="center"/>
        <w:textAlignment w:val="auto"/>
        <w:rPr>
          <w:rFonts w:hint="eastAsia" w:ascii="楷体_GB2312" w:hAnsi="楷体_GB2312" w:eastAsia="楷体_GB2312" w:cs="楷体_GB2312"/>
          <w:b w:val="0"/>
          <w:bCs/>
          <w:color w:val="auto"/>
          <w:sz w:val="32"/>
          <w:szCs w:val="32"/>
          <w:highlight w:val="none"/>
          <w:u w:val="none"/>
          <w:lang w:eastAsia="zh-CN"/>
        </w:rPr>
      </w:pPr>
      <w:r>
        <w:rPr>
          <w:rFonts w:hint="eastAsia" w:ascii="楷体_GB2312" w:hAnsi="楷体_GB2312" w:eastAsia="楷体_GB2312" w:cs="楷体_GB2312"/>
          <w:b w:val="0"/>
          <w:bCs/>
          <w:color w:val="auto"/>
          <w:sz w:val="32"/>
          <w:szCs w:val="32"/>
          <w:highlight w:val="none"/>
          <w:u w:val="none"/>
          <w:lang w:eastAsia="zh-CN"/>
        </w:rPr>
        <w:t>（征求意见稿）</w:t>
      </w:r>
    </w:p>
    <w:p w14:paraId="5358CE83">
      <w:pPr>
        <w:rPr>
          <w:rFonts w:hint="eastAsia"/>
          <w:lang w:eastAsia="zh-CN"/>
        </w:rPr>
      </w:pPr>
    </w:p>
    <w:p w14:paraId="217CF94C">
      <w:pPr>
        <w:pStyle w:val="5"/>
        <w:keepNext/>
        <w:keepLines/>
        <w:pageBreakBefore w:val="0"/>
        <w:widowControl w:val="0"/>
        <w:kinsoku/>
        <w:wordWrap/>
        <w:overflowPunct/>
        <w:topLinePunct w:val="0"/>
        <w:autoSpaceDE/>
        <w:autoSpaceDN/>
        <w:bidi w:val="0"/>
        <w:adjustRightInd/>
        <w:snapToGrid w:val="0"/>
        <w:spacing w:before="0" w:after="0" w:line="576" w:lineRule="exact"/>
        <w:ind w:left="0" w:leftChars="0" w:firstLine="640" w:firstLineChars="200"/>
        <w:jc w:val="left"/>
        <w:textAlignment w:val="auto"/>
        <w:rPr>
          <w:rFonts w:hint="eastAsia" w:ascii="黑体" w:hAnsi="黑体" w:eastAsia="黑体" w:cs="黑体"/>
          <w:b w:val="0"/>
          <w:color w:val="auto"/>
          <w:sz w:val="32"/>
          <w:szCs w:val="32"/>
          <w:highlight w:val="none"/>
        </w:rPr>
      </w:pPr>
      <w:r>
        <w:rPr>
          <w:rFonts w:hint="eastAsia" w:ascii="黑体" w:hAnsi="黑体" w:eastAsia="黑体" w:cs="黑体"/>
          <w:b w:val="0"/>
          <w:color w:val="auto"/>
          <w:sz w:val="32"/>
          <w:szCs w:val="32"/>
          <w:highlight w:val="none"/>
        </w:rPr>
        <w:t>一、项目基本情况</w:t>
      </w:r>
    </w:p>
    <w:p w14:paraId="640A08FC">
      <w:pPr>
        <w:keepNext w:val="0"/>
        <w:keepLines w:val="0"/>
        <w:pageBreakBefore w:val="0"/>
        <w:widowControl w:val="0"/>
        <w:kinsoku/>
        <w:wordWrap/>
        <w:overflowPunct/>
        <w:topLinePunct w:val="0"/>
        <w:autoSpaceDE/>
        <w:autoSpaceDN/>
        <w:bidi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项目名称：</w:t>
      </w:r>
      <w:r>
        <w:rPr>
          <w:rFonts w:hint="eastAsia" w:ascii="仿宋_GB2312" w:hAnsi="仿宋_GB2312" w:eastAsia="仿宋_GB2312" w:cs="仿宋_GB2312"/>
          <w:color w:val="auto"/>
          <w:sz w:val="32"/>
          <w:szCs w:val="32"/>
          <w:lang w:eastAsia="zh-CN"/>
        </w:rPr>
        <w:t>盐田区商务局</w:t>
      </w:r>
      <w:r>
        <w:rPr>
          <w:rFonts w:hint="eastAsia" w:ascii="仿宋_GB2312" w:hAnsi="仿宋_GB2312" w:cs="仿宋_GB2312"/>
          <w:color w:val="auto"/>
          <w:sz w:val="32"/>
          <w:szCs w:val="32"/>
          <w:lang w:eastAsia="zh-CN"/>
        </w:rPr>
        <w:t>202</w:t>
      </w:r>
      <w:r>
        <w:rPr>
          <w:rFonts w:hint="eastAsia" w:ascii="仿宋_GB2312" w:hAnsi="仿宋_GB2312" w:cs="仿宋_GB2312"/>
          <w:color w:val="auto"/>
          <w:sz w:val="32"/>
          <w:szCs w:val="32"/>
          <w:lang w:val="en-US" w:eastAsia="zh-CN"/>
        </w:rPr>
        <w:t>6</w:t>
      </w:r>
      <w:r>
        <w:rPr>
          <w:rFonts w:hint="eastAsia" w:ascii="仿宋_GB2312" w:hAnsi="仿宋_GB2312" w:cs="仿宋_GB2312"/>
          <w:color w:val="auto"/>
          <w:sz w:val="32"/>
          <w:szCs w:val="32"/>
          <w:lang w:eastAsia="zh-CN"/>
        </w:rPr>
        <w:t>-202</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年度商贸领</w:t>
      </w:r>
      <w:bookmarkStart w:id="0" w:name="_GoBack"/>
      <w:bookmarkEnd w:id="0"/>
      <w:r>
        <w:rPr>
          <w:rFonts w:hint="eastAsia" w:ascii="仿宋_GB2312" w:hAnsi="仿宋_GB2312" w:eastAsia="仿宋_GB2312" w:cs="仿宋_GB2312"/>
          <w:color w:val="auto"/>
          <w:sz w:val="32"/>
          <w:szCs w:val="32"/>
          <w:lang w:val="en-US" w:eastAsia="zh-CN"/>
        </w:rPr>
        <w:t>域</w:t>
      </w:r>
      <w:r>
        <w:rPr>
          <w:rFonts w:hint="eastAsia" w:ascii="仿宋_GB2312" w:hAnsi="仿宋_GB2312" w:eastAsia="仿宋_GB2312" w:cs="仿宋_GB2312"/>
          <w:sz w:val="32"/>
          <w:szCs w:val="32"/>
          <w:lang w:val="en-US" w:eastAsia="zh-CN"/>
        </w:rPr>
        <w:t>安全技术咨询服务</w:t>
      </w:r>
      <w:r>
        <w:rPr>
          <w:rFonts w:hint="eastAsia" w:ascii="仿宋_GB2312" w:hAnsi="仿宋_GB2312" w:cs="Times New Roman"/>
          <w:color w:val="000000"/>
          <w:sz w:val="32"/>
          <w:lang w:val="en-US" w:eastAsia="zh-CN"/>
        </w:rPr>
        <w:t>。</w:t>
      </w:r>
    </w:p>
    <w:p w14:paraId="19311455">
      <w:pPr>
        <w:pageBreakBefore w:val="0"/>
        <w:widowControl w:val="0"/>
        <w:kinsoku/>
        <w:wordWrap/>
        <w:overflowPunct/>
        <w:topLinePunct w:val="0"/>
        <w:autoSpaceDE/>
        <w:autoSpaceDN/>
        <w:bidi w:val="0"/>
        <w:adjustRightInd/>
        <w:snapToGrid w:val="0"/>
        <w:spacing w:line="576"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预算金额：</w:t>
      </w:r>
      <w:r>
        <w:rPr>
          <w:rFonts w:hint="eastAsia" w:ascii="仿宋_GB2312" w:hAnsi="仿宋_GB2312" w:eastAsia="仿宋_GB2312" w:cs="仿宋_GB2312"/>
          <w:color w:val="auto"/>
          <w:sz w:val="32"/>
          <w:szCs w:val="32"/>
          <w:highlight w:val="none"/>
          <w:lang w:eastAsia="zh-CN"/>
        </w:rPr>
        <w:t>不超过</w:t>
      </w:r>
      <w:r>
        <w:rPr>
          <w:rFonts w:hint="eastAsia" w:ascii="仿宋_GB2312" w:hAnsi="仿宋_GB2312" w:eastAsia="仿宋_GB2312" w:cs="仿宋_GB2312"/>
          <w:color w:val="auto"/>
          <w:sz w:val="32"/>
          <w:szCs w:val="32"/>
          <w:lang w:val="en-US" w:eastAsia="zh-CN"/>
        </w:rPr>
        <w:t>人民币</w:t>
      </w:r>
      <w:r>
        <w:rPr>
          <w:rFonts w:hint="eastAsia" w:ascii="仿宋_GB2312" w:hAnsi="仿宋_GB2312" w:cs="仿宋_GB2312"/>
          <w:color w:val="auto"/>
          <w:sz w:val="32"/>
          <w:szCs w:val="32"/>
          <w:lang w:val="en-US" w:eastAsia="zh-CN"/>
        </w:rPr>
        <w:t>400,000</w:t>
      </w:r>
      <w:r>
        <w:rPr>
          <w:rFonts w:hint="eastAsia" w:ascii="仿宋_GB2312" w:hAnsi="仿宋_GB2312" w:eastAsia="仿宋_GB2312" w:cs="仿宋_GB2312"/>
          <w:color w:val="auto"/>
          <w:sz w:val="32"/>
          <w:szCs w:val="32"/>
          <w:lang w:val="en-US" w:eastAsia="zh-CN"/>
        </w:rPr>
        <w:t>元（大写：肆拾万元）。</w:t>
      </w:r>
      <w:r>
        <w:rPr>
          <w:rFonts w:hint="eastAsia" w:ascii="仿宋_GB2312" w:hAnsi="仿宋_GB2312" w:eastAsia="仿宋_GB2312" w:cs="仿宋_GB2312"/>
          <w:color w:val="auto"/>
          <w:sz w:val="32"/>
          <w:szCs w:val="32"/>
          <w:highlight w:val="none"/>
          <w:lang w:eastAsia="zh-CN"/>
        </w:rPr>
        <w:t>（超出预算金额的采购文件无效）</w:t>
      </w:r>
    </w:p>
    <w:p w14:paraId="4F8C87A3">
      <w:pPr>
        <w:pageBreakBefore w:val="0"/>
        <w:widowControl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i w:val="0"/>
          <w:iCs w:val="0"/>
          <w:color w:val="auto"/>
          <w:sz w:val="32"/>
          <w:szCs w:val="32"/>
          <w:highlight w:val="none"/>
        </w:rPr>
      </w:pPr>
      <w:r>
        <w:rPr>
          <w:rFonts w:hint="eastAsia" w:ascii="仿宋_GB2312" w:hAnsi="仿宋_GB2312" w:eastAsia="仿宋_GB2312" w:cs="仿宋_GB2312"/>
          <w:color w:val="auto"/>
          <w:sz w:val="32"/>
          <w:szCs w:val="32"/>
          <w:highlight w:val="none"/>
        </w:rPr>
        <w:t>采购需求：</w:t>
      </w:r>
      <w:r>
        <w:rPr>
          <w:rFonts w:hint="eastAsia" w:ascii="仿宋_GB2312" w:hAnsi="仿宋_GB2312" w:eastAsia="仿宋_GB2312" w:cs="仿宋_GB2312"/>
          <w:sz w:val="32"/>
          <w:szCs w:val="32"/>
          <w:lang w:val="en-US" w:eastAsia="zh-CN"/>
        </w:rPr>
        <w:t>开展商贸领域安全生产检查及安全隐患整改复查；开展安全生产培训、开展再生资源回收行业应急演练；盐田区智慧安监综合监管平台、智慧安全风险管理系统维护；与各项工作对应的排查及隐患整改情况、总结等，并建立相应台账。</w:t>
      </w:r>
    </w:p>
    <w:p w14:paraId="23F9547E">
      <w:pPr>
        <w:pStyle w:val="7"/>
        <w:pageBreakBefore w:val="0"/>
        <w:widowControl w:val="0"/>
        <w:kinsoku/>
        <w:wordWrap/>
        <w:overflowPunct/>
        <w:topLinePunct w:val="0"/>
        <w:bidi w:val="0"/>
        <w:snapToGrid w:val="0"/>
        <w:spacing w:line="576" w:lineRule="exact"/>
        <w:ind w:firstLine="640" w:firstLineChars="200"/>
        <w:jc w:val="left"/>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i w:val="0"/>
          <w:iCs w:val="0"/>
          <w:color w:val="auto"/>
          <w:sz w:val="32"/>
          <w:szCs w:val="32"/>
          <w:highlight w:val="none"/>
          <w:lang w:eastAsia="zh-CN"/>
        </w:rPr>
        <w:t>采购方式：自行采购。</w:t>
      </w:r>
    </w:p>
    <w:p w14:paraId="404D4402">
      <w:pPr>
        <w:pageBreakBefore w:val="0"/>
        <w:widowControl w:val="0"/>
        <w:kinsoku/>
        <w:wordWrap/>
        <w:overflowPunct/>
        <w:topLinePunct w:val="0"/>
        <w:autoSpaceDE/>
        <w:autoSpaceDN/>
        <w:bidi w:val="0"/>
        <w:adjustRightInd/>
        <w:snapToGrid w:val="0"/>
        <w:spacing w:line="576" w:lineRule="exact"/>
        <w:ind w:left="0" w:leftChars="0" w:firstLine="640" w:firstLineChars="200"/>
        <w:jc w:val="left"/>
        <w:textAlignment w:val="auto"/>
        <w:rPr>
          <w:rFonts w:hint="default"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rPr>
        <w:t>合同履行期限：</w:t>
      </w:r>
      <w:r>
        <w:rPr>
          <w:rFonts w:hint="eastAsia" w:ascii="仿宋_GB2312" w:hAnsi="仿宋_GB2312" w:eastAsia="仿宋_GB2312" w:cs="仿宋_GB2312"/>
          <w:color w:val="auto"/>
          <w:sz w:val="32"/>
          <w:szCs w:val="32"/>
          <w:highlight w:val="none"/>
          <w:lang w:val="en-US" w:eastAsia="zh-CN"/>
        </w:rPr>
        <w:t>2026年×月×日--2027年×月×日。</w:t>
      </w:r>
    </w:p>
    <w:p w14:paraId="32FED3B5">
      <w:pPr>
        <w:pageBreakBefore w:val="0"/>
        <w:widowControl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本项目</w:t>
      </w:r>
      <w:r>
        <w:rPr>
          <w:rFonts w:hint="eastAsia" w:ascii="仿宋_GB2312" w:hAnsi="仿宋_GB2312" w:eastAsia="仿宋_GB2312" w:cs="仿宋_GB2312"/>
          <w:i w:val="0"/>
          <w:iCs w:val="0"/>
          <w:color w:val="auto"/>
          <w:sz w:val="32"/>
          <w:szCs w:val="32"/>
          <w:highlight w:val="none"/>
          <w:lang w:eastAsia="zh-CN"/>
        </w:rPr>
        <w:t>不</w:t>
      </w:r>
      <w:r>
        <w:rPr>
          <w:rFonts w:hint="eastAsia" w:ascii="仿宋_GB2312" w:hAnsi="仿宋_GB2312" w:eastAsia="仿宋_GB2312" w:cs="仿宋_GB2312"/>
          <w:color w:val="auto"/>
          <w:sz w:val="32"/>
          <w:szCs w:val="32"/>
          <w:highlight w:val="none"/>
        </w:rPr>
        <w:t>接受联合体投标。</w:t>
      </w:r>
    </w:p>
    <w:p w14:paraId="4581791A">
      <w:pPr>
        <w:pStyle w:val="5"/>
        <w:keepNext/>
        <w:keepLines/>
        <w:pageBreakBefore w:val="0"/>
        <w:widowControl w:val="0"/>
        <w:kinsoku/>
        <w:wordWrap/>
        <w:overflowPunct/>
        <w:topLinePunct w:val="0"/>
        <w:autoSpaceDE/>
        <w:autoSpaceDN/>
        <w:bidi w:val="0"/>
        <w:adjustRightInd/>
        <w:snapToGrid w:val="0"/>
        <w:spacing w:before="0" w:after="0" w:line="576" w:lineRule="exact"/>
        <w:ind w:left="0" w:leftChars="0" w:firstLine="640" w:firstLineChars="200"/>
        <w:jc w:val="left"/>
        <w:textAlignment w:val="auto"/>
        <w:rPr>
          <w:rFonts w:hint="eastAsia" w:ascii="黑体" w:hAnsi="黑体" w:eastAsia="黑体" w:cs="黑体"/>
          <w:b w:val="0"/>
          <w:color w:val="auto"/>
          <w:sz w:val="32"/>
          <w:szCs w:val="32"/>
          <w:highlight w:val="none"/>
        </w:rPr>
      </w:pPr>
      <w:r>
        <w:rPr>
          <w:rFonts w:hint="eastAsia" w:ascii="黑体" w:hAnsi="黑体" w:eastAsia="黑体" w:cs="黑体"/>
          <w:b w:val="0"/>
          <w:color w:val="auto"/>
          <w:sz w:val="32"/>
          <w:szCs w:val="32"/>
          <w:highlight w:val="none"/>
        </w:rPr>
        <w:t>二、</w:t>
      </w:r>
      <w:r>
        <w:rPr>
          <w:rFonts w:hint="eastAsia" w:ascii="黑体" w:hAnsi="黑体" w:eastAsia="黑体" w:cs="黑体"/>
          <w:b w:val="0"/>
          <w:color w:val="auto"/>
          <w:sz w:val="32"/>
          <w:szCs w:val="32"/>
          <w:highlight w:val="none"/>
          <w:lang w:eastAsia="zh-CN"/>
        </w:rPr>
        <w:t>供应商</w:t>
      </w:r>
      <w:r>
        <w:rPr>
          <w:rFonts w:hint="eastAsia" w:ascii="黑体" w:hAnsi="黑体" w:eastAsia="黑体" w:cs="黑体"/>
          <w:b w:val="0"/>
          <w:color w:val="auto"/>
          <w:sz w:val="32"/>
          <w:szCs w:val="32"/>
          <w:highlight w:val="none"/>
        </w:rPr>
        <w:t>的资格要求</w:t>
      </w:r>
    </w:p>
    <w:p w14:paraId="18CC4771">
      <w:pPr>
        <w:pStyle w:val="5"/>
        <w:pageBreakBefore w:val="0"/>
        <w:widowControl w:val="0"/>
        <w:kinsoku/>
        <w:wordWrap/>
        <w:overflowPunct/>
        <w:topLinePunct w:val="0"/>
        <w:autoSpaceDE/>
        <w:autoSpaceDN/>
        <w:bidi w:val="0"/>
        <w:adjustRightInd/>
        <w:snapToGrid w:val="0"/>
        <w:spacing w:before="0" w:after="0" w:line="576" w:lineRule="exact"/>
        <w:ind w:left="0" w:leftChars="0" w:firstLine="640" w:firstLineChars="200"/>
        <w:jc w:val="left"/>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lang w:val="en-US" w:eastAsia="zh-CN"/>
        </w:rPr>
        <w:t>符合《中华人民共和国政府采购法》第二十二条规定的资质要求（由供应商作出承诺声明）；</w:t>
      </w:r>
    </w:p>
    <w:p w14:paraId="52D52992">
      <w:pPr>
        <w:pStyle w:val="6"/>
        <w:pageBreakBefore w:val="0"/>
        <w:widowControl w:val="0"/>
        <w:kinsoku/>
        <w:wordWrap/>
        <w:overflowPunct/>
        <w:topLinePunct w:val="0"/>
        <w:autoSpaceDE/>
        <w:autoSpaceDN/>
        <w:bidi w:val="0"/>
        <w:adjustRightInd/>
        <w:snapToGrid w:val="0"/>
        <w:spacing w:line="576" w:lineRule="exact"/>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32"/>
          <w:szCs w:val="32"/>
          <w:highlight w:val="none"/>
          <w:lang w:val="en-US" w:eastAsia="zh-CN"/>
        </w:rPr>
        <w:t>（二）具有独立法人资格或具有独立承担民事责任的能力（提供营业执照或事业单位法人证书等法人证明扫描件，原件备查。分支机构参与投标的，须同时提供总公司授权文件且授权书载明其民事责任由总公司承担）；</w:t>
      </w:r>
    </w:p>
    <w:p w14:paraId="421260CF">
      <w:pPr>
        <w:keepNext w:val="0"/>
        <w:keepLines w:val="0"/>
        <w:pageBreakBefore w:val="0"/>
        <w:widowControl w:val="0"/>
        <w:kinsoku/>
        <w:wordWrap/>
        <w:overflowPunct/>
        <w:topLinePunct w:val="0"/>
        <w:autoSpaceDE/>
        <w:autoSpaceDN/>
        <w:bidi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参与本项目政府采购活动时不存在被有关部门禁止参与政府采购活动且在有效期内的情况（由供应商作出承诺声明）；</w:t>
      </w:r>
    </w:p>
    <w:p w14:paraId="2818C9B0">
      <w:pPr>
        <w:keepNext w:val="0"/>
        <w:keepLines w:val="0"/>
        <w:pageBreakBefore w:val="0"/>
        <w:widowControl w:val="0"/>
        <w:kinsoku/>
        <w:wordWrap/>
        <w:overflowPunct/>
        <w:topLinePunct w:val="0"/>
        <w:autoSpaceDE/>
        <w:autoSpaceDN/>
        <w:bidi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（四）未被列入失信被执行人、重大税收违法案件当事人名单、政府采购严重违法失信行为记录名单（由供应商作出承诺声明）；</w:t>
      </w:r>
    </w:p>
    <w:p w14:paraId="762EEDB0">
      <w:pPr>
        <w:keepNext w:val="0"/>
        <w:keepLines w:val="0"/>
        <w:pageBreakBefore w:val="0"/>
        <w:widowControl w:val="0"/>
        <w:kinsoku/>
        <w:wordWrap/>
        <w:overflowPunct/>
        <w:topLinePunct w:val="0"/>
        <w:autoSpaceDE/>
        <w:autoSpaceDN/>
        <w:bidi w:val="0"/>
        <w:snapToGrid w:val="0"/>
        <w:spacing w:line="576"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（五）不存在《深圳市财政局政府采购供应商信用信息管理办法》（深财规【2023】3号）列明的严重违法失信行为（由供应商作出承诺声明）；</w:t>
      </w:r>
    </w:p>
    <w:p w14:paraId="66DF594E">
      <w:pPr>
        <w:keepNext w:val="0"/>
        <w:keepLines w:val="0"/>
        <w:pageBreakBefore w:val="0"/>
        <w:widowControl w:val="0"/>
        <w:suppressLineNumbers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单位法定代表人、主要经营负责人、投标授权代表人、项目负责人、主要技术人员为同一人、属同一单位或者在同一单位缴纳社会保险以及存在直接控股、管理关系的不同供应商，不得参加同一合同项下的政府采购活动；为采购项目提供整体设计、规范编制或者项目管理、监理、检测等服务的供应商，不得再参加该采购项目的其他采购活动（由供应商作出承诺声明，并提供《</w:t>
      </w:r>
      <w:r>
        <w:rPr>
          <w:rFonts w:hint="eastAsia" w:ascii="仿宋_GB2312" w:hAnsi="仿宋_GB2312" w:eastAsia="仿宋_GB2312" w:cs="仿宋_GB2312"/>
          <w:b w:val="0"/>
          <w:color w:val="auto"/>
          <w:sz w:val="32"/>
          <w:szCs w:val="32"/>
          <w:highlight w:val="none"/>
          <w:lang w:eastAsia="zh-CN"/>
        </w:rPr>
        <w:t>供应商基本情况表</w:t>
      </w:r>
      <w:r>
        <w:rPr>
          <w:rFonts w:hint="eastAsia" w:ascii="仿宋_GB2312" w:hAnsi="仿宋_GB2312" w:eastAsia="仿宋_GB2312" w:cs="仿宋_GB2312"/>
          <w:color w:val="auto"/>
          <w:sz w:val="32"/>
          <w:szCs w:val="32"/>
          <w:highlight w:val="none"/>
          <w:lang w:val="en-US" w:eastAsia="zh-CN"/>
        </w:rPr>
        <w:t>》）。</w:t>
      </w:r>
    </w:p>
    <w:p w14:paraId="6132EF07">
      <w:pPr>
        <w:pStyle w:val="5"/>
        <w:keepNext/>
        <w:keepLines/>
        <w:pageBreakBefore w:val="0"/>
        <w:widowControl w:val="0"/>
        <w:kinsoku/>
        <w:wordWrap/>
        <w:overflowPunct/>
        <w:topLinePunct w:val="0"/>
        <w:autoSpaceDE/>
        <w:autoSpaceDN/>
        <w:bidi w:val="0"/>
        <w:adjustRightInd/>
        <w:snapToGrid w:val="0"/>
        <w:spacing w:before="0" w:after="0" w:line="576" w:lineRule="exact"/>
        <w:ind w:left="0" w:leftChars="0" w:firstLine="640" w:firstLineChars="200"/>
        <w:jc w:val="left"/>
        <w:textAlignment w:val="auto"/>
        <w:rPr>
          <w:rFonts w:hint="eastAsia" w:ascii="黑体" w:hAnsi="黑体" w:eastAsia="黑体" w:cs="黑体"/>
          <w:b w:val="0"/>
          <w:color w:val="auto"/>
          <w:sz w:val="32"/>
          <w:szCs w:val="32"/>
          <w:highlight w:val="none"/>
          <w:lang w:eastAsia="zh-CN"/>
        </w:rPr>
      </w:pPr>
      <w:r>
        <w:rPr>
          <w:rFonts w:hint="eastAsia" w:ascii="黑体" w:hAnsi="黑体" w:eastAsia="黑体" w:cs="黑体"/>
          <w:b w:val="0"/>
          <w:color w:val="auto"/>
          <w:sz w:val="32"/>
          <w:szCs w:val="32"/>
          <w:highlight w:val="none"/>
        </w:rPr>
        <w:t>三、</w:t>
      </w:r>
      <w:r>
        <w:rPr>
          <w:rFonts w:hint="eastAsia" w:ascii="黑体" w:hAnsi="黑体" w:eastAsia="黑体" w:cs="黑体"/>
          <w:b w:val="0"/>
          <w:color w:val="auto"/>
          <w:sz w:val="32"/>
          <w:szCs w:val="32"/>
          <w:highlight w:val="none"/>
          <w:lang w:eastAsia="zh-CN"/>
        </w:rPr>
        <w:t>其他服务要求</w:t>
      </w:r>
    </w:p>
    <w:p w14:paraId="6909D4EA">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本项目供应商派驻人员须为供应商在职人员，须提供投标截止前连续3个月社保缴纳证明；派驻人员存在执业失信、安全生产领域行政处罚记录的不得参与本项目。</w:t>
      </w:r>
    </w:p>
    <w:p w14:paraId="56AF3FDB">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（一）项目负责人（1名）</w:t>
      </w:r>
    </w:p>
    <w:p w14:paraId="474849EB">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1.具备注册安全工程师执业资格；</w:t>
      </w:r>
    </w:p>
    <w:p w14:paraId="1FF0CE09">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2.具有3年及以上安全生产技术咨询项目工作经验，有商贸或人员密集场所安全咨询项目负责人相关业绩；</w:t>
      </w:r>
    </w:p>
    <w:p w14:paraId="295FFB6E">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3.负责项目统筹对接、成果审核签发，参加采购单位相关工作会议，把控技术成果质量，能够针对商贸领域安全隐患提出合规可行的整改技术建议。</w:t>
      </w:r>
    </w:p>
    <w:p w14:paraId="210F80FA">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（二）现场技术人员（不少于2名）</w:t>
      </w:r>
    </w:p>
    <w:p w14:paraId="53D0C290">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1.具备安全生产相关专业背景，持有安全培训合格证书；</w:t>
      </w:r>
    </w:p>
    <w:p w14:paraId="5E0F4A6E">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2.熟悉商业综合体、商超、商品交易市场、仓储场所消防、用电、人员密集场所安全管理相关要求；</w:t>
      </w:r>
    </w:p>
    <w:p w14:paraId="3C15C2B9">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3.可独立开展现场核查、资料查阅、隐患记录、台账整理，完成隐患清单、工作记录等材料编制，具备安全宣教授课辅助能力。</w:t>
      </w:r>
    </w:p>
    <w:p w14:paraId="27EF2A73">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团队人员原则上不得随意更换，确需调整的，须提前向采购单位提交书面申请，替换人员资质条件不得低于原岗位人员标准，经采购单位审核同意后方可更换；全体人员服从采购单位工作调度，遵守现场工作纪律。</w:t>
      </w:r>
    </w:p>
    <w:p w14:paraId="5DC7095F">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（四）服务成果要求</w:t>
      </w:r>
    </w:p>
    <w:p w14:paraId="4EB69C04">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再生资源回收行业</w:t>
      </w:r>
      <w:r>
        <w:rPr>
          <w:rFonts w:hint="eastAsia" w:ascii="仿宋_GB2312" w:hAnsi="仿宋_GB2312" w:eastAsia="仿宋_GB2312" w:cs="仿宋_GB2312"/>
          <w:b w:val="0"/>
          <w:bCs w:val="0"/>
          <w:color w:val="000000"/>
          <w:sz w:val="32"/>
          <w:szCs w:val="32"/>
          <w:lang w:eastAsia="zh-CN"/>
        </w:rPr>
        <w:t>全覆盖检查。</w:t>
      </w:r>
      <w:r>
        <w:rPr>
          <w:rFonts w:hint="eastAsia" w:ascii="仿宋_GB2312" w:hAnsi="仿宋_GB2312" w:eastAsia="仿宋_GB2312" w:cs="仿宋_GB2312"/>
          <w:b w:val="0"/>
          <w:bCs w:val="0"/>
          <w:color w:val="000000"/>
          <w:sz w:val="32"/>
          <w:szCs w:val="32"/>
        </w:rPr>
        <w:t>每两个月开展一次全覆盖安全检查和隐患问题整改复查。</w:t>
      </w:r>
    </w:p>
    <w:p w14:paraId="71BCEF68">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大型商超</w:t>
      </w:r>
      <w:r>
        <w:rPr>
          <w:rFonts w:hint="eastAsia" w:ascii="仿宋_GB2312" w:hAnsi="仿宋_GB2312" w:eastAsia="仿宋_GB2312" w:cs="仿宋_GB2312"/>
          <w:b w:val="0"/>
          <w:bCs w:val="0"/>
          <w:color w:val="000000"/>
          <w:sz w:val="32"/>
          <w:szCs w:val="32"/>
          <w:lang w:eastAsia="zh-CN"/>
        </w:rPr>
        <w:t>全覆盖检查。</w:t>
      </w:r>
      <w:r>
        <w:rPr>
          <w:rFonts w:hint="eastAsia" w:ascii="仿宋_GB2312" w:hAnsi="仿宋_GB2312" w:eastAsia="仿宋_GB2312" w:cs="仿宋_GB2312"/>
          <w:b w:val="0"/>
          <w:bCs w:val="0"/>
          <w:color w:val="000000"/>
          <w:sz w:val="32"/>
          <w:szCs w:val="32"/>
        </w:rPr>
        <w:t>每月开展一轮辖区大型商超全覆盖安全检查</w:t>
      </w:r>
      <w:r>
        <w:rPr>
          <w:rFonts w:hint="eastAsia" w:ascii="仿宋_GB2312" w:hAnsi="仿宋_GB2312" w:eastAsia="仿宋_GB2312" w:cs="仿宋_GB2312"/>
          <w:b w:val="0"/>
          <w:bCs w:val="0"/>
          <w:color w:val="000000"/>
          <w:sz w:val="32"/>
          <w:szCs w:val="32"/>
          <w:lang w:eastAsia="zh-CN"/>
        </w:rPr>
        <w:t>。</w:t>
      </w:r>
    </w:p>
    <w:p w14:paraId="38BD5286">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color w:val="000000"/>
          <w:sz w:val="32"/>
          <w:szCs w:val="32"/>
        </w:rPr>
        <w:t>成品油零售经营企业</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每季度开展一次全覆盖安全检查和隐患问题整改复查。</w:t>
      </w:r>
    </w:p>
    <w:p w14:paraId="094D83F9">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color w:val="000000"/>
          <w:sz w:val="32"/>
          <w:szCs w:val="32"/>
        </w:rPr>
        <w:t>餐饮领域安全检查</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每</w:t>
      </w:r>
      <w:r>
        <w:rPr>
          <w:rFonts w:hint="eastAsia" w:ascii="仿宋_GB2312" w:hAnsi="仿宋_GB2312" w:eastAsia="仿宋_GB2312" w:cs="仿宋_GB2312"/>
          <w:b w:val="0"/>
          <w:bCs w:val="0"/>
          <w:color w:val="000000"/>
          <w:sz w:val="32"/>
          <w:szCs w:val="32"/>
          <w:lang w:eastAsia="zh-CN"/>
        </w:rPr>
        <w:t>半年</w:t>
      </w:r>
      <w:r>
        <w:rPr>
          <w:rFonts w:hint="eastAsia" w:ascii="仿宋_GB2312" w:hAnsi="仿宋_GB2312" w:eastAsia="仿宋_GB2312" w:cs="仿宋_GB2312"/>
          <w:b w:val="0"/>
          <w:bCs w:val="0"/>
          <w:color w:val="000000"/>
          <w:sz w:val="32"/>
          <w:szCs w:val="32"/>
        </w:rPr>
        <w:t>开展一次规上餐饮企业全覆盖安全检查和隐患问题整改复查</w:t>
      </w:r>
      <w:r>
        <w:rPr>
          <w:rFonts w:hint="eastAsia" w:ascii="仿宋_GB2312" w:hAnsi="仿宋_GB2312" w:eastAsia="仿宋_GB2312" w:cs="仿宋_GB2312"/>
          <w:b w:val="0"/>
          <w:bCs w:val="0"/>
          <w:color w:val="000000"/>
          <w:sz w:val="32"/>
          <w:szCs w:val="32"/>
          <w:lang w:eastAsia="zh-CN"/>
        </w:rPr>
        <w:t>，服务期内对非规上餐饮场所抽查不少于</w:t>
      </w:r>
      <w:r>
        <w:rPr>
          <w:rFonts w:hint="eastAsia" w:ascii="仿宋_GB2312" w:hAnsi="仿宋_GB2312" w:eastAsia="仿宋_GB2312" w:cs="仿宋_GB2312"/>
          <w:b w:val="0"/>
          <w:bCs w:val="0"/>
          <w:color w:val="000000"/>
          <w:sz w:val="32"/>
          <w:szCs w:val="32"/>
          <w:lang w:val="en-US" w:eastAsia="zh-CN"/>
        </w:rPr>
        <w:t>100家</w:t>
      </w:r>
      <w:r>
        <w:rPr>
          <w:rFonts w:hint="eastAsia" w:ascii="仿宋_GB2312" w:hAnsi="仿宋_GB2312" w:eastAsia="仿宋_GB2312" w:cs="仿宋_GB2312"/>
          <w:b w:val="0"/>
          <w:bCs w:val="0"/>
          <w:color w:val="000000"/>
          <w:sz w:val="32"/>
          <w:szCs w:val="32"/>
        </w:rPr>
        <w:t>。</w:t>
      </w:r>
    </w:p>
    <w:p w14:paraId="5D5E9918">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color w:val="000000"/>
          <w:sz w:val="32"/>
          <w:szCs w:val="32"/>
        </w:rPr>
        <w:t>电子商务企业安全检查</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每季度对区管在册电子商务企业开展</w:t>
      </w:r>
      <w:r>
        <w:rPr>
          <w:rFonts w:hint="eastAsia" w:ascii="仿宋_GB2312" w:hAnsi="仿宋_GB2312" w:eastAsia="仿宋_GB2312" w:cs="仿宋_GB2312"/>
          <w:b w:val="0"/>
          <w:bCs w:val="0"/>
          <w:color w:val="000000"/>
          <w:sz w:val="32"/>
          <w:szCs w:val="32"/>
          <w:lang w:eastAsia="zh-CN"/>
        </w:rPr>
        <w:t>一次</w:t>
      </w:r>
      <w:r>
        <w:rPr>
          <w:rFonts w:hint="eastAsia" w:ascii="仿宋_GB2312" w:hAnsi="仿宋_GB2312" w:eastAsia="仿宋_GB2312" w:cs="仿宋_GB2312"/>
          <w:b w:val="0"/>
          <w:bCs w:val="0"/>
          <w:color w:val="000000"/>
          <w:sz w:val="32"/>
          <w:szCs w:val="32"/>
        </w:rPr>
        <w:t>督导检查</w:t>
      </w:r>
      <w:r>
        <w:rPr>
          <w:rFonts w:hint="eastAsia" w:ascii="仿宋_GB2312" w:hAnsi="仿宋_GB2312" w:eastAsia="仿宋_GB2312" w:cs="仿宋_GB2312"/>
          <w:b w:val="0"/>
          <w:bCs w:val="0"/>
          <w:color w:val="000000"/>
          <w:sz w:val="32"/>
          <w:szCs w:val="32"/>
          <w:lang w:val="en-US" w:eastAsia="zh-CN"/>
        </w:rPr>
        <w:t>。</w:t>
      </w:r>
    </w:p>
    <w:p w14:paraId="4AE4A261">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6.</w:t>
      </w:r>
      <w:r>
        <w:rPr>
          <w:rFonts w:hint="eastAsia" w:ascii="仿宋_GB2312" w:hAnsi="仿宋_GB2312" w:eastAsia="仿宋_GB2312" w:cs="仿宋_GB2312"/>
          <w:b w:val="0"/>
          <w:bCs w:val="0"/>
          <w:color w:val="000000"/>
          <w:sz w:val="32"/>
          <w:szCs w:val="32"/>
        </w:rPr>
        <w:t>母婴服务机构（含“月子中心”）安全检查</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每季度开展一次全覆盖安全检查和隐患问题整改复查。</w:t>
      </w:r>
    </w:p>
    <w:p w14:paraId="3B1F2C51">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7.</w:t>
      </w:r>
      <w:r>
        <w:rPr>
          <w:rFonts w:hint="eastAsia" w:ascii="仿宋_GB2312" w:hAnsi="仿宋_GB2312" w:eastAsia="仿宋_GB2312" w:cs="仿宋_GB2312"/>
          <w:b w:val="0"/>
          <w:bCs w:val="0"/>
          <w:color w:val="000000"/>
          <w:sz w:val="32"/>
          <w:szCs w:val="32"/>
        </w:rPr>
        <w:t>拍卖、租赁、汽车流通、批发、零售、外贸仓储、旧货市场安全检查</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配合相关业务科室对拍卖、租赁、汽车流通、批发、零售、外贸仓储、旧货市场领域开展安全检查安全检查和隐患问题整改复查</w:t>
      </w:r>
      <w:r>
        <w:rPr>
          <w:rFonts w:hint="eastAsia" w:ascii="仿宋_GB2312" w:hAnsi="仿宋_GB2312" w:eastAsia="仿宋_GB2312" w:cs="仿宋_GB2312"/>
          <w:b w:val="0"/>
          <w:bCs w:val="0"/>
          <w:color w:val="000000"/>
          <w:sz w:val="32"/>
          <w:szCs w:val="32"/>
          <w:lang w:eastAsia="zh-CN"/>
        </w:rPr>
        <w:t>，全年抽查不少于</w:t>
      </w:r>
      <w:r>
        <w:rPr>
          <w:rFonts w:hint="eastAsia" w:ascii="仿宋_GB2312" w:hAnsi="仿宋_GB2312" w:eastAsia="仿宋_GB2312" w:cs="仿宋_GB2312"/>
          <w:b w:val="0"/>
          <w:bCs w:val="0"/>
          <w:color w:val="000000"/>
          <w:sz w:val="32"/>
          <w:szCs w:val="32"/>
          <w:lang w:val="en-US" w:eastAsia="zh-CN"/>
        </w:rPr>
        <w:t>100家。</w:t>
      </w:r>
    </w:p>
    <w:p w14:paraId="6867915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8.</w:t>
      </w:r>
      <w:r>
        <w:rPr>
          <w:rFonts w:hint="eastAsia" w:ascii="仿宋_GB2312" w:hAnsi="仿宋_GB2312" w:eastAsia="仿宋_GB2312" w:cs="仿宋_GB2312"/>
          <w:b w:val="0"/>
          <w:bCs w:val="0"/>
          <w:color w:val="000000"/>
          <w:sz w:val="32"/>
          <w:szCs w:val="32"/>
        </w:rPr>
        <w:t>商务领域事故灾难类安全风险评估</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根据DB4403/T4-2024《城市安全风险评估导则-事故灾难类》开展2027年度商务领域事故灾难类安全风险评估工作，编制《事故灾难类安全风险评估报告》。</w:t>
      </w:r>
    </w:p>
    <w:p w14:paraId="1C5DFF22">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9.</w:t>
      </w:r>
      <w:r>
        <w:rPr>
          <w:rFonts w:hint="eastAsia" w:ascii="仿宋_GB2312" w:hAnsi="仿宋_GB2312" w:eastAsia="仿宋_GB2312" w:cs="仿宋_GB2312"/>
          <w:b w:val="0"/>
          <w:bCs w:val="0"/>
          <w:color w:val="000000"/>
          <w:sz w:val="32"/>
          <w:szCs w:val="32"/>
        </w:rPr>
        <w:t>重大节日、汛期等特别防护期专项安全检查</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sz w:val="32"/>
          <w:szCs w:val="32"/>
          <w:lang w:val="en-US" w:eastAsia="zh-CN"/>
        </w:rPr>
        <w:t>全年不少于40天</w:t>
      </w:r>
      <w:r>
        <w:rPr>
          <w:rFonts w:hint="eastAsia" w:ascii="仿宋_GB2312" w:hAnsi="仿宋_GB2312" w:eastAsia="仿宋_GB2312" w:cs="仿宋_GB2312"/>
          <w:sz w:val="32"/>
          <w:szCs w:val="32"/>
        </w:rPr>
        <w:t>。</w:t>
      </w:r>
    </w:p>
    <w:p w14:paraId="6CA52196">
      <w:pPr>
        <w:pStyle w:val="5"/>
        <w:keepNext/>
        <w:keepLines/>
        <w:pageBreakBefore w:val="0"/>
        <w:widowControl w:val="0"/>
        <w:kinsoku/>
        <w:wordWrap/>
        <w:overflowPunct/>
        <w:topLinePunct w:val="0"/>
        <w:autoSpaceDE/>
        <w:autoSpaceDN/>
        <w:bidi w:val="0"/>
        <w:adjustRightInd/>
        <w:snapToGrid w:val="0"/>
        <w:spacing w:before="0" w:after="0" w:line="576" w:lineRule="exact"/>
        <w:ind w:left="0" w:leftChars="0" w:firstLine="640" w:firstLineChars="200"/>
        <w:jc w:val="left"/>
        <w:textAlignment w:val="auto"/>
        <w:rPr>
          <w:rFonts w:hint="eastAsia" w:ascii="黑体" w:hAnsi="黑体" w:cs="宋体"/>
          <w:b w:val="0"/>
          <w:color w:val="auto"/>
          <w:sz w:val="32"/>
          <w:szCs w:val="32"/>
          <w:highlight w:val="none"/>
          <w:lang w:eastAsia="zh-CN"/>
        </w:rPr>
      </w:pPr>
      <w:r>
        <w:rPr>
          <w:rFonts w:hint="eastAsia" w:ascii="黑体" w:hAnsi="黑体" w:eastAsia="黑体" w:cs="黑体"/>
          <w:b w:val="0"/>
          <w:color w:val="auto"/>
          <w:sz w:val="32"/>
          <w:szCs w:val="32"/>
          <w:highlight w:val="none"/>
          <w:lang w:eastAsia="zh-CN"/>
        </w:rPr>
        <w:t>四、供应商提供采购文件主要内容（需盖公章）</w:t>
      </w:r>
    </w:p>
    <w:p w14:paraId="64CD2E35">
      <w:pPr>
        <w:pageBreakBefore w:val="0"/>
        <w:widowControl w:val="0"/>
        <w:kinsoku/>
        <w:wordWrap/>
        <w:overflowPunct/>
        <w:topLinePunct w:val="0"/>
        <w:bidi w:val="0"/>
        <w:snapToGrid w:val="0"/>
        <w:spacing w:line="576"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lang w:eastAsia="zh-CN"/>
        </w:rPr>
      </w:pPr>
      <w:r>
        <w:rPr>
          <w:rFonts w:hint="eastAsia" w:ascii="仿宋_GB2312" w:hAnsi="仿宋_GB2312" w:eastAsia="仿宋_GB2312" w:cs="仿宋_GB2312"/>
          <w:b w:val="0"/>
          <w:color w:val="auto"/>
          <w:sz w:val="32"/>
          <w:szCs w:val="32"/>
          <w:highlight w:val="none"/>
          <w:lang w:eastAsia="zh-CN"/>
        </w:rPr>
        <w:t>（一）采购方案（含供应商基本情况介绍、履行采购项目的工作方式、内容及费用明细等）；</w:t>
      </w:r>
    </w:p>
    <w:p w14:paraId="397D5692">
      <w:pPr>
        <w:pageBreakBefore w:val="0"/>
        <w:widowControl w:val="0"/>
        <w:kinsoku/>
        <w:wordWrap/>
        <w:overflowPunct/>
        <w:topLinePunct w:val="0"/>
        <w:bidi w:val="0"/>
        <w:snapToGrid w:val="0"/>
        <w:spacing w:line="576"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lang w:eastAsia="zh-CN"/>
        </w:rPr>
      </w:pPr>
      <w:r>
        <w:rPr>
          <w:rFonts w:hint="eastAsia" w:ascii="仿宋_GB2312" w:hAnsi="仿宋_GB2312" w:eastAsia="仿宋_GB2312" w:cs="仿宋_GB2312"/>
          <w:b w:val="0"/>
          <w:color w:val="auto"/>
          <w:sz w:val="32"/>
          <w:szCs w:val="32"/>
          <w:highlight w:val="none"/>
          <w:lang w:eastAsia="zh-CN"/>
        </w:rPr>
        <w:t>（二）供应商资质证明材料及联系方式；</w:t>
      </w:r>
    </w:p>
    <w:p w14:paraId="44199C53">
      <w:pPr>
        <w:pStyle w:val="6"/>
        <w:pageBreakBefore w:val="0"/>
        <w:widowControl w:val="0"/>
        <w:kinsoku/>
        <w:wordWrap/>
        <w:overflowPunct/>
        <w:topLinePunct w:val="0"/>
        <w:bidi w:val="0"/>
        <w:snapToGrid w:val="0"/>
        <w:spacing w:line="576"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lang w:eastAsia="zh-CN"/>
        </w:rPr>
      </w:pPr>
      <w:r>
        <w:rPr>
          <w:rFonts w:hint="eastAsia" w:ascii="仿宋_GB2312" w:hAnsi="仿宋_GB2312" w:eastAsia="仿宋_GB2312" w:cs="仿宋_GB2312"/>
          <w:b w:val="0"/>
          <w:color w:val="auto"/>
          <w:sz w:val="32"/>
          <w:szCs w:val="32"/>
          <w:highlight w:val="none"/>
          <w:lang w:eastAsia="zh-CN"/>
        </w:rPr>
        <w:t>（三）公司法定代表人的身份证复印件；</w:t>
      </w:r>
    </w:p>
    <w:p w14:paraId="25020676">
      <w:pPr>
        <w:pStyle w:val="7"/>
        <w:pageBreakBefore w:val="0"/>
        <w:widowControl w:val="0"/>
        <w:kinsoku/>
        <w:wordWrap/>
        <w:overflowPunct/>
        <w:topLinePunct w:val="0"/>
        <w:bidi w:val="0"/>
        <w:snapToGrid w:val="0"/>
        <w:spacing w:line="576"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lang w:eastAsia="zh-CN"/>
        </w:rPr>
      </w:pPr>
      <w:r>
        <w:rPr>
          <w:rFonts w:hint="eastAsia" w:ascii="仿宋_GB2312" w:hAnsi="仿宋_GB2312" w:eastAsia="仿宋_GB2312" w:cs="仿宋_GB2312"/>
          <w:b w:val="0"/>
          <w:color w:val="auto"/>
          <w:sz w:val="32"/>
          <w:szCs w:val="32"/>
          <w:highlight w:val="none"/>
          <w:lang w:eastAsia="zh-CN"/>
        </w:rPr>
        <w:t>（四）法定代表人授权委托书；</w:t>
      </w:r>
    </w:p>
    <w:p w14:paraId="73939CD9">
      <w:pPr>
        <w:pStyle w:val="7"/>
        <w:pageBreakBefore w:val="0"/>
        <w:widowControl w:val="0"/>
        <w:kinsoku/>
        <w:wordWrap/>
        <w:overflowPunct/>
        <w:topLinePunct w:val="0"/>
        <w:bidi w:val="0"/>
        <w:snapToGrid w:val="0"/>
        <w:spacing w:line="576"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lang w:eastAsia="zh-CN"/>
        </w:rPr>
      </w:pPr>
      <w:r>
        <w:rPr>
          <w:rFonts w:hint="eastAsia" w:ascii="仿宋_GB2312" w:hAnsi="仿宋_GB2312" w:eastAsia="仿宋_GB2312" w:cs="仿宋_GB2312"/>
          <w:b w:val="0"/>
          <w:color w:val="auto"/>
          <w:sz w:val="32"/>
          <w:szCs w:val="32"/>
          <w:highlight w:val="none"/>
          <w:lang w:eastAsia="zh-CN"/>
        </w:rPr>
        <w:t>（五）符合资质要求的承诺函；</w:t>
      </w:r>
    </w:p>
    <w:p w14:paraId="49A615A8">
      <w:pPr>
        <w:pStyle w:val="7"/>
        <w:pageBreakBefore w:val="0"/>
        <w:widowControl w:val="0"/>
        <w:kinsoku/>
        <w:wordWrap/>
        <w:overflowPunct/>
        <w:topLinePunct w:val="0"/>
        <w:bidi w:val="0"/>
        <w:snapToGrid w:val="0"/>
        <w:spacing w:line="576"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lang w:eastAsia="zh-CN"/>
        </w:rPr>
      </w:pPr>
      <w:r>
        <w:rPr>
          <w:rFonts w:hint="eastAsia" w:ascii="仿宋_GB2312" w:hAnsi="仿宋_GB2312" w:eastAsia="仿宋_GB2312" w:cs="仿宋_GB2312"/>
          <w:b w:val="0"/>
          <w:color w:val="auto"/>
          <w:sz w:val="32"/>
          <w:szCs w:val="32"/>
          <w:highlight w:val="none"/>
          <w:lang w:eastAsia="zh-CN"/>
        </w:rPr>
        <w:t>（六）符合项目服务要求的证明材料等；</w:t>
      </w:r>
    </w:p>
    <w:p w14:paraId="17990B48">
      <w:pPr>
        <w:pStyle w:val="7"/>
        <w:pageBreakBefore w:val="0"/>
        <w:widowControl w:val="0"/>
        <w:kinsoku/>
        <w:wordWrap/>
        <w:overflowPunct/>
        <w:topLinePunct w:val="0"/>
        <w:bidi w:val="0"/>
        <w:snapToGrid w:val="0"/>
        <w:spacing w:line="576"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lang w:eastAsia="zh-CN"/>
        </w:rPr>
      </w:pPr>
      <w:r>
        <w:rPr>
          <w:rFonts w:hint="eastAsia" w:ascii="仿宋_GB2312" w:hAnsi="仿宋_GB2312" w:eastAsia="仿宋_GB2312" w:cs="仿宋_GB2312"/>
          <w:b w:val="0"/>
          <w:color w:val="auto"/>
          <w:sz w:val="32"/>
          <w:szCs w:val="32"/>
          <w:highlight w:val="none"/>
          <w:lang w:eastAsia="zh-CN"/>
        </w:rPr>
        <w:t>（七）供应商基本情况表；</w:t>
      </w:r>
    </w:p>
    <w:p w14:paraId="5F8BD352">
      <w:pPr>
        <w:pStyle w:val="7"/>
        <w:pageBreakBefore w:val="0"/>
        <w:widowControl w:val="0"/>
        <w:kinsoku/>
        <w:wordWrap/>
        <w:overflowPunct/>
        <w:topLinePunct w:val="0"/>
        <w:bidi w:val="0"/>
        <w:snapToGrid w:val="0"/>
        <w:spacing w:line="576"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lang w:eastAsia="zh-CN"/>
        </w:rPr>
      </w:pPr>
      <w:r>
        <w:rPr>
          <w:rFonts w:hint="eastAsia" w:ascii="仿宋_GB2312" w:hAnsi="仿宋_GB2312" w:eastAsia="仿宋_GB2312" w:cs="仿宋_GB2312"/>
          <w:b w:val="0"/>
          <w:color w:val="auto"/>
          <w:sz w:val="32"/>
          <w:szCs w:val="32"/>
          <w:highlight w:val="none"/>
          <w:lang w:eastAsia="zh-CN"/>
        </w:rPr>
        <w:t>（八）采购人要求的其他材料。</w:t>
      </w:r>
    </w:p>
    <w:p w14:paraId="2893C908">
      <w:pPr>
        <w:pStyle w:val="7"/>
        <w:pageBreakBefore w:val="0"/>
        <w:widowControl w:val="0"/>
        <w:kinsoku/>
        <w:wordWrap/>
        <w:overflowPunct/>
        <w:topLinePunct w:val="0"/>
        <w:bidi w:val="0"/>
        <w:snapToGrid w:val="0"/>
        <w:spacing w:line="576" w:lineRule="exact"/>
        <w:ind w:left="0" w:leftChars="0" w:firstLine="640" w:firstLineChars="200"/>
        <w:jc w:val="left"/>
        <w:textAlignment w:val="auto"/>
        <w:rPr>
          <w:rFonts w:hint="eastAsia" w:ascii="黑体" w:hAnsi="黑体" w:eastAsia="黑体" w:cs="黑体"/>
          <w:b w:val="0"/>
          <w:color w:val="auto"/>
          <w:sz w:val="32"/>
          <w:szCs w:val="32"/>
          <w:highlight w:val="none"/>
          <w:lang w:eastAsia="zh-CN"/>
        </w:rPr>
      </w:pPr>
      <w:r>
        <w:rPr>
          <w:rFonts w:hint="eastAsia" w:ascii="黑体" w:hAnsi="黑体" w:eastAsia="黑体" w:cs="黑体"/>
          <w:b w:val="0"/>
          <w:color w:val="auto"/>
          <w:sz w:val="32"/>
          <w:szCs w:val="32"/>
          <w:highlight w:val="none"/>
          <w:lang w:eastAsia="zh-CN"/>
        </w:rPr>
        <w:t>五、评定方式</w:t>
      </w:r>
    </w:p>
    <w:p w14:paraId="693D68B6">
      <w:pPr>
        <w:pStyle w:val="7"/>
        <w:pageBreakBefore w:val="0"/>
        <w:widowControl w:val="0"/>
        <w:kinsoku/>
        <w:wordWrap/>
        <w:overflowPunct/>
        <w:topLinePunct w:val="0"/>
        <w:bidi w:val="0"/>
        <w:snapToGrid w:val="0"/>
        <w:spacing w:line="576"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lang w:val="en-US" w:eastAsia="zh-CN"/>
        </w:rPr>
      </w:pPr>
      <w:r>
        <w:rPr>
          <w:rFonts w:hint="eastAsia" w:ascii="仿宋_GB2312" w:hAnsi="仿宋_GB2312" w:eastAsia="仿宋_GB2312" w:cs="仿宋_GB2312"/>
          <w:b w:val="0"/>
          <w:color w:val="auto"/>
          <w:sz w:val="32"/>
          <w:szCs w:val="32"/>
          <w:highlight w:val="none"/>
          <w:lang w:val="en-US" w:eastAsia="zh-CN"/>
        </w:rPr>
        <w:t>综合评分法。</w:t>
      </w:r>
    </w:p>
    <w:p w14:paraId="639B384A">
      <w:pPr>
        <w:pStyle w:val="7"/>
        <w:pageBreakBefore w:val="0"/>
        <w:widowControl w:val="0"/>
        <w:kinsoku/>
        <w:wordWrap/>
        <w:overflowPunct/>
        <w:topLinePunct w:val="0"/>
        <w:bidi w:val="0"/>
        <w:snapToGrid w:val="0"/>
        <w:spacing w:line="576" w:lineRule="exact"/>
        <w:ind w:left="0" w:leftChars="0" w:firstLine="640" w:firstLineChars="200"/>
        <w:jc w:val="left"/>
        <w:textAlignment w:val="auto"/>
        <w:rPr>
          <w:rFonts w:hint="eastAsia" w:ascii="黑体" w:hAnsi="黑体" w:eastAsia="黑体" w:cs="黑体"/>
          <w:b w:val="0"/>
          <w:color w:val="auto"/>
          <w:sz w:val="32"/>
          <w:szCs w:val="32"/>
          <w:highlight w:val="none"/>
          <w:lang w:eastAsia="zh-CN"/>
        </w:rPr>
      </w:pPr>
      <w:r>
        <w:rPr>
          <w:rFonts w:hint="eastAsia" w:ascii="黑体" w:hAnsi="黑体" w:eastAsia="黑体" w:cs="黑体"/>
          <w:b w:val="0"/>
          <w:color w:val="auto"/>
          <w:sz w:val="32"/>
          <w:szCs w:val="32"/>
          <w:highlight w:val="none"/>
          <w:lang w:eastAsia="zh-CN"/>
        </w:rPr>
        <w:t>六、公告期限</w:t>
      </w:r>
    </w:p>
    <w:p w14:paraId="3F0AD8FF">
      <w:pPr>
        <w:keepNext w:val="0"/>
        <w:keepLines w:val="0"/>
        <w:pageBreakBefore w:val="0"/>
        <w:widowControl w:val="0"/>
        <w:suppressLineNumbers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2026年×月×日至2026年×月×日。</w:t>
      </w:r>
    </w:p>
    <w:p w14:paraId="6EC249B0">
      <w:pPr>
        <w:pStyle w:val="5"/>
        <w:pageBreakBefore w:val="0"/>
        <w:widowControl w:val="0"/>
        <w:kinsoku/>
        <w:wordWrap/>
        <w:overflowPunct/>
        <w:topLinePunct w:val="0"/>
        <w:autoSpaceDE/>
        <w:autoSpaceDN/>
        <w:bidi w:val="0"/>
        <w:adjustRightInd/>
        <w:snapToGrid w:val="0"/>
        <w:spacing w:before="0" w:after="0" w:line="576" w:lineRule="exact"/>
        <w:ind w:left="0" w:leftChars="0" w:firstLine="640" w:firstLineChars="200"/>
        <w:jc w:val="left"/>
        <w:textAlignment w:val="auto"/>
        <w:rPr>
          <w:rFonts w:hint="eastAsia" w:ascii="黑体" w:hAnsi="黑体" w:eastAsia="黑体" w:cs="黑体"/>
          <w:b w:val="0"/>
          <w:color w:val="auto"/>
          <w:sz w:val="32"/>
          <w:szCs w:val="32"/>
          <w:highlight w:val="none"/>
          <w:lang w:eastAsia="zh-CN"/>
        </w:rPr>
      </w:pPr>
      <w:r>
        <w:rPr>
          <w:rFonts w:hint="eastAsia" w:ascii="黑体" w:hAnsi="黑体" w:eastAsia="黑体" w:cs="黑体"/>
          <w:b w:val="0"/>
          <w:color w:val="auto"/>
          <w:sz w:val="32"/>
          <w:szCs w:val="32"/>
          <w:highlight w:val="none"/>
          <w:lang w:eastAsia="zh-CN"/>
        </w:rPr>
        <w:t>七、供应商提交采购文件截止时间、评审时间和地点</w:t>
      </w:r>
    </w:p>
    <w:p w14:paraId="67CF326C">
      <w:pPr>
        <w:keepNext w:val="0"/>
        <w:keepLines w:val="0"/>
        <w:pageBreakBefore w:val="0"/>
        <w:widowControl w:val="0"/>
        <w:suppressLineNumbers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1.提交采购文件截止时间： 2026年×月×日。</w:t>
      </w:r>
    </w:p>
    <w:p w14:paraId="0F4AEE48">
      <w:pPr>
        <w:keepNext w:val="0"/>
        <w:keepLines w:val="0"/>
        <w:pageBreakBefore w:val="0"/>
        <w:widowControl w:val="0"/>
        <w:suppressLineNumbers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2.采购文件提交方式：直接提交。</w:t>
      </w:r>
    </w:p>
    <w:p w14:paraId="5C36CC7D">
      <w:pPr>
        <w:keepNext w:val="0"/>
        <w:keepLines w:val="0"/>
        <w:pageBreakBefore w:val="0"/>
        <w:widowControl w:val="0"/>
        <w:suppressLineNumbers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b w:val="0"/>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3.采购评审时间和地点：定于×年×月×日×点×分（北京时间）在盐田区行政中心大楼433会议室进行项目评审。</w:t>
      </w:r>
    </w:p>
    <w:p w14:paraId="6BD129F7">
      <w:pPr>
        <w:pStyle w:val="5"/>
        <w:pageBreakBefore w:val="0"/>
        <w:widowControl w:val="0"/>
        <w:kinsoku/>
        <w:wordWrap/>
        <w:overflowPunct/>
        <w:topLinePunct w:val="0"/>
        <w:autoSpaceDE/>
        <w:autoSpaceDN/>
        <w:bidi w:val="0"/>
        <w:adjustRightInd/>
        <w:snapToGrid w:val="0"/>
        <w:spacing w:before="0" w:after="0" w:line="576" w:lineRule="exact"/>
        <w:ind w:left="0" w:leftChars="0" w:firstLine="640" w:firstLineChars="200"/>
        <w:jc w:val="left"/>
        <w:textAlignment w:val="auto"/>
        <w:rPr>
          <w:rFonts w:hint="eastAsia" w:ascii="黑体" w:hAnsi="黑体" w:eastAsia="黑体" w:cs="黑体"/>
          <w:b w:val="0"/>
          <w:color w:val="auto"/>
          <w:sz w:val="32"/>
          <w:szCs w:val="32"/>
          <w:highlight w:val="none"/>
        </w:rPr>
      </w:pPr>
      <w:r>
        <w:rPr>
          <w:rFonts w:hint="eastAsia" w:ascii="黑体" w:hAnsi="黑体" w:eastAsia="黑体" w:cs="黑体"/>
          <w:b w:val="0"/>
          <w:color w:val="auto"/>
          <w:sz w:val="32"/>
          <w:szCs w:val="32"/>
          <w:highlight w:val="none"/>
          <w:lang w:eastAsia="zh-CN"/>
        </w:rPr>
        <w:t>八</w:t>
      </w:r>
      <w:r>
        <w:rPr>
          <w:rFonts w:hint="eastAsia" w:ascii="黑体" w:hAnsi="黑体" w:eastAsia="黑体" w:cs="黑体"/>
          <w:b w:val="0"/>
          <w:color w:val="auto"/>
          <w:sz w:val="32"/>
          <w:szCs w:val="32"/>
          <w:highlight w:val="none"/>
        </w:rPr>
        <w:t>、</w:t>
      </w:r>
      <w:r>
        <w:rPr>
          <w:rFonts w:hint="eastAsia" w:ascii="黑体" w:hAnsi="黑体" w:eastAsia="黑体" w:cs="黑体"/>
          <w:b w:val="0"/>
          <w:bCs/>
          <w:color w:val="auto"/>
          <w:kern w:val="2"/>
          <w:sz w:val="32"/>
          <w:szCs w:val="32"/>
          <w:highlight w:val="none"/>
          <w:lang w:val="en-US" w:eastAsia="zh-CN" w:bidi="ar-SA"/>
        </w:rPr>
        <w:t>如对本次公示内容有异议，请按以下方式联系</w:t>
      </w:r>
      <w:r>
        <w:rPr>
          <w:rFonts w:hint="eastAsia" w:ascii="黑体" w:hAnsi="黑体" w:eastAsia="黑体" w:cs="黑体"/>
          <w:b w:val="0"/>
          <w:color w:val="auto"/>
          <w:sz w:val="32"/>
          <w:szCs w:val="32"/>
          <w:highlight w:val="none"/>
          <w:lang w:eastAsia="zh-CN"/>
        </w:rPr>
        <w:t>。</w:t>
      </w:r>
    </w:p>
    <w:p w14:paraId="4E309C57">
      <w:pPr>
        <w:pageBreakBefore w:val="0"/>
        <w:widowControl w:val="0"/>
        <w:kinsoku/>
        <w:wordWrap/>
        <w:overflowPunct/>
        <w:topLinePunct w:val="0"/>
        <w:autoSpaceDE/>
        <w:autoSpaceDN/>
        <w:bidi w:val="0"/>
        <w:adjustRightInd/>
        <w:snapToGrid w:val="0"/>
        <w:spacing w:line="576" w:lineRule="exact"/>
        <w:ind w:left="420" w:leftChars="200" w:firstLine="560" w:firstLineChars="175"/>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联</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系</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single"/>
          <w:lang w:eastAsia="zh-CN"/>
        </w:rPr>
        <w:t>高</w:t>
      </w:r>
      <w:r>
        <w:rPr>
          <w:rFonts w:hint="eastAsia" w:ascii="仿宋_GB2312" w:hAnsi="仿宋_GB2312" w:eastAsia="仿宋_GB2312" w:cs="仿宋_GB2312"/>
          <w:color w:val="auto"/>
          <w:sz w:val="32"/>
          <w:szCs w:val="32"/>
          <w:highlight w:val="none"/>
          <w:u w:val="single"/>
          <w:lang w:val="en-US" w:eastAsia="zh-CN"/>
        </w:rPr>
        <w:t xml:space="preserve">  工</w:t>
      </w:r>
      <w:r>
        <w:rPr>
          <w:rFonts w:hint="eastAsia" w:ascii="仿宋_GB2312" w:hAnsi="仿宋_GB2312" w:eastAsia="仿宋_GB2312" w:cs="仿宋_GB2312"/>
          <w:color w:val="auto"/>
          <w:sz w:val="32"/>
          <w:szCs w:val="32"/>
          <w:highlight w:val="none"/>
          <w:u w:val="single"/>
        </w:rPr>
        <w:t>　　　　　　　　　</w:t>
      </w:r>
    </w:p>
    <w:p w14:paraId="0C7DB1A9">
      <w:pPr>
        <w:pageBreakBefore w:val="0"/>
        <w:widowControl w:val="0"/>
        <w:kinsoku/>
        <w:wordWrap/>
        <w:overflowPunct/>
        <w:topLinePunct w:val="0"/>
        <w:autoSpaceDE/>
        <w:autoSpaceDN/>
        <w:bidi w:val="0"/>
        <w:adjustRightInd/>
        <w:snapToGrid w:val="0"/>
        <w:spacing w:line="576" w:lineRule="exact"/>
        <w:ind w:left="420" w:leftChars="200" w:firstLine="560" w:firstLineChars="175"/>
        <w:jc w:val="left"/>
        <w:textAlignment w:val="auto"/>
        <w:rPr>
          <w:rFonts w:hint="eastAsia" w:ascii="仿宋_GB2312" w:hAnsi="仿宋_GB2312" w:eastAsia="仿宋_GB2312" w:cs="仿宋_GB2312"/>
          <w:color w:val="auto"/>
          <w:sz w:val="32"/>
          <w:szCs w:val="32"/>
          <w:highlight w:val="none"/>
          <w:u w:val="single"/>
        </w:rPr>
      </w:pPr>
      <w:r>
        <w:rPr>
          <w:rFonts w:hint="eastAsia" w:ascii="仿宋_GB2312" w:hAnsi="仿宋_GB2312" w:eastAsia="仿宋_GB2312" w:cs="仿宋_GB2312"/>
          <w:color w:val="auto"/>
          <w:sz w:val="32"/>
          <w:szCs w:val="32"/>
          <w:highlight w:val="none"/>
        </w:rPr>
        <w:t>联系方式：</w:t>
      </w:r>
      <w:r>
        <w:rPr>
          <w:rFonts w:hint="eastAsia" w:ascii="仿宋_GB2312" w:hAnsi="仿宋_GB2312" w:eastAsia="仿宋_GB2312" w:cs="仿宋_GB2312"/>
          <w:color w:val="auto"/>
          <w:sz w:val="32"/>
          <w:szCs w:val="32"/>
          <w:highlight w:val="none"/>
          <w:u w:val="single"/>
          <w:lang w:val="en-US" w:eastAsia="zh-CN"/>
        </w:rPr>
        <w:t>0755--88171039</w:t>
      </w:r>
      <w:r>
        <w:rPr>
          <w:rFonts w:hint="eastAsia" w:ascii="仿宋_GB2312" w:hAnsi="仿宋_GB2312" w:eastAsia="仿宋_GB2312" w:cs="仿宋_GB2312"/>
          <w:color w:val="auto"/>
          <w:sz w:val="32"/>
          <w:szCs w:val="32"/>
          <w:highlight w:val="none"/>
          <w:u w:val="single"/>
        </w:rPr>
        <w:t>　　　　</w:t>
      </w:r>
      <w:r>
        <w:rPr>
          <w:rFonts w:hint="eastAsia" w:ascii="仿宋_GB2312" w:hAnsi="仿宋_GB2312" w:eastAsia="仿宋_GB2312" w:cs="仿宋_GB2312"/>
          <w:color w:val="auto"/>
          <w:sz w:val="32"/>
          <w:szCs w:val="32"/>
          <w:highlight w:val="none"/>
          <w:u w:val="single"/>
          <w:lang w:val="en-US" w:eastAsia="zh-CN"/>
        </w:rPr>
        <w:t xml:space="preserve">  </w:t>
      </w:r>
    </w:p>
    <w:p w14:paraId="185D44FC">
      <w:pPr>
        <w:pageBreakBefore w:val="0"/>
        <w:widowControl w:val="0"/>
        <w:kinsoku/>
        <w:wordWrap/>
        <w:overflowPunct/>
        <w:topLinePunct w:val="0"/>
        <w:autoSpaceDE/>
        <w:autoSpaceDN/>
        <w:bidi w:val="0"/>
        <w:adjustRightInd/>
        <w:snapToGrid w:val="0"/>
        <w:spacing w:line="576" w:lineRule="exact"/>
        <w:ind w:left="420" w:leftChars="200" w:firstLine="560" w:firstLineChars="175"/>
        <w:jc w:val="left"/>
        <w:textAlignment w:val="auto"/>
        <w:rPr>
          <w:rFonts w:hint="eastAsia"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rPr>
        <w:t>地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址：</w:t>
      </w:r>
      <w:r>
        <w:rPr>
          <w:rFonts w:hint="eastAsia" w:ascii="仿宋_GB2312" w:hAnsi="仿宋_GB2312" w:eastAsia="仿宋_GB2312" w:cs="仿宋_GB2312"/>
          <w:color w:val="auto"/>
          <w:sz w:val="32"/>
          <w:szCs w:val="32"/>
          <w:highlight w:val="none"/>
          <w:u w:val="single"/>
          <w:lang w:eastAsia="zh-CN"/>
        </w:rPr>
        <w:t>盐田区海山街道深盐路</w:t>
      </w:r>
      <w:r>
        <w:rPr>
          <w:rFonts w:hint="eastAsia" w:ascii="仿宋_GB2312" w:hAnsi="仿宋_GB2312" w:eastAsia="仿宋_GB2312" w:cs="仿宋_GB2312"/>
          <w:color w:val="auto"/>
          <w:sz w:val="32"/>
          <w:szCs w:val="32"/>
          <w:highlight w:val="none"/>
          <w:u w:val="single"/>
          <w:lang w:val="en-US" w:eastAsia="zh-CN"/>
        </w:rPr>
        <w:t>2088号行政中心大楼428室。</w:t>
      </w:r>
    </w:p>
    <w:p w14:paraId="6C458FE2">
      <w:pPr>
        <w:pageBreakBefore w:val="0"/>
        <w:widowControl w:val="0"/>
        <w:kinsoku/>
        <w:wordWrap/>
        <w:overflowPunct/>
        <w:topLinePunct w:val="0"/>
        <w:autoSpaceDE/>
        <w:autoSpaceDN/>
        <w:bidi w:val="0"/>
        <w:adjustRightInd/>
        <w:snapToGrid w:val="0"/>
        <w:spacing w:line="576" w:lineRule="exact"/>
        <w:ind w:firstLine="640" w:firstLineChars="200"/>
        <w:jc w:val="left"/>
        <w:textAlignment w:val="auto"/>
        <w:rPr>
          <w:rFonts w:hint="eastAsia"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九、评审评分规则</w:t>
      </w:r>
    </w:p>
    <w:p w14:paraId="6B33CAD4">
      <w:pPr>
        <w:pStyle w:val="7"/>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本次招标权重评分从公司资质、方案完整度、专家实力、案例经验、报价</w:t>
      </w:r>
      <w:r>
        <w:rPr>
          <w:rFonts w:hint="eastAsia" w:ascii="仿宋_GB2312" w:hAnsi="仿宋_GB2312" w:eastAsia="仿宋_GB2312" w:cs="仿宋_GB2312"/>
          <w:color w:val="000000" w:themeColor="text1"/>
          <w:sz w:val="32"/>
          <w:szCs w:val="32"/>
          <w:lang w:eastAsia="zh-CN"/>
          <w14:textFill>
            <w14:solidFill>
              <w14:schemeClr w14:val="tx1"/>
            </w14:solidFill>
          </w14:textFill>
        </w:rPr>
        <w:t>等方面进行综合评估。评估权重如下：</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1271"/>
        <w:gridCol w:w="6059"/>
        <w:gridCol w:w="880"/>
        <w:gridCol w:w="744"/>
      </w:tblGrid>
      <w:tr w14:paraId="63BD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5" w:hRule="atLeast"/>
        </w:trPr>
        <w:tc>
          <w:tcPr>
            <w:tcW w:w="710" w:type="pct"/>
            <w:noWrap w:val="0"/>
            <w:vAlign w:val="top"/>
          </w:tcPr>
          <w:p w14:paraId="6701591F">
            <w:pPr>
              <w:spacing w:line="400" w:lineRule="exact"/>
              <w:jc w:val="center"/>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评分因素</w:t>
            </w:r>
          </w:p>
        </w:tc>
        <w:tc>
          <w:tcPr>
            <w:tcW w:w="3382" w:type="pct"/>
            <w:noWrap w:val="0"/>
            <w:vAlign w:val="top"/>
          </w:tcPr>
          <w:p w14:paraId="3033448B">
            <w:pPr>
              <w:spacing w:line="400" w:lineRule="exact"/>
              <w:jc w:val="center"/>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评分规则</w:t>
            </w:r>
          </w:p>
        </w:tc>
        <w:tc>
          <w:tcPr>
            <w:tcW w:w="491" w:type="pct"/>
            <w:noWrap w:val="0"/>
            <w:vAlign w:val="top"/>
          </w:tcPr>
          <w:p w14:paraId="121F4622">
            <w:pPr>
              <w:spacing w:line="400" w:lineRule="exact"/>
              <w:jc w:val="center"/>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权重</w:t>
            </w:r>
          </w:p>
        </w:tc>
        <w:tc>
          <w:tcPr>
            <w:tcW w:w="415" w:type="pct"/>
            <w:noWrap w:val="0"/>
            <w:vAlign w:val="top"/>
          </w:tcPr>
          <w:p w14:paraId="36DE6E6B">
            <w:pPr>
              <w:spacing w:line="400" w:lineRule="exact"/>
              <w:jc w:val="center"/>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评分</w:t>
            </w:r>
          </w:p>
        </w:tc>
      </w:tr>
      <w:tr w14:paraId="62D9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5" w:hRule="atLeast"/>
        </w:trPr>
        <w:tc>
          <w:tcPr>
            <w:tcW w:w="710" w:type="pct"/>
            <w:shd w:val="clear" w:color="auto" w:fill="auto"/>
            <w:noWrap w:val="0"/>
            <w:vAlign w:val="top"/>
          </w:tcPr>
          <w:p w14:paraId="253DF8BD">
            <w:pPr>
              <w:spacing w:line="400" w:lineRule="exact"/>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sz w:val="28"/>
                <w:szCs w:val="28"/>
                <w:lang w:eastAsia="zh-CN"/>
              </w:rPr>
              <w:t>资料完整度</w:t>
            </w:r>
          </w:p>
        </w:tc>
        <w:tc>
          <w:tcPr>
            <w:tcW w:w="3382" w:type="pct"/>
            <w:shd w:val="clear" w:color="auto" w:fill="auto"/>
            <w:noWrap w:val="0"/>
            <w:vAlign w:val="top"/>
          </w:tcPr>
          <w:p w14:paraId="176FD419">
            <w:pPr>
              <w:pStyle w:val="7"/>
              <w:keepNext w:val="0"/>
              <w:keepLines w:val="0"/>
              <w:pageBreakBefore w:val="0"/>
              <w:widowControl w:val="0"/>
              <w:kinsoku/>
              <w:wordWrap w:val="0"/>
              <w:overflowPunct/>
              <w:topLinePunct w:val="0"/>
              <w:autoSpaceDE/>
              <w:autoSpaceDN/>
              <w:bidi w:val="0"/>
              <w:adjustRightInd/>
              <w:snapToGrid/>
              <w:spacing w:line="400" w:lineRule="exact"/>
              <w:ind w:firstLine="560" w:firstLineChars="200"/>
              <w:textAlignment w:val="auto"/>
              <w:rPr>
                <w:rFonts w:hint="default" w:ascii="CESI仿宋-GB2312" w:hAnsi="CESI仿宋-GB2312" w:eastAsia="CESI仿宋-GB2312" w:cs="CESI仿宋-GB2312"/>
                <w:b w:val="0"/>
                <w:bCs w:val="0"/>
                <w:sz w:val="28"/>
                <w:szCs w:val="28"/>
                <w:lang w:val="en-US" w:eastAsia="zh-CN"/>
              </w:rPr>
            </w:pPr>
            <w:r>
              <w:rPr>
                <w:rFonts w:hint="eastAsia" w:ascii="CESI仿宋-GB2312" w:hAnsi="CESI仿宋-GB2312" w:eastAsia="CESI仿宋-GB2312" w:cs="CESI仿宋-GB2312"/>
                <w:b w:val="0"/>
                <w:bCs w:val="0"/>
                <w:sz w:val="28"/>
                <w:szCs w:val="28"/>
                <w:lang w:val="en-US" w:eastAsia="zh-CN"/>
              </w:rPr>
              <w:t>1.</w:t>
            </w:r>
            <w:r>
              <w:rPr>
                <w:rFonts w:hint="eastAsia" w:ascii="CESI仿宋-GB2312" w:hAnsi="CESI仿宋-GB2312" w:eastAsia="CESI仿宋-GB2312" w:cs="CESI仿宋-GB2312"/>
                <w:b w:val="0"/>
                <w:bCs w:val="0"/>
                <w:sz w:val="28"/>
                <w:szCs w:val="28"/>
                <w:lang w:eastAsia="zh-CN"/>
              </w:rPr>
              <w:t>投标人应按照采购公告准备相应资料，资料缺少</w:t>
            </w:r>
            <w:r>
              <w:rPr>
                <w:rFonts w:hint="eastAsia" w:ascii="CESI仿宋-GB2312" w:hAnsi="CESI仿宋-GB2312" w:eastAsia="CESI仿宋-GB2312" w:cs="CESI仿宋-GB2312"/>
                <w:b w:val="0"/>
                <w:bCs w:val="0"/>
                <w:sz w:val="28"/>
                <w:szCs w:val="28"/>
                <w:lang w:val="en-US" w:eastAsia="zh-CN"/>
              </w:rPr>
              <w:t>1项扣1分，最低为0分。</w:t>
            </w:r>
          </w:p>
          <w:p w14:paraId="5E440C12">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b w:val="0"/>
                <w:bCs w:val="0"/>
                <w:sz w:val="28"/>
                <w:szCs w:val="28"/>
                <w:lang w:val="en-US" w:eastAsia="zh-CN"/>
              </w:rPr>
              <w:t>2.</w:t>
            </w:r>
            <w:r>
              <w:rPr>
                <w:rFonts w:hint="eastAsia" w:ascii="CESI仿宋-GB2312" w:hAnsi="CESI仿宋-GB2312" w:eastAsia="CESI仿宋-GB2312" w:cs="CESI仿宋-GB2312"/>
                <w:b w:val="0"/>
                <w:bCs w:val="0"/>
                <w:sz w:val="28"/>
                <w:szCs w:val="28"/>
              </w:rPr>
              <w:t>投标人存在《深圳市财政局政府采购供应商信用信息管理办法》（深财规〔2023〕3号）列明的一般行政处罚信息、一般违法失信记录信息的，本项不得分。</w:t>
            </w:r>
            <w:r>
              <w:rPr>
                <w:rFonts w:hint="eastAsia" w:ascii="CESI仿宋-GB2312" w:hAnsi="CESI仿宋-GB2312" w:eastAsia="CESI仿宋-GB2312" w:cs="CESI仿宋-GB2312"/>
                <w:b w:val="0"/>
                <w:bCs w:val="0"/>
                <w:sz w:val="28"/>
                <w:szCs w:val="28"/>
                <w:lang w:eastAsia="zh-CN"/>
              </w:rPr>
              <w:t>由评审人员</w:t>
            </w:r>
            <w:r>
              <w:rPr>
                <w:rFonts w:hint="eastAsia" w:ascii="CESI仿宋-GB2312" w:hAnsi="CESI仿宋-GB2312" w:eastAsia="CESI仿宋-GB2312" w:cs="CESI仿宋-GB2312"/>
                <w:b w:val="0"/>
                <w:bCs w:val="0"/>
                <w:sz w:val="28"/>
                <w:szCs w:val="28"/>
              </w:rPr>
              <w:t>通过“信用中国”（www.creditchina.gov.cn，下载信用信息报告）、“中国政府采购网”（www.ccgp.gov.cn）、以及“深圳市政府采购监管网”（http://zfcg.sz.gov.cn）查询供应商信用信息，信用信息以开标当日的查询结果为准。</w:t>
            </w:r>
          </w:p>
        </w:tc>
        <w:tc>
          <w:tcPr>
            <w:tcW w:w="491" w:type="pct"/>
            <w:shd w:val="clear" w:color="auto" w:fill="auto"/>
            <w:noWrap w:val="0"/>
            <w:vAlign w:val="top"/>
          </w:tcPr>
          <w:p w14:paraId="2E7C437B">
            <w:pPr>
              <w:spacing w:line="400" w:lineRule="exact"/>
              <w:ind w:firstLine="0" w:firstLineChars="0"/>
              <w:jc w:val="center"/>
              <w:rPr>
                <w:rFonts w:hint="eastAsia" w:ascii="CESI仿宋-GB2312" w:hAnsi="CESI仿宋-GB2312" w:eastAsia="CESI仿宋-GB2312" w:cs="CESI仿宋-GB2312"/>
                <w:kern w:val="2"/>
                <w:sz w:val="28"/>
                <w:szCs w:val="28"/>
                <w:lang w:val="en" w:eastAsia="zh-CN" w:bidi="ar-SA"/>
              </w:rPr>
            </w:pPr>
            <w:r>
              <w:rPr>
                <w:rFonts w:hint="eastAsia" w:ascii="CESI仿宋-GB2312" w:hAnsi="CESI仿宋-GB2312" w:eastAsia="CESI仿宋-GB2312" w:cs="CESI仿宋-GB2312"/>
                <w:sz w:val="28"/>
                <w:szCs w:val="28"/>
                <w:lang w:val="en" w:eastAsia="zh-CN"/>
              </w:rPr>
              <w:t>5</w:t>
            </w:r>
          </w:p>
        </w:tc>
        <w:tc>
          <w:tcPr>
            <w:tcW w:w="415" w:type="pct"/>
            <w:shd w:val="clear" w:color="auto" w:fill="auto"/>
            <w:noWrap w:val="0"/>
            <w:vAlign w:val="top"/>
          </w:tcPr>
          <w:p w14:paraId="292C482D">
            <w:pPr>
              <w:spacing w:line="400" w:lineRule="exact"/>
              <w:jc w:val="center"/>
              <w:rPr>
                <w:rFonts w:hint="eastAsia" w:ascii="CESI仿宋-GB2312" w:hAnsi="CESI仿宋-GB2312" w:eastAsia="CESI仿宋-GB2312" w:cs="CESI仿宋-GB2312"/>
                <w:kern w:val="2"/>
                <w:sz w:val="28"/>
                <w:szCs w:val="28"/>
                <w:lang w:val="en" w:eastAsia="zh-CN" w:bidi="ar-SA"/>
              </w:rPr>
            </w:pPr>
            <w:r>
              <w:rPr>
                <w:rFonts w:hint="eastAsia" w:ascii="CESI仿宋-GB2312" w:hAnsi="CESI仿宋-GB2312" w:eastAsia="CESI仿宋-GB2312" w:cs="CESI仿宋-GB2312"/>
                <w:sz w:val="28"/>
                <w:szCs w:val="28"/>
                <w:lang w:val="en"/>
              </w:rPr>
              <w:t>5</w:t>
            </w:r>
          </w:p>
        </w:tc>
      </w:tr>
      <w:tr w14:paraId="7959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trPr>
        <w:tc>
          <w:tcPr>
            <w:tcW w:w="710" w:type="pct"/>
            <w:noWrap w:val="0"/>
            <w:vAlign w:val="top"/>
          </w:tcPr>
          <w:p w14:paraId="6EE46921">
            <w:pPr>
              <w:spacing w:line="400" w:lineRule="exact"/>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lang w:val="en-US" w:eastAsia="zh-CN"/>
              </w:rPr>
              <w:t>项目计划书质量</w:t>
            </w:r>
          </w:p>
        </w:tc>
        <w:tc>
          <w:tcPr>
            <w:tcW w:w="3382" w:type="pct"/>
            <w:noWrap w:val="0"/>
            <w:vAlign w:val="center"/>
          </w:tcPr>
          <w:p w14:paraId="462B4FD1">
            <w:pPr>
              <w:spacing w:line="400" w:lineRule="exact"/>
              <w:rPr>
                <w:rFonts w:hint="eastAsia" w:ascii="CESI仿宋-GB2312" w:hAnsi="CESI仿宋-GB2312" w:eastAsia="CESI仿宋-GB2312" w:cs="CESI仿宋-GB2312"/>
                <w:b/>
                <w:bCs/>
                <w:sz w:val="28"/>
                <w:szCs w:val="28"/>
              </w:rPr>
            </w:pPr>
            <w:r>
              <w:rPr>
                <w:rFonts w:hint="eastAsia" w:ascii="CESI仿宋-GB2312" w:hAnsi="CESI仿宋-GB2312" w:eastAsia="CESI仿宋-GB2312" w:cs="CESI仿宋-GB2312"/>
                <w:b/>
                <w:bCs/>
                <w:sz w:val="28"/>
                <w:szCs w:val="28"/>
              </w:rPr>
              <w:t>（一）评分内容：</w:t>
            </w:r>
          </w:p>
          <w:p w14:paraId="68A1D8CA">
            <w:pPr>
              <w:spacing w:line="400" w:lineRule="exact"/>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从计划书表述的工作目标、研究内容、行业分析、计划安排等进行评估。</w:t>
            </w:r>
          </w:p>
          <w:p w14:paraId="19C7CC89">
            <w:pPr>
              <w:spacing w:line="400" w:lineRule="exact"/>
              <w:rPr>
                <w:rFonts w:hint="eastAsia" w:ascii="CESI仿宋-GB2312" w:hAnsi="CESI仿宋-GB2312" w:eastAsia="CESI仿宋-GB2312" w:cs="CESI仿宋-GB2312"/>
                <w:b/>
                <w:bCs/>
                <w:sz w:val="28"/>
                <w:szCs w:val="28"/>
              </w:rPr>
            </w:pPr>
            <w:r>
              <w:rPr>
                <w:rFonts w:hint="eastAsia" w:ascii="CESI仿宋-GB2312" w:hAnsi="CESI仿宋-GB2312" w:eastAsia="CESI仿宋-GB2312" w:cs="CESI仿宋-GB2312"/>
                <w:b/>
                <w:bCs/>
                <w:sz w:val="28"/>
                <w:szCs w:val="28"/>
              </w:rPr>
              <w:t>（二）评分依据：</w:t>
            </w:r>
          </w:p>
          <w:p w14:paraId="49FD3A56">
            <w:pPr>
              <w:spacing w:line="400" w:lineRule="exact"/>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在此基础上，</w:t>
            </w:r>
            <w:r>
              <w:rPr>
                <w:rFonts w:hint="eastAsia" w:ascii="CESI仿宋-GB2312" w:hAnsi="CESI仿宋-GB2312" w:eastAsia="CESI仿宋-GB2312" w:cs="CESI仿宋-GB2312"/>
                <w:sz w:val="28"/>
                <w:szCs w:val="28"/>
                <w:lang w:eastAsia="zh-CN"/>
              </w:rPr>
              <w:t>评审人员</w:t>
            </w:r>
            <w:r>
              <w:rPr>
                <w:rFonts w:hint="eastAsia" w:ascii="CESI仿宋-GB2312" w:hAnsi="CESI仿宋-GB2312" w:eastAsia="CESI仿宋-GB2312" w:cs="CESI仿宋-GB2312"/>
                <w:sz w:val="28"/>
                <w:szCs w:val="28"/>
              </w:rPr>
              <w:t>根据内容的合理性进行评分:</w:t>
            </w:r>
          </w:p>
          <w:p w14:paraId="62C05199">
            <w:pPr>
              <w:spacing w:line="400" w:lineRule="exact"/>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优评分标准:</w:t>
            </w:r>
            <w:r>
              <w:rPr>
                <w:rFonts w:hint="eastAsia" w:ascii="CESI仿宋-GB2312" w:hAnsi="CESI仿宋-GB2312" w:eastAsia="CESI仿宋-GB2312" w:cs="CESI仿宋-GB2312"/>
                <w:sz w:val="28"/>
                <w:szCs w:val="28"/>
                <w:lang w:eastAsia="zh-CN"/>
              </w:rPr>
              <w:t>计划书内容</w:t>
            </w:r>
            <w:r>
              <w:rPr>
                <w:rFonts w:hint="eastAsia" w:ascii="CESI仿宋-GB2312" w:hAnsi="CESI仿宋-GB2312" w:eastAsia="CESI仿宋-GB2312" w:cs="CESI仿宋-GB2312"/>
                <w:sz w:val="28"/>
                <w:szCs w:val="28"/>
              </w:rPr>
              <w:t>符合实际、完整、规范、思路清晰，内容合理性强，得20</w:t>
            </w:r>
            <w:r>
              <w:rPr>
                <w:rFonts w:hint="eastAsia" w:ascii="CESI仿宋-GB2312" w:hAnsi="CESI仿宋-GB2312" w:eastAsia="CESI仿宋-GB2312" w:cs="CESI仿宋-GB2312"/>
                <w:sz w:val="28"/>
                <w:szCs w:val="28"/>
                <w:lang w:val="en-US" w:eastAsia="zh-CN"/>
              </w:rPr>
              <w:t>-25</w:t>
            </w:r>
            <w:r>
              <w:rPr>
                <w:rFonts w:hint="eastAsia" w:ascii="CESI仿宋-GB2312" w:hAnsi="CESI仿宋-GB2312" w:eastAsia="CESI仿宋-GB2312" w:cs="CESI仿宋-GB2312"/>
                <w:sz w:val="28"/>
                <w:szCs w:val="28"/>
              </w:rPr>
              <w:t>分;</w:t>
            </w:r>
          </w:p>
          <w:p w14:paraId="7BB29597">
            <w:pPr>
              <w:spacing w:line="400" w:lineRule="exact"/>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良评分标准:</w:t>
            </w:r>
            <w:r>
              <w:rPr>
                <w:rFonts w:hint="eastAsia" w:ascii="CESI仿宋-GB2312" w:hAnsi="CESI仿宋-GB2312" w:eastAsia="CESI仿宋-GB2312" w:cs="CESI仿宋-GB2312"/>
                <w:sz w:val="28"/>
                <w:szCs w:val="28"/>
                <w:lang w:eastAsia="zh-CN"/>
              </w:rPr>
              <w:t>计划书内容</w:t>
            </w:r>
            <w:r>
              <w:rPr>
                <w:rFonts w:hint="eastAsia" w:ascii="CESI仿宋-GB2312" w:hAnsi="CESI仿宋-GB2312" w:eastAsia="CESI仿宋-GB2312" w:cs="CESI仿宋-GB2312"/>
                <w:sz w:val="28"/>
                <w:szCs w:val="28"/>
              </w:rPr>
              <w:t>较符合实际、较完整规范、思路较清晰，内容合理性较强，得15</w:t>
            </w:r>
            <w:r>
              <w:rPr>
                <w:rFonts w:hint="eastAsia" w:ascii="CESI仿宋-GB2312" w:hAnsi="CESI仿宋-GB2312" w:eastAsia="CESI仿宋-GB2312" w:cs="CESI仿宋-GB2312"/>
                <w:sz w:val="28"/>
                <w:szCs w:val="28"/>
                <w:lang w:val="en-US" w:eastAsia="zh-CN"/>
              </w:rPr>
              <w:t>-19</w:t>
            </w:r>
            <w:r>
              <w:rPr>
                <w:rFonts w:hint="eastAsia" w:ascii="CESI仿宋-GB2312" w:hAnsi="CESI仿宋-GB2312" w:eastAsia="CESI仿宋-GB2312" w:cs="CESI仿宋-GB2312"/>
                <w:sz w:val="28"/>
                <w:szCs w:val="28"/>
              </w:rPr>
              <w:t>分;</w:t>
            </w:r>
          </w:p>
          <w:p w14:paraId="46B21A5B">
            <w:pPr>
              <w:spacing w:line="400" w:lineRule="exact"/>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中评分标准:</w:t>
            </w:r>
            <w:r>
              <w:rPr>
                <w:rFonts w:hint="eastAsia" w:ascii="CESI仿宋-GB2312" w:hAnsi="CESI仿宋-GB2312" w:eastAsia="CESI仿宋-GB2312" w:cs="CESI仿宋-GB2312"/>
                <w:sz w:val="28"/>
                <w:szCs w:val="28"/>
                <w:lang w:eastAsia="zh-CN"/>
              </w:rPr>
              <w:t>计划书内容</w:t>
            </w:r>
            <w:r>
              <w:rPr>
                <w:rFonts w:hint="eastAsia" w:ascii="CESI仿宋-GB2312" w:hAnsi="CESI仿宋-GB2312" w:eastAsia="CESI仿宋-GB2312" w:cs="CESI仿宋-GB2312"/>
                <w:sz w:val="28"/>
                <w:szCs w:val="28"/>
              </w:rPr>
              <w:t>较普通、完整性规范性一般，思路不够清晰，内容合理性一般，得10</w:t>
            </w:r>
            <w:r>
              <w:rPr>
                <w:rFonts w:hint="eastAsia" w:ascii="CESI仿宋-GB2312" w:hAnsi="CESI仿宋-GB2312" w:eastAsia="CESI仿宋-GB2312" w:cs="CESI仿宋-GB2312"/>
                <w:sz w:val="28"/>
                <w:szCs w:val="28"/>
                <w:lang w:val="en-US" w:eastAsia="zh-CN"/>
              </w:rPr>
              <w:t>-14</w:t>
            </w:r>
            <w:r>
              <w:rPr>
                <w:rFonts w:hint="eastAsia" w:ascii="CESI仿宋-GB2312" w:hAnsi="CESI仿宋-GB2312" w:eastAsia="CESI仿宋-GB2312" w:cs="CESI仿宋-GB2312"/>
                <w:sz w:val="28"/>
                <w:szCs w:val="28"/>
              </w:rPr>
              <w:t>分;</w:t>
            </w:r>
          </w:p>
          <w:p w14:paraId="54DE3BD8">
            <w:pPr>
              <w:spacing w:line="400" w:lineRule="exact"/>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差评分标准：</w:t>
            </w:r>
            <w:r>
              <w:rPr>
                <w:rFonts w:hint="eastAsia" w:ascii="CESI仿宋-GB2312" w:hAnsi="CESI仿宋-GB2312" w:eastAsia="CESI仿宋-GB2312" w:cs="CESI仿宋-GB2312"/>
                <w:sz w:val="28"/>
                <w:szCs w:val="28"/>
                <w:lang w:eastAsia="zh-CN"/>
              </w:rPr>
              <w:t>计划书内容</w:t>
            </w:r>
            <w:r>
              <w:rPr>
                <w:rFonts w:hint="eastAsia" w:ascii="CESI仿宋-GB2312" w:hAnsi="CESI仿宋-GB2312" w:eastAsia="CESI仿宋-GB2312" w:cs="CESI仿宋-GB2312"/>
                <w:sz w:val="28"/>
                <w:szCs w:val="28"/>
              </w:rPr>
              <w:t>不完整、不规范，思路不清晰，内容合理性较差或未提供，不得分。</w:t>
            </w:r>
          </w:p>
          <w:p w14:paraId="381DEB5B">
            <w:pPr>
              <w:spacing w:line="400" w:lineRule="exact"/>
              <w:rPr>
                <w:rFonts w:hint="eastAsia" w:ascii="CESI仿宋-GB2312" w:hAnsi="CESI仿宋-GB2312" w:eastAsia="CESI仿宋-GB2312" w:cs="CESI仿宋-GB2312"/>
                <w:bCs/>
                <w:sz w:val="28"/>
                <w:szCs w:val="28"/>
              </w:rPr>
            </w:pPr>
            <w:r>
              <w:rPr>
                <w:rFonts w:hint="eastAsia" w:ascii="CESI仿宋-GB2312" w:hAnsi="CESI仿宋-GB2312" w:eastAsia="CESI仿宋-GB2312" w:cs="CESI仿宋-GB2312"/>
                <w:sz w:val="28"/>
                <w:szCs w:val="28"/>
              </w:rPr>
              <w:t>如评审为差，评审</w:t>
            </w:r>
            <w:r>
              <w:rPr>
                <w:rFonts w:hint="eastAsia" w:ascii="CESI仿宋-GB2312" w:hAnsi="CESI仿宋-GB2312" w:eastAsia="CESI仿宋-GB2312" w:cs="CESI仿宋-GB2312"/>
                <w:sz w:val="28"/>
                <w:szCs w:val="28"/>
                <w:lang w:eastAsia="zh-CN"/>
              </w:rPr>
              <w:t>人员</w:t>
            </w:r>
            <w:r>
              <w:rPr>
                <w:rFonts w:hint="eastAsia" w:ascii="CESI仿宋-GB2312" w:hAnsi="CESI仿宋-GB2312" w:eastAsia="CESI仿宋-GB2312" w:cs="CESI仿宋-GB2312"/>
                <w:sz w:val="28"/>
                <w:szCs w:val="28"/>
              </w:rPr>
              <w:t>须书面说明理由，并记录在档。</w:t>
            </w:r>
          </w:p>
        </w:tc>
        <w:tc>
          <w:tcPr>
            <w:tcW w:w="491" w:type="pct"/>
            <w:noWrap w:val="0"/>
            <w:vAlign w:val="top"/>
          </w:tcPr>
          <w:p w14:paraId="49E069AF">
            <w:pPr>
              <w:spacing w:line="400" w:lineRule="exact"/>
              <w:ind w:firstLine="0" w:firstLineChars="0"/>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20</w:t>
            </w:r>
          </w:p>
        </w:tc>
        <w:tc>
          <w:tcPr>
            <w:tcW w:w="415" w:type="pct"/>
            <w:noWrap w:val="0"/>
            <w:vAlign w:val="top"/>
          </w:tcPr>
          <w:p w14:paraId="5B3F1A5E">
            <w:pPr>
              <w:spacing w:line="400" w:lineRule="exact"/>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20</w:t>
            </w:r>
          </w:p>
        </w:tc>
      </w:tr>
      <w:tr w14:paraId="217C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trPr>
        <w:tc>
          <w:tcPr>
            <w:tcW w:w="710" w:type="pct"/>
            <w:noWrap w:val="0"/>
            <w:vAlign w:val="top"/>
          </w:tcPr>
          <w:p w14:paraId="63A7531E">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FF0000"/>
                <w:sz w:val="28"/>
                <w:szCs w:val="28"/>
              </w:rPr>
            </w:pPr>
            <w:r>
              <w:rPr>
                <w:rFonts w:hint="eastAsia" w:ascii="CESI仿宋-GB2312" w:hAnsi="CESI仿宋-GB2312" w:eastAsia="CESI仿宋-GB2312" w:cs="CESI仿宋-GB2312"/>
                <w:sz w:val="28"/>
                <w:szCs w:val="28"/>
              </w:rPr>
              <w:t>投标人同类项目业绩情况</w:t>
            </w:r>
          </w:p>
          <w:p w14:paraId="35C337DD">
            <w:pPr>
              <w:spacing w:line="400" w:lineRule="exact"/>
              <w:jc w:val="center"/>
              <w:rPr>
                <w:rFonts w:hint="eastAsia" w:ascii="CESI仿宋-GB2312" w:hAnsi="CESI仿宋-GB2312" w:eastAsia="CESI仿宋-GB2312" w:cs="CESI仿宋-GB2312"/>
                <w:sz w:val="28"/>
                <w:szCs w:val="28"/>
              </w:rPr>
            </w:pPr>
          </w:p>
        </w:tc>
        <w:tc>
          <w:tcPr>
            <w:tcW w:w="3382" w:type="pct"/>
            <w:noWrap w:val="0"/>
            <w:vAlign w:val="top"/>
          </w:tcPr>
          <w:p w14:paraId="0BB07C2A">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sz w:val="28"/>
                <w:szCs w:val="28"/>
              </w:rPr>
            </w:pPr>
            <w:r>
              <w:rPr>
                <w:rFonts w:hint="eastAsia" w:ascii="CESI仿宋-GB2312" w:hAnsi="CESI仿宋-GB2312" w:eastAsia="CESI仿宋-GB2312" w:cs="CESI仿宋-GB2312"/>
                <w:b/>
                <w:bCs/>
                <w:sz w:val="28"/>
                <w:szCs w:val="28"/>
              </w:rPr>
              <w:t>（一）评分内容：</w:t>
            </w:r>
          </w:p>
          <w:p w14:paraId="20F39357">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rPr>
              <w:t>投标人自</w:t>
            </w:r>
            <w:r>
              <w:rPr>
                <w:rFonts w:hint="eastAsia" w:ascii="CESI仿宋-GB2312" w:hAnsi="CESI仿宋-GB2312" w:eastAsia="CESI仿宋-GB2312" w:cs="CESI仿宋-GB2312"/>
                <w:sz w:val="28"/>
                <w:szCs w:val="28"/>
                <w:lang w:val="en-US" w:eastAsia="zh-CN"/>
              </w:rPr>
              <w:t>2023</w:t>
            </w:r>
            <w:r>
              <w:rPr>
                <w:rFonts w:hint="eastAsia" w:ascii="CESI仿宋-GB2312" w:hAnsi="CESI仿宋-GB2312" w:eastAsia="CESI仿宋-GB2312" w:cs="CESI仿宋-GB2312"/>
                <w:sz w:val="28"/>
                <w:szCs w:val="28"/>
              </w:rPr>
              <w:t>年1月1日至本项目截标之日内所签订的同类</w:t>
            </w:r>
            <w:r>
              <w:rPr>
                <w:rFonts w:hint="eastAsia" w:ascii="CESI仿宋-GB2312" w:hAnsi="CESI仿宋-GB2312" w:eastAsia="CESI仿宋-GB2312" w:cs="CESI仿宋-GB2312"/>
                <w:sz w:val="28"/>
                <w:szCs w:val="28"/>
                <w:lang w:eastAsia="zh-CN"/>
              </w:rPr>
              <w:t>（商务领域安全服务）</w:t>
            </w:r>
            <w:r>
              <w:rPr>
                <w:rFonts w:hint="eastAsia" w:ascii="CESI仿宋-GB2312" w:hAnsi="CESI仿宋-GB2312" w:eastAsia="CESI仿宋-GB2312" w:cs="CESI仿宋-GB2312"/>
                <w:sz w:val="28"/>
                <w:szCs w:val="28"/>
              </w:rPr>
              <w:t>项目合同（以合同签订日期为准），</w:t>
            </w:r>
            <w:r>
              <w:rPr>
                <w:rFonts w:hint="eastAsia" w:ascii="CESI仿宋-GB2312" w:hAnsi="CESI仿宋-GB2312" w:eastAsia="CESI仿宋-GB2312" w:cs="CESI仿宋-GB2312"/>
                <w:sz w:val="28"/>
                <w:szCs w:val="28"/>
                <w:lang w:eastAsia="zh-CN"/>
              </w:rPr>
              <w:t>且经采购单位或被服务单位总体履约评价结果为优或满意或合格的，</w:t>
            </w:r>
            <w:r>
              <w:rPr>
                <w:rFonts w:hint="eastAsia" w:ascii="CESI仿宋-GB2312" w:hAnsi="CESI仿宋-GB2312" w:eastAsia="CESI仿宋-GB2312" w:cs="CESI仿宋-GB2312"/>
                <w:sz w:val="28"/>
                <w:szCs w:val="28"/>
              </w:rPr>
              <w:t>每提供</w:t>
            </w:r>
            <w:r>
              <w:rPr>
                <w:rFonts w:hint="eastAsia" w:ascii="CESI仿宋-GB2312" w:hAnsi="CESI仿宋-GB2312" w:eastAsia="CESI仿宋-GB2312" w:cs="CESI仿宋-GB2312"/>
                <w:sz w:val="28"/>
                <w:szCs w:val="28"/>
                <w:lang w:val="en-US" w:eastAsia="zh-CN"/>
              </w:rPr>
              <w:t>一份</w:t>
            </w:r>
            <w:r>
              <w:rPr>
                <w:rFonts w:hint="eastAsia" w:ascii="CESI仿宋-GB2312" w:hAnsi="CESI仿宋-GB2312" w:eastAsia="CESI仿宋-GB2312" w:cs="CESI仿宋-GB2312"/>
                <w:sz w:val="28"/>
                <w:szCs w:val="28"/>
              </w:rPr>
              <w:t>同类业绩得</w:t>
            </w:r>
            <w:r>
              <w:rPr>
                <w:rFonts w:hint="eastAsia" w:ascii="CESI仿宋-GB2312" w:hAnsi="CESI仿宋-GB2312" w:eastAsia="CESI仿宋-GB2312" w:cs="CESI仿宋-GB2312"/>
                <w:sz w:val="28"/>
                <w:szCs w:val="28"/>
                <w:lang w:val="en-US" w:eastAsia="zh-CN"/>
              </w:rPr>
              <w:t>5</w:t>
            </w:r>
            <w:r>
              <w:rPr>
                <w:rFonts w:hint="eastAsia" w:ascii="CESI仿宋-GB2312" w:hAnsi="CESI仿宋-GB2312" w:eastAsia="CESI仿宋-GB2312" w:cs="CESI仿宋-GB2312"/>
                <w:sz w:val="28"/>
                <w:szCs w:val="28"/>
              </w:rPr>
              <w:t>分，最高得10分。</w:t>
            </w:r>
            <w:r>
              <w:rPr>
                <w:rFonts w:hint="eastAsia" w:ascii="CESI仿宋-GB2312" w:hAnsi="CESI仿宋-GB2312" w:eastAsia="CESI仿宋-GB2312" w:cs="CESI仿宋-GB2312"/>
                <w:sz w:val="28"/>
                <w:szCs w:val="28"/>
                <w:lang w:eastAsia="zh-CN"/>
              </w:rPr>
              <w:t>同一项目续签合同不重复计分。</w:t>
            </w:r>
          </w:p>
          <w:p w14:paraId="2EC2E059">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sz w:val="28"/>
                <w:szCs w:val="28"/>
              </w:rPr>
            </w:pPr>
            <w:r>
              <w:rPr>
                <w:rFonts w:hint="eastAsia" w:ascii="CESI仿宋-GB2312" w:hAnsi="CESI仿宋-GB2312" w:eastAsia="CESI仿宋-GB2312" w:cs="CESI仿宋-GB2312"/>
                <w:b/>
                <w:bCs/>
                <w:sz w:val="28"/>
                <w:szCs w:val="28"/>
              </w:rPr>
              <w:t>（二）评分依据：</w:t>
            </w:r>
          </w:p>
          <w:p w14:paraId="54F512C1">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1.要求提供合同关键信息（包括但不限于合同标的、签订时间、双方签章页）作为得分依据，通过合同关键信息无法判断是否得分的，还须同时提供能证明得分的其它证明资料，如项目报告或合同甲方出具的证明文件等。</w:t>
            </w:r>
          </w:p>
          <w:p w14:paraId="3C49A508">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2..要求提供加盖合同甲方公章（或甲方业务章）项目履约评价或验收合格证明文件清晰扫描件。</w:t>
            </w:r>
          </w:p>
          <w:p w14:paraId="6A30E60E">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auto"/>
                <w:sz w:val="28"/>
                <w:szCs w:val="28"/>
              </w:rPr>
            </w:pPr>
            <w:r>
              <w:rPr>
                <w:rFonts w:hint="eastAsia" w:ascii="CESI仿宋-GB2312" w:hAnsi="CESI仿宋-GB2312" w:eastAsia="CESI仿宋-GB2312" w:cs="CESI仿宋-GB2312"/>
                <w:sz w:val="28"/>
                <w:szCs w:val="28"/>
              </w:rPr>
              <w:t>备注：以上资料均要求提供扫描件，评分中出现无证明资料或证书过期或专家无法凭所提供资料判断是否得分的情况，一律作不得分处理。</w:t>
            </w:r>
          </w:p>
        </w:tc>
        <w:tc>
          <w:tcPr>
            <w:tcW w:w="491" w:type="pct"/>
            <w:noWrap w:val="0"/>
            <w:vAlign w:val="top"/>
          </w:tcPr>
          <w:p w14:paraId="2F191F8F">
            <w:pPr>
              <w:spacing w:line="400" w:lineRule="exact"/>
              <w:ind w:firstLine="0" w:firstLineChars="0"/>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10</w:t>
            </w:r>
          </w:p>
        </w:tc>
        <w:tc>
          <w:tcPr>
            <w:tcW w:w="415" w:type="pct"/>
            <w:noWrap w:val="0"/>
            <w:vAlign w:val="top"/>
          </w:tcPr>
          <w:p w14:paraId="45917CFD">
            <w:pPr>
              <w:spacing w:line="400" w:lineRule="exact"/>
              <w:jc w:val="center"/>
              <w:rPr>
                <w:rFonts w:hint="default" w:ascii="CESI仿宋-GB2312" w:hAnsi="CESI仿宋-GB2312" w:eastAsia="CESI仿宋-GB2312" w:cs="CESI仿宋-GB2312"/>
                <w:sz w:val="28"/>
                <w:szCs w:val="28"/>
                <w:lang w:val="en-US"/>
              </w:rPr>
            </w:pPr>
            <w:r>
              <w:rPr>
                <w:rFonts w:hint="eastAsia" w:ascii="CESI仿宋-GB2312" w:hAnsi="CESI仿宋-GB2312" w:eastAsia="CESI仿宋-GB2312" w:cs="CESI仿宋-GB2312"/>
                <w:sz w:val="28"/>
                <w:szCs w:val="28"/>
                <w:lang w:val="en-US" w:eastAsia="zh-CN"/>
              </w:rPr>
              <w:t>10</w:t>
            </w:r>
          </w:p>
        </w:tc>
      </w:tr>
      <w:tr w14:paraId="0114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20" w:hRule="atLeast"/>
        </w:trPr>
        <w:tc>
          <w:tcPr>
            <w:tcW w:w="710" w:type="pct"/>
            <w:noWrap w:val="0"/>
            <w:vAlign w:val="top"/>
          </w:tcPr>
          <w:p w14:paraId="189D7AEB">
            <w:pPr>
              <w:spacing w:line="400" w:lineRule="exact"/>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拟安排的项目团队成员情况</w:t>
            </w:r>
          </w:p>
        </w:tc>
        <w:tc>
          <w:tcPr>
            <w:tcW w:w="3382" w:type="pct"/>
            <w:noWrap w:val="0"/>
            <w:vAlign w:val="top"/>
          </w:tcPr>
          <w:p w14:paraId="3B0B4CAB">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sz w:val="28"/>
                <w:szCs w:val="28"/>
              </w:rPr>
              <w:t>（一）评分内容：</w:t>
            </w:r>
          </w:p>
          <w:p w14:paraId="79F940A7">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拟安排的</w:t>
            </w:r>
            <w:r>
              <w:rPr>
                <w:rFonts w:hint="eastAsia" w:ascii="CESI仿宋-GB2312" w:hAnsi="CESI仿宋-GB2312" w:eastAsia="CESI仿宋-GB2312" w:cs="CESI仿宋-GB2312"/>
                <w:sz w:val="28"/>
                <w:szCs w:val="28"/>
                <w:highlight w:val="none"/>
                <w:lang w:eastAsia="zh-CN"/>
              </w:rPr>
              <w:t>项目团队成员</w:t>
            </w:r>
            <w:r>
              <w:rPr>
                <w:rFonts w:hint="eastAsia" w:ascii="CESI仿宋-GB2312" w:hAnsi="CESI仿宋-GB2312" w:eastAsia="CESI仿宋-GB2312" w:cs="CESI仿宋-GB2312"/>
                <w:sz w:val="28"/>
                <w:szCs w:val="28"/>
              </w:rPr>
              <w:t>须为投标人自有员工（以社保为准），否则本项不得分。</w:t>
            </w:r>
          </w:p>
          <w:p w14:paraId="6AF2B139">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1.项目负责人1名（10分）</w:t>
            </w:r>
          </w:p>
          <w:p w14:paraId="29E2A903">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①具备注册安全工程师执业资格；</w:t>
            </w:r>
          </w:p>
          <w:p w14:paraId="42043257">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②具有3年及以上安全生产技术咨询项目工作经验，有商贸或人员密集场所安全咨询项目负责人相关业绩；</w:t>
            </w:r>
          </w:p>
          <w:p w14:paraId="5ED47BC5">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③负责项目统筹对接、成果审核签发，参加采购单位相关工作会议，把控技术成果质量，能够针对商贸领域安全隐患提出合规可行的整改技术建议。</w:t>
            </w:r>
          </w:p>
          <w:p w14:paraId="501AF5F7">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2.现场技术人员2名（5分）</w:t>
            </w:r>
          </w:p>
          <w:p w14:paraId="35D1CDB6">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①具备安全生产相关专业背景，持有安全培训合格证书；</w:t>
            </w:r>
          </w:p>
          <w:p w14:paraId="2F74D809">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②熟悉商业综合体、商超、商品交易市场、仓储场所消防、用电、人员密集场所安全管理相关要求；</w:t>
            </w:r>
          </w:p>
          <w:p w14:paraId="51D86139">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③可独立开展现场核查、资料查阅、隐患记录、台账整理，完成隐患清单、工作记录等材料编制，具备安全宣教授课辅助能力。</w:t>
            </w:r>
          </w:p>
          <w:p w14:paraId="38456B61">
            <w:pPr>
              <w:keepNext w:val="0"/>
              <w:keepLines w:val="0"/>
              <w:pageBreakBefore w:val="0"/>
              <w:widowControl w:val="0"/>
              <w:kinsoku/>
              <w:overflowPunct/>
              <w:topLinePunct w:val="0"/>
              <w:autoSpaceDE/>
              <w:autoSpaceDN/>
              <w:bidi w:val="0"/>
              <w:adjustRightInd/>
              <w:snapToGrid/>
              <w:spacing w:line="400" w:lineRule="exact"/>
              <w:jc w:val="left"/>
              <w:textAlignment w:val="auto"/>
              <w:rPr>
                <w:rFonts w:hint="eastAsia"/>
                <w:lang w:val="en-US" w:eastAsia="zh-CN"/>
              </w:rPr>
            </w:pPr>
            <w:r>
              <w:rPr>
                <w:rFonts w:hint="eastAsia" w:ascii="CESI仿宋-GB2312" w:hAnsi="CESI仿宋-GB2312" w:eastAsia="CESI仿宋-GB2312" w:cs="CESI仿宋-GB2312"/>
                <w:sz w:val="28"/>
                <w:szCs w:val="28"/>
                <w:highlight w:val="none"/>
                <w:lang w:eastAsia="zh-CN"/>
              </w:rPr>
              <w:t>上述</w:t>
            </w:r>
            <w:r>
              <w:rPr>
                <w:rFonts w:hint="eastAsia" w:ascii="CESI仿宋-GB2312" w:hAnsi="CESI仿宋-GB2312" w:eastAsia="CESI仿宋-GB2312" w:cs="CESI仿宋-GB2312"/>
                <w:sz w:val="28"/>
                <w:szCs w:val="28"/>
                <w:highlight w:val="none"/>
                <w:lang w:val="en-US" w:eastAsia="zh-CN"/>
              </w:rPr>
              <w:t>1.2项为同一人的，不重复得分，以最高得分计分。</w:t>
            </w:r>
          </w:p>
          <w:p w14:paraId="3C00D7B7">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sz w:val="28"/>
                <w:szCs w:val="28"/>
              </w:rPr>
              <w:t>（二）评分依据：</w:t>
            </w:r>
          </w:p>
          <w:p w14:paraId="34BCA87F">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Cs/>
                <w:sz w:val="28"/>
                <w:szCs w:val="28"/>
              </w:rPr>
            </w:pPr>
            <w:r>
              <w:rPr>
                <w:rFonts w:hint="eastAsia" w:ascii="CESI仿宋-GB2312" w:hAnsi="CESI仿宋-GB2312" w:eastAsia="CESI仿宋-GB2312" w:cs="CESI仿宋-GB2312"/>
                <w:sz w:val="28"/>
                <w:szCs w:val="28"/>
              </w:rPr>
              <w:t>1. 涉及人员社保的，</w:t>
            </w:r>
            <w:r>
              <w:rPr>
                <w:rFonts w:hint="eastAsia" w:ascii="CESI仿宋-GB2312" w:hAnsi="CESI仿宋-GB2312" w:eastAsia="CESI仿宋-GB2312" w:cs="CESI仿宋-GB2312"/>
                <w:bCs/>
                <w:sz w:val="28"/>
                <w:szCs w:val="28"/>
              </w:rPr>
              <w:t>要求提供通过投标人缴纳的近三个月的任意一个月的社保证明作为本单位员工的证明依据。若供应商成立不足三个月的，需提供成立情况说明函（格式自拟），无需提供相关人员社保，亦可得分；若为退休返聘人员，需提供说明函（格式自拟），无需提供相关人员社保，亦可得分。</w:t>
            </w:r>
          </w:p>
          <w:p w14:paraId="361A0434">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2</w:t>
            </w:r>
            <w:r>
              <w:rPr>
                <w:rFonts w:hint="eastAsia" w:ascii="CESI仿宋-GB2312" w:hAnsi="CESI仿宋-GB2312" w:eastAsia="CESI仿宋-GB2312" w:cs="CESI仿宋-GB2312"/>
                <w:sz w:val="28"/>
                <w:szCs w:val="28"/>
              </w:rPr>
              <w:t>.</w:t>
            </w:r>
            <w:r>
              <w:rPr>
                <w:rFonts w:hint="eastAsia" w:ascii="CESI仿宋-GB2312" w:hAnsi="CESI仿宋-GB2312" w:eastAsia="CESI仿宋-GB2312" w:cs="CESI仿宋-GB2312"/>
                <w:sz w:val="28"/>
                <w:szCs w:val="28"/>
                <w:lang w:val="en-US" w:eastAsia="zh-CN"/>
              </w:rPr>
              <w:t>需提供相关证书扫描件作为评分依据。</w:t>
            </w:r>
          </w:p>
          <w:p w14:paraId="1768FBF6">
            <w:pPr>
              <w:keepNext w:val="0"/>
              <w:keepLines w:val="0"/>
              <w:pageBreakBefore w:val="0"/>
              <w:widowControl w:val="0"/>
              <w:kinsoku/>
              <w:wordWrap w:val="0"/>
              <w:overflowPunct/>
              <w:topLinePunct w:val="0"/>
              <w:autoSpaceDE/>
              <w:autoSpaceDN/>
              <w:bidi w:val="0"/>
              <w:adjustRightInd/>
              <w:snapToGrid/>
              <w:spacing w:line="400" w:lineRule="exact"/>
              <w:textAlignment w:val="auto"/>
              <w:rPr>
                <w:rStyle w:val="12"/>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若由行业协会</w:t>
            </w:r>
            <w:r>
              <w:rPr>
                <w:rFonts w:hint="eastAsia" w:ascii="CESI仿宋-GB2312" w:hAnsi="CESI仿宋-GB2312" w:eastAsia="CESI仿宋-GB2312" w:cs="CESI仿宋-GB2312"/>
                <w:bCs/>
                <w:sz w:val="28"/>
                <w:szCs w:val="28"/>
              </w:rPr>
              <w:t>/社会组织</w:t>
            </w:r>
            <w:r>
              <w:rPr>
                <w:rFonts w:hint="eastAsia" w:ascii="CESI仿宋-GB2312" w:hAnsi="CESI仿宋-GB2312" w:eastAsia="CESI仿宋-GB2312" w:cs="CESI仿宋-GB2312"/>
                <w:sz w:val="28"/>
                <w:szCs w:val="28"/>
              </w:rPr>
              <w:t>发证的，还需提供该行业协会</w:t>
            </w:r>
            <w:r>
              <w:rPr>
                <w:rFonts w:hint="eastAsia" w:ascii="CESI仿宋-GB2312" w:hAnsi="CESI仿宋-GB2312" w:eastAsia="CESI仿宋-GB2312" w:cs="CESI仿宋-GB2312"/>
                <w:bCs/>
                <w:sz w:val="28"/>
                <w:szCs w:val="28"/>
              </w:rPr>
              <w:t>/社会组织</w:t>
            </w:r>
            <w:r>
              <w:rPr>
                <w:rFonts w:hint="eastAsia" w:ascii="CESI仿宋-GB2312" w:hAnsi="CESI仿宋-GB2312" w:eastAsia="CESI仿宋-GB2312" w:cs="CESI仿宋-GB2312"/>
                <w:sz w:val="28"/>
                <w:szCs w:val="28"/>
              </w:rPr>
              <w:t>在中国社会组织政务服务平台查询正常截图（https://chinanpo.mca.gov.cn）。相关证书在公开渠道无法查询的，需提供颁发部门或者监管机构的证明材料，证明证书真实有效且为合法机构颁发。</w:t>
            </w:r>
          </w:p>
          <w:p w14:paraId="579D7A91">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sz w:val="28"/>
                <w:szCs w:val="28"/>
              </w:rPr>
              <w:t>备注：以上资料均要求提供扫描件，评分中出现无证明资料或证书过期或专家无法凭所提供资料判断是否得分的情况，一律作不得分处理。</w:t>
            </w:r>
          </w:p>
        </w:tc>
        <w:tc>
          <w:tcPr>
            <w:tcW w:w="491" w:type="pct"/>
            <w:noWrap w:val="0"/>
            <w:vAlign w:val="top"/>
          </w:tcPr>
          <w:p w14:paraId="5AC4B75B">
            <w:pPr>
              <w:spacing w:line="400" w:lineRule="exact"/>
              <w:ind w:firstLine="0" w:firstLineChars="0"/>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15</w:t>
            </w:r>
          </w:p>
        </w:tc>
        <w:tc>
          <w:tcPr>
            <w:tcW w:w="415" w:type="pct"/>
            <w:noWrap w:val="0"/>
            <w:vAlign w:val="top"/>
          </w:tcPr>
          <w:p w14:paraId="525F70B3">
            <w:pPr>
              <w:spacing w:line="400" w:lineRule="exact"/>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15</w:t>
            </w:r>
          </w:p>
        </w:tc>
      </w:tr>
      <w:tr w14:paraId="2F36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20" w:hRule="atLeast"/>
        </w:trPr>
        <w:tc>
          <w:tcPr>
            <w:tcW w:w="710" w:type="pct"/>
            <w:noWrap w:val="0"/>
            <w:vAlign w:val="top"/>
          </w:tcPr>
          <w:p w14:paraId="46E07FEB">
            <w:pPr>
              <w:spacing w:line="400" w:lineRule="exact"/>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现场答辩</w:t>
            </w:r>
          </w:p>
        </w:tc>
        <w:tc>
          <w:tcPr>
            <w:tcW w:w="3382" w:type="pct"/>
            <w:noWrap w:val="0"/>
            <w:vAlign w:val="top"/>
          </w:tcPr>
          <w:p w14:paraId="5B4A333E">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sz w:val="28"/>
                <w:szCs w:val="28"/>
                <w:lang w:eastAsia="zh-CN"/>
              </w:rPr>
              <w:t>现场回答评审人员提出的问题，评审人员根据作答给出得分。</w:t>
            </w:r>
          </w:p>
        </w:tc>
        <w:tc>
          <w:tcPr>
            <w:tcW w:w="491" w:type="pct"/>
            <w:noWrap w:val="0"/>
            <w:vAlign w:val="top"/>
          </w:tcPr>
          <w:p w14:paraId="4A8979B1">
            <w:pPr>
              <w:spacing w:line="400" w:lineRule="exact"/>
              <w:ind w:firstLine="0" w:firstLineChars="0"/>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20</w:t>
            </w:r>
          </w:p>
        </w:tc>
        <w:tc>
          <w:tcPr>
            <w:tcW w:w="415" w:type="pct"/>
            <w:noWrap w:val="0"/>
            <w:vAlign w:val="top"/>
          </w:tcPr>
          <w:p w14:paraId="645120AB">
            <w:pPr>
              <w:spacing w:line="400" w:lineRule="exact"/>
              <w:jc w:val="center"/>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lang w:val="en-US" w:eastAsia="zh-CN"/>
              </w:rPr>
              <w:t>20</w:t>
            </w:r>
          </w:p>
        </w:tc>
      </w:tr>
      <w:tr w14:paraId="262B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64" w:hRule="atLeast"/>
        </w:trPr>
        <w:tc>
          <w:tcPr>
            <w:tcW w:w="710" w:type="pct"/>
            <w:shd w:val="clear" w:color="auto" w:fill="auto"/>
            <w:noWrap w:val="0"/>
            <w:vAlign w:val="top"/>
          </w:tcPr>
          <w:p w14:paraId="4966B7E3">
            <w:pPr>
              <w:spacing w:line="400" w:lineRule="exact"/>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sz w:val="28"/>
                <w:szCs w:val="28"/>
              </w:rPr>
              <w:t>价格</w:t>
            </w:r>
          </w:p>
        </w:tc>
        <w:tc>
          <w:tcPr>
            <w:tcW w:w="3382" w:type="pct"/>
            <w:shd w:val="clear" w:color="auto" w:fill="auto"/>
            <w:noWrap w:val="0"/>
            <w:vAlign w:val="top"/>
          </w:tcPr>
          <w:p w14:paraId="52944324">
            <w:pPr>
              <w:spacing w:line="400" w:lineRule="exact"/>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 xml:space="preserve">采用低价优先法计算，即满足招标文件要求且投标价格最低的投标报价为评标基准价，其价格分为满分。其他投标人的价格分统一按照下列公式计算： </w:t>
            </w:r>
          </w:p>
          <w:p w14:paraId="71C41203">
            <w:pPr>
              <w:spacing w:line="400" w:lineRule="exact"/>
              <w:rPr>
                <w:rFonts w:hint="default" w:ascii="CESI仿宋-GB2312" w:hAnsi="CESI仿宋-GB2312" w:eastAsia="CESI仿宋-GB2312" w:cs="CESI仿宋-GB2312"/>
                <w:sz w:val="28"/>
                <w:szCs w:val="28"/>
                <w:lang w:val="en-US" w:eastAsia="zh-CN"/>
              </w:rPr>
            </w:pPr>
            <w:r>
              <w:rPr>
                <w:rFonts w:hint="eastAsia" w:ascii="CESI仿宋-GB2312" w:hAnsi="CESI仿宋-GB2312" w:eastAsia="CESI仿宋-GB2312" w:cs="CESI仿宋-GB2312"/>
                <w:sz w:val="28"/>
                <w:szCs w:val="28"/>
              </w:rPr>
              <w:t>投标报价得分=（评标基准价／投标报价）×</w:t>
            </w:r>
            <w:r>
              <w:rPr>
                <w:rFonts w:hint="eastAsia" w:ascii="CESI仿宋-GB2312" w:hAnsi="CESI仿宋-GB2312" w:eastAsia="CESI仿宋-GB2312" w:cs="CESI仿宋-GB2312"/>
                <w:sz w:val="28"/>
                <w:szCs w:val="28"/>
                <w:lang w:val="en-US" w:eastAsia="zh-CN"/>
              </w:rPr>
              <w:t>20</w:t>
            </w:r>
          </w:p>
          <w:p w14:paraId="7E821D7F">
            <w:pPr>
              <w:spacing w:line="400" w:lineRule="exact"/>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sz w:val="28"/>
                <w:szCs w:val="28"/>
              </w:rPr>
              <w:t>评标过程中，不得去掉报价中的最高报价和最低报价。</w:t>
            </w:r>
          </w:p>
        </w:tc>
        <w:tc>
          <w:tcPr>
            <w:tcW w:w="491" w:type="pct"/>
            <w:shd w:val="clear" w:color="auto" w:fill="auto"/>
            <w:noWrap w:val="0"/>
            <w:vAlign w:val="top"/>
          </w:tcPr>
          <w:p w14:paraId="5C4F0605">
            <w:pPr>
              <w:spacing w:line="400" w:lineRule="exact"/>
              <w:jc w:val="center"/>
              <w:rPr>
                <w:rFonts w:hint="default"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sz w:val="28"/>
                <w:szCs w:val="28"/>
                <w:highlight w:val="none"/>
                <w:lang w:val="en-US" w:eastAsia="zh-CN"/>
              </w:rPr>
              <w:t>20</w:t>
            </w:r>
          </w:p>
        </w:tc>
        <w:tc>
          <w:tcPr>
            <w:tcW w:w="415" w:type="pct"/>
            <w:shd w:val="clear" w:color="auto" w:fill="auto"/>
            <w:noWrap w:val="0"/>
            <w:vAlign w:val="top"/>
          </w:tcPr>
          <w:p w14:paraId="673D27ED">
            <w:pPr>
              <w:spacing w:line="400" w:lineRule="exact"/>
              <w:jc w:val="center"/>
              <w:rPr>
                <w:rFonts w:hint="default"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sz w:val="28"/>
                <w:szCs w:val="28"/>
                <w:lang w:val="en-US" w:eastAsia="zh-CN"/>
              </w:rPr>
              <w:t>20</w:t>
            </w:r>
          </w:p>
        </w:tc>
      </w:tr>
      <w:tr w14:paraId="7805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64" w:hRule="atLeast"/>
        </w:trPr>
        <w:tc>
          <w:tcPr>
            <w:tcW w:w="710" w:type="pct"/>
            <w:shd w:val="clear" w:color="auto" w:fill="auto"/>
            <w:noWrap w:val="0"/>
            <w:vAlign w:val="top"/>
          </w:tcPr>
          <w:p w14:paraId="291593F7">
            <w:pPr>
              <w:wordWrap w:val="0"/>
              <w:rPr>
                <w:rFonts w:hint="eastAsia" w:ascii="CESI仿宋-GB2312" w:hAnsi="CESI仿宋-GB2312" w:eastAsia="CESI仿宋-GB2312" w:cs="CESI仿宋-GB2312"/>
                <w:color w:val="FF0000"/>
                <w:sz w:val="28"/>
                <w:szCs w:val="28"/>
              </w:rPr>
            </w:pPr>
            <w:r>
              <w:rPr>
                <w:rFonts w:hint="eastAsia" w:ascii="CESI仿宋-GB2312" w:hAnsi="CESI仿宋-GB2312" w:eastAsia="CESI仿宋-GB2312" w:cs="CESI仿宋-GB2312"/>
                <w:sz w:val="28"/>
                <w:szCs w:val="28"/>
              </w:rPr>
              <w:t>违约承诺</w:t>
            </w:r>
          </w:p>
          <w:p w14:paraId="6B00041B">
            <w:pPr>
              <w:spacing w:line="400" w:lineRule="exact"/>
              <w:jc w:val="center"/>
              <w:rPr>
                <w:rFonts w:hint="eastAsia" w:ascii="CESI仿宋-GB2312" w:hAnsi="CESI仿宋-GB2312" w:eastAsia="CESI仿宋-GB2312" w:cs="CESI仿宋-GB2312"/>
                <w:kern w:val="2"/>
                <w:sz w:val="28"/>
                <w:szCs w:val="28"/>
                <w:lang w:val="en-US" w:eastAsia="zh-CN" w:bidi="ar-SA"/>
              </w:rPr>
            </w:pPr>
          </w:p>
        </w:tc>
        <w:tc>
          <w:tcPr>
            <w:tcW w:w="3382" w:type="pct"/>
            <w:shd w:val="clear" w:color="auto" w:fill="auto"/>
            <w:noWrap w:val="0"/>
            <w:vAlign w:val="top"/>
          </w:tcPr>
          <w:p w14:paraId="1D191671">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sz w:val="28"/>
                <w:szCs w:val="28"/>
              </w:rPr>
              <w:t>（一）评分内容：</w:t>
            </w:r>
          </w:p>
          <w:p w14:paraId="3B35467A">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1.服务质量达到招标文件要求；</w:t>
            </w:r>
          </w:p>
          <w:p w14:paraId="1C5A695A">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2.对未能达到的管理要求承担管理责任。</w:t>
            </w:r>
          </w:p>
          <w:p w14:paraId="349B3672">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sz w:val="28"/>
                <w:szCs w:val="28"/>
              </w:rPr>
              <w:t>（二）评分依据：</w:t>
            </w:r>
          </w:p>
          <w:p w14:paraId="497BCAC8">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z w:val="28"/>
                <w:szCs w:val="28"/>
              </w:rPr>
              <w:t>投标人承诺以上全部二项的得</w:t>
            </w:r>
            <w:r>
              <w:rPr>
                <w:rFonts w:hint="eastAsia" w:ascii="CESI仿宋-GB2312" w:hAnsi="CESI仿宋-GB2312" w:eastAsia="CESI仿宋-GB2312" w:cs="CESI仿宋-GB2312"/>
                <w:sz w:val="28"/>
                <w:szCs w:val="28"/>
                <w:lang w:val="en-US" w:eastAsia="zh-CN"/>
              </w:rPr>
              <w:t>5</w:t>
            </w:r>
            <w:r>
              <w:rPr>
                <w:rFonts w:hint="eastAsia" w:ascii="CESI仿宋-GB2312" w:hAnsi="CESI仿宋-GB2312" w:eastAsia="CESI仿宋-GB2312" w:cs="CESI仿宋-GB2312"/>
                <w:sz w:val="28"/>
                <w:szCs w:val="28"/>
              </w:rPr>
              <w:t>分，要求提供承诺（格式自定）作为得分依据，未提供承诺或承诺内容不满足要求不得分。</w:t>
            </w:r>
          </w:p>
        </w:tc>
        <w:tc>
          <w:tcPr>
            <w:tcW w:w="491" w:type="pct"/>
            <w:shd w:val="clear" w:color="auto" w:fill="auto"/>
            <w:noWrap w:val="0"/>
            <w:vAlign w:val="top"/>
          </w:tcPr>
          <w:p w14:paraId="27186850">
            <w:pPr>
              <w:spacing w:line="400" w:lineRule="exact"/>
              <w:jc w:val="center"/>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color w:val="auto"/>
                <w:sz w:val="28"/>
                <w:szCs w:val="28"/>
                <w:lang w:val="en" w:eastAsia="zh-CN"/>
              </w:rPr>
              <w:t>5</w:t>
            </w:r>
          </w:p>
        </w:tc>
        <w:tc>
          <w:tcPr>
            <w:tcW w:w="415" w:type="pct"/>
            <w:shd w:val="clear" w:color="auto" w:fill="auto"/>
            <w:noWrap w:val="0"/>
            <w:vAlign w:val="top"/>
          </w:tcPr>
          <w:p w14:paraId="4F5C2922">
            <w:pPr>
              <w:spacing w:line="400" w:lineRule="exact"/>
              <w:jc w:val="center"/>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color w:val="auto"/>
                <w:sz w:val="28"/>
                <w:szCs w:val="28"/>
                <w:lang w:val="en"/>
              </w:rPr>
              <w:t>5</w:t>
            </w:r>
          </w:p>
        </w:tc>
      </w:tr>
      <w:tr w14:paraId="266E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64" w:hRule="atLeast"/>
        </w:trPr>
        <w:tc>
          <w:tcPr>
            <w:tcW w:w="710" w:type="pct"/>
            <w:shd w:val="clear" w:color="auto" w:fill="auto"/>
            <w:noWrap w:val="0"/>
            <w:vAlign w:val="top"/>
          </w:tcPr>
          <w:p w14:paraId="19AA53C9">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FF0000"/>
                <w:sz w:val="28"/>
                <w:szCs w:val="28"/>
              </w:rPr>
            </w:pPr>
            <w:r>
              <w:rPr>
                <w:rFonts w:hint="eastAsia" w:ascii="CESI仿宋-GB2312" w:hAnsi="CESI仿宋-GB2312" w:eastAsia="CESI仿宋-GB2312" w:cs="CESI仿宋-GB2312"/>
                <w:sz w:val="28"/>
                <w:szCs w:val="28"/>
              </w:rPr>
              <w:t>项目完成（服务期满）后的服务承诺</w:t>
            </w:r>
          </w:p>
          <w:p w14:paraId="1E784F06">
            <w:pPr>
              <w:spacing w:line="400" w:lineRule="exact"/>
              <w:jc w:val="center"/>
              <w:rPr>
                <w:rFonts w:hint="eastAsia" w:ascii="CESI仿宋-GB2312" w:hAnsi="CESI仿宋-GB2312" w:eastAsia="CESI仿宋-GB2312" w:cs="CESI仿宋-GB2312"/>
                <w:kern w:val="2"/>
                <w:sz w:val="28"/>
                <w:szCs w:val="28"/>
                <w:lang w:val="en-US" w:eastAsia="zh-CN" w:bidi="ar-SA"/>
              </w:rPr>
            </w:pPr>
          </w:p>
        </w:tc>
        <w:tc>
          <w:tcPr>
            <w:tcW w:w="3382" w:type="pct"/>
            <w:shd w:val="clear" w:color="auto" w:fill="auto"/>
            <w:noWrap w:val="0"/>
            <w:vAlign w:val="top"/>
          </w:tcPr>
          <w:p w14:paraId="7F08E978">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sz w:val="28"/>
                <w:szCs w:val="28"/>
              </w:rPr>
              <w:t>（一）评分内容：</w:t>
            </w:r>
          </w:p>
          <w:p w14:paraId="2E9C45CE">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1.服务期满后主动离岗。</w:t>
            </w:r>
          </w:p>
          <w:p w14:paraId="2899007F">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2.与后续服务公司进行交接。</w:t>
            </w:r>
          </w:p>
          <w:p w14:paraId="79374294">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3.服务期满，后续服务公司未到位前仍按原合同服务承诺提供服务。</w:t>
            </w:r>
          </w:p>
          <w:p w14:paraId="4F30FA18">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sz w:val="28"/>
                <w:szCs w:val="28"/>
              </w:rPr>
              <w:t>（二）评分依据：</w:t>
            </w:r>
          </w:p>
          <w:p w14:paraId="3833991D">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auto"/>
                <w:kern w:val="2"/>
                <w:sz w:val="28"/>
                <w:szCs w:val="28"/>
                <w:lang w:val="en-US" w:eastAsia="zh-CN" w:bidi="ar-SA"/>
              </w:rPr>
            </w:pPr>
            <w:r>
              <w:rPr>
                <w:rFonts w:hint="eastAsia" w:ascii="CESI仿宋-GB2312" w:hAnsi="CESI仿宋-GB2312" w:eastAsia="CESI仿宋-GB2312" w:cs="CESI仿宋-GB2312"/>
                <w:sz w:val="28"/>
                <w:szCs w:val="28"/>
              </w:rPr>
              <w:t>投标人承诺以上全部三项的得</w:t>
            </w:r>
            <w:r>
              <w:rPr>
                <w:rFonts w:hint="eastAsia" w:ascii="CESI仿宋-GB2312" w:hAnsi="CESI仿宋-GB2312" w:eastAsia="CESI仿宋-GB2312" w:cs="CESI仿宋-GB2312"/>
                <w:sz w:val="28"/>
                <w:szCs w:val="28"/>
                <w:lang w:val="en-US" w:eastAsia="zh-CN"/>
              </w:rPr>
              <w:t>5</w:t>
            </w:r>
            <w:r>
              <w:rPr>
                <w:rFonts w:hint="eastAsia" w:ascii="CESI仿宋-GB2312" w:hAnsi="CESI仿宋-GB2312" w:eastAsia="CESI仿宋-GB2312" w:cs="CESI仿宋-GB2312"/>
                <w:sz w:val="28"/>
                <w:szCs w:val="28"/>
              </w:rPr>
              <w:t>分，要求提供承诺（格式自定）作为得分依据，未提供承诺或承诺内容不满足要求不得分。</w:t>
            </w:r>
          </w:p>
        </w:tc>
        <w:tc>
          <w:tcPr>
            <w:tcW w:w="491" w:type="pct"/>
            <w:shd w:val="clear" w:color="auto" w:fill="auto"/>
            <w:noWrap w:val="0"/>
            <w:vAlign w:val="top"/>
          </w:tcPr>
          <w:p w14:paraId="2A3DDE1A">
            <w:pPr>
              <w:spacing w:line="400" w:lineRule="exact"/>
              <w:ind w:firstLine="0" w:firstLineChars="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sz w:val="28"/>
                <w:szCs w:val="28"/>
                <w:lang w:val="en-US" w:eastAsia="zh-CN"/>
              </w:rPr>
              <w:t>5</w:t>
            </w:r>
          </w:p>
        </w:tc>
        <w:tc>
          <w:tcPr>
            <w:tcW w:w="415" w:type="pct"/>
            <w:shd w:val="clear" w:color="auto" w:fill="auto"/>
            <w:noWrap w:val="0"/>
            <w:vAlign w:val="top"/>
          </w:tcPr>
          <w:p w14:paraId="7C203F40">
            <w:pPr>
              <w:spacing w:line="400" w:lineRule="exact"/>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sz w:val="28"/>
                <w:szCs w:val="28"/>
                <w:lang w:val="en-US" w:eastAsia="zh-CN"/>
              </w:rPr>
              <w:t>5</w:t>
            </w:r>
          </w:p>
        </w:tc>
      </w:tr>
    </w:tbl>
    <w:p w14:paraId="4E696B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鼎小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6DAE7D71"/>
    <w:rsid w:val="6FF665D5"/>
    <w:rsid w:val="7F870802"/>
    <w:rsid w:val="975B15DD"/>
    <w:rsid w:val="995E496B"/>
    <w:rsid w:val="B4FD6543"/>
    <w:rsid w:val="BFEF241F"/>
    <w:rsid w:val="CFFF44AA"/>
    <w:rsid w:val="EBB7DC78"/>
    <w:rsid w:val="EFE7C460"/>
    <w:rsid w:val="F5F730A9"/>
    <w:rsid w:val="FB768B13"/>
    <w:rsid w:val="FBBF01F9"/>
    <w:rsid w:val="FF9DE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adjustRightInd w:val="0"/>
      <w:jc w:val="distribute"/>
      <w:outlineLvl w:val="0"/>
    </w:pPr>
    <w:rPr>
      <w:rFonts w:eastAsia="文鼎小标宋简"/>
      <w:b/>
      <w:color w:val="FF0000"/>
      <w:kern w:val="44"/>
      <w:sz w:val="72"/>
      <w:szCs w:val="20"/>
    </w:rPr>
  </w:style>
  <w:style w:type="paragraph" w:styleId="5">
    <w:name w:val="heading 2"/>
    <w:basedOn w:val="1"/>
    <w:next w:val="1"/>
    <w:qFormat/>
    <w:uiPriority w:val="0"/>
    <w:pPr>
      <w:keepNext/>
      <w:keepLines/>
      <w:spacing w:before="260" w:after="260" w:line="520" w:lineRule="exact"/>
      <w:jc w:val="left"/>
      <w:outlineLvl w:val="1"/>
    </w:pPr>
    <w:rPr>
      <w:rFonts w:ascii="Arial" w:hAnsi="Arial" w:eastAsia="楷体_GB2312"/>
      <w:b/>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spacing w:after="120" w:line="240" w:lineRule="auto"/>
      <w:ind w:left="420" w:leftChars="200"/>
    </w:pPr>
  </w:style>
  <w:style w:type="paragraph" w:styleId="3">
    <w:name w:val="Body Text Indent"/>
    <w:basedOn w:val="1"/>
    <w:qFormat/>
    <w:uiPriority w:val="0"/>
    <w:pPr>
      <w:spacing w:line="360" w:lineRule="auto"/>
      <w:ind w:firstLine="420" w:firstLineChars="200"/>
    </w:pPr>
  </w:style>
  <w:style w:type="paragraph" w:styleId="6">
    <w:name w:val="Normal Indent"/>
    <w:basedOn w:val="1"/>
    <w:next w:val="7"/>
    <w:qFormat/>
    <w:uiPriority w:val="0"/>
    <w:pPr>
      <w:ind w:firstLine="420" w:firstLineChars="200"/>
    </w:pPr>
  </w:style>
  <w:style w:type="paragraph" w:styleId="7">
    <w:name w:val="Body Text"/>
    <w:basedOn w:val="1"/>
    <w:next w:val="8"/>
    <w:qFormat/>
    <w:uiPriority w:val="0"/>
    <w:rPr>
      <w:rFonts w:ascii="Times New Roman" w:hAnsi="Times New Roman"/>
      <w:sz w:val="32"/>
      <w:szCs w:val="24"/>
    </w:rPr>
  </w:style>
  <w:style w:type="paragraph" w:styleId="8">
    <w:name w:val="Body Text 2"/>
    <w:basedOn w:val="1"/>
    <w:qFormat/>
    <w:uiPriority w:val="0"/>
    <w:pPr>
      <w:spacing w:line="360" w:lineRule="auto"/>
    </w:pPr>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99"/>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15</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2018-07-13T07:11:00Z</dcterms:created>
  <dc:creator>d</dc:creator>
  <cp:lastModifiedBy>huawei</cp:lastModifiedBy>
  <dcterms:modified xsi:type="dcterms:W3CDTF">2026-08-28T10:11:36Z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886F9C929DF7111E06B3826A94ABEF31</vt:lpwstr>
  </property>
</Properties>
</file>